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bidi w:val="0"/>
        <w:rPr>
          <w:rFonts w:asciiTheme="minorHAnsi" w:hAnsiTheme="minorHAnsi" w:eastAsiaTheme="minorEastAsia" w:cstheme="minorBidi"/>
          <w:color w:val="auto"/>
          <w:kern w:val="2"/>
          <w:sz w:val="21"/>
          <w:szCs w:val="24"/>
          <w:highlight w:val="none"/>
          <w:lang w:val="en-US" w:eastAsia="zh-CN" w:bidi="ar-SA"/>
        </w:rPr>
      </w:pPr>
    </w:p>
    <w:p>
      <w:pPr>
        <w:pStyle w:val="24"/>
        <w:snapToGrid w:val="0"/>
        <w:spacing w:before="120" w:beforeLines="50" w:line="360" w:lineRule="auto"/>
        <w:ind w:right="204" w:rightChars="85"/>
        <w:jc w:val="center"/>
        <w:rPr>
          <w:rStyle w:val="25"/>
          <w:rFonts w:hint="eastAsia" w:ascii="宋体" w:hAnsi="宋体" w:eastAsia="宋体" w:cs="宋体"/>
          <w:b/>
          <w:bCs/>
          <w:color w:val="auto"/>
          <w:kern w:val="0"/>
          <w:sz w:val="44"/>
          <w:szCs w:val="44"/>
          <w:highlight w:val="none"/>
          <w:lang w:eastAsia="zh-CN"/>
        </w:rPr>
      </w:pPr>
      <w:r>
        <w:rPr>
          <w:rStyle w:val="25"/>
          <w:rFonts w:hint="eastAsia" w:ascii="宋体" w:hAnsi="宋体" w:eastAsia="宋体" w:cs="宋体"/>
          <w:b/>
          <w:bCs/>
          <w:color w:val="auto"/>
          <w:kern w:val="0"/>
          <w:sz w:val="36"/>
          <w:szCs w:val="36"/>
          <w:highlight w:val="none"/>
          <w:lang w:eastAsia="zh-CN"/>
        </w:rPr>
        <w:t>始兴县风度中学高中基础设施建设项目施工（第二次）</w:t>
      </w:r>
    </w:p>
    <w:p>
      <w:pPr>
        <w:pStyle w:val="24"/>
        <w:snapToGrid w:val="0"/>
        <w:jc w:val="center"/>
        <w:rPr>
          <w:rStyle w:val="25"/>
          <w:rFonts w:hint="eastAsia" w:ascii="宋体" w:hAnsi="宋体" w:eastAsia="宋体" w:cs="宋体"/>
          <w:b/>
          <w:bCs/>
          <w:color w:val="auto"/>
          <w:kern w:val="0"/>
          <w:sz w:val="96"/>
          <w:szCs w:val="96"/>
          <w:highlight w:val="none"/>
        </w:rPr>
      </w:pPr>
    </w:p>
    <w:p>
      <w:pPr>
        <w:pStyle w:val="24"/>
        <w:keepNext w:val="0"/>
        <w:keepLines w:val="0"/>
        <w:pageBreakBefore w:val="0"/>
        <w:widowControl/>
        <w:kinsoku/>
        <w:wordWrap/>
        <w:overflowPunct/>
        <w:topLinePunct w:val="0"/>
        <w:autoSpaceDE/>
        <w:autoSpaceDN/>
        <w:bidi w:val="0"/>
        <w:adjustRightInd/>
        <w:snapToGrid/>
        <w:spacing w:before="655" w:beforeLines="200"/>
        <w:jc w:val="center"/>
        <w:textAlignment w:val="baseline"/>
        <w:rPr>
          <w:rStyle w:val="25"/>
          <w:rFonts w:hint="eastAsia" w:ascii="宋体" w:hAnsi="宋体" w:eastAsia="宋体" w:cs="宋体"/>
          <w:b/>
          <w:bCs/>
          <w:color w:val="auto"/>
          <w:kern w:val="0"/>
          <w:sz w:val="84"/>
          <w:szCs w:val="84"/>
          <w:highlight w:val="none"/>
        </w:rPr>
      </w:pPr>
      <w:r>
        <w:rPr>
          <w:rStyle w:val="25"/>
          <w:rFonts w:hint="eastAsia" w:ascii="宋体" w:hAnsi="宋体" w:eastAsia="宋体" w:cs="宋体"/>
          <w:b/>
          <w:bCs/>
          <w:color w:val="auto"/>
          <w:kern w:val="0"/>
          <w:sz w:val="72"/>
          <w:szCs w:val="72"/>
          <w:highlight w:val="none"/>
        </w:rPr>
        <w:t>招标文件</w:t>
      </w:r>
    </w:p>
    <w:p>
      <w:pPr>
        <w:pStyle w:val="24"/>
        <w:snapToGrid w:val="0"/>
        <w:spacing w:line="360" w:lineRule="auto"/>
        <w:jc w:val="center"/>
        <w:rPr>
          <w:rStyle w:val="25"/>
          <w:rFonts w:hint="eastAsia" w:ascii="宋体" w:hAnsi="宋体" w:eastAsia="宋体" w:cs="宋体"/>
          <w:b/>
          <w:bCs/>
          <w:color w:val="auto"/>
          <w:kern w:val="0"/>
          <w:sz w:val="48"/>
          <w:szCs w:val="48"/>
          <w:highlight w:val="none"/>
        </w:rPr>
      </w:pPr>
    </w:p>
    <w:p>
      <w:pPr>
        <w:pStyle w:val="24"/>
        <w:snapToGrid w:val="0"/>
        <w:spacing w:line="360" w:lineRule="auto"/>
        <w:rPr>
          <w:rStyle w:val="25"/>
          <w:rFonts w:hint="eastAsia" w:ascii="宋体" w:hAnsi="宋体" w:eastAsia="宋体" w:cs="宋体"/>
          <w:b/>
          <w:bCs/>
          <w:color w:val="auto"/>
          <w:kern w:val="0"/>
          <w:sz w:val="48"/>
          <w:szCs w:val="48"/>
          <w:highlight w:val="none"/>
        </w:rPr>
      </w:pPr>
    </w:p>
    <w:tbl>
      <w:tblPr>
        <w:tblStyle w:val="20"/>
        <w:tblW w:w="9833" w:type="dxa"/>
        <w:jc w:val="center"/>
        <w:tblLayout w:type="fixed"/>
        <w:tblCellMar>
          <w:top w:w="0" w:type="dxa"/>
          <w:left w:w="0" w:type="dxa"/>
          <w:bottom w:w="0" w:type="dxa"/>
          <w:right w:w="0" w:type="dxa"/>
        </w:tblCellMar>
      </w:tblPr>
      <w:tblGrid>
        <w:gridCol w:w="5185"/>
        <w:gridCol w:w="4648"/>
      </w:tblGrid>
      <w:tr>
        <w:tblPrEx>
          <w:tblCellMar>
            <w:top w:w="0" w:type="dxa"/>
            <w:left w:w="0" w:type="dxa"/>
            <w:bottom w:w="0" w:type="dxa"/>
            <w:right w:w="0" w:type="dxa"/>
          </w:tblCellMar>
        </w:tblPrEx>
        <w:trPr>
          <w:trHeight w:val="990" w:hRule="atLeast"/>
          <w:jc w:val="center"/>
        </w:trPr>
        <w:tc>
          <w:tcPr>
            <w:tcW w:w="5185" w:type="dxa"/>
            <w:noWrap w:val="0"/>
            <w:vAlign w:val="center"/>
          </w:tcPr>
          <w:p>
            <w:pPr>
              <w:pStyle w:val="26"/>
              <w:keepNext w:val="0"/>
              <w:keepLines w:val="0"/>
              <w:widowControl/>
              <w:suppressLineNumbers w:val="0"/>
              <w:snapToGrid w:val="0"/>
              <w:spacing w:before="0" w:beforeAutospacing="0" w:after="0" w:afterAutospacing="0" w:line="240" w:lineRule="auto"/>
              <w:ind w:left="0" w:right="0"/>
              <w:jc w:val="distribute"/>
              <w:rPr>
                <w:rStyle w:val="25"/>
                <w:rFonts w:hint="eastAsia" w:hAnsi="宋体"/>
                <w:color w:val="auto"/>
                <w:kern w:val="0"/>
                <w:sz w:val="28"/>
                <w:szCs w:val="28"/>
                <w:highlight w:val="none"/>
              </w:rPr>
            </w:pPr>
            <w:r>
              <w:rPr>
                <w:rStyle w:val="25"/>
                <w:rFonts w:hint="eastAsia" w:hAnsi="宋体"/>
                <w:color w:val="auto"/>
                <w:kern w:val="0"/>
                <w:sz w:val="28"/>
                <w:szCs w:val="28"/>
                <w:highlight w:val="none"/>
              </w:rPr>
              <w:t xml:space="preserve"> 招  标  人（盖单位章）：</w:t>
            </w:r>
          </w:p>
        </w:tc>
        <w:tc>
          <w:tcPr>
            <w:tcW w:w="4648" w:type="dxa"/>
            <w:noWrap w:val="0"/>
            <w:vAlign w:val="center"/>
          </w:tcPr>
          <w:p>
            <w:pPr>
              <w:pStyle w:val="26"/>
              <w:keepNext w:val="0"/>
              <w:keepLines w:val="0"/>
              <w:widowControl/>
              <w:suppressLineNumbers w:val="0"/>
              <w:snapToGrid w:val="0"/>
              <w:spacing w:before="0" w:beforeAutospacing="0" w:after="0" w:afterAutospacing="0" w:line="240" w:lineRule="auto"/>
              <w:ind w:left="0" w:right="0"/>
              <w:rPr>
                <w:rStyle w:val="25"/>
                <w:rFonts w:hint="eastAsia" w:hAnsi="宋体" w:eastAsia="宋体"/>
                <w:color w:val="auto"/>
                <w:kern w:val="0"/>
                <w:sz w:val="28"/>
                <w:szCs w:val="28"/>
                <w:highlight w:val="none"/>
                <w:lang w:eastAsia="zh-CN"/>
              </w:rPr>
            </w:pPr>
            <w:r>
              <w:rPr>
                <w:rStyle w:val="25"/>
                <w:rFonts w:hint="eastAsia" w:hAnsi="宋体"/>
                <w:color w:val="auto"/>
                <w:kern w:val="0"/>
                <w:sz w:val="28"/>
                <w:szCs w:val="28"/>
                <w:highlight w:val="none"/>
                <w:lang w:eastAsia="zh-CN"/>
              </w:rPr>
              <w:t>始兴县政府投资建设项目代建管理局</w:t>
            </w:r>
          </w:p>
        </w:tc>
      </w:tr>
      <w:tr>
        <w:tblPrEx>
          <w:tblCellMar>
            <w:top w:w="0" w:type="dxa"/>
            <w:left w:w="0" w:type="dxa"/>
            <w:bottom w:w="0" w:type="dxa"/>
            <w:right w:w="0" w:type="dxa"/>
          </w:tblCellMar>
        </w:tblPrEx>
        <w:trPr>
          <w:trHeight w:val="812" w:hRule="atLeast"/>
          <w:jc w:val="center"/>
        </w:trPr>
        <w:tc>
          <w:tcPr>
            <w:tcW w:w="5185" w:type="dxa"/>
            <w:noWrap w:val="0"/>
            <w:vAlign w:val="center"/>
          </w:tcPr>
          <w:p>
            <w:pPr>
              <w:pStyle w:val="26"/>
              <w:keepNext w:val="0"/>
              <w:keepLines w:val="0"/>
              <w:widowControl/>
              <w:suppressLineNumbers w:val="0"/>
              <w:snapToGrid w:val="0"/>
              <w:spacing w:before="0" w:beforeAutospacing="0" w:after="0" w:afterAutospacing="0" w:line="240" w:lineRule="auto"/>
              <w:ind w:left="0" w:right="0"/>
              <w:jc w:val="distribute"/>
              <w:rPr>
                <w:rStyle w:val="25"/>
                <w:rFonts w:hint="eastAsia" w:hAnsi="宋体"/>
                <w:color w:val="auto"/>
                <w:kern w:val="0"/>
                <w:sz w:val="28"/>
                <w:szCs w:val="28"/>
                <w:highlight w:val="none"/>
              </w:rPr>
            </w:pPr>
            <w:r>
              <w:rPr>
                <w:rStyle w:val="25"/>
                <w:rFonts w:hint="eastAsia" w:hAnsi="宋体"/>
                <w:color w:val="auto"/>
                <w:kern w:val="0"/>
                <w:sz w:val="28"/>
                <w:szCs w:val="28"/>
                <w:highlight w:val="none"/>
              </w:rPr>
              <w:t xml:space="preserve"> 招标人工作领导小组负责人（签字）：</w:t>
            </w:r>
          </w:p>
        </w:tc>
        <w:tc>
          <w:tcPr>
            <w:tcW w:w="4648" w:type="dxa"/>
            <w:noWrap w:val="0"/>
            <w:vAlign w:val="center"/>
          </w:tcPr>
          <w:p>
            <w:pPr>
              <w:pStyle w:val="26"/>
              <w:keepNext w:val="0"/>
              <w:keepLines w:val="0"/>
              <w:widowControl/>
              <w:suppressLineNumbers w:val="0"/>
              <w:snapToGrid w:val="0"/>
              <w:spacing w:before="0" w:beforeAutospacing="0" w:after="0" w:afterAutospacing="0" w:line="240" w:lineRule="auto"/>
              <w:ind w:left="0" w:right="0"/>
              <w:rPr>
                <w:rStyle w:val="25"/>
                <w:rFonts w:hint="eastAsia" w:hAnsi="宋体"/>
                <w:color w:val="auto"/>
                <w:kern w:val="0"/>
                <w:sz w:val="28"/>
                <w:szCs w:val="28"/>
                <w:highlight w:val="none"/>
              </w:rPr>
            </w:pPr>
          </w:p>
        </w:tc>
      </w:tr>
      <w:tr>
        <w:tblPrEx>
          <w:tblCellMar>
            <w:top w:w="0" w:type="dxa"/>
            <w:left w:w="0" w:type="dxa"/>
            <w:bottom w:w="0" w:type="dxa"/>
            <w:right w:w="0" w:type="dxa"/>
          </w:tblCellMar>
        </w:tblPrEx>
        <w:trPr>
          <w:trHeight w:val="807" w:hRule="atLeast"/>
          <w:jc w:val="center"/>
        </w:trPr>
        <w:tc>
          <w:tcPr>
            <w:tcW w:w="5185" w:type="dxa"/>
            <w:noWrap w:val="0"/>
            <w:vAlign w:val="center"/>
          </w:tcPr>
          <w:p>
            <w:pPr>
              <w:pStyle w:val="26"/>
              <w:keepNext w:val="0"/>
              <w:keepLines w:val="0"/>
              <w:widowControl/>
              <w:suppressLineNumbers w:val="0"/>
              <w:snapToGrid w:val="0"/>
              <w:spacing w:before="0" w:beforeAutospacing="0" w:after="0" w:afterAutospacing="0" w:line="240" w:lineRule="auto"/>
              <w:ind w:left="0" w:right="0"/>
              <w:jc w:val="distribute"/>
              <w:rPr>
                <w:rStyle w:val="25"/>
                <w:rFonts w:hint="eastAsia" w:hAnsi="宋体"/>
                <w:color w:val="auto"/>
                <w:kern w:val="0"/>
                <w:sz w:val="28"/>
                <w:szCs w:val="28"/>
                <w:highlight w:val="none"/>
              </w:rPr>
            </w:pPr>
            <w:r>
              <w:rPr>
                <w:rStyle w:val="25"/>
                <w:rFonts w:hint="eastAsia" w:hAnsi="宋体"/>
                <w:color w:val="auto"/>
                <w:kern w:val="0"/>
                <w:sz w:val="28"/>
                <w:szCs w:val="28"/>
                <w:highlight w:val="none"/>
              </w:rPr>
              <w:t xml:space="preserve"> 招 标 代 理 机 构 （盖单位章）：</w:t>
            </w:r>
          </w:p>
        </w:tc>
        <w:tc>
          <w:tcPr>
            <w:tcW w:w="4648" w:type="dxa"/>
            <w:noWrap w:val="0"/>
            <w:vAlign w:val="center"/>
          </w:tcPr>
          <w:p>
            <w:pPr>
              <w:pStyle w:val="26"/>
              <w:keepNext w:val="0"/>
              <w:keepLines w:val="0"/>
              <w:widowControl/>
              <w:suppressLineNumbers w:val="0"/>
              <w:snapToGrid w:val="0"/>
              <w:spacing w:before="0" w:beforeAutospacing="0" w:after="0" w:afterAutospacing="0" w:line="240" w:lineRule="auto"/>
              <w:ind w:left="0" w:right="0"/>
              <w:rPr>
                <w:rStyle w:val="25"/>
                <w:rFonts w:hint="eastAsia" w:hAnsi="宋体" w:eastAsia="宋体"/>
                <w:color w:val="auto"/>
                <w:kern w:val="0"/>
                <w:sz w:val="28"/>
                <w:szCs w:val="28"/>
                <w:highlight w:val="none"/>
                <w:lang w:eastAsia="zh-CN"/>
              </w:rPr>
            </w:pPr>
            <w:r>
              <w:rPr>
                <w:rStyle w:val="25"/>
                <w:rFonts w:hint="eastAsia" w:hAnsi="宋体"/>
                <w:color w:val="auto"/>
                <w:kern w:val="0"/>
                <w:sz w:val="28"/>
                <w:szCs w:val="28"/>
                <w:highlight w:val="none"/>
                <w:lang w:eastAsia="zh-CN"/>
              </w:rPr>
              <w:t>韶关市诚智工程管理咨询有限公司</w:t>
            </w:r>
          </w:p>
        </w:tc>
      </w:tr>
      <w:tr>
        <w:tblPrEx>
          <w:tblCellMar>
            <w:top w:w="0" w:type="dxa"/>
            <w:left w:w="0" w:type="dxa"/>
            <w:bottom w:w="0" w:type="dxa"/>
            <w:right w:w="0" w:type="dxa"/>
          </w:tblCellMar>
        </w:tblPrEx>
        <w:trPr>
          <w:trHeight w:val="931" w:hRule="atLeast"/>
          <w:jc w:val="center"/>
        </w:trPr>
        <w:tc>
          <w:tcPr>
            <w:tcW w:w="5185" w:type="dxa"/>
            <w:noWrap w:val="0"/>
            <w:vAlign w:val="center"/>
          </w:tcPr>
          <w:p>
            <w:pPr>
              <w:pStyle w:val="26"/>
              <w:keepNext w:val="0"/>
              <w:keepLines w:val="0"/>
              <w:widowControl/>
              <w:suppressLineNumbers w:val="0"/>
              <w:snapToGrid w:val="0"/>
              <w:spacing w:before="0" w:beforeAutospacing="0" w:after="0" w:afterAutospacing="0" w:line="240" w:lineRule="auto"/>
              <w:ind w:left="0" w:right="0"/>
              <w:jc w:val="distribute"/>
              <w:rPr>
                <w:rStyle w:val="25"/>
                <w:rFonts w:hint="eastAsia" w:hAnsi="宋体"/>
                <w:color w:val="auto"/>
                <w:kern w:val="0"/>
                <w:sz w:val="28"/>
                <w:szCs w:val="28"/>
                <w:highlight w:val="none"/>
              </w:rPr>
            </w:pPr>
            <w:r>
              <w:rPr>
                <w:rStyle w:val="25"/>
                <w:rFonts w:hint="eastAsia" w:hAnsi="宋体"/>
                <w:color w:val="auto"/>
                <w:kern w:val="0"/>
                <w:sz w:val="28"/>
                <w:szCs w:val="28"/>
                <w:highlight w:val="none"/>
              </w:rPr>
              <w:t xml:space="preserve"> 招标文件编制人（签字）：</w:t>
            </w:r>
          </w:p>
        </w:tc>
        <w:tc>
          <w:tcPr>
            <w:tcW w:w="4648" w:type="dxa"/>
            <w:noWrap w:val="0"/>
            <w:vAlign w:val="center"/>
          </w:tcPr>
          <w:p>
            <w:pPr>
              <w:pStyle w:val="26"/>
              <w:keepNext w:val="0"/>
              <w:keepLines w:val="0"/>
              <w:widowControl/>
              <w:suppressLineNumbers w:val="0"/>
              <w:snapToGrid w:val="0"/>
              <w:spacing w:before="0" w:beforeAutospacing="0" w:after="0" w:afterAutospacing="0" w:line="240" w:lineRule="auto"/>
              <w:ind w:left="0" w:right="0"/>
              <w:rPr>
                <w:rStyle w:val="25"/>
                <w:rFonts w:hint="eastAsia" w:hAnsi="宋体"/>
                <w:color w:val="auto"/>
                <w:kern w:val="0"/>
                <w:sz w:val="28"/>
                <w:szCs w:val="28"/>
                <w:highlight w:val="none"/>
              </w:rPr>
            </w:pPr>
          </w:p>
        </w:tc>
      </w:tr>
      <w:tr>
        <w:tblPrEx>
          <w:tblCellMar>
            <w:top w:w="0" w:type="dxa"/>
            <w:left w:w="0" w:type="dxa"/>
            <w:bottom w:w="0" w:type="dxa"/>
            <w:right w:w="0" w:type="dxa"/>
          </w:tblCellMar>
        </w:tblPrEx>
        <w:trPr>
          <w:trHeight w:val="901" w:hRule="atLeast"/>
          <w:jc w:val="center"/>
        </w:trPr>
        <w:tc>
          <w:tcPr>
            <w:tcW w:w="5185" w:type="dxa"/>
            <w:noWrap w:val="0"/>
            <w:vAlign w:val="center"/>
          </w:tcPr>
          <w:p>
            <w:pPr>
              <w:pStyle w:val="26"/>
              <w:keepNext w:val="0"/>
              <w:keepLines w:val="0"/>
              <w:widowControl/>
              <w:suppressLineNumbers w:val="0"/>
              <w:snapToGrid w:val="0"/>
              <w:spacing w:before="0" w:beforeAutospacing="0" w:after="0" w:afterAutospacing="0" w:line="240" w:lineRule="auto"/>
              <w:ind w:left="0" w:right="0"/>
              <w:jc w:val="distribute"/>
              <w:rPr>
                <w:rStyle w:val="25"/>
                <w:rFonts w:hint="eastAsia" w:hAnsi="宋体"/>
                <w:color w:val="auto"/>
                <w:kern w:val="0"/>
                <w:sz w:val="28"/>
                <w:szCs w:val="28"/>
                <w:highlight w:val="none"/>
              </w:rPr>
            </w:pPr>
            <w:r>
              <w:rPr>
                <w:rStyle w:val="25"/>
                <w:rFonts w:hint="eastAsia" w:hAnsi="宋体"/>
                <w:color w:val="auto"/>
                <w:kern w:val="0"/>
                <w:sz w:val="28"/>
                <w:szCs w:val="28"/>
                <w:highlight w:val="none"/>
              </w:rPr>
              <w:t xml:space="preserve"> 招标代理机构项目负责人（签字）：</w:t>
            </w:r>
          </w:p>
        </w:tc>
        <w:tc>
          <w:tcPr>
            <w:tcW w:w="4648" w:type="dxa"/>
            <w:noWrap w:val="0"/>
            <w:vAlign w:val="center"/>
          </w:tcPr>
          <w:p>
            <w:pPr>
              <w:pStyle w:val="26"/>
              <w:keepNext w:val="0"/>
              <w:keepLines w:val="0"/>
              <w:widowControl/>
              <w:suppressLineNumbers w:val="0"/>
              <w:snapToGrid w:val="0"/>
              <w:spacing w:before="0" w:beforeAutospacing="0" w:after="0" w:afterAutospacing="0" w:line="240" w:lineRule="auto"/>
              <w:ind w:left="0" w:right="0"/>
              <w:rPr>
                <w:rStyle w:val="25"/>
                <w:rFonts w:hint="eastAsia" w:hAnsi="宋体"/>
                <w:color w:val="auto"/>
                <w:kern w:val="0"/>
                <w:sz w:val="28"/>
                <w:szCs w:val="28"/>
                <w:highlight w:val="none"/>
              </w:rPr>
            </w:pPr>
          </w:p>
        </w:tc>
      </w:tr>
      <w:tr>
        <w:tblPrEx>
          <w:tblCellMar>
            <w:top w:w="0" w:type="dxa"/>
            <w:left w:w="0" w:type="dxa"/>
            <w:bottom w:w="0" w:type="dxa"/>
            <w:right w:w="0" w:type="dxa"/>
          </w:tblCellMar>
        </w:tblPrEx>
        <w:trPr>
          <w:trHeight w:val="800" w:hRule="atLeast"/>
          <w:jc w:val="center"/>
        </w:trPr>
        <w:tc>
          <w:tcPr>
            <w:tcW w:w="5185" w:type="dxa"/>
            <w:noWrap w:val="0"/>
            <w:vAlign w:val="center"/>
          </w:tcPr>
          <w:p>
            <w:pPr>
              <w:pStyle w:val="26"/>
              <w:keepNext w:val="0"/>
              <w:keepLines w:val="0"/>
              <w:widowControl/>
              <w:suppressLineNumbers w:val="0"/>
              <w:snapToGrid w:val="0"/>
              <w:spacing w:before="0" w:beforeAutospacing="0" w:after="0" w:afterAutospacing="0" w:line="240" w:lineRule="auto"/>
              <w:ind w:left="0" w:right="0"/>
              <w:jc w:val="distribute"/>
              <w:rPr>
                <w:rStyle w:val="25"/>
                <w:rFonts w:hint="eastAsia" w:hAnsi="宋体"/>
                <w:color w:val="auto"/>
                <w:kern w:val="0"/>
                <w:sz w:val="28"/>
                <w:szCs w:val="28"/>
                <w:highlight w:val="none"/>
              </w:rPr>
            </w:pPr>
            <w:r>
              <w:rPr>
                <w:rStyle w:val="25"/>
                <w:rFonts w:hint="eastAsia" w:hAnsi="宋体"/>
                <w:color w:val="auto"/>
                <w:kern w:val="0"/>
                <w:sz w:val="28"/>
                <w:szCs w:val="28"/>
                <w:highlight w:val="none"/>
              </w:rPr>
              <w:t xml:space="preserve"> 招标文件编制日期：</w:t>
            </w:r>
          </w:p>
        </w:tc>
        <w:tc>
          <w:tcPr>
            <w:tcW w:w="4648" w:type="dxa"/>
            <w:noWrap w:val="0"/>
            <w:vAlign w:val="center"/>
          </w:tcPr>
          <w:p>
            <w:pPr>
              <w:pStyle w:val="26"/>
              <w:keepNext w:val="0"/>
              <w:keepLines w:val="0"/>
              <w:widowControl/>
              <w:suppressLineNumbers w:val="0"/>
              <w:snapToGrid w:val="0"/>
              <w:spacing w:before="0" w:beforeAutospacing="0" w:after="0" w:afterAutospacing="0" w:line="240" w:lineRule="auto"/>
              <w:ind w:left="0" w:right="0"/>
              <w:rPr>
                <w:rStyle w:val="25"/>
                <w:rFonts w:hint="eastAsia" w:hAnsi="宋体"/>
                <w:color w:val="auto"/>
                <w:kern w:val="0"/>
                <w:sz w:val="28"/>
                <w:szCs w:val="28"/>
                <w:highlight w:val="none"/>
              </w:rPr>
            </w:pPr>
            <w:r>
              <w:rPr>
                <w:rStyle w:val="25"/>
                <w:rFonts w:hint="eastAsia" w:hAnsi="宋体"/>
                <w:color w:val="auto"/>
                <w:kern w:val="0"/>
                <w:sz w:val="28"/>
                <w:szCs w:val="28"/>
                <w:highlight w:val="none"/>
              </w:rPr>
              <w:t>202</w:t>
            </w:r>
            <w:r>
              <w:rPr>
                <w:rStyle w:val="25"/>
                <w:rFonts w:hint="eastAsia" w:hAnsi="宋体"/>
                <w:color w:val="auto"/>
                <w:kern w:val="0"/>
                <w:sz w:val="28"/>
                <w:szCs w:val="28"/>
                <w:highlight w:val="none"/>
                <w:lang w:val="en-US" w:eastAsia="zh-CN"/>
              </w:rPr>
              <w:t>6</w:t>
            </w:r>
            <w:r>
              <w:rPr>
                <w:rStyle w:val="25"/>
                <w:rFonts w:hint="eastAsia" w:hAnsi="宋体"/>
                <w:color w:val="auto"/>
                <w:kern w:val="0"/>
                <w:sz w:val="28"/>
                <w:szCs w:val="28"/>
                <w:highlight w:val="none"/>
              </w:rPr>
              <w:t>年</w:t>
            </w:r>
            <w:r>
              <w:rPr>
                <w:rStyle w:val="25"/>
                <w:rFonts w:hint="eastAsia" w:hAnsi="宋体"/>
                <w:color w:val="auto"/>
                <w:kern w:val="0"/>
                <w:sz w:val="28"/>
                <w:szCs w:val="28"/>
                <w:highlight w:val="none"/>
                <w:lang w:val="en-US" w:eastAsia="zh-CN"/>
              </w:rPr>
              <w:t>8</w:t>
            </w:r>
            <w:r>
              <w:rPr>
                <w:rStyle w:val="25"/>
                <w:rFonts w:hint="eastAsia" w:hAnsi="宋体"/>
                <w:color w:val="auto"/>
                <w:kern w:val="0"/>
                <w:sz w:val="28"/>
                <w:szCs w:val="28"/>
                <w:highlight w:val="none"/>
              </w:rPr>
              <w:t>月</w:t>
            </w:r>
          </w:p>
        </w:tc>
      </w:tr>
    </w:tbl>
    <w:p>
      <w:pPr>
        <w:tabs>
          <w:tab w:val="left" w:pos="4935"/>
        </w:tabs>
        <w:snapToGrid w:val="0"/>
        <w:spacing w:line="440" w:lineRule="exact"/>
        <w:rPr>
          <w:rStyle w:val="25"/>
          <w:rFonts w:hint="eastAsia" w:hAnsi="宋体"/>
          <w:b/>
          <w:bCs/>
          <w:color w:val="auto"/>
          <w:kern w:val="0"/>
          <w:sz w:val="28"/>
          <w:szCs w:val="28"/>
          <w:highlight w:val="none"/>
        </w:rPr>
        <w:sectPr>
          <w:footerReference r:id="rId5" w:type="default"/>
          <w:endnotePr>
            <w:numFmt w:val="decimal"/>
          </w:endnotePr>
          <w:pgSz w:w="11906" w:h="16838"/>
          <w:pgMar w:top="1440" w:right="1080" w:bottom="1440" w:left="1080" w:header="850" w:footer="544" w:gutter="0"/>
          <w:pgNumType w:start="1"/>
          <w:cols w:space="720" w:num="1"/>
          <w:rtlGutter w:val="0"/>
          <w:docGrid w:linePitch="327" w:charSpace="0"/>
        </w:sectPr>
      </w:pPr>
    </w:p>
    <w:p>
      <w:pPr>
        <w:tabs>
          <w:tab w:val="left" w:pos="4935"/>
        </w:tabs>
        <w:snapToGrid w:val="0"/>
        <w:spacing w:line="440" w:lineRule="exact"/>
        <w:jc w:val="center"/>
        <w:rPr>
          <w:rStyle w:val="25"/>
          <w:rFonts w:hint="eastAsia" w:hAnsi="宋体"/>
          <w:b/>
          <w:bCs/>
          <w:color w:val="auto"/>
          <w:kern w:val="0"/>
          <w:sz w:val="28"/>
          <w:szCs w:val="28"/>
          <w:highlight w:val="none"/>
        </w:rPr>
        <w:sectPr>
          <w:footerReference r:id="rId6" w:type="default"/>
          <w:endnotePr>
            <w:numFmt w:val="decimal"/>
          </w:endnotePr>
          <w:pgSz w:w="11906" w:h="16838"/>
          <w:pgMar w:top="1440" w:right="1080" w:bottom="1440" w:left="1080" w:header="850" w:footer="544" w:gutter="0"/>
          <w:pgNumType w:start="1"/>
          <w:cols w:space="720" w:num="1"/>
          <w:rtlGutter w:val="0"/>
          <w:docGrid w:linePitch="327" w:charSpace="0"/>
        </w:sectPr>
      </w:pPr>
    </w:p>
    <w:p>
      <w:pPr>
        <w:tabs>
          <w:tab w:val="left" w:pos="4935"/>
        </w:tabs>
        <w:snapToGrid w:val="0"/>
        <w:spacing w:line="240" w:lineRule="auto"/>
        <w:jc w:val="center"/>
        <w:rPr>
          <w:rStyle w:val="25"/>
          <w:rFonts w:hint="eastAsia" w:hAnsi="宋体"/>
          <w:b/>
          <w:bCs/>
          <w:color w:val="auto"/>
          <w:kern w:val="0"/>
          <w:sz w:val="36"/>
          <w:szCs w:val="36"/>
          <w:highlight w:val="none"/>
        </w:rPr>
      </w:pPr>
      <w:r>
        <w:rPr>
          <w:rStyle w:val="25"/>
          <w:rFonts w:hint="eastAsia" w:hAnsi="宋体"/>
          <w:b/>
          <w:bCs/>
          <w:color w:val="auto"/>
          <w:kern w:val="0"/>
          <w:sz w:val="28"/>
          <w:szCs w:val="28"/>
          <w:highlight w:val="none"/>
        </w:rPr>
        <w:t>目   录</w:t>
      </w:r>
    </w:p>
    <w:p>
      <w:pPr>
        <w:pStyle w:val="14"/>
        <w:tabs>
          <w:tab w:val="right" w:leader="dot" w:pos="9746"/>
        </w:tabs>
        <w:spacing w:line="240" w:lineRule="auto"/>
        <w:rPr>
          <w:color w:val="auto"/>
          <w:highlight w:val="none"/>
        </w:rPr>
      </w:pPr>
      <w:r>
        <w:rPr>
          <w:rStyle w:val="25"/>
          <w:rFonts w:hint="eastAsia" w:ascii="宋体" w:hAnsi="宋体" w:eastAsia="宋体" w:cs="宋体"/>
          <w:color w:val="auto"/>
          <w:sz w:val="21"/>
          <w:szCs w:val="21"/>
          <w:highlight w:val="none"/>
        </w:rPr>
        <w:fldChar w:fldCharType="begin"/>
      </w:r>
      <w:r>
        <w:rPr>
          <w:rStyle w:val="25"/>
          <w:rFonts w:hint="eastAsia" w:ascii="宋体" w:hAnsi="宋体" w:eastAsia="宋体" w:cs="宋体"/>
          <w:color w:val="auto"/>
          <w:sz w:val="21"/>
          <w:szCs w:val="21"/>
          <w:highlight w:val="none"/>
        </w:rPr>
        <w:instrText xml:space="preserve">TOC \o "1-2" \h \u </w:instrText>
      </w:r>
      <w:r>
        <w:rPr>
          <w:rStyle w:val="25"/>
          <w:rFonts w:hint="eastAsia" w:ascii="宋体" w:hAnsi="宋体" w:eastAsia="宋体" w:cs="宋体"/>
          <w:color w:val="auto"/>
          <w:sz w:val="21"/>
          <w:szCs w:val="21"/>
          <w:highlight w:val="none"/>
        </w:rPr>
        <w:fldChar w:fldCharType="separate"/>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_Toc18426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_Toc18426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_Toc17153 </w:instrText>
      </w:r>
      <w:r>
        <w:rPr>
          <w:rFonts w:hint="eastAsia" w:ascii="宋体" w:hAnsi="宋体" w:eastAsia="宋体" w:cs="宋体"/>
          <w:color w:val="auto"/>
          <w:szCs w:val="21"/>
          <w:highlight w:val="none"/>
        </w:rPr>
        <w:fldChar w:fldCharType="separate"/>
      </w:r>
      <w:r>
        <w:rPr>
          <w:rFonts w:hint="eastAsia" w:hAnsi="宋体"/>
          <w:bCs/>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_Toc17153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_Toc6231 </w:instrText>
      </w:r>
      <w:r>
        <w:rPr>
          <w:rFonts w:hint="eastAsia" w:ascii="宋体" w:hAnsi="宋体" w:eastAsia="宋体" w:cs="宋体"/>
          <w:color w:val="auto"/>
          <w:szCs w:val="21"/>
          <w:highlight w:val="none"/>
        </w:rPr>
        <w:fldChar w:fldCharType="separate"/>
      </w:r>
      <w:r>
        <w:rPr>
          <w:rFonts w:hint="eastAsia" w:hAnsi="宋体"/>
          <w:bCs/>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_Toc6231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_Toc25284 </w:instrText>
      </w:r>
      <w:r>
        <w:rPr>
          <w:rFonts w:hint="eastAsia" w:ascii="宋体" w:hAnsi="宋体" w:eastAsia="宋体" w:cs="宋体"/>
          <w:color w:val="auto"/>
          <w:szCs w:val="21"/>
          <w:highlight w:val="none"/>
        </w:rPr>
        <w:fldChar w:fldCharType="separate"/>
      </w:r>
      <w:r>
        <w:rPr>
          <w:rFonts w:hint="eastAsia" w:hAnsi="宋体"/>
          <w:bCs/>
          <w:color w:val="auto"/>
          <w:szCs w:val="24"/>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_Toc25284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_Toc2854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1．工程概况、招标范围和标段划分、投标费用</w:t>
      </w:r>
      <w:r>
        <w:rPr>
          <w:color w:val="auto"/>
          <w:highlight w:val="none"/>
        </w:rPr>
        <w:tab/>
      </w:r>
      <w:r>
        <w:rPr>
          <w:color w:val="auto"/>
          <w:highlight w:val="none"/>
        </w:rPr>
        <w:fldChar w:fldCharType="begin"/>
      </w:r>
      <w:r>
        <w:rPr>
          <w:color w:val="auto"/>
          <w:highlight w:val="none"/>
        </w:rPr>
        <w:instrText xml:space="preserve"> PAGEREF _Toc2854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_Toc1588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 xml:space="preserve">2． </w:t>
      </w:r>
      <w:r>
        <w:rPr>
          <w:rFonts w:hint="eastAsia" w:ascii="宋体" w:hAnsi="宋体" w:eastAsia="宋体" w:cs="宋体"/>
          <w:snapToGrid w:val="0"/>
          <w:color w:val="auto"/>
          <w:szCs w:val="21"/>
          <w:highlight w:val="none"/>
        </w:rPr>
        <w:t>招标文件的获取、提问和答疑</w:t>
      </w:r>
      <w:r>
        <w:rPr>
          <w:color w:val="auto"/>
          <w:highlight w:val="none"/>
        </w:rPr>
        <w:tab/>
      </w:r>
      <w:r>
        <w:rPr>
          <w:color w:val="auto"/>
          <w:highlight w:val="none"/>
        </w:rPr>
        <w:fldChar w:fldCharType="begin"/>
      </w:r>
      <w:r>
        <w:rPr>
          <w:color w:val="auto"/>
          <w:highlight w:val="none"/>
        </w:rPr>
        <w:instrText xml:space="preserve"> PAGEREF _Toc1588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_Toc22236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3． 工期要求</w:t>
      </w:r>
      <w:r>
        <w:rPr>
          <w:color w:val="auto"/>
          <w:highlight w:val="none"/>
        </w:rPr>
        <w:tab/>
      </w:r>
      <w:r>
        <w:rPr>
          <w:color w:val="auto"/>
          <w:highlight w:val="none"/>
        </w:rPr>
        <w:fldChar w:fldCharType="begin"/>
      </w:r>
      <w:r>
        <w:rPr>
          <w:color w:val="auto"/>
          <w:highlight w:val="none"/>
        </w:rPr>
        <w:instrText xml:space="preserve"> PAGEREF _Toc22236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_Toc1054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4． 质量标准和材料、机械要求</w:t>
      </w:r>
      <w:r>
        <w:rPr>
          <w:color w:val="auto"/>
          <w:highlight w:val="none"/>
        </w:rPr>
        <w:tab/>
      </w:r>
      <w:r>
        <w:rPr>
          <w:color w:val="auto"/>
          <w:highlight w:val="none"/>
        </w:rPr>
        <w:fldChar w:fldCharType="begin"/>
      </w:r>
      <w:r>
        <w:rPr>
          <w:color w:val="auto"/>
          <w:highlight w:val="none"/>
        </w:rPr>
        <w:instrText xml:space="preserve"> PAGEREF _Toc1054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_Toc12438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5． 施工条件及现场踏勘</w:t>
      </w:r>
      <w:r>
        <w:rPr>
          <w:color w:val="auto"/>
          <w:highlight w:val="none"/>
        </w:rPr>
        <w:tab/>
      </w:r>
      <w:r>
        <w:rPr>
          <w:color w:val="auto"/>
          <w:highlight w:val="none"/>
        </w:rPr>
        <w:fldChar w:fldCharType="begin"/>
      </w:r>
      <w:r>
        <w:rPr>
          <w:color w:val="auto"/>
          <w:highlight w:val="none"/>
        </w:rPr>
        <w:instrText xml:space="preserve"> PAGEREF _Toc12438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_Toc6310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_Toc6310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_Toc14713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8．招标控制价</w:t>
      </w:r>
      <w:r>
        <w:rPr>
          <w:color w:val="auto"/>
          <w:highlight w:val="none"/>
        </w:rPr>
        <w:tab/>
      </w:r>
      <w:r>
        <w:rPr>
          <w:color w:val="auto"/>
          <w:highlight w:val="none"/>
        </w:rPr>
        <w:fldChar w:fldCharType="begin"/>
      </w:r>
      <w:r>
        <w:rPr>
          <w:color w:val="auto"/>
          <w:highlight w:val="none"/>
        </w:rPr>
        <w:instrText xml:space="preserve"> PAGEREF _Toc14713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_Toc10152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9．投标报价</w:t>
      </w:r>
      <w:r>
        <w:rPr>
          <w:color w:val="auto"/>
          <w:highlight w:val="none"/>
        </w:rPr>
        <w:tab/>
      </w:r>
      <w:r>
        <w:rPr>
          <w:color w:val="auto"/>
          <w:highlight w:val="none"/>
        </w:rPr>
        <w:fldChar w:fldCharType="begin"/>
      </w:r>
      <w:r>
        <w:rPr>
          <w:color w:val="auto"/>
          <w:highlight w:val="none"/>
        </w:rPr>
        <w:instrText xml:space="preserve"> PAGEREF _Toc10152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_Toc6168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_Toc6168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_Toc20225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11.电子投标</w:t>
      </w:r>
      <w:r>
        <w:rPr>
          <w:color w:val="auto"/>
          <w:highlight w:val="none"/>
        </w:rPr>
        <w:tab/>
      </w:r>
      <w:r>
        <w:rPr>
          <w:color w:val="auto"/>
          <w:highlight w:val="none"/>
        </w:rPr>
        <w:fldChar w:fldCharType="begin"/>
      </w:r>
      <w:r>
        <w:rPr>
          <w:color w:val="auto"/>
          <w:highlight w:val="none"/>
        </w:rPr>
        <w:instrText xml:space="preserve"> PAGEREF _Toc20225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_Toc9737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12.电子投标及投标解密失败及突发情况的补救方案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_Toc9737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_Toc12382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13．投标文件的提交</w:t>
      </w:r>
      <w:r>
        <w:rPr>
          <w:color w:val="auto"/>
          <w:highlight w:val="none"/>
        </w:rPr>
        <w:tab/>
      </w:r>
      <w:r>
        <w:rPr>
          <w:color w:val="auto"/>
          <w:highlight w:val="none"/>
        </w:rPr>
        <w:fldChar w:fldCharType="begin"/>
      </w:r>
      <w:r>
        <w:rPr>
          <w:color w:val="auto"/>
          <w:highlight w:val="none"/>
        </w:rPr>
        <w:instrText xml:space="preserve"> PAGEREF _Toc12382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_Toc6919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14．开标</w:t>
      </w:r>
      <w:r>
        <w:rPr>
          <w:color w:val="auto"/>
          <w:highlight w:val="none"/>
        </w:rPr>
        <w:tab/>
      </w:r>
      <w:r>
        <w:rPr>
          <w:color w:val="auto"/>
          <w:highlight w:val="none"/>
        </w:rPr>
        <w:fldChar w:fldCharType="begin"/>
      </w:r>
      <w:r>
        <w:rPr>
          <w:color w:val="auto"/>
          <w:highlight w:val="none"/>
        </w:rPr>
        <w:instrText xml:space="preserve"> PAGEREF _Toc6919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_Toc22081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15．评标</w:t>
      </w:r>
      <w:r>
        <w:rPr>
          <w:color w:val="auto"/>
          <w:highlight w:val="none"/>
        </w:rPr>
        <w:tab/>
      </w:r>
      <w:r>
        <w:rPr>
          <w:color w:val="auto"/>
          <w:highlight w:val="none"/>
        </w:rPr>
        <w:fldChar w:fldCharType="begin"/>
      </w:r>
      <w:r>
        <w:rPr>
          <w:color w:val="auto"/>
          <w:highlight w:val="none"/>
        </w:rPr>
        <w:instrText xml:space="preserve"> PAGEREF _Toc22081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_Toc10847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16．定标候选人</w:t>
      </w:r>
      <w:r>
        <w:rPr>
          <w:rFonts w:hint="eastAsia" w:ascii="宋体" w:hAnsi="宋体" w:eastAsia="宋体" w:cs="宋体"/>
          <w:snapToGrid w:val="0"/>
          <w:color w:val="auto"/>
          <w:szCs w:val="21"/>
          <w:highlight w:val="none"/>
          <w:lang w:eastAsia="zh-CN"/>
        </w:rPr>
        <w:t>公示</w:t>
      </w:r>
      <w:r>
        <w:rPr>
          <w:color w:val="auto"/>
          <w:highlight w:val="none"/>
        </w:rPr>
        <w:tab/>
      </w:r>
      <w:r>
        <w:rPr>
          <w:color w:val="auto"/>
          <w:highlight w:val="none"/>
        </w:rPr>
        <w:fldChar w:fldCharType="begin"/>
      </w:r>
      <w:r>
        <w:rPr>
          <w:color w:val="auto"/>
          <w:highlight w:val="none"/>
        </w:rPr>
        <w:instrText xml:space="preserve"> PAGEREF _Toc10847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_Toc30294 </w:instrText>
      </w:r>
      <w:r>
        <w:rPr>
          <w:rFonts w:hint="eastAsia" w:ascii="宋体" w:hAnsi="宋体" w:eastAsia="宋体" w:cs="宋体"/>
          <w:color w:val="auto"/>
          <w:szCs w:val="21"/>
          <w:highlight w:val="none"/>
        </w:rPr>
        <w:fldChar w:fldCharType="separate"/>
      </w:r>
      <w:r>
        <w:rPr>
          <w:rFonts w:hint="eastAsia" w:hAnsi="宋体"/>
          <w:bCs/>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_Toc30294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_Toc27760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1．资格评审环节</w:t>
      </w:r>
      <w:r>
        <w:rPr>
          <w:color w:val="auto"/>
          <w:highlight w:val="none"/>
        </w:rPr>
        <w:tab/>
      </w:r>
      <w:r>
        <w:rPr>
          <w:color w:val="auto"/>
          <w:highlight w:val="none"/>
        </w:rPr>
        <w:fldChar w:fldCharType="begin"/>
      </w:r>
      <w:r>
        <w:rPr>
          <w:color w:val="auto"/>
          <w:highlight w:val="none"/>
        </w:rPr>
        <w:instrText xml:space="preserve"> PAGEREF _Toc27760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_Toc9043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2．形式评审环节</w:t>
      </w:r>
      <w:r>
        <w:rPr>
          <w:color w:val="auto"/>
          <w:highlight w:val="none"/>
        </w:rPr>
        <w:tab/>
      </w:r>
      <w:r>
        <w:rPr>
          <w:color w:val="auto"/>
          <w:highlight w:val="none"/>
        </w:rPr>
        <w:fldChar w:fldCharType="begin"/>
      </w:r>
      <w:r>
        <w:rPr>
          <w:color w:val="auto"/>
          <w:highlight w:val="none"/>
        </w:rPr>
        <w:instrText xml:space="preserve"> PAGEREF _Toc9043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_Toc32137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_Toc32137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_Toc21238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4．其他</w:t>
      </w:r>
      <w:r>
        <w:rPr>
          <w:color w:val="auto"/>
          <w:highlight w:val="none"/>
        </w:rPr>
        <w:tab/>
      </w:r>
      <w:r>
        <w:rPr>
          <w:color w:val="auto"/>
          <w:highlight w:val="none"/>
        </w:rPr>
        <w:fldChar w:fldCharType="begin"/>
      </w:r>
      <w:r>
        <w:rPr>
          <w:color w:val="auto"/>
          <w:highlight w:val="none"/>
        </w:rPr>
        <w:instrText xml:space="preserve"> PAGEREF _Toc21238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_Toc17522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highlight w:val="none"/>
        </w:rPr>
        <w:t>第</w:t>
      </w:r>
      <w:r>
        <w:rPr>
          <w:rFonts w:hint="eastAsia" w:ascii="Times New Roman" w:hAnsi="宋体" w:eastAsia="宋体" w:cs="Times New Roman"/>
          <w:bCs/>
          <w:color w:val="auto"/>
          <w:highlight w:val="none"/>
          <w:lang w:val="en-US" w:eastAsia="zh-CN"/>
        </w:rPr>
        <w:t>五</w:t>
      </w:r>
      <w:r>
        <w:rPr>
          <w:rFonts w:hint="eastAsia" w:ascii="Times New Roman" w:hAnsi="宋体" w:eastAsia="宋体" w:cs="Times New Roman"/>
          <w:bCs/>
          <w:color w:val="auto"/>
          <w:highlight w:val="none"/>
        </w:rPr>
        <w:t>节 定标</w:t>
      </w:r>
      <w:r>
        <w:rPr>
          <w:rFonts w:hint="eastAsia" w:ascii="Times New Roman" w:hAnsi="宋体" w:eastAsia="宋体" w:cs="Times New Roman"/>
          <w:bCs/>
          <w:color w:val="auto"/>
          <w:highlight w:val="none"/>
          <w:lang w:eastAsia="zh-CN"/>
        </w:rPr>
        <w:t>规定</w:t>
      </w:r>
      <w:r>
        <w:rPr>
          <w:rFonts w:hint="eastAsia" w:ascii="Times New Roman" w:hAnsi="宋体" w:eastAsia="宋体" w:cs="Times New Roman"/>
          <w:bCs/>
          <w:color w:val="auto"/>
          <w:highlight w:val="none"/>
          <w:lang w:val="en-US" w:eastAsia="zh-CN"/>
        </w:rPr>
        <w:t>及细则（本项目采用票决数量法定标）</w:t>
      </w:r>
      <w:r>
        <w:rPr>
          <w:color w:val="auto"/>
          <w:highlight w:val="none"/>
        </w:rPr>
        <w:tab/>
      </w:r>
      <w:r>
        <w:rPr>
          <w:color w:val="auto"/>
          <w:highlight w:val="none"/>
        </w:rPr>
        <w:fldChar w:fldCharType="begin"/>
      </w:r>
      <w:r>
        <w:rPr>
          <w:color w:val="auto"/>
          <w:highlight w:val="none"/>
        </w:rPr>
        <w:instrText xml:space="preserve"> PAGEREF _Toc17522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_Toc226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highlight w:val="none"/>
        </w:rPr>
        <w:t>第</w:t>
      </w:r>
      <w:r>
        <w:rPr>
          <w:rFonts w:hint="eastAsia" w:ascii="Times New Roman" w:hAnsi="宋体" w:eastAsia="宋体" w:cs="Times New Roman"/>
          <w:bCs/>
          <w:color w:val="auto"/>
          <w:highlight w:val="none"/>
          <w:lang w:val="en-US" w:eastAsia="zh-CN"/>
        </w:rPr>
        <w:t>六</w:t>
      </w:r>
      <w:r>
        <w:rPr>
          <w:rFonts w:hint="eastAsia" w:ascii="Times New Roman" w:hAnsi="宋体" w:eastAsia="宋体" w:cs="Times New Roman"/>
          <w:bCs/>
          <w:color w:val="auto"/>
          <w:highlight w:val="none"/>
        </w:rPr>
        <w:t>节 中标确认</w:t>
      </w:r>
      <w:r>
        <w:rPr>
          <w:color w:val="auto"/>
          <w:highlight w:val="none"/>
        </w:rPr>
        <w:tab/>
      </w:r>
      <w:r>
        <w:rPr>
          <w:color w:val="auto"/>
          <w:highlight w:val="none"/>
        </w:rPr>
        <w:fldChar w:fldCharType="begin"/>
      </w:r>
      <w:r>
        <w:rPr>
          <w:color w:val="auto"/>
          <w:highlight w:val="none"/>
        </w:rPr>
        <w:instrText xml:space="preserve"> PAGEREF _Toc226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_Toc9813 </w:instrText>
      </w:r>
      <w:r>
        <w:rPr>
          <w:rFonts w:hint="eastAsia" w:ascii="宋体" w:hAnsi="宋体" w:eastAsia="宋体" w:cs="宋体"/>
          <w:color w:val="auto"/>
          <w:szCs w:val="21"/>
          <w:highlight w:val="none"/>
        </w:rPr>
        <w:fldChar w:fldCharType="separate"/>
      </w:r>
      <w:r>
        <w:rPr>
          <w:rFonts w:hint="eastAsia" w:hAnsi="宋体"/>
          <w:bCs/>
          <w:color w:val="auto"/>
          <w:kern w:val="0"/>
          <w:szCs w:val="28"/>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_Toc9813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_Toc15717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1．中标通知书</w:t>
      </w:r>
      <w:r>
        <w:rPr>
          <w:color w:val="auto"/>
          <w:highlight w:val="none"/>
        </w:rPr>
        <w:tab/>
      </w:r>
      <w:r>
        <w:rPr>
          <w:color w:val="auto"/>
          <w:highlight w:val="none"/>
        </w:rPr>
        <w:fldChar w:fldCharType="begin"/>
      </w:r>
      <w:r>
        <w:rPr>
          <w:color w:val="auto"/>
          <w:highlight w:val="none"/>
        </w:rPr>
        <w:instrText xml:space="preserve"> PAGEREF _Toc15717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_Toc23275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2．中标结果公示</w:t>
      </w:r>
      <w:r>
        <w:rPr>
          <w:color w:val="auto"/>
          <w:highlight w:val="none"/>
        </w:rPr>
        <w:tab/>
      </w:r>
      <w:r>
        <w:rPr>
          <w:color w:val="auto"/>
          <w:highlight w:val="none"/>
        </w:rPr>
        <w:fldChar w:fldCharType="begin"/>
      </w:r>
      <w:r>
        <w:rPr>
          <w:color w:val="auto"/>
          <w:highlight w:val="none"/>
        </w:rPr>
        <w:instrText xml:space="preserve"> PAGEREF _Toc23275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_Toc12142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3．履约保证</w:t>
      </w:r>
      <w:r>
        <w:rPr>
          <w:color w:val="auto"/>
          <w:highlight w:val="none"/>
        </w:rPr>
        <w:tab/>
      </w:r>
      <w:r>
        <w:rPr>
          <w:color w:val="auto"/>
          <w:highlight w:val="none"/>
        </w:rPr>
        <w:fldChar w:fldCharType="begin"/>
      </w:r>
      <w:r>
        <w:rPr>
          <w:color w:val="auto"/>
          <w:highlight w:val="none"/>
        </w:rPr>
        <w:instrText xml:space="preserve"> PAGEREF _Toc12142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_Toc27413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4．合同订立</w:t>
      </w:r>
      <w:r>
        <w:rPr>
          <w:color w:val="auto"/>
          <w:highlight w:val="none"/>
        </w:rPr>
        <w:tab/>
      </w:r>
      <w:r>
        <w:rPr>
          <w:color w:val="auto"/>
          <w:highlight w:val="none"/>
        </w:rPr>
        <w:fldChar w:fldCharType="begin"/>
      </w:r>
      <w:r>
        <w:rPr>
          <w:color w:val="auto"/>
          <w:highlight w:val="none"/>
        </w:rPr>
        <w:instrText xml:space="preserve"> PAGEREF _Toc27413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_Toc2879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5．</w:t>
      </w:r>
      <w:r>
        <w:rPr>
          <w:rFonts w:hint="eastAsia" w:ascii="宋体" w:hAnsi="宋体" w:eastAsia="宋体" w:cs="宋体"/>
          <w:bCs/>
          <w:color w:val="auto"/>
          <w:kern w:val="0"/>
          <w:szCs w:val="21"/>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_Toc2879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_Toc30033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_Toc30033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_Toc19358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1．工程承包方式</w:t>
      </w:r>
      <w:r>
        <w:rPr>
          <w:color w:val="auto"/>
          <w:highlight w:val="none"/>
        </w:rPr>
        <w:tab/>
      </w:r>
      <w:r>
        <w:rPr>
          <w:color w:val="auto"/>
          <w:highlight w:val="none"/>
        </w:rPr>
        <w:fldChar w:fldCharType="begin"/>
      </w:r>
      <w:r>
        <w:rPr>
          <w:color w:val="auto"/>
          <w:highlight w:val="none"/>
        </w:rPr>
        <w:instrText xml:space="preserve"> PAGEREF _Toc19358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_Toc28320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2．工程结算原则</w:t>
      </w:r>
      <w:r>
        <w:rPr>
          <w:color w:val="auto"/>
          <w:highlight w:val="none"/>
        </w:rPr>
        <w:tab/>
      </w:r>
      <w:r>
        <w:rPr>
          <w:color w:val="auto"/>
          <w:highlight w:val="none"/>
        </w:rPr>
        <w:fldChar w:fldCharType="begin"/>
      </w:r>
      <w:r>
        <w:rPr>
          <w:color w:val="auto"/>
          <w:highlight w:val="none"/>
        </w:rPr>
        <w:instrText xml:space="preserve"> PAGEREF _Toc28320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_Toc10637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3．工程付款办法</w:t>
      </w:r>
      <w:r>
        <w:rPr>
          <w:color w:val="auto"/>
          <w:highlight w:val="none"/>
        </w:rPr>
        <w:tab/>
      </w:r>
      <w:r>
        <w:rPr>
          <w:color w:val="auto"/>
          <w:highlight w:val="none"/>
        </w:rPr>
        <w:fldChar w:fldCharType="begin"/>
      </w:r>
      <w:r>
        <w:rPr>
          <w:color w:val="auto"/>
          <w:highlight w:val="none"/>
        </w:rPr>
        <w:instrText xml:space="preserve"> PAGEREF _Toc10637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_Toc3037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4．</w:t>
      </w:r>
      <w:r>
        <w:rPr>
          <w:rFonts w:hint="eastAsia" w:hAnsi="宋体" w:eastAsia="宋体" w:cs="宋体"/>
          <w:bCs/>
          <w:color w:val="auto"/>
          <w:szCs w:val="21"/>
          <w:highlight w:val="none"/>
          <w:lang w:val="en-US" w:eastAsia="zh-CN"/>
        </w:rPr>
        <w:t>其他</w:t>
      </w:r>
      <w:r>
        <w:rPr>
          <w:rFonts w:hint="eastAsia" w:ascii="宋体" w:hAnsi="宋体" w:eastAsia="宋体" w:cs="宋体"/>
          <w:bCs/>
          <w:color w:val="auto"/>
          <w:szCs w:val="21"/>
          <w:highlight w:val="none"/>
        </w:rPr>
        <w:t>专用合同条款</w:t>
      </w:r>
      <w:r>
        <w:rPr>
          <w:rFonts w:hint="eastAsia" w:hAnsi="宋体" w:cs="宋体"/>
          <w:bCs/>
          <w:color w:val="auto"/>
          <w:szCs w:val="21"/>
          <w:highlight w:val="none"/>
          <w:lang w:eastAsia="zh-CN"/>
        </w:rPr>
        <w:t>：由招标人根据本工程实际情况和地方政策与中标人自行协商签定相关专用合同条款。</w:t>
      </w:r>
      <w:r>
        <w:rPr>
          <w:color w:val="auto"/>
          <w:highlight w:val="none"/>
        </w:rPr>
        <w:tab/>
      </w:r>
      <w:r>
        <w:rPr>
          <w:color w:val="auto"/>
          <w:highlight w:val="none"/>
        </w:rPr>
        <w:fldChar w:fldCharType="begin"/>
      </w:r>
      <w:r>
        <w:rPr>
          <w:color w:val="auto"/>
          <w:highlight w:val="none"/>
        </w:rPr>
        <w:instrText xml:space="preserve"> PAGEREF _Toc3037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_Toc28375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．专业工程分包</w:t>
      </w:r>
      <w:r>
        <w:rPr>
          <w:color w:val="auto"/>
          <w:highlight w:val="none"/>
        </w:rPr>
        <w:tab/>
      </w:r>
      <w:r>
        <w:rPr>
          <w:color w:val="auto"/>
          <w:highlight w:val="none"/>
        </w:rPr>
        <w:fldChar w:fldCharType="begin"/>
      </w:r>
      <w:r>
        <w:rPr>
          <w:color w:val="auto"/>
          <w:highlight w:val="none"/>
        </w:rPr>
        <w:instrText xml:space="preserve"> PAGEREF _Toc28375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_Toc7833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6</w:t>
      </w:r>
      <w:r>
        <w:rPr>
          <w:rFonts w:hint="eastAsia" w:ascii="宋体" w:hAnsi="宋体" w:eastAsia="宋体" w:cs="宋体"/>
          <w:bCs/>
          <w:color w:val="auto"/>
          <w:kern w:val="0"/>
          <w:szCs w:val="21"/>
          <w:highlight w:val="none"/>
        </w:rPr>
        <w:t>．工人工资</w:t>
      </w:r>
      <w:r>
        <w:rPr>
          <w:color w:val="auto"/>
          <w:highlight w:val="none"/>
        </w:rPr>
        <w:tab/>
      </w:r>
      <w:r>
        <w:rPr>
          <w:color w:val="auto"/>
          <w:highlight w:val="none"/>
        </w:rPr>
        <w:fldChar w:fldCharType="begin"/>
      </w:r>
      <w:r>
        <w:rPr>
          <w:color w:val="auto"/>
          <w:highlight w:val="none"/>
        </w:rPr>
        <w:instrText xml:space="preserve"> PAGEREF _Toc7833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_Toc25076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7</w:t>
      </w:r>
      <w:r>
        <w:rPr>
          <w:rFonts w:hint="eastAsia" w:ascii="宋体" w:hAnsi="宋体" w:eastAsia="宋体" w:cs="宋体"/>
          <w:bCs/>
          <w:color w:val="auto"/>
          <w:kern w:val="0"/>
          <w:szCs w:val="21"/>
          <w:highlight w:val="none"/>
        </w:rPr>
        <w:t>．</w:t>
      </w:r>
      <w:r>
        <w:rPr>
          <w:rFonts w:hint="eastAsia" w:hAnsi="Times New Roman"/>
          <w:bCs/>
          <w:color w:val="auto"/>
          <w:spacing w:val="0"/>
          <w:kern w:val="2"/>
          <w:szCs w:val="21"/>
          <w:highlight w:val="none"/>
        </w:rPr>
        <w:t>诚信登记</w:t>
      </w:r>
      <w:r>
        <w:rPr>
          <w:color w:val="auto"/>
          <w:highlight w:val="none"/>
        </w:rPr>
        <w:tab/>
      </w:r>
      <w:r>
        <w:rPr>
          <w:color w:val="auto"/>
          <w:highlight w:val="none"/>
        </w:rPr>
        <w:fldChar w:fldCharType="begin"/>
      </w:r>
      <w:r>
        <w:rPr>
          <w:color w:val="auto"/>
          <w:highlight w:val="none"/>
        </w:rPr>
        <w:instrText xml:space="preserve"> PAGEREF _Toc25076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_Toc18927 </w:instrText>
      </w:r>
      <w:r>
        <w:rPr>
          <w:rFonts w:hint="eastAsia" w:ascii="宋体" w:hAnsi="宋体" w:eastAsia="宋体" w:cs="宋体"/>
          <w:color w:val="auto"/>
          <w:szCs w:val="21"/>
          <w:highlight w:val="none"/>
        </w:rPr>
        <w:fldChar w:fldCharType="separate"/>
      </w:r>
      <w:r>
        <w:rPr>
          <w:rFonts w:hint="eastAsia" w:hAnsi="宋体" w:cs="宋体"/>
          <w:bCs/>
          <w:color w:val="auto"/>
          <w:kern w:val="0"/>
          <w:szCs w:val="21"/>
          <w:highlight w:val="none"/>
          <w:lang w:val="en-US" w:eastAsia="zh-CN"/>
        </w:rPr>
        <w:t>8.</w:t>
      </w:r>
      <w:r>
        <w:rPr>
          <w:rFonts w:hint="eastAsia" w:ascii="宋体" w:hAnsi="宋体" w:eastAsia="宋体" w:cs="宋体"/>
          <w:bCs/>
          <w:color w:val="auto"/>
          <w:kern w:val="0"/>
          <w:szCs w:val="21"/>
          <w:highlight w:val="none"/>
        </w:rPr>
        <w:t>工期进度</w:t>
      </w:r>
      <w:r>
        <w:rPr>
          <w:color w:val="auto"/>
          <w:highlight w:val="none"/>
        </w:rPr>
        <w:tab/>
      </w:r>
      <w:r>
        <w:rPr>
          <w:color w:val="auto"/>
          <w:highlight w:val="none"/>
        </w:rPr>
        <w:fldChar w:fldCharType="begin"/>
      </w:r>
      <w:r>
        <w:rPr>
          <w:color w:val="auto"/>
          <w:highlight w:val="none"/>
        </w:rPr>
        <w:instrText xml:space="preserve"> PAGEREF _Toc18927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_Toc15885 </w:instrText>
      </w:r>
      <w:r>
        <w:rPr>
          <w:rFonts w:hint="eastAsia" w:ascii="宋体" w:hAnsi="宋体" w:eastAsia="宋体" w:cs="宋体"/>
          <w:color w:val="auto"/>
          <w:szCs w:val="21"/>
          <w:highlight w:val="none"/>
        </w:rPr>
        <w:fldChar w:fldCharType="separate"/>
      </w:r>
      <w:r>
        <w:rPr>
          <w:rFonts w:hint="eastAsia" w:hAnsi="宋体" w:cs="宋体"/>
          <w:bCs/>
          <w:color w:val="auto"/>
          <w:kern w:val="0"/>
          <w:szCs w:val="21"/>
          <w:highlight w:val="none"/>
          <w:lang w:val="en-US" w:eastAsia="zh-CN"/>
        </w:rPr>
        <w:t>9</w:t>
      </w:r>
      <w:r>
        <w:rPr>
          <w:rFonts w:hint="eastAsia" w:ascii="宋体" w:hAnsi="宋体" w:eastAsia="宋体" w:cs="宋体"/>
          <w:bCs/>
          <w:color w:val="auto"/>
          <w:kern w:val="0"/>
          <w:szCs w:val="21"/>
          <w:highlight w:val="none"/>
        </w:rPr>
        <w:t>．项目管理机构</w:t>
      </w:r>
      <w:r>
        <w:rPr>
          <w:color w:val="auto"/>
          <w:highlight w:val="none"/>
        </w:rPr>
        <w:tab/>
      </w:r>
      <w:r>
        <w:rPr>
          <w:color w:val="auto"/>
          <w:highlight w:val="none"/>
        </w:rPr>
        <w:fldChar w:fldCharType="begin"/>
      </w:r>
      <w:r>
        <w:rPr>
          <w:color w:val="auto"/>
          <w:highlight w:val="none"/>
        </w:rPr>
        <w:instrText xml:space="preserve"> PAGEREF _Toc15885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_Toc22260 </w:instrText>
      </w:r>
      <w:r>
        <w:rPr>
          <w:rFonts w:hint="eastAsia" w:ascii="宋体" w:hAnsi="宋体" w:eastAsia="宋体" w:cs="宋体"/>
          <w:color w:val="auto"/>
          <w:szCs w:val="21"/>
          <w:highlight w:val="none"/>
        </w:rPr>
        <w:fldChar w:fldCharType="separate"/>
      </w:r>
      <w:r>
        <w:rPr>
          <w:rFonts w:hint="eastAsia" w:hAnsi="宋体" w:cs="宋体"/>
          <w:bCs/>
          <w:color w:val="auto"/>
          <w:kern w:val="0"/>
          <w:szCs w:val="21"/>
          <w:highlight w:val="none"/>
          <w:lang w:val="en-US" w:eastAsia="zh-CN"/>
        </w:rPr>
        <w:t>10</w:t>
      </w:r>
      <w:r>
        <w:rPr>
          <w:rFonts w:hint="eastAsia" w:ascii="宋体" w:hAnsi="宋体" w:eastAsia="宋体" w:cs="宋体"/>
          <w:bCs/>
          <w:color w:val="auto"/>
          <w:kern w:val="0"/>
          <w:szCs w:val="21"/>
          <w:highlight w:val="none"/>
        </w:rPr>
        <w:t>．现场管理</w:t>
      </w:r>
      <w:r>
        <w:rPr>
          <w:color w:val="auto"/>
          <w:highlight w:val="none"/>
        </w:rPr>
        <w:tab/>
      </w:r>
      <w:r>
        <w:rPr>
          <w:color w:val="auto"/>
          <w:highlight w:val="none"/>
        </w:rPr>
        <w:fldChar w:fldCharType="begin"/>
      </w:r>
      <w:r>
        <w:rPr>
          <w:color w:val="auto"/>
          <w:highlight w:val="none"/>
        </w:rPr>
        <w:instrText xml:space="preserve"> PAGEREF _Toc22260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1</w:t>
      </w:r>
      <w:r>
        <w:rPr>
          <w:rFonts w:hint="eastAsia" w:ascii="宋体" w:hAnsi="宋体" w:eastAsia="宋体" w:cs="宋体"/>
          <w:bCs/>
          <w:color w:val="auto"/>
          <w:kern w:val="0"/>
          <w:szCs w:val="21"/>
          <w:highlight w:val="none"/>
        </w:rPr>
        <w:t>．监督实施</w:t>
      </w:r>
      <w:r>
        <w:rPr>
          <w:color w:val="auto"/>
          <w:highlight w:val="none"/>
        </w:rPr>
        <w:tab/>
      </w:r>
      <w:r>
        <w:rPr>
          <w:color w:val="auto"/>
          <w:highlight w:val="none"/>
        </w:rPr>
        <w:fldChar w:fldCharType="begin"/>
      </w:r>
      <w:r>
        <w:rPr>
          <w:color w:val="auto"/>
          <w:highlight w:val="none"/>
        </w:rPr>
        <w:instrText xml:space="preserve"> PAGEREF _Toc44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_Toc28078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2</w:t>
      </w:r>
      <w:r>
        <w:rPr>
          <w:rFonts w:hint="eastAsia" w:ascii="宋体" w:hAnsi="宋体" w:eastAsia="宋体" w:cs="宋体"/>
          <w:bCs/>
          <w:color w:val="auto"/>
          <w:kern w:val="0"/>
          <w:szCs w:val="21"/>
          <w:highlight w:val="none"/>
        </w:rPr>
        <w:t>．主材的采购和使用</w:t>
      </w:r>
      <w:r>
        <w:rPr>
          <w:color w:val="auto"/>
          <w:highlight w:val="none"/>
        </w:rPr>
        <w:tab/>
      </w:r>
      <w:r>
        <w:rPr>
          <w:color w:val="auto"/>
          <w:highlight w:val="none"/>
        </w:rPr>
        <w:fldChar w:fldCharType="begin"/>
      </w:r>
      <w:r>
        <w:rPr>
          <w:color w:val="auto"/>
          <w:highlight w:val="none"/>
        </w:rPr>
        <w:instrText xml:space="preserve"> PAGEREF _Toc28078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_Toc24245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．竣工资料移交</w:t>
      </w:r>
      <w:r>
        <w:rPr>
          <w:color w:val="auto"/>
          <w:highlight w:val="none"/>
        </w:rPr>
        <w:tab/>
      </w:r>
      <w:r>
        <w:rPr>
          <w:color w:val="auto"/>
          <w:highlight w:val="none"/>
        </w:rPr>
        <w:fldChar w:fldCharType="begin"/>
      </w:r>
      <w:r>
        <w:rPr>
          <w:color w:val="auto"/>
          <w:highlight w:val="none"/>
        </w:rPr>
        <w:instrText xml:space="preserve"> PAGEREF _Toc24245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_Toc27572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4</w:t>
      </w:r>
      <w:r>
        <w:rPr>
          <w:rFonts w:hint="eastAsia" w:ascii="宋体" w:hAnsi="宋体" w:eastAsia="宋体" w:cs="宋体"/>
          <w:bCs/>
          <w:color w:val="auto"/>
          <w:kern w:val="0"/>
          <w:szCs w:val="21"/>
          <w:highlight w:val="none"/>
        </w:rPr>
        <w:t>．质量保证</w:t>
      </w:r>
      <w:r>
        <w:rPr>
          <w:color w:val="auto"/>
          <w:highlight w:val="none"/>
        </w:rPr>
        <w:tab/>
      </w:r>
      <w:r>
        <w:rPr>
          <w:color w:val="auto"/>
          <w:highlight w:val="none"/>
        </w:rPr>
        <w:fldChar w:fldCharType="begin"/>
      </w:r>
      <w:r>
        <w:rPr>
          <w:color w:val="auto"/>
          <w:highlight w:val="none"/>
        </w:rPr>
        <w:instrText xml:space="preserve"> PAGEREF _Toc27572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_Toc19182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．不良行为处理</w:t>
      </w:r>
      <w:r>
        <w:rPr>
          <w:color w:val="auto"/>
          <w:highlight w:val="none"/>
        </w:rPr>
        <w:tab/>
      </w:r>
      <w:r>
        <w:rPr>
          <w:color w:val="auto"/>
          <w:highlight w:val="none"/>
        </w:rPr>
        <w:fldChar w:fldCharType="begin"/>
      </w:r>
      <w:r>
        <w:rPr>
          <w:color w:val="auto"/>
          <w:highlight w:val="none"/>
        </w:rPr>
        <w:instrText xml:space="preserve"> PAGEREF _Toc19182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_Toc27340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ascii="宋体" w:hAnsi="宋体" w:cs="宋体"/>
          <w:bCs/>
          <w:color w:val="auto"/>
          <w:kern w:val="0"/>
          <w:szCs w:val="21"/>
          <w:highlight w:val="none"/>
          <w:lang w:val="en-US" w:eastAsia="zh-CN"/>
        </w:rPr>
        <w:t>6</w:t>
      </w:r>
      <w:r>
        <w:rPr>
          <w:rFonts w:hint="eastAsia" w:ascii="宋体" w:hAnsi="宋体" w:eastAsia="宋体" w:cs="宋体"/>
          <w:bCs/>
          <w:color w:val="auto"/>
          <w:kern w:val="0"/>
          <w:szCs w:val="21"/>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_Toc27340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_Toc8699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1</w:t>
      </w:r>
      <w:r>
        <w:rPr>
          <w:rFonts w:hint="eastAsia" w:ascii="宋体" w:hAnsi="宋体" w:cs="宋体"/>
          <w:bCs/>
          <w:color w:val="auto"/>
          <w:kern w:val="0"/>
          <w:szCs w:val="21"/>
          <w:highlight w:val="none"/>
          <w:lang w:val="en-US" w:eastAsia="zh-CN"/>
        </w:rPr>
        <w:t>7</w:t>
      </w:r>
      <w:r>
        <w:rPr>
          <w:rFonts w:hint="eastAsia" w:ascii="宋体" w:hAnsi="宋体" w:eastAsia="宋体" w:cs="宋体"/>
          <w:bCs/>
          <w:color w:val="auto"/>
          <w:kern w:val="0"/>
          <w:szCs w:val="21"/>
          <w:highlight w:val="none"/>
          <w:lang w:val="en-US" w:eastAsia="zh-CN"/>
        </w:rPr>
        <w:t>.</w:t>
      </w:r>
      <w:r>
        <w:rPr>
          <w:rFonts w:hint="eastAsia" w:ascii="宋体" w:hAnsi="宋体" w:eastAsia="宋体" w:cs="宋体"/>
          <w:bCs/>
          <w:color w:val="auto"/>
          <w:kern w:val="0"/>
          <w:szCs w:val="21"/>
          <w:highlight w:val="none"/>
        </w:rPr>
        <w:t>危险性较大的分部分项工程安全管理约定。</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如有</w:t>
      </w:r>
      <w:r>
        <w:rPr>
          <w:rFonts w:hint="eastAsia" w:ascii="宋体" w:hAnsi="宋体" w:eastAsia="宋体" w:cs="宋体"/>
          <w:bCs/>
          <w:color w:val="auto"/>
          <w:kern w:val="0"/>
          <w:szCs w:val="21"/>
          <w:highlight w:val="none"/>
          <w:lang w:eastAsia="zh-CN"/>
        </w:rPr>
        <w:t>）</w:t>
      </w:r>
      <w:r>
        <w:rPr>
          <w:color w:val="auto"/>
          <w:highlight w:val="none"/>
        </w:rPr>
        <w:tab/>
      </w:r>
      <w:r>
        <w:rPr>
          <w:color w:val="auto"/>
          <w:highlight w:val="none"/>
        </w:rPr>
        <w:fldChar w:fldCharType="begin"/>
      </w:r>
      <w:r>
        <w:rPr>
          <w:color w:val="auto"/>
          <w:highlight w:val="none"/>
        </w:rPr>
        <w:instrText xml:space="preserve"> PAGEREF _Toc8699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_Toc2500 </w:instrText>
      </w:r>
      <w:r>
        <w:rPr>
          <w:rFonts w:hint="eastAsia" w:ascii="宋体" w:hAnsi="宋体" w:eastAsia="宋体" w:cs="宋体"/>
          <w:color w:val="auto"/>
          <w:szCs w:val="21"/>
          <w:highlight w:val="none"/>
        </w:rPr>
        <w:fldChar w:fldCharType="separate"/>
      </w:r>
      <w:r>
        <w:rPr>
          <w:rFonts w:hint="eastAsia"/>
          <w:bCs/>
          <w:color w:val="auto"/>
          <w:szCs w:val="28"/>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_Toc2500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_Toc30040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1．房屋建筑工程建设项目</w:t>
      </w:r>
      <w:r>
        <w:rPr>
          <w:color w:val="auto"/>
          <w:highlight w:val="none"/>
        </w:rPr>
        <w:tab/>
      </w:r>
      <w:r>
        <w:rPr>
          <w:color w:val="auto"/>
          <w:highlight w:val="none"/>
        </w:rPr>
        <w:fldChar w:fldCharType="begin"/>
      </w:r>
      <w:r>
        <w:rPr>
          <w:color w:val="auto"/>
          <w:highlight w:val="none"/>
        </w:rPr>
        <w:instrText xml:space="preserve"> PAGEREF _Toc30040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_Toc10500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2．市政基础设施工程建设项目</w:t>
      </w:r>
      <w:r>
        <w:rPr>
          <w:color w:val="auto"/>
          <w:highlight w:val="none"/>
        </w:rPr>
        <w:tab/>
      </w:r>
      <w:r>
        <w:rPr>
          <w:color w:val="auto"/>
          <w:highlight w:val="none"/>
        </w:rPr>
        <w:fldChar w:fldCharType="begin"/>
      </w:r>
      <w:r>
        <w:rPr>
          <w:color w:val="auto"/>
          <w:highlight w:val="none"/>
        </w:rPr>
        <w:instrText xml:space="preserve"> PAGEREF _Toc10500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_Toc19774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3．备查要求</w:t>
      </w:r>
      <w:r>
        <w:rPr>
          <w:color w:val="auto"/>
          <w:highlight w:val="none"/>
        </w:rPr>
        <w:tab/>
      </w:r>
      <w:r>
        <w:rPr>
          <w:color w:val="auto"/>
          <w:highlight w:val="none"/>
        </w:rPr>
        <w:fldChar w:fldCharType="begin"/>
      </w:r>
      <w:r>
        <w:rPr>
          <w:color w:val="auto"/>
          <w:highlight w:val="none"/>
        </w:rPr>
        <w:instrText xml:space="preserve"> PAGEREF _Toc19774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_Toc31620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第五章 图纸和招标工程量清单</w:t>
      </w:r>
      <w:r>
        <w:rPr>
          <w:color w:val="auto"/>
          <w:highlight w:val="none"/>
        </w:rPr>
        <w:tab/>
      </w:r>
      <w:r>
        <w:rPr>
          <w:color w:val="auto"/>
          <w:highlight w:val="none"/>
        </w:rPr>
        <w:fldChar w:fldCharType="begin"/>
      </w:r>
      <w:r>
        <w:rPr>
          <w:color w:val="auto"/>
          <w:highlight w:val="none"/>
        </w:rPr>
        <w:instrText xml:space="preserve"> PAGEREF _Toc31620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_Toc21956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_Toc21956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_Toc13820 </w:instrText>
      </w:r>
      <w:r>
        <w:rPr>
          <w:rFonts w:hint="eastAsia" w:ascii="宋体" w:hAnsi="宋体" w:eastAsia="宋体" w:cs="宋体"/>
          <w:color w:val="auto"/>
          <w:szCs w:val="21"/>
          <w:highlight w:val="none"/>
        </w:rPr>
        <w:fldChar w:fldCharType="separate"/>
      </w:r>
      <w:r>
        <w:rPr>
          <w:rFonts w:hint="eastAsia" w:hAnsi="宋体"/>
          <w:bCs/>
          <w:color w:val="auto"/>
          <w:szCs w:val="24"/>
          <w:highlight w:val="none"/>
        </w:rPr>
        <w:t>格式一 封面</w:t>
      </w:r>
      <w:r>
        <w:rPr>
          <w:color w:val="auto"/>
          <w:highlight w:val="none"/>
        </w:rPr>
        <w:tab/>
      </w:r>
      <w:r>
        <w:rPr>
          <w:color w:val="auto"/>
          <w:highlight w:val="none"/>
        </w:rPr>
        <w:fldChar w:fldCharType="begin"/>
      </w:r>
      <w:r>
        <w:rPr>
          <w:color w:val="auto"/>
          <w:highlight w:val="none"/>
        </w:rPr>
        <w:instrText xml:space="preserve"> PAGEREF _Toc13820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_Toc11733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_Toc11733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_Toc3195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eastAsia="zh-CN"/>
        </w:rPr>
        <w:t>三</w:t>
      </w:r>
      <w:r>
        <w:rPr>
          <w:rFonts w:hint="eastAsia" w:ascii="Times New Roman" w:hAnsi="宋体" w:eastAsia="宋体" w:cs="Times New Roman"/>
          <w:bCs/>
          <w:color w:val="auto"/>
          <w:szCs w:val="24"/>
          <w:highlight w:val="none"/>
        </w:rPr>
        <w:t xml:space="preserve"> 各项承诺一览表</w:t>
      </w:r>
      <w:r>
        <w:rPr>
          <w:color w:val="auto"/>
          <w:highlight w:val="none"/>
        </w:rPr>
        <w:tab/>
      </w:r>
      <w:r>
        <w:rPr>
          <w:color w:val="auto"/>
          <w:highlight w:val="none"/>
        </w:rPr>
        <w:fldChar w:fldCharType="begin"/>
      </w:r>
      <w:r>
        <w:rPr>
          <w:color w:val="auto"/>
          <w:highlight w:val="none"/>
        </w:rPr>
        <w:instrText xml:space="preserve"> PAGEREF _Toc3195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_Toc6568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eastAsia="zh-CN"/>
        </w:rPr>
        <w:t>四</w:t>
      </w:r>
      <w:r>
        <w:rPr>
          <w:rFonts w:hint="eastAsia" w:ascii="Times New Roman" w:hAnsi="宋体" w:eastAsia="宋体" w:cs="Times New Roman"/>
          <w:bCs/>
          <w:color w:val="auto"/>
          <w:szCs w:val="24"/>
          <w:highlight w:val="none"/>
        </w:rPr>
        <w:t xml:space="preserve"> 授权委托书</w:t>
      </w:r>
      <w:r>
        <w:rPr>
          <w:color w:val="auto"/>
          <w:highlight w:val="none"/>
        </w:rPr>
        <w:tab/>
      </w:r>
      <w:r>
        <w:rPr>
          <w:color w:val="auto"/>
          <w:highlight w:val="none"/>
        </w:rPr>
        <w:fldChar w:fldCharType="begin"/>
      </w:r>
      <w:r>
        <w:rPr>
          <w:color w:val="auto"/>
          <w:highlight w:val="none"/>
        </w:rPr>
        <w:instrText xml:space="preserve"> PAGEREF _Toc6568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_Toc31675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eastAsia="zh-CN"/>
        </w:rPr>
        <w:t>五</w:t>
      </w:r>
      <w:r>
        <w:rPr>
          <w:rFonts w:hint="eastAsia" w:ascii="Times New Roman" w:hAnsi="宋体" w:eastAsia="宋体" w:cs="Times New Roman"/>
          <w:bCs/>
          <w:color w:val="auto"/>
          <w:szCs w:val="24"/>
          <w:highlight w:val="none"/>
        </w:rPr>
        <w:t xml:space="preserve"> 法定代表人身份证明</w:t>
      </w:r>
      <w:r>
        <w:rPr>
          <w:color w:val="auto"/>
          <w:highlight w:val="none"/>
        </w:rPr>
        <w:tab/>
      </w:r>
      <w:r>
        <w:rPr>
          <w:color w:val="auto"/>
          <w:highlight w:val="none"/>
        </w:rPr>
        <w:fldChar w:fldCharType="begin"/>
      </w:r>
      <w:r>
        <w:rPr>
          <w:color w:val="auto"/>
          <w:highlight w:val="none"/>
        </w:rPr>
        <w:instrText xml:space="preserve"> PAGEREF _Toc31675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_Toc25930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eastAsia="zh-CN"/>
        </w:rPr>
        <w:t>六</w:t>
      </w:r>
      <w:r>
        <w:rPr>
          <w:rFonts w:hint="eastAsia" w:ascii="Times New Roman" w:hAnsi="宋体" w:eastAsia="宋体" w:cs="Times New Roman"/>
          <w:bCs/>
          <w:color w:val="auto"/>
          <w:szCs w:val="24"/>
          <w:highlight w:val="none"/>
        </w:rPr>
        <w:t xml:space="preserve"> 联合体协议书</w:t>
      </w:r>
      <w:r>
        <w:rPr>
          <w:color w:val="auto"/>
          <w:highlight w:val="none"/>
        </w:rPr>
        <w:tab/>
      </w:r>
      <w:r>
        <w:rPr>
          <w:color w:val="auto"/>
          <w:highlight w:val="none"/>
        </w:rPr>
        <w:fldChar w:fldCharType="begin"/>
      </w:r>
      <w:r>
        <w:rPr>
          <w:color w:val="auto"/>
          <w:highlight w:val="none"/>
        </w:rPr>
        <w:instrText xml:space="preserve"> PAGEREF _Toc25930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_Toc21818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val="en-US" w:eastAsia="zh-CN"/>
        </w:rPr>
        <w:t>七</w:t>
      </w:r>
      <w:r>
        <w:rPr>
          <w:rFonts w:hint="eastAsia" w:ascii="Times New Roman" w:hAnsi="宋体" w:eastAsia="宋体" w:cs="Times New Roman"/>
          <w:bCs/>
          <w:color w:val="auto"/>
          <w:szCs w:val="24"/>
          <w:highlight w:val="none"/>
        </w:rPr>
        <w:t xml:space="preserve"> 投标人基本情况表</w:t>
      </w:r>
      <w:r>
        <w:rPr>
          <w:color w:val="auto"/>
          <w:highlight w:val="none"/>
        </w:rPr>
        <w:tab/>
      </w:r>
      <w:r>
        <w:rPr>
          <w:color w:val="auto"/>
          <w:highlight w:val="none"/>
        </w:rPr>
        <w:fldChar w:fldCharType="begin"/>
      </w:r>
      <w:r>
        <w:rPr>
          <w:color w:val="auto"/>
          <w:highlight w:val="none"/>
        </w:rPr>
        <w:instrText xml:space="preserve"> PAGEREF _Toc21818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_Toc11202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val="en-US" w:eastAsia="zh-CN"/>
        </w:rPr>
        <w:t>八</w:t>
      </w:r>
      <w:r>
        <w:rPr>
          <w:rFonts w:hint="eastAsia" w:ascii="Times New Roman" w:hAnsi="宋体" w:eastAsia="宋体" w:cs="Times New Roman"/>
          <w:bCs/>
          <w:color w:val="auto"/>
          <w:szCs w:val="24"/>
          <w:highlight w:val="none"/>
        </w:rPr>
        <w:t xml:space="preserve"> 项目经理简历表</w:t>
      </w:r>
      <w:r>
        <w:rPr>
          <w:color w:val="auto"/>
          <w:highlight w:val="none"/>
        </w:rPr>
        <w:tab/>
      </w:r>
      <w:r>
        <w:rPr>
          <w:color w:val="auto"/>
          <w:highlight w:val="none"/>
        </w:rPr>
        <w:fldChar w:fldCharType="begin"/>
      </w:r>
      <w:r>
        <w:rPr>
          <w:color w:val="auto"/>
          <w:highlight w:val="none"/>
        </w:rPr>
        <w:instrText xml:space="preserve"> PAGEREF _Toc11202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_Toc28818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w:t>
      </w:r>
      <w:r>
        <w:rPr>
          <w:rFonts w:hint="eastAsia" w:ascii="Times New Roman" w:hAnsi="宋体" w:eastAsia="宋体" w:cs="Times New Roman"/>
          <w:bCs/>
          <w:color w:val="auto"/>
          <w:szCs w:val="24"/>
          <w:highlight w:val="none"/>
          <w:lang w:val="en-US" w:eastAsia="zh-CN"/>
        </w:rPr>
        <w:t>九</w:t>
      </w:r>
      <w:r>
        <w:rPr>
          <w:rFonts w:hint="eastAsia" w:ascii="Times New Roman" w:hAnsi="宋体" w:eastAsia="宋体" w:cs="Times New Roman"/>
          <w:bCs/>
          <w:color w:val="auto"/>
          <w:szCs w:val="24"/>
          <w:highlight w:val="none"/>
        </w:rPr>
        <w:t xml:space="preserve"> 项目经理任职声明</w:t>
      </w:r>
      <w:r>
        <w:rPr>
          <w:color w:val="auto"/>
          <w:highlight w:val="none"/>
        </w:rPr>
        <w:tab/>
      </w:r>
      <w:r>
        <w:rPr>
          <w:color w:val="auto"/>
          <w:highlight w:val="none"/>
        </w:rPr>
        <w:fldChar w:fldCharType="begin"/>
      </w:r>
      <w:r>
        <w:rPr>
          <w:color w:val="auto"/>
          <w:highlight w:val="none"/>
        </w:rPr>
        <w:instrText xml:space="preserve"> PAGEREF _Toc28818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_Toc22170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_Toc22170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_Toc7688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w:t>
      </w:r>
      <w:r>
        <w:rPr>
          <w:rFonts w:hint="eastAsia" w:ascii="Times New Roman" w:hAnsi="宋体" w:eastAsia="宋体" w:cs="Times New Roman"/>
          <w:bCs/>
          <w:color w:val="auto"/>
          <w:szCs w:val="24"/>
          <w:highlight w:val="none"/>
          <w:lang w:val="en-US" w:eastAsia="zh-CN"/>
        </w:rPr>
        <w:t>一</w:t>
      </w:r>
      <w:r>
        <w:rPr>
          <w:rFonts w:hint="eastAsia" w:ascii="Times New Roman" w:hAnsi="宋体" w:eastAsia="宋体" w:cs="Times New Roman"/>
          <w:bCs/>
          <w:color w:val="auto"/>
          <w:szCs w:val="24"/>
          <w:highlight w:val="none"/>
        </w:rPr>
        <w:t xml:space="preserve"> 项目管理机构组成</w:t>
      </w:r>
      <w:r>
        <w:rPr>
          <w:color w:val="auto"/>
          <w:highlight w:val="none"/>
        </w:rPr>
        <w:tab/>
      </w:r>
      <w:r>
        <w:rPr>
          <w:color w:val="auto"/>
          <w:highlight w:val="none"/>
        </w:rPr>
        <w:fldChar w:fldCharType="begin"/>
      </w:r>
      <w:r>
        <w:rPr>
          <w:color w:val="auto"/>
          <w:highlight w:val="none"/>
        </w:rPr>
        <w:instrText xml:space="preserve"> PAGEREF _Toc7688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_Toc22111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w:t>
      </w:r>
      <w:r>
        <w:rPr>
          <w:rFonts w:hint="eastAsia" w:ascii="Times New Roman" w:hAnsi="宋体" w:eastAsia="宋体" w:cs="Times New Roman"/>
          <w:bCs/>
          <w:color w:val="auto"/>
          <w:szCs w:val="24"/>
          <w:highlight w:val="none"/>
          <w:lang w:val="en-US" w:eastAsia="zh-CN"/>
        </w:rPr>
        <w:t>二</w:t>
      </w:r>
      <w:r>
        <w:rPr>
          <w:rFonts w:hint="eastAsia" w:ascii="Times New Roman" w:hAnsi="宋体" w:eastAsia="宋体" w:cs="Times New Roman"/>
          <w:bCs/>
          <w:color w:val="auto"/>
          <w:szCs w:val="24"/>
          <w:highlight w:val="none"/>
        </w:rPr>
        <w:t xml:space="preserve"> 建造师查询页（有效期+建造师签字）</w:t>
      </w:r>
      <w:r>
        <w:rPr>
          <w:color w:val="auto"/>
          <w:highlight w:val="none"/>
        </w:rPr>
        <w:tab/>
      </w:r>
      <w:r>
        <w:rPr>
          <w:color w:val="auto"/>
          <w:highlight w:val="none"/>
        </w:rPr>
        <w:fldChar w:fldCharType="begin"/>
      </w:r>
      <w:r>
        <w:rPr>
          <w:color w:val="auto"/>
          <w:highlight w:val="none"/>
        </w:rPr>
        <w:instrText xml:space="preserve"> PAGEREF _Toc22111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_Toc20563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格式十三</w:t>
      </w:r>
      <w:r>
        <w:rPr>
          <w:rFonts w:hint="eastAsia" w:ascii="Times New Roman" w:hAnsi="宋体" w:eastAsia="宋体" w:cs="Times New Roman"/>
          <w:bCs/>
          <w:color w:val="auto"/>
          <w:szCs w:val="24"/>
          <w:highlight w:val="none"/>
          <w:lang w:val="en-US" w:eastAsia="zh-CN"/>
        </w:rPr>
        <w:t xml:space="preserve"> </w:t>
      </w:r>
      <w:r>
        <w:rPr>
          <w:rFonts w:hint="eastAsia" w:ascii="Times New Roman" w:hAnsi="宋体" w:eastAsia="宋体" w:cs="Times New Roman"/>
          <w:bCs/>
          <w:color w:val="auto"/>
          <w:szCs w:val="24"/>
          <w:highlight w:val="none"/>
        </w:rPr>
        <w:t>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_Toc20563 \h </w:instrText>
      </w:r>
      <w:r>
        <w:rPr>
          <w:color w:val="auto"/>
          <w:highlight w:val="none"/>
        </w:rPr>
        <w:fldChar w:fldCharType="separate"/>
      </w:r>
      <w:r>
        <w:rPr>
          <w:color w:val="auto"/>
          <w:highlight w:val="none"/>
        </w:rPr>
        <w:t>77</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_Toc18924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rPr>
        <w:t>格式十四  投标保证金信用承诺函</w:t>
      </w:r>
      <w:r>
        <w:rPr>
          <w:color w:val="auto"/>
          <w:highlight w:val="none"/>
        </w:rPr>
        <w:tab/>
      </w:r>
      <w:r>
        <w:rPr>
          <w:color w:val="auto"/>
          <w:highlight w:val="none"/>
        </w:rPr>
        <w:fldChar w:fldCharType="begin"/>
      </w:r>
      <w:r>
        <w:rPr>
          <w:color w:val="auto"/>
          <w:highlight w:val="none"/>
        </w:rPr>
        <w:instrText xml:space="preserve"> PAGEREF _Toc18924 \h </w:instrText>
      </w:r>
      <w:r>
        <w:rPr>
          <w:color w:val="auto"/>
          <w:highlight w:val="none"/>
        </w:rPr>
        <w:fldChar w:fldCharType="separate"/>
      </w:r>
      <w:r>
        <w:rPr>
          <w:color w:val="auto"/>
          <w:highlight w:val="none"/>
        </w:rPr>
        <w:t>82</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_Toc26309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lang w:val="en-US" w:eastAsia="zh-CN"/>
        </w:rPr>
        <w:t>格式十五 定标因素评审资料</w:t>
      </w:r>
      <w:r>
        <w:rPr>
          <w:color w:val="auto"/>
          <w:highlight w:val="none"/>
        </w:rPr>
        <w:tab/>
      </w:r>
      <w:r>
        <w:rPr>
          <w:color w:val="auto"/>
          <w:highlight w:val="none"/>
        </w:rPr>
        <w:fldChar w:fldCharType="begin"/>
      </w:r>
      <w:r>
        <w:rPr>
          <w:color w:val="auto"/>
          <w:highlight w:val="none"/>
        </w:rPr>
        <w:instrText xml:space="preserve"> PAGEREF _Toc26309 \h </w:instrText>
      </w:r>
      <w:r>
        <w:rPr>
          <w:color w:val="auto"/>
          <w:highlight w:val="none"/>
        </w:rPr>
        <w:fldChar w:fldCharType="separate"/>
      </w:r>
      <w:r>
        <w:rPr>
          <w:color w:val="auto"/>
          <w:highlight w:val="none"/>
        </w:rPr>
        <w:t>83</w:t>
      </w:r>
      <w:r>
        <w:rPr>
          <w:color w:val="auto"/>
          <w:highlight w:val="none"/>
        </w:rPr>
        <w:fldChar w:fldCharType="end"/>
      </w:r>
      <w:r>
        <w:rPr>
          <w:rFonts w:hint="eastAsia" w:ascii="宋体" w:hAnsi="宋体" w:eastAsia="宋体" w:cs="宋体"/>
          <w:color w:val="auto"/>
          <w:szCs w:val="21"/>
          <w:highlight w:val="none"/>
        </w:rPr>
        <w:fldChar w:fldCharType="end"/>
      </w:r>
    </w:p>
    <w:p>
      <w:pPr>
        <w:pStyle w:val="15"/>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_Toc17594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4"/>
          <w:highlight w:val="none"/>
          <w:lang w:val="en-US" w:eastAsia="zh-CN"/>
        </w:rPr>
        <w:t>格式十六   原件一览表（如有）</w:t>
      </w:r>
      <w:r>
        <w:rPr>
          <w:color w:val="auto"/>
          <w:highlight w:val="none"/>
        </w:rPr>
        <w:tab/>
      </w:r>
      <w:r>
        <w:rPr>
          <w:color w:val="auto"/>
          <w:highlight w:val="none"/>
        </w:rPr>
        <w:fldChar w:fldCharType="begin"/>
      </w:r>
      <w:r>
        <w:rPr>
          <w:color w:val="auto"/>
          <w:highlight w:val="none"/>
        </w:rPr>
        <w:instrText xml:space="preserve"> PAGEREF _Toc17594 \h </w:instrText>
      </w:r>
      <w:r>
        <w:rPr>
          <w:color w:val="auto"/>
          <w:highlight w:val="none"/>
        </w:rPr>
        <w:fldChar w:fldCharType="separate"/>
      </w:r>
      <w:r>
        <w:rPr>
          <w:color w:val="auto"/>
          <w:highlight w:val="none"/>
        </w:rPr>
        <w:t>84</w:t>
      </w:r>
      <w:r>
        <w:rPr>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9746"/>
        </w:tabs>
        <w:spacing w:line="24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_Toc22798 </w:instrText>
      </w:r>
      <w:r>
        <w:rPr>
          <w:rFonts w:hint="eastAsia" w:ascii="宋体" w:hAnsi="宋体" w:eastAsia="宋体" w:cs="宋体"/>
          <w:color w:val="auto"/>
          <w:szCs w:val="21"/>
          <w:highlight w:val="none"/>
        </w:rPr>
        <w:fldChar w:fldCharType="separate"/>
      </w:r>
      <w:r>
        <w:rPr>
          <w:rFonts w:hint="eastAsia" w:hAnsi="宋体"/>
          <w:bCs/>
          <w:color w:val="auto"/>
          <w:szCs w:val="24"/>
          <w:highlight w:val="none"/>
        </w:rPr>
        <w:t>第七章 建设工程施工合同</w:t>
      </w:r>
      <w:r>
        <w:rPr>
          <w:color w:val="auto"/>
          <w:highlight w:val="none"/>
        </w:rPr>
        <w:tab/>
      </w:r>
      <w:r>
        <w:rPr>
          <w:color w:val="auto"/>
          <w:highlight w:val="none"/>
        </w:rPr>
        <w:fldChar w:fldCharType="begin"/>
      </w:r>
      <w:r>
        <w:rPr>
          <w:color w:val="auto"/>
          <w:highlight w:val="none"/>
        </w:rPr>
        <w:instrText xml:space="preserve"> PAGEREF _Toc22798 \h </w:instrText>
      </w:r>
      <w:r>
        <w:rPr>
          <w:color w:val="auto"/>
          <w:highlight w:val="none"/>
        </w:rPr>
        <w:fldChar w:fldCharType="separate"/>
      </w:r>
      <w:r>
        <w:rPr>
          <w:color w:val="auto"/>
          <w:highlight w:val="none"/>
        </w:rPr>
        <w:t>85</w:t>
      </w:r>
      <w:r>
        <w:rPr>
          <w:color w:val="auto"/>
          <w:highlight w:val="none"/>
        </w:rPr>
        <w:fldChar w:fldCharType="end"/>
      </w:r>
      <w:r>
        <w:rPr>
          <w:rFonts w:hint="eastAsia" w:ascii="宋体" w:hAnsi="宋体" w:eastAsia="宋体" w:cs="宋体"/>
          <w:color w:val="auto"/>
          <w:szCs w:val="21"/>
          <w:highlight w:val="none"/>
        </w:rPr>
        <w:fldChar w:fldCharType="end"/>
      </w:r>
    </w:p>
    <w:p>
      <w:pPr>
        <w:keepNext w:val="0"/>
        <w:keepLines w:val="0"/>
        <w:pageBreakBefore w:val="0"/>
        <w:widowControl/>
        <w:kinsoku/>
        <w:wordWrap/>
        <w:overflowPunct/>
        <w:topLinePunct w:val="0"/>
        <w:autoSpaceDE/>
        <w:autoSpaceDN/>
        <w:bidi w:val="0"/>
        <w:adjustRightInd/>
        <w:snapToGrid/>
        <w:spacing w:line="240"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fldChar w:fldCharType="end"/>
      </w:r>
    </w:p>
    <w:p>
      <w:pPr>
        <w:pStyle w:val="2"/>
        <w:rPr>
          <w:rFonts w:hint="eastAsia" w:ascii="宋体" w:hAnsi="宋体" w:eastAsia="宋体" w:cs="宋体"/>
          <w:color w:val="auto"/>
          <w:szCs w:val="21"/>
          <w:highlight w:val="none"/>
        </w:rPr>
      </w:pPr>
    </w:p>
    <w:p>
      <w:pPr>
        <w:rPr>
          <w:rFonts w:hint="eastAsia" w:ascii="宋体" w:hAnsi="宋体" w:eastAsia="宋体" w:cs="宋体"/>
          <w:color w:val="auto"/>
          <w:szCs w:val="21"/>
          <w:highlight w:val="none"/>
        </w:rPr>
      </w:pPr>
    </w:p>
    <w:p>
      <w:pPr>
        <w:pStyle w:val="2"/>
        <w:rPr>
          <w:rFonts w:hint="eastAsia" w:ascii="宋体" w:hAnsi="宋体" w:eastAsia="宋体" w:cs="宋体"/>
          <w:color w:val="auto"/>
          <w:szCs w:val="21"/>
          <w:highlight w:val="none"/>
        </w:rPr>
      </w:pPr>
    </w:p>
    <w:p>
      <w:pPr>
        <w:rPr>
          <w:rFonts w:hint="eastAsia"/>
          <w:color w:val="auto"/>
          <w:highlight w:val="none"/>
        </w:rPr>
        <w:sectPr>
          <w:footerReference r:id="rId7" w:type="default"/>
          <w:endnotePr>
            <w:numFmt w:val="decimal"/>
          </w:endnotePr>
          <w:pgSz w:w="11906" w:h="16838"/>
          <w:pgMar w:top="1440" w:right="1080" w:bottom="1440" w:left="1080" w:header="850" w:footer="544" w:gutter="0"/>
          <w:pgNumType w:fmt="decimal" w:start="1"/>
          <w:cols w:space="720" w:num="1"/>
          <w:rtlGutter w:val="0"/>
          <w:docGrid w:linePitch="327" w:charSpace="0"/>
        </w:sectPr>
      </w:pPr>
    </w:p>
    <w:p>
      <w:pPr>
        <w:pStyle w:val="27"/>
        <w:snapToGrid w:val="0"/>
        <w:spacing w:line="440" w:lineRule="exact"/>
        <w:jc w:val="center"/>
        <w:outlineLvl w:val="0"/>
        <w:rPr>
          <w:rStyle w:val="25"/>
          <w:rFonts w:hint="eastAsia" w:hAnsi="宋体"/>
          <w:b/>
          <w:bCs/>
          <w:color w:val="auto"/>
          <w:sz w:val="28"/>
          <w:szCs w:val="28"/>
          <w:highlight w:val="none"/>
        </w:rPr>
      </w:pPr>
      <w:bookmarkStart w:id="0" w:name="_Toc15825"/>
      <w:bookmarkStart w:id="1" w:name="_Toc5078"/>
      <w:bookmarkStart w:id="2" w:name="_Toc30953"/>
      <w:bookmarkStart w:id="3" w:name="_Toc1216"/>
      <w:bookmarkStart w:id="4" w:name="_Toc53"/>
      <w:bookmarkStart w:id="5" w:name="_Toc7086"/>
      <w:bookmarkStart w:id="6" w:name="_Toc16198"/>
      <w:bookmarkStart w:id="7" w:name="_Toc18426"/>
      <w:bookmarkStart w:id="8" w:name="_Toc10328"/>
      <w:bookmarkStart w:id="9" w:name="_Toc23635"/>
      <w:bookmarkStart w:id="10" w:name="_Toc4903"/>
      <w:bookmarkStart w:id="11" w:name="_Toc25664"/>
      <w:bookmarkStart w:id="12" w:name="_Toc4493"/>
      <w:bookmarkStart w:id="13" w:name="_Toc3991"/>
      <w:r>
        <w:rPr>
          <w:rStyle w:val="25"/>
          <w:rFonts w:hint="eastAsia" w:hAnsi="宋体"/>
          <w:b/>
          <w:bCs/>
          <w:color w:val="auto"/>
          <w:sz w:val="28"/>
          <w:szCs w:val="28"/>
          <w:highlight w:val="none"/>
        </w:rPr>
        <w:t>第一章 投标人须知</w:t>
      </w:r>
      <w:bookmarkEnd w:id="0"/>
      <w:bookmarkEnd w:id="1"/>
      <w:bookmarkEnd w:id="2"/>
      <w:bookmarkEnd w:id="3"/>
      <w:bookmarkEnd w:id="4"/>
      <w:bookmarkEnd w:id="5"/>
      <w:bookmarkEnd w:id="6"/>
      <w:bookmarkEnd w:id="7"/>
      <w:bookmarkEnd w:id="8"/>
      <w:bookmarkEnd w:id="9"/>
      <w:bookmarkEnd w:id="10"/>
      <w:bookmarkEnd w:id="11"/>
      <w:bookmarkEnd w:id="12"/>
      <w:bookmarkEnd w:id="13"/>
    </w:p>
    <w:p>
      <w:pPr>
        <w:pStyle w:val="28"/>
        <w:snapToGrid w:val="0"/>
        <w:spacing w:line="440" w:lineRule="exact"/>
        <w:jc w:val="both"/>
        <w:outlineLvl w:val="1"/>
        <w:rPr>
          <w:rStyle w:val="25"/>
          <w:rFonts w:hint="eastAsia" w:hAnsi="宋体"/>
          <w:b/>
          <w:bCs/>
          <w:color w:val="auto"/>
          <w:highlight w:val="none"/>
        </w:rPr>
      </w:pPr>
      <w:bookmarkStart w:id="14" w:name="_Toc25211"/>
      <w:bookmarkStart w:id="15" w:name="_Toc11684"/>
      <w:bookmarkStart w:id="16" w:name="_Toc928"/>
      <w:bookmarkStart w:id="17" w:name="_Toc27751"/>
      <w:bookmarkStart w:id="18" w:name="_Toc14083"/>
      <w:bookmarkStart w:id="19" w:name="_Toc17153"/>
      <w:bookmarkStart w:id="20" w:name="_Toc17236"/>
      <w:bookmarkStart w:id="21" w:name="_Toc21683"/>
      <w:bookmarkStart w:id="22" w:name="_Toc12302"/>
      <w:bookmarkStart w:id="23" w:name="_Toc11882"/>
      <w:bookmarkStart w:id="24" w:name="_Toc29644"/>
      <w:bookmarkStart w:id="25" w:name="_Toc21473"/>
      <w:bookmarkStart w:id="26" w:name="_Toc29223"/>
      <w:bookmarkStart w:id="27" w:name="_Toc29320"/>
      <w:r>
        <w:rPr>
          <w:rStyle w:val="25"/>
          <w:rFonts w:hint="eastAsia" w:hAnsi="宋体"/>
          <w:b/>
          <w:bCs/>
          <w:color w:val="auto"/>
          <w:highlight w:val="none"/>
        </w:rPr>
        <w:t>第一节 投标人须知前附表</w:t>
      </w:r>
      <w:bookmarkEnd w:id="14"/>
      <w:bookmarkEnd w:id="15"/>
      <w:bookmarkEnd w:id="16"/>
      <w:bookmarkEnd w:id="17"/>
      <w:bookmarkEnd w:id="18"/>
      <w:bookmarkEnd w:id="19"/>
      <w:bookmarkEnd w:id="20"/>
      <w:bookmarkEnd w:id="21"/>
      <w:bookmarkEnd w:id="22"/>
      <w:bookmarkEnd w:id="23"/>
      <w:bookmarkEnd w:id="24"/>
      <w:bookmarkEnd w:id="25"/>
      <w:bookmarkEnd w:id="26"/>
      <w:bookmarkEnd w:id="27"/>
    </w:p>
    <w:tbl>
      <w:tblPr>
        <w:tblStyle w:val="20"/>
        <w:tblW w:w="985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74"/>
        <w:gridCol w:w="1648"/>
        <w:gridCol w:w="75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序号</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内容</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tabs>
                <w:tab w:val="left" w:pos="1180"/>
              </w:tabs>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说明与要求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tabs>
                <w:tab w:val="left" w:pos="1180"/>
              </w:tabs>
              <w:kinsoku/>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eastAsia="zh-CN"/>
              </w:rPr>
              <w:t>始兴县风度中学高中基础设施建设项目施工（第二次）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项目业主</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始兴县风度中学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项目批准部门</w:t>
            </w:r>
            <w:r>
              <w:rPr>
                <w:rFonts w:hint="eastAsia" w:ascii="宋体" w:hAnsi="宋体" w:eastAsia="宋体" w:cs="宋体"/>
                <w:snapToGrid w:val="0"/>
                <w:color w:val="auto"/>
                <w:kern w:val="0"/>
                <w:sz w:val="21"/>
                <w:szCs w:val="21"/>
                <w:highlight w:val="none"/>
                <w:lang w:val="en-US" w:eastAsia="zh-CN"/>
              </w:rPr>
              <w:t xml:space="preserve">及 </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项目批准文号</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val="0"/>
                <w:snapToGrid w:val="0"/>
                <w:color w:val="auto"/>
                <w:kern w:val="0"/>
                <w:sz w:val="21"/>
                <w:szCs w:val="21"/>
                <w:highlight w:val="none"/>
              </w:rPr>
              <w:t>始兴县发展和改革局</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Cs w:val="0"/>
                <w:snapToGrid w:val="0"/>
                <w:color w:val="auto"/>
                <w:kern w:val="0"/>
                <w:sz w:val="21"/>
                <w:szCs w:val="21"/>
                <w:highlight w:val="none"/>
              </w:rPr>
              <w:t>始发改投审〔2024〕82号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建设地点</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韶关市始兴县太平镇城北路62号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项目代码</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2411-440222-04-01-272427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资金来源</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及</w:t>
            </w:r>
            <w:r>
              <w:rPr>
                <w:rFonts w:hint="eastAsia" w:ascii="宋体" w:hAnsi="宋体" w:eastAsia="宋体" w:cs="宋体"/>
                <w:snapToGrid w:val="0"/>
                <w:color w:val="auto"/>
                <w:kern w:val="0"/>
                <w:sz w:val="21"/>
                <w:szCs w:val="21"/>
                <w:highlight w:val="none"/>
                <w:lang w:val="en-US" w:eastAsia="zh-CN"/>
              </w:rPr>
              <w:t>落实情况</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由上级资金和县级财政资金安排解决，100%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hAnsi="宋体" w:cs="宋体"/>
                <w:bCs/>
                <w:snapToGrid w:val="0"/>
                <w:color w:val="auto"/>
                <w:kern w:val="0"/>
                <w:sz w:val="21"/>
                <w:szCs w:val="21"/>
                <w:highlight w:val="none"/>
                <w:lang w:eastAsia="zh-CN"/>
              </w:rPr>
              <w:t>始兴县政府投资建设项目代建管理局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hAnsi="宋体" w:cs="宋体"/>
                <w:bCs/>
                <w:snapToGrid w:val="0"/>
                <w:color w:val="auto"/>
                <w:kern w:val="0"/>
                <w:sz w:val="21"/>
                <w:szCs w:val="21"/>
                <w:highlight w:val="none"/>
                <w:lang w:eastAsia="zh-CN"/>
              </w:rPr>
              <w:t>韶关市诚智工程管理咨询有限公司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设计单位</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both"/>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中合一工程设计有限公司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造价咨询单位</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bCs/>
                <w:snapToGrid w:val="0"/>
                <w:color w:val="auto"/>
                <w:kern w:val="0"/>
                <w:sz w:val="21"/>
                <w:szCs w:val="21"/>
                <w:highlight w:val="none"/>
              </w:rPr>
            </w:pP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 xml:space="preserve">非全过程造价咨询   </w:t>
            </w: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全过程造价咨询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11</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监理单位</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□已确定监理单位     ☑未确定监理单位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2</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建设内容和规模</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119" w:firstLineChars="57"/>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建设规模：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119" w:firstLineChars="57"/>
              <w:jc w:val="left"/>
              <w:textAlignment w:val="auto"/>
              <w:rPr>
                <w:rFonts w:hint="eastAsia" w:ascii="宋体" w:hAnsi="宋体" w:eastAsia="宋体" w:cs="宋体"/>
                <w:bCs/>
                <w:snapToGrid w:val="0"/>
                <w:color w:val="auto"/>
                <w:kern w:val="0"/>
                <w:sz w:val="21"/>
                <w:szCs w:val="21"/>
                <w:highlight w:val="none"/>
                <w:vertAlign w:val="baseline"/>
                <w:lang w:val="en-US" w:eastAsia="zh-CN" w:bidi="ar-SA"/>
              </w:rPr>
            </w:pPr>
            <w:r>
              <w:rPr>
                <w:rFonts w:hint="eastAsia" w:ascii="宋体" w:hAnsi="宋体" w:eastAsia="宋体" w:cs="宋体"/>
                <w:color w:val="auto"/>
                <w:kern w:val="0"/>
                <w:sz w:val="21"/>
                <w:szCs w:val="21"/>
                <w:highlight w:val="none"/>
                <w:lang w:val="en-US" w:eastAsia="zh-CN" w:bidi="ar"/>
              </w:rPr>
              <w:t>☑建设内容：新建一栋五层高中教学楼，建筑面积7400.00 平方米；一栋六层高中宿舍楼，建筑面积3700.00 平方米；一栋三层体育馆，建筑面积6600.00 平方米，以及完善配电用房、给排水、挡土墙、围墙、园建、消防水池、广场、校道等配套基础设施等。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3</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项目总投资</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项目总投资约13200.00万元，其中工程费用</w:t>
            </w:r>
            <w:r>
              <w:rPr>
                <w:rFonts w:hint="eastAsia" w:hAnsi="宋体" w:cs="宋体"/>
                <w:b w:val="0"/>
                <w:bCs w:val="0"/>
                <w:snapToGrid w:val="0"/>
                <w:color w:val="auto"/>
                <w:kern w:val="0"/>
                <w:sz w:val="21"/>
                <w:szCs w:val="21"/>
                <w:highlight w:val="none"/>
                <w:lang w:val="en-US" w:eastAsia="zh-CN" w:bidi="ar-SA"/>
              </w:rPr>
              <w:t>9009.52</w:t>
            </w:r>
            <w:r>
              <w:rPr>
                <w:rFonts w:hint="eastAsia" w:ascii="宋体" w:hAnsi="宋体" w:eastAsia="宋体" w:cs="宋体"/>
                <w:b w:val="0"/>
                <w:bCs w:val="0"/>
                <w:snapToGrid w:val="0"/>
                <w:color w:val="auto"/>
                <w:kern w:val="0"/>
                <w:sz w:val="21"/>
                <w:szCs w:val="21"/>
                <w:highlight w:val="none"/>
                <w:lang w:val="en-US" w:eastAsia="zh-CN" w:bidi="ar-SA"/>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4</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招标范围</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eastAsia="zh-CN"/>
              </w:rPr>
              <w:t>按审查合格的施工图纸及工程量清单内容施工</w:t>
            </w:r>
            <w:r>
              <w:rPr>
                <w:rFonts w:hint="eastAsia" w:ascii="宋体" w:hAnsi="宋体" w:eastAsia="宋体" w:cs="宋体"/>
                <w:b w:val="0"/>
                <w:bCs w:val="0"/>
                <w:snapToGrid w:val="0"/>
                <w:color w:val="auto"/>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标段划分</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本招标项目不划分标段。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6</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工期</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本招标项目招标工期为</w:t>
            </w:r>
            <w:r>
              <w:rPr>
                <w:rFonts w:hint="eastAsia" w:ascii="宋体" w:hAnsi="宋体" w:cs="宋体"/>
                <w:b w:val="0"/>
                <w:bCs w:val="0"/>
                <w:snapToGrid w:val="0"/>
                <w:color w:val="auto"/>
                <w:kern w:val="0"/>
                <w:sz w:val="21"/>
                <w:szCs w:val="21"/>
                <w:highlight w:val="none"/>
                <w:u w:val="single"/>
                <w:lang w:val="en-US" w:eastAsia="zh-CN"/>
              </w:rPr>
              <w:t>1080个日历天</w:t>
            </w:r>
            <w:r>
              <w:rPr>
                <w:rFonts w:hint="eastAsia" w:ascii="宋体" w:hAnsi="宋体" w:eastAsia="宋体" w:cs="宋体"/>
                <w:b w:val="0"/>
                <w:bCs w:val="0"/>
                <w:snapToGrid w:val="0"/>
                <w:color w:val="auto"/>
                <w:kern w:val="0"/>
                <w:sz w:val="21"/>
                <w:szCs w:val="21"/>
                <w:highlight w:val="none"/>
                <w:lang w:val="en-US" w:eastAsia="zh-CN"/>
              </w:rPr>
              <w:t>。具体如下：</w:t>
            </w:r>
          </w:p>
          <w:p>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☑总工期：</w:t>
            </w:r>
            <w:r>
              <w:rPr>
                <w:rFonts w:hint="eastAsia" w:ascii="宋体" w:hAnsi="宋体" w:cs="宋体"/>
                <w:b w:val="0"/>
                <w:bCs w:val="0"/>
                <w:snapToGrid w:val="0"/>
                <w:color w:val="auto"/>
                <w:kern w:val="0"/>
                <w:sz w:val="21"/>
                <w:szCs w:val="21"/>
                <w:highlight w:val="none"/>
                <w:u w:val="single"/>
                <w:lang w:val="en-US" w:eastAsia="zh-CN"/>
              </w:rPr>
              <w:t>1080</w:t>
            </w:r>
            <w:r>
              <w:rPr>
                <w:rFonts w:hint="eastAsia" w:ascii="宋体" w:hAnsi="宋体" w:eastAsia="宋体" w:cs="宋体"/>
                <w:b w:val="0"/>
                <w:bCs w:val="0"/>
                <w:snapToGrid w:val="0"/>
                <w:color w:val="auto"/>
                <w:kern w:val="0"/>
                <w:sz w:val="21"/>
                <w:szCs w:val="21"/>
                <w:highlight w:val="none"/>
                <w:lang w:val="en-US" w:eastAsia="zh-CN"/>
              </w:rPr>
              <w:t>天（日历天）。</w:t>
            </w:r>
          </w:p>
          <w:p>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计划开工日期：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日（具体开工日期以合同为准）</w:t>
            </w:r>
          </w:p>
          <w:p>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计划竣工日期：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 </w:t>
            </w:r>
          </w:p>
          <w:p>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除上述总工期外，发包人还要求以下阶段工期：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7</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质量标准</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质量目标：合格</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☑质量标准：符合现行国家有关工程施工质量验收规范和标准的要求。</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color w:val="auto"/>
                <w:kern w:val="0"/>
                <w:sz w:val="21"/>
                <w:szCs w:val="21"/>
                <w:highlight w:val="none"/>
                <w:lang w:val="en-US" w:eastAsia="zh-CN" w:bidi="ar"/>
              </w:rPr>
              <w:t>优质工程要求：</w:t>
            </w:r>
            <w:r>
              <w:rPr>
                <w:rFonts w:hint="eastAsia" w:ascii="宋体" w:hAnsi="宋体" w:eastAsia="宋体" w:cs="宋体"/>
                <w:color w:val="auto"/>
                <w:kern w:val="0"/>
                <w:sz w:val="21"/>
                <w:szCs w:val="21"/>
                <w:highlight w:val="none"/>
                <w:u w:val="single"/>
                <w:lang w:val="en-US" w:eastAsia="zh-CN" w:bidi="ar"/>
              </w:rPr>
              <w:t>无/市优/省优/.....</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工程优质费：☑无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 xml:space="preserve">有：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8</w:t>
            </w:r>
          </w:p>
        </w:tc>
        <w:tc>
          <w:tcPr>
            <w:tcW w:w="1648"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合同类型</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bookmarkStart w:id="28" w:name="_Hlt106417017"/>
            <w:bookmarkEnd w:id="28"/>
            <w:r>
              <w:rPr>
                <w:rFonts w:hint="eastAsia" w:ascii="宋体" w:hAnsi="宋体" w:eastAsia="宋体" w:cs="宋体"/>
                <w:color w:val="auto"/>
                <w:kern w:val="0"/>
                <w:sz w:val="21"/>
                <w:szCs w:val="21"/>
                <w:highlight w:val="none"/>
                <w:lang w:val="en-US" w:eastAsia="zh-CN" w:bidi="ar"/>
              </w:rPr>
              <w:t xml:space="preserve">☑单价合同：发承包双方约定以工程量清单及其综合单价进行合同价款计算、调整和确认的建设工程施工合同。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p>
        </w:tc>
        <w:tc>
          <w:tcPr>
            <w:tcW w:w="1648"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□总价合同：发承包双方约定以施工图及其预算和有关条件进行合同价款计算、调整和确认的建设工程施工合同。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19</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房屋建筑工程</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绿色建筑标准</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本招标项目纳入绿色建筑实施范围，要求达到《绿色建筑评价标准》（GBT50378-2019）规定的一星级标准。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19.1</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装配式建筑标准</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default"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 本招标项目不纳入装配式建造建设实施范围。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20</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发包人提供材料 </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和工程设备</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发包人提供材料和工程设备：☑无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rPr>
              <w:t>有：</w:t>
            </w:r>
            <w:r>
              <w:rPr>
                <w:rFonts w:hint="eastAsia" w:ascii="宋体" w:hAnsi="宋体" w:eastAsia="宋体" w:cs="宋体"/>
                <w:snapToGrid w:val="0"/>
                <w:color w:val="auto"/>
                <w:kern w:val="0"/>
                <w:sz w:val="21"/>
                <w:szCs w:val="21"/>
                <w:highlight w:val="none"/>
                <w:u w:val="single"/>
                <w:lang w:val="en-US" w:eastAsia="zh-CN"/>
              </w:rPr>
              <w:t xml:space="preserve">   /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21</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承包人提供材料 </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和工程设备</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w:t>
            </w:r>
            <w:r>
              <w:rPr>
                <w:rFonts w:hint="eastAsia" w:ascii="宋体" w:hAnsi="宋体" w:eastAsia="宋体" w:cs="宋体"/>
                <w:color w:val="auto"/>
                <w:spacing w:val="-6"/>
                <w:kern w:val="0"/>
                <w:sz w:val="21"/>
                <w:szCs w:val="21"/>
                <w:highlight w:val="none"/>
                <w:lang w:val="en-US" w:eastAsia="zh-CN" w:bidi="ar"/>
              </w:rPr>
              <w:t xml:space="preserve">料、工程设备，但经检测证明该项材料、工程设备符合合同约定的质量标准的，发包人应承担由此增加的费用和（或）工期延误，并向承包人支付合理利润。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□其它说明：鼓励承包人积极采购环保产品进行施工。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83"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22</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招标控制价</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rightChars="0" w:firstLine="420" w:firstLineChars="200"/>
              <w:jc w:val="left"/>
              <w:textAlignment w:val="auto"/>
              <w:rPr>
                <w:rFonts w:hint="eastAsia" w:ascii="宋体" w:hAnsi="宋体" w:eastAsia="宋体" w:cs="宋体"/>
                <w:color w:val="auto"/>
                <w:sz w:val="21"/>
                <w:szCs w:val="16"/>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本工程最高投标限价为：</w:t>
            </w:r>
            <w:r>
              <w:rPr>
                <w:rFonts w:hint="eastAsia" w:ascii="宋体" w:hAnsi="宋体" w:eastAsia="宋体" w:cs="宋体"/>
                <w:b w:val="0"/>
                <w:bCs w:val="0"/>
                <w:snapToGrid w:val="0"/>
                <w:color w:val="auto"/>
                <w:kern w:val="0"/>
                <w:sz w:val="21"/>
                <w:szCs w:val="21"/>
                <w:highlight w:val="none"/>
                <w:u w:val="single"/>
                <w:lang w:val="en-US" w:eastAsia="zh-CN"/>
              </w:rPr>
              <w:t>人民币（大写）捌仟叁佰叁拾肆万零陆佰陆拾玖元肆角伍分（小写：</w:t>
            </w:r>
            <w:r>
              <w:rPr>
                <w:rFonts w:hint="eastAsia" w:ascii="宋体" w:hAnsi="宋体" w:eastAsia="宋体" w:cs="宋体"/>
                <w:snapToGrid w:val="0"/>
                <w:color w:val="auto"/>
                <w:kern w:val="0"/>
                <w:sz w:val="21"/>
                <w:szCs w:val="21"/>
                <w:highlight w:val="none"/>
                <w:u w:val="single"/>
              </w:rPr>
              <w:t>83340669.45</w:t>
            </w:r>
            <w:r>
              <w:rPr>
                <w:rFonts w:hint="eastAsia" w:ascii="宋体" w:hAnsi="宋体" w:eastAsia="宋体" w:cs="宋体"/>
                <w:b w:val="0"/>
                <w:bCs w:val="0"/>
                <w:snapToGrid w:val="0"/>
                <w:color w:val="auto"/>
                <w:kern w:val="0"/>
                <w:sz w:val="21"/>
                <w:szCs w:val="21"/>
                <w:highlight w:val="none"/>
                <w:u w:val="single"/>
                <w:lang w:val="en-US" w:eastAsia="zh-CN"/>
              </w:rPr>
              <w:t>元）。具体详见招标文件“8．招标控制价”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23</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投标人的投标</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报价</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投标时响应招标文件要求所报出的对已标价工程量清单汇总后标明的价。投标人在投标报价填写的工程量清单的项目编码、项目名称、项目特征、计量单位、工程数量必须与招标人招标文件中提供的一致，投标价不能低于工程成本、高于最高投标限价（招标控制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投标报价方式：☑工程量清单报价  □其他： </w:t>
            </w:r>
          </w:p>
          <w:p>
            <w:pPr>
              <w:keepNext w:val="0"/>
              <w:keepLines w:val="0"/>
              <w:pageBreakBefore w:val="0"/>
              <w:widowControl/>
              <w:suppressLineNumbers w:val="0"/>
              <w:kinsoku/>
              <w:overflowPunct/>
              <w:topLinePunct w:val="0"/>
              <w:autoSpaceDE/>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lang w:val="en-US" w:eastAsia="zh-CN" w:bidi="ar"/>
              </w:rPr>
              <w:t>最高投标限价：</w:t>
            </w:r>
            <w:r>
              <w:rPr>
                <w:rFonts w:hint="eastAsia" w:ascii="宋体" w:hAnsi="宋体" w:eastAsia="宋体" w:cs="宋体"/>
                <w:b w:val="0"/>
                <w:bCs w:val="0"/>
                <w:snapToGrid w:val="0"/>
                <w:color w:val="auto"/>
                <w:kern w:val="0"/>
                <w:sz w:val="21"/>
                <w:szCs w:val="21"/>
                <w:highlight w:val="none"/>
                <w:lang w:val="en-US" w:eastAsia="zh-CN"/>
              </w:rPr>
              <w:t>本工程最高投标限价为：</w:t>
            </w:r>
            <w:r>
              <w:rPr>
                <w:rFonts w:hint="eastAsia" w:ascii="宋体" w:hAnsi="宋体" w:eastAsia="宋体" w:cs="宋体"/>
                <w:b w:val="0"/>
                <w:bCs w:val="0"/>
                <w:snapToGrid w:val="0"/>
                <w:color w:val="auto"/>
                <w:kern w:val="0"/>
                <w:sz w:val="21"/>
                <w:szCs w:val="21"/>
                <w:highlight w:val="none"/>
                <w:u w:val="single"/>
                <w:lang w:val="en-US" w:eastAsia="zh-CN"/>
              </w:rPr>
              <w:t>人民币（大写）捌仟叁佰叁拾肆万零陆佰陆拾玖元肆角伍分（小写：</w:t>
            </w:r>
            <w:r>
              <w:rPr>
                <w:rFonts w:hint="eastAsia" w:ascii="宋体" w:hAnsi="宋体" w:eastAsia="宋体" w:cs="宋体"/>
                <w:snapToGrid w:val="0"/>
                <w:color w:val="auto"/>
                <w:kern w:val="0"/>
                <w:sz w:val="21"/>
                <w:szCs w:val="21"/>
                <w:highlight w:val="none"/>
                <w:u w:val="single"/>
              </w:rPr>
              <w:t>83340669.45</w:t>
            </w:r>
            <w:r>
              <w:rPr>
                <w:rFonts w:hint="eastAsia" w:ascii="宋体" w:hAnsi="宋体" w:eastAsia="宋体" w:cs="宋体"/>
                <w:b w:val="0"/>
                <w:bCs w:val="0"/>
                <w:snapToGrid w:val="0"/>
                <w:color w:val="auto"/>
                <w:kern w:val="0"/>
                <w:sz w:val="21"/>
                <w:szCs w:val="21"/>
                <w:highlight w:val="none"/>
                <w:u w:val="single"/>
                <w:lang w:val="en-US" w:eastAsia="zh-CN"/>
              </w:rPr>
              <w:t>元）。具体详见招标文件“8．招标控制价”。</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eastAsia="宋体"/>
                <w:color w:val="auto"/>
                <w:highlight w:val="none"/>
                <w:lang w:eastAsia="zh-CN"/>
              </w:rPr>
            </w:pPr>
            <w:r>
              <w:rPr>
                <w:rFonts w:hint="eastAsia" w:ascii="宋体" w:hAnsi="宋体" w:eastAsia="宋体" w:cs="宋体"/>
                <w:color w:val="auto"/>
                <w:kern w:val="0"/>
                <w:sz w:val="21"/>
                <w:szCs w:val="21"/>
                <w:highlight w:val="none"/>
                <w:lang w:val="en-US" w:eastAsia="zh-CN" w:bidi="ar"/>
              </w:rPr>
              <w:t>投标报价时，应按《广东省建设工程计价依据（2018）》规定的费率报价，若招标工程量清单明确说</w:t>
            </w:r>
            <w:r>
              <w:rPr>
                <w:rFonts w:hint="eastAsia" w:ascii="宋体" w:hAnsi="宋体" w:eastAsia="宋体" w:cs="宋体"/>
                <w:color w:val="auto"/>
                <w:sz w:val="21"/>
                <w:szCs w:val="21"/>
                <w:highlight w:val="none"/>
                <w:lang w:val="en-US" w:eastAsia="zh-CN"/>
              </w:rPr>
              <w:t>明不计算预算包干费或另外确定预算包干费费率的，则按招标工程量清单报价。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24</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投标报价风险</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☑投标人依据招标文件约定自行考虑风险因素，一旦中标，投标报价（合同价）除合同另有约定外将不因市场变化而调整。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☑投标报价中应包括工程量清单项目所发生的人工费、材料费、 机具费、管理费、利润、措施项目费、其它项目费、税金、暂列金额、暂估价以及所有风险、责任等各项费用。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☑人工费、材料费、机具费、管理费</w:t>
            </w:r>
            <w:r>
              <w:rPr>
                <w:rFonts w:hint="eastAsia" w:ascii="宋体" w:hAnsi="宋体" w:eastAsia="宋体" w:cs="宋体"/>
                <w:snapToGrid w:val="0"/>
                <w:color w:val="auto"/>
                <w:kern w:val="0"/>
                <w:sz w:val="21"/>
                <w:szCs w:val="21"/>
                <w:highlight w:val="none"/>
                <w:lang w:val="en-US" w:eastAsia="zh-CN"/>
              </w:rPr>
              <w:t>、利润、措施项目费投标人漏报或不</w:t>
            </w:r>
            <w:r>
              <w:rPr>
                <w:rFonts w:hint="eastAsia" w:ascii="宋体" w:hAnsi="宋体" w:eastAsia="宋体" w:cs="宋体"/>
                <w:color w:val="auto"/>
                <w:kern w:val="0"/>
                <w:sz w:val="21"/>
                <w:szCs w:val="21"/>
                <w:highlight w:val="none"/>
                <w:lang w:val="en-US" w:eastAsia="zh-CN" w:bidi="ar"/>
              </w:rPr>
              <w:t xml:space="preserve">报，招标人视为有关费用已包括在工程量清单项目的其它单价及合价中不予另外增加。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☑在施工过程中产生的各项工程检测费用、验收费用、水电报装入户等各项费用均由承包人自行解决，费用考虑在投标报价中。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☑措施项目中的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color w:val="auto"/>
                <w:kern w:val="0"/>
                <w:sz w:val="21"/>
                <w:szCs w:val="21"/>
                <w:highlight w:val="none"/>
                <w:lang w:val="en-US" w:eastAsia="zh-CN" w:bidi="ar"/>
              </w:rPr>
              <w:t xml:space="preserve">，必须按国家、省级、市级（即工程所在地）行业建设主管部门的规定计算，不得作为竞争性费用。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☑投标人应按照招标文件提供的工程量清单逐项填写单价和合价，投标人未填写的项目，招标人将视为此项费用已包括在工程量清单项目的其它单价及合价中不予另外增加。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☑招标人向投标人提供的有关施工现场资料及数据，是招标人现有的能使投标人利用的资料，招标人对投标人据此作出的推论及理解概不负责。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color w:val="auto"/>
                <w:highlight w:val="none"/>
                <w:lang w:val="en-US" w:eastAsia="zh-CN"/>
              </w:rPr>
            </w:pPr>
            <w:r>
              <w:rPr>
                <w:rFonts w:hint="eastAsia" w:ascii="宋体" w:hAnsi="宋体" w:eastAsia="宋体" w:cs="宋体"/>
                <w:color w:val="auto"/>
                <w:kern w:val="0"/>
                <w:sz w:val="21"/>
                <w:szCs w:val="21"/>
                <w:highlight w:val="none"/>
                <w:lang w:val="en-US" w:eastAsia="zh-CN" w:bidi="ar"/>
              </w:rPr>
              <w:t>☑错漏项的认定。中标人已标价工程量清单中，任一清单项目未填报价格或价格为零的，招标人将视为此项费用已包括在工程量清单项目的其它单价及合价中不予另外增加。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25</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投标费用</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投标人自行承担编制与递交投标文件的一切费用。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26</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val="0"/>
                <w:bCs w:val="0"/>
                <w:i w:val="0"/>
                <w:color w:val="auto"/>
                <w:kern w:val="0"/>
                <w:sz w:val="21"/>
                <w:szCs w:val="21"/>
                <w:highlight w:val="none"/>
                <w:u w:val="none"/>
                <w:lang w:val="en-US" w:eastAsia="zh-CN" w:bidi="ar"/>
              </w:rPr>
              <w:t>成本警示价</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bidi w:val="0"/>
              <w:spacing w:before="0" w:beforeAutospacing="0" w:after="0" w:afterAutospacing="0"/>
              <w:ind w:left="0" w:right="0"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投标报价要求：</w:t>
            </w:r>
          </w:p>
          <w:p>
            <w:pPr>
              <w:keepNext w:val="0"/>
              <w:keepLines w:val="0"/>
              <w:widowControl/>
              <w:suppressLineNumbers w:val="0"/>
              <w:bidi w:val="0"/>
              <w:spacing w:before="0" w:beforeAutospacing="0" w:after="0" w:afterAutospacing="0"/>
              <w:ind w:left="0" w:right="0"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1.投标人的投标报价不得高于招标人设置的最高投标限价，否则作无效投标处理；</w:t>
            </w:r>
          </w:p>
          <w:p>
            <w:pPr>
              <w:keepNext w:val="0"/>
              <w:keepLines w:val="0"/>
              <w:widowControl/>
              <w:suppressLineNumbers w:val="0"/>
              <w:bidi w:val="0"/>
              <w:spacing w:before="0" w:beforeAutospacing="0" w:after="0" w:afterAutospacing="0"/>
              <w:ind w:left="0" w:right="0" w:firstLine="210" w:firstLineChars="100"/>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US" w:eastAsia="zh-CN"/>
              </w:rPr>
              <w:t>2.投标人的投标报价如低于招标项目的成本警示价的，需提供成本分析资料等报价依据。（成本警示价＝最高投标限价×85%）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27</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投标人资格要求</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本次招标</w:t>
            </w:r>
            <w:r>
              <w:rPr>
                <w:rFonts w:hint="eastAsia" w:ascii="宋体" w:hAnsi="宋体" w:eastAsia="宋体" w:cs="宋体"/>
                <w:b/>
                <w:bCs/>
                <w:color w:val="auto"/>
                <w:sz w:val="21"/>
                <w:szCs w:val="21"/>
                <w:highlight w:val="none"/>
                <w:u w:val="single"/>
              </w:rPr>
              <w:t>不</w:t>
            </w:r>
            <w:r>
              <w:rPr>
                <w:rFonts w:hint="eastAsia" w:ascii="宋体" w:hAnsi="宋体" w:eastAsia="宋体" w:cs="宋体"/>
                <w:color w:val="auto"/>
                <w:sz w:val="21"/>
                <w:szCs w:val="21"/>
                <w:highlight w:val="none"/>
              </w:rPr>
              <w:t>接受联合体投标。</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2．资格资质要求</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投标人须具备独立法人资格，按国家法律经营。</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投标人须持有建设行政主管部门颁发的企业资质证书及安全生产许可证。</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投标人须具备以下资质：</w:t>
            </w:r>
            <w:r>
              <w:rPr>
                <w:rFonts w:hint="eastAsia" w:ascii="宋体" w:hAnsi="宋体" w:eastAsia="宋体" w:cs="宋体"/>
                <w:color w:val="auto"/>
                <w:sz w:val="21"/>
                <w:szCs w:val="21"/>
                <w:highlight w:val="none"/>
                <w:lang w:val="en-US" w:eastAsia="zh-CN"/>
              </w:rPr>
              <w:t>具备</w:t>
            </w:r>
            <w:r>
              <w:rPr>
                <w:rFonts w:hint="eastAsia" w:hAnsi="宋体" w:cs="宋体"/>
                <w:b/>
                <w:bCs/>
                <w:color w:val="auto"/>
                <w:sz w:val="21"/>
                <w:szCs w:val="21"/>
                <w:highlight w:val="none"/>
                <w:u w:val="single"/>
                <w:lang w:eastAsia="zh-CN"/>
              </w:rPr>
              <w:t>建筑工程施工总承包二级以上（含二级）</w:t>
            </w:r>
            <w:r>
              <w:rPr>
                <w:rFonts w:hint="eastAsia" w:ascii="宋体" w:hAnsi="宋体" w:eastAsia="宋体" w:cs="宋体"/>
                <w:color w:val="auto"/>
                <w:sz w:val="21"/>
                <w:szCs w:val="21"/>
                <w:highlight w:val="none"/>
                <w:lang w:eastAsia="zh-CN"/>
              </w:rPr>
              <w:t>资质</w:t>
            </w:r>
            <w:r>
              <w:rPr>
                <w:rFonts w:hint="eastAsia" w:ascii="宋体" w:hAnsi="宋体" w:eastAsia="宋体" w:cs="宋体"/>
                <w:color w:val="auto"/>
                <w:sz w:val="21"/>
                <w:szCs w:val="21"/>
                <w:highlight w:val="none"/>
              </w:rPr>
              <w:t>。</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3．相关人员要求</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 拟派项目经理为</w:t>
            </w:r>
            <w:r>
              <w:rPr>
                <w:rFonts w:hint="eastAsia" w:ascii="宋体" w:hAnsi="宋体" w:eastAsia="宋体" w:cs="宋体"/>
                <w:color w:val="auto"/>
                <w:sz w:val="21"/>
                <w:szCs w:val="21"/>
                <w:highlight w:val="none"/>
                <w:lang w:val="en-US" w:eastAsia="zh-CN"/>
              </w:rPr>
              <w:t>具备</w:t>
            </w:r>
            <w:r>
              <w:rPr>
                <w:rFonts w:hint="eastAsia" w:ascii="宋体" w:hAnsi="宋体" w:eastAsia="宋体" w:cs="宋体"/>
                <w:b/>
                <w:bCs/>
                <w:color w:val="auto"/>
                <w:sz w:val="21"/>
                <w:szCs w:val="21"/>
                <w:highlight w:val="none"/>
                <w:u w:val="single"/>
                <w:lang w:eastAsia="zh-CN"/>
              </w:rPr>
              <w:t>建筑工程</w:t>
            </w:r>
            <w:r>
              <w:rPr>
                <w:rFonts w:hint="eastAsia" w:ascii="宋体" w:hAnsi="宋体" w:eastAsia="宋体" w:cs="宋体"/>
                <w:b/>
                <w:bCs/>
                <w:color w:val="auto"/>
                <w:sz w:val="21"/>
                <w:szCs w:val="21"/>
                <w:highlight w:val="none"/>
                <w:u w:val="single"/>
              </w:rPr>
              <w:t>专业一级或二级注册建造师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应持有住建部门印发的在使用</w:t>
            </w:r>
            <w:r>
              <w:rPr>
                <w:rFonts w:hint="eastAsia" w:ascii="宋体" w:hAnsi="宋体" w:eastAsia="宋体" w:cs="宋体"/>
                <w:b/>
                <w:bCs/>
                <w:color w:val="auto"/>
                <w:sz w:val="21"/>
                <w:szCs w:val="21"/>
                <w:highlight w:val="none"/>
                <w:lang w:eastAsia="zh-CN"/>
              </w:rPr>
              <w:t>有效期内</w:t>
            </w:r>
            <w:r>
              <w:rPr>
                <w:rFonts w:hint="eastAsia" w:ascii="宋体" w:hAnsi="宋体" w:eastAsia="宋体" w:cs="宋体"/>
                <w:color w:val="auto"/>
                <w:sz w:val="21"/>
                <w:szCs w:val="21"/>
                <w:highlight w:val="none"/>
                <w:lang w:eastAsia="zh-CN"/>
              </w:rPr>
              <w:t>的有效电子注册证书（根据广东省住房和城乡建设厅（粤建市函〔2023〕469号）文件精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神，二级注册建造师可随注册企业在全国范围内执业）。同时均须具备有效安全生产考核合格证明（B证），且未担任其他在施（包括已中标未开工、已开工未竣工）建设工程项目的项目经理。</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拟派项目技术负责人须具备</w:t>
            </w:r>
            <w:r>
              <w:rPr>
                <w:rFonts w:hint="eastAsia" w:ascii="宋体" w:hAnsi="宋体" w:eastAsia="宋体" w:cs="宋体"/>
                <w:b/>
                <w:bCs/>
                <w:color w:val="auto"/>
                <w:sz w:val="21"/>
                <w:szCs w:val="21"/>
                <w:highlight w:val="none"/>
                <w:u w:val="single"/>
                <w:lang w:eastAsia="zh-CN"/>
              </w:rPr>
              <w:t>建筑</w:t>
            </w:r>
            <w:r>
              <w:rPr>
                <w:rFonts w:hint="eastAsia" w:ascii="宋体" w:hAnsi="宋体" w:eastAsia="宋体" w:cs="宋体"/>
                <w:b/>
                <w:bCs/>
                <w:color w:val="auto"/>
                <w:sz w:val="21"/>
                <w:szCs w:val="21"/>
                <w:highlight w:val="none"/>
                <w:u w:val="single"/>
              </w:rPr>
              <w:t>工程相关专业</w:t>
            </w:r>
            <w:r>
              <w:rPr>
                <w:rFonts w:hint="eastAsia" w:hAnsi="宋体" w:cs="宋体"/>
                <w:b/>
                <w:bCs/>
                <w:color w:val="auto"/>
                <w:sz w:val="21"/>
                <w:szCs w:val="21"/>
                <w:highlight w:val="none"/>
                <w:u w:val="single"/>
                <w:lang w:val="en-US" w:eastAsia="zh-CN"/>
              </w:rPr>
              <w:t>高</w:t>
            </w:r>
            <w:r>
              <w:rPr>
                <w:rFonts w:hint="eastAsia" w:ascii="宋体" w:hAnsi="宋体" w:eastAsia="宋体" w:cs="宋体"/>
                <w:b/>
                <w:bCs/>
                <w:color w:val="auto"/>
                <w:sz w:val="21"/>
                <w:szCs w:val="21"/>
                <w:highlight w:val="none"/>
                <w:u w:val="single"/>
              </w:rPr>
              <w:t>级或以上</w:t>
            </w:r>
            <w:r>
              <w:rPr>
                <w:rFonts w:hint="eastAsia" w:ascii="宋体" w:hAnsi="宋体" w:eastAsia="宋体" w:cs="宋体"/>
                <w:color w:val="auto"/>
                <w:sz w:val="21"/>
                <w:szCs w:val="21"/>
                <w:highlight w:val="none"/>
              </w:rPr>
              <w:t>技术职称。</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color w:val="auto"/>
                <w:sz w:val="21"/>
                <w:szCs w:val="21"/>
                <w:highlight w:val="none"/>
                <w:u w:val="single"/>
                <w:lang w:val="en-US" w:eastAsia="zh-CN"/>
              </w:rPr>
              <w:t>2</w:t>
            </w:r>
            <w:r>
              <w:rPr>
                <w:rFonts w:hint="eastAsia" w:ascii="宋体" w:hAnsi="宋体" w:eastAsia="宋体" w:cs="宋体"/>
                <w:color w:val="auto"/>
                <w:sz w:val="21"/>
                <w:szCs w:val="21"/>
                <w:highlight w:val="none"/>
              </w:rPr>
              <w:t>人。</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．禁止投标条款：</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.1 投标人不得存在下列情形之一：    </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（1）为招标人不具有独立法人资格的附属机构（单位）；</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（2）为本招标项目前期准备提供设计或咨询服务的；</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（3）与本招标项目的其他投标人为同一个单位负责人；</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（4）与本招标项目的其他投标人存在控股、管理关系；</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（5）为本招标项目的监理人；</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（6）为本招标项目的代建人；</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（7）为本招标项目的招标代理机构；</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（8）与本招标项目的监理人或代建人或招标代理机构同为一个法定代表人；</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（9）与本招标项目的监理人或代建人或招标代理机构存在控股或参股关系；</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（10）与本招标项目的监理人或代建人或招标代理机构存在相互任职或工作关系；</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（11）被依法暂停或者取消投标资格；</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（12）被责令停产停业、暂扣或者吊销许可证、暂扣或者吊销执照；</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（13）进入清算程序，或被宣告破产，或其他丧失履约能力的情形；</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（14）在最近三年内发生重大工程质量或安全问题（以相关行业主管部门的行政处罚决定或司法机关出具的有关法律文书为准）；</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（15）被“信用中国”网站（https</w:t>
            </w:r>
            <w:r>
              <w:rPr>
                <w:rFonts w:hint="eastAsia" w:ascii="宋体" w:hAnsi="宋体" w:eastAsia="宋体" w:cs="宋体"/>
                <w:i w:val="0"/>
                <w:iCs w:val="0"/>
                <w:caps w:val="0"/>
                <w:color w:val="auto"/>
                <w:spacing w:val="0"/>
                <w:sz w:val="21"/>
                <w:szCs w:val="21"/>
                <w:highlight w:val="none"/>
                <w:lang w:eastAsia="zh-CN"/>
              </w:rPr>
              <w:t>：</w:t>
            </w:r>
            <w:r>
              <w:rPr>
                <w:rFonts w:hint="eastAsia" w:ascii="宋体" w:hAnsi="宋体" w:eastAsia="宋体" w:cs="宋体"/>
                <w:i w:val="0"/>
                <w:iCs w:val="0"/>
                <w:caps w:val="0"/>
                <w:color w:val="auto"/>
                <w:spacing w:val="0"/>
                <w:sz w:val="21"/>
                <w:szCs w:val="21"/>
                <w:highlight w:val="none"/>
              </w:rPr>
              <w:t>//www.creditchina.gov.cn）发布的《法人和非法人组织公共信用信息报告》列为严重失信主体名单的。</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 招标人拒绝以下名单中的单位参加本次投标：</w:t>
            </w:r>
          </w:p>
          <w:tbl>
            <w:tblPr>
              <w:tblStyle w:val="20"/>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3723"/>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655" w:type="dxa"/>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723" w:type="dxa"/>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tc>
              <w:tc>
                <w:tcPr>
                  <w:tcW w:w="3000" w:type="dxa"/>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5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1</w:t>
                  </w:r>
                </w:p>
              </w:tc>
              <w:tc>
                <w:tcPr>
                  <w:tcW w:w="3723"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世纪工程项目管理有限公司</w:t>
                  </w:r>
                </w:p>
              </w:tc>
              <w:tc>
                <w:tcPr>
                  <w:tcW w:w="300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为本招标项目的项目可行性研究报告编制单位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5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2</w:t>
                  </w:r>
                </w:p>
              </w:tc>
              <w:tc>
                <w:tcPr>
                  <w:tcW w:w="3723"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iCs/>
                      <w:snapToGrid w:val="0"/>
                      <w:color w:val="auto"/>
                      <w:kern w:val="0"/>
                      <w:sz w:val="21"/>
                      <w:szCs w:val="21"/>
                      <w:highlight w:val="none"/>
                      <w:lang w:val="en-US"/>
                    </w:rPr>
                  </w:pPr>
                  <w:r>
                    <w:rPr>
                      <w:rFonts w:hint="eastAsia" w:ascii="宋体" w:hAnsi="宋体" w:eastAsia="宋体" w:cs="宋体"/>
                      <w:iCs/>
                      <w:snapToGrid w:val="0"/>
                      <w:color w:val="auto"/>
                      <w:kern w:val="0"/>
                      <w:sz w:val="21"/>
                      <w:szCs w:val="21"/>
                      <w:highlight w:val="none"/>
                      <w:lang w:val="en-US"/>
                    </w:rPr>
                    <w:t>广东中茂项目咨询管理有限公司</w:t>
                  </w:r>
                </w:p>
              </w:tc>
              <w:tc>
                <w:tcPr>
                  <w:tcW w:w="300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w:t>
                  </w:r>
                  <w:r>
                    <w:rPr>
                      <w:rFonts w:hint="eastAsia" w:ascii="宋体" w:hAnsi="宋体" w:eastAsia="宋体" w:cs="宋体"/>
                      <w:color w:val="auto"/>
                      <w:kern w:val="0"/>
                      <w:sz w:val="21"/>
                      <w:szCs w:val="21"/>
                      <w:highlight w:val="none"/>
                      <w:lang w:val="en-US" w:eastAsia="zh-CN" w:bidi="ar-SA"/>
                    </w:rPr>
                    <w:fldChar w:fldCharType="begin"/>
                  </w:r>
                  <w:r>
                    <w:rPr>
                      <w:rFonts w:hint="eastAsia" w:ascii="宋体" w:hAnsi="宋体" w:eastAsia="宋体" w:cs="宋体"/>
                      <w:color w:val="auto"/>
                      <w:kern w:val="0"/>
                      <w:sz w:val="21"/>
                      <w:szCs w:val="21"/>
                      <w:highlight w:val="none"/>
                      <w:lang w:val="en-US" w:eastAsia="zh-CN" w:bidi="ar-SA"/>
                    </w:rPr>
                    <w:instrText xml:space="preserve"> HYPERLINK "https://ygp.gdzwfw.gov.cn/zjfwcs/gd-zjcs-pub/bidResultNotice/view/4402224558876132603270464" </w:instrText>
                  </w:r>
                  <w:r>
                    <w:rPr>
                      <w:rFonts w:hint="eastAsia" w:ascii="宋体" w:hAnsi="宋体" w:eastAsia="宋体" w:cs="宋体"/>
                      <w:color w:val="auto"/>
                      <w:kern w:val="0"/>
                      <w:sz w:val="21"/>
                      <w:szCs w:val="21"/>
                      <w:highlight w:val="none"/>
                      <w:lang w:val="en-US" w:eastAsia="zh-CN" w:bidi="ar-SA"/>
                    </w:rPr>
                    <w:fldChar w:fldCharType="separate"/>
                  </w:r>
                  <w:r>
                    <w:rPr>
                      <w:rFonts w:hint="eastAsia" w:ascii="宋体" w:hAnsi="宋体" w:eastAsia="宋体" w:cs="宋体"/>
                      <w:color w:val="auto"/>
                      <w:kern w:val="0"/>
                      <w:sz w:val="21"/>
                      <w:szCs w:val="21"/>
                      <w:highlight w:val="none"/>
                      <w:lang w:val="en-US" w:eastAsia="zh-CN" w:bidi="ar-SA"/>
                    </w:rPr>
                    <w:t>全过程造价咨询</w:t>
                  </w:r>
                  <w:r>
                    <w:rPr>
                      <w:rFonts w:hint="eastAsia" w:ascii="宋体" w:hAnsi="宋体" w:eastAsia="宋体" w:cs="宋体"/>
                      <w:color w:val="auto"/>
                      <w:kern w:val="0"/>
                      <w:sz w:val="21"/>
                      <w:szCs w:val="21"/>
                      <w:highlight w:val="none"/>
                      <w:lang w:val="en-US" w:eastAsia="zh-CN" w:bidi="ar-SA"/>
                    </w:rPr>
                    <w:fldChar w:fldCharType="end"/>
                  </w:r>
                  <w:r>
                    <w:rPr>
                      <w:rFonts w:hint="eastAsia" w:ascii="宋体" w:hAnsi="宋体" w:eastAsia="宋体" w:cs="宋体"/>
                      <w:color w:val="auto"/>
                      <w:kern w:val="0"/>
                      <w:sz w:val="21"/>
                      <w:szCs w:val="21"/>
                      <w:highlight w:val="none"/>
                      <w:lang w:val="en-US" w:eastAsia="zh-CN" w:bidi="ar-SA"/>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5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3</w:t>
                  </w:r>
                </w:p>
              </w:tc>
              <w:tc>
                <w:tcPr>
                  <w:tcW w:w="3723"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大华建设项目管理有限公司</w:t>
                  </w:r>
                </w:p>
              </w:tc>
              <w:tc>
                <w:tcPr>
                  <w:tcW w:w="300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为本招标项目的初步设计概算评估单位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5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4</w:t>
                  </w:r>
                </w:p>
              </w:tc>
              <w:tc>
                <w:tcPr>
                  <w:tcW w:w="3723"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中合一工程设计有限公司</w:t>
                  </w:r>
                </w:p>
              </w:tc>
              <w:tc>
                <w:tcPr>
                  <w:tcW w:w="300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为本招标项目的勘察、设计单位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5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5</w:t>
                  </w:r>
                </w:p>
              </w:tc>
              <w:tc>
                <w:tcPr>
                  <w:tcW w:w="3723"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待定</w:t>
                  </w:r>
                </w:p>
              </w:tc>
              <w:tc>
                <w:tcPr>
                  <w:tcW w:w="300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5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6</w:t>
                  </w:r>
                </w:p>
              </w:tc>
              <w:tc>
                <w:tcPr>
                  <w:tcW w:w="3723"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始兴县风度中学</w:t>
                  </w:r>
                </w:p>
              </w:tc>
              <w:tc>
                <w:tcPr>
                  <w:tcW w:w="300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SA"/>
                    </w:rPr>
                    <w:t>为本招标项目的</w:t>
                  </w:r>
                  <w:r>
                    <w:rPr>
                      <w:rFonts w:hint="eastAsia" w:hAnsi="宋体" w:cs="宋体"/>
                      <w:color w:val="auto"/>
                      <w:kern w:val="0"/>
                      <w:sz w:val="21"/>
                      <w:szCs w:val="21"/>
                      <w:highlight w:val="none"/>
                      <w:lang w:val="en-US" w:eastAsia="zh-CN" w:bidi="ar-SA"/>
                    </w:rPr>
                    <w:t>业主单位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5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7</w:t>
                  </w:r>
                </w:p>
              </w:tc>
              <w:tc>
                <w:tcPr>
                  <w:tcW w:w="3723"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始兴县政府投资建设项目代建管理局</w:t>
                  </w:r>
                </w:p>
              </w:tc>
              <w:tc>
                <w:tcPr>
                  <w:tcW w:w="300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5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hAnsi="宋体" w:cs="宋体"/>
                      <w:color w:val="auto"/>
                      <w:kern w:val="0"/>
                      <w:sz w:val="21"/>
                      <w:szCs w:val="21"/>
                      <w:highlight w:val="none"/>
                      <w:lang w:val="en-US" w:eastAsia="zh-CN" w:bidi="ar-SA"/>
                    </w:rPr>
                    <w:t>8</w:t>
                  </w:r>
                </w:p>
              </w:tc>
              <w:tc>
                <w:tcPr>
                  <w:tcW w:w="3723"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韶关市诚智工程管理咨询有限公司</w:t>
                  </w:r>
                </w:p>
              </w:tc>
              <w:tc>
                <w:tcPr>
                  <w:tcW w:w="300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color w:val="auto"/>
                      <w:kern w:val="0"/>
                      <w:sz w:val="21"/>
                      <w:szCs w:val="21"/>
                      <w:highlight w:val="none"/>
                      <w:lang w:val="en-US" w:eastAsia="zh-CN" w:bidi="ar-SA"/>
                    </w:rPr>
                    <w:t>为本招标项目的招标代理机构</w:t>
                  </w:r>
                </w:p>
              </w:tc>
            </w:tr>
          </w:tbl>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6.其他要求</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省外企业</w:t>
            </w:r>
            <w:r>
              <w:rPr>
                <w:rStyle w:val="25"/>
                <w:rFonts w:hint="eastAsia" w:ascii="宋体" w:hAnsi="宋体" w:cs="宋体"/>
                <w:color w:val="auto"/>
                <w:kern w:val="0"/>
                <w:sz w:val="21"/>
                <w:szCs w:val="21"/>
                <w:highlight w:val="none"/>
                <w:lang w:eastAsia="zh-CN"/>
              </w:rPr>
              <w:t>（</w:t>
            </w:r>
            <w:r>
              <w:rPr>
                <w:rStyle w:val="25"/>
                <w:rFonts w:hint="eastAsia" w:ascii="宋体" w:hAnsi="宋体" w:eastAsia="宋体" w:cs="宋体"/>
                <w:color w:val="auto"/>
                <w:kern w:val="0"/>
                <w:sz w:val="21"/>
                <w:szCs w:val="21"/>
                <w:highlight w:val="none"/>
              </w:rPr>
              <w:t>包括组成联合体的所有成员单位）</w:t>
            </w:r>
            <w:r>
              <w:rPr>
                <w:rFonts w:hint="eastAsia" w:ascii="宋体" w:hAnsi="宋体" w:eastAsia="宋体" w:cs="宋体"/>
                <w:color w:val="auto"/>
                <w:kern w:val="2"/>
                <w:sz w:val="21"/>
                <w:szCs w:val="21"/>
                <w:highlight w:val="none"/>
                <w:lang w:val="en-US" w:eastAsia="zh-CN" w:bidi="ar-SA"/>
              </w:rPr>
              <w:t>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28</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投标有效期</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本次招标的投标有效期为90个日历天。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9</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投标文件组成</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投标文件包括商务标书、经济标书、施工组织设计和定标文件四个分册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30</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施工组织设计</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评审方式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本次招标施工组织设计不采用 “暗标”方式进行评审。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1</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评标委员会</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00" w:lineRule="exact"/>
              <w:ind w:left="0" w:right="0"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本项目</w:t>
            </w:r>
            <w:r>
              <w:rPr>
                <w:rFonts w:hint="eastAsia" w:ascii="宋体" w:hAnsi="宋体" w:eastAsia="宋体" w:cs="宋体"/>
                <w:snapToGrid w:val="0"/>
                <w:color w:val="auto"/>
                <w:kern w:val="0"/>
                <w:sz w:val="21"/>
                <w:szCs w:val="21"/>
                <w:highlight w:val="none"/>
                <w:lang w:eastAsia="zh-CN"/>
              </w:rPr>
              <w:t>根据《</w:t>
            </w:r>
            <w:r>
              <w:rPr>
                <w:rFonts w:hint="eastAsia" w:ascii="宋体" w:hAnsi="宋体" w:eastAsia="宋体" w:cs="宋体"/>
                <w:snapToGrid w:val="0"/>
                <w:color w:val="auto"/>
                <w:kern w:val="0"/>
                <w:sz w:val="21"/>
                <w:szCs w:val="21"/>
                <w:highlight w:val="none"/>
                <w:lang w:val="en-US" w:eastAsia="zh-CN"/>
              </w:rPr>
              <w:t>广东省发展和改革委员会等部门关于印发广东省远程异地评标招标项目范围规定（试行）的通知</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粤发改规〔2026〕8号</w:t>
            </w:r>
            <w:r>
              <w:rPr>
                <w:rFonts w:hint="eastAsia" w:ascii="宋体" w:hAnsi="宋体" w:eastAsia="宋体" w:cs="宋体"/>
                <w:snapToGrid w:val="0"/>
                <w:color w:val="auto"/>
                <w:kern w:val="0"/>
                <w:sz w:val="21"/>
                <w:szCs w:val="21"/>
                <w:highlight w:val="none"/>
                <w:lang w:eastAsia="zh-CN"/>
              </w:rPr>
              <w:t>）文件要求，</w:t>
            </w:r>
            <w:r>
              <w:rPr>
                <w:rFonts w:hint="eastAsia" w:ascii="宋体" w:hAnsi="宋体" w:eastAsia="宋体" w:cs="宋体"/>
                <w:snapToGrid w:val="0"/>
                <w:color w:val="auto"/>
                <w:kern w:val="0"/>
                <w:sz w:val="21"/>
                <w:szCs w:val="21"/>
                <w:highlight w:val="none"/>
              </w:rPr>
              <w:t>采用异地评审方式</w:t>
            </w:r>
            <w:r>
              <w:rPr>
                <w:rFonts w:hint="eastAsia" w:ascii="宋体" w:hAnsi="宋体" w:eastAsia="宋体" w:cs="宋体"/>
                <w:snapToGrid w:val="0"/>
                <w:color w:val="auto"/>
                <w:kern w:val="0"/>
                <w:sz w:val="21"/>
                <w:szCs w:val="21"/>
                <w:highlight w:val="none"/>
                <w:lang w:eastAsia="zh-CN"/>
              </w:rPr>
              <w:t>（注：远程异地评标的项目，主场、副场评标专家抽取</w:t>
            </w:r>
            <w:r>
              <w:rPr>
                <w:rFonts w:hint="eastAsia" w:ascii="宋体" w:hAnsi="宋体" w:eastAsia="宋体" w:cs="宋体"/>
                <w:snapToGrid w:val="0"/>
                <w:color w:val="auto"/>
                <w:kern w:val="0"/>
                <w:sz w:val="21"/>
                <w:szCs w:val="21"/>
                <w:highlight w:val="none"/>
                <w:lang w:val="en-US" w:eastAsia="zh-CN"/>
              </w:rPr>
              <w:t>按相关文件规定）。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rPr>
              <w:t>评标委员会由</w:t>
            </w:r>
            <w:r>
              <w:rPr>
                <w:rFonts w:hint="eastAsia" w:ascii="宋体" w:hAnsi="宋体" w:eastAsia="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rPr>
              <w:t>人组成，其中招标人代表</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single"/>
              </w:rPr>
              <w:t>0</w:t>
            </w:r>
            <w:r>
              <w:rPr>
                <w:rFonts w:hint="eastAsia" w:ascii="宋体" w:hAnsi="宋体" w:eastAsia="宋体" w:cs="宋体"/>
                <w:snapToGrid w:val="0"/>
                <w:color w:val="auto"/>
                <w:kern w:val="0"/>
                <w:sz w:val="21"/>
                <w:szCs w:val="21"/>
                <w:highlight w:val="none"/>
              </w:rPr>
              <w:t>人，专家</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hAnsi="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rPr>
              <w:t>人。专家从</w:t>
            </w:r>
            <w:r>
              <w:rPr>
                <w:rFonts w:hint="eastAsia" w:ascii="宋体" w:hAnsi="宋体" w:eastAsia="宋体" w:cs="宋体"/>
                <w:snapToGrid w:val="0"/>
                <w:color w:val="auto"/>
                <w:kern w:val="0"/>
                <w:sz w:val="21"/>
                <w:szCs w:val="21"/>
                <w:highlight w:val="none"/>
                <w:u w:val="single"/>
              </w:rPr>
              <w:t>广东省综合评标评审专家库</w:t>
            </w:r>
            <w:r>
              <w:rPr>
                <w:rFonts w:hint="eastAsia" w:ascii="宋体" w:hAnsi="宋体" w:eastAsia="宋体" w:cs="宋体"/>
                <w:snapToGrid w:val="0"/>
                <w:color w:val="auto"/>
                <w:kern w:val="0"/>
                <w:sz w:val="21"/>
                <w:szCs w:val="21"/>
                <w:highlight w:val="none"/>
              </w:rPr>
              <w:t>中随机抽取，其中技术类专家</w:t>
            </w:r>
            <w:r>
              <w:rPr>
                <w:rFonts w:hint="eastAsia" w:hAnsi="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rPr>
              <w:t>人，经济类专家</w:t>
            </w:r>
            <w:r>
              <w:rPr>
                <w:rFonts w:hint="eastAsia" w:ascii="宋体" w:hAnsi="宋体" w:eastAsia="宋体" w:cs="宋体"/>
                <w:snapToGrid w:val="0"/>
                <w:color w:val="auto"/>
                <w:kern w:val="0"/>
                <w:sz w:val="21"/>
                <w:szCs w:val="21"/>
                <w:highlight w:val="none"/>
                <w:u w:val="single"/>
              </w:rPr>
              <w:t xml:space="preserve"> 2</w:t>
            </w:r>
            <w:r>
              <w:rPr>
                <w:rFonts w:hint="eastAsia" w:ascii="宋体" w:hAnsi="宋体" w:eastAsia="宋体" w:cs="宋体"/>
                <w:snapToGrid w:val="0"/>
                <w:color w:val="auto"/>
                <w:kern w:val="0"/>
                <w:sz w:val="21"/>
                <w:szCs w:val="21"/>
                <w:highlight w:val="none"/>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32</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3</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评标方法</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 □ A＋B 值评标法     □经评审的最低投标价法    ☑综合评估法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10"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4</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120" w:leftChars="50" w:right="120" w:rightChars="5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35</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lang w:val="en-US" w:eastAsia="zh-CN"/>
              </w:rPr>
              <w:t>6</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招标代理</w:t>
            </w:r>
            <w:r>
              <w:rPr>
                <w:rFonts w:hint="eastAsia" w:hAnsi="宋体" w:cs="宋体"/>
                <w:snapToGrid w:val="0"/>
                <w:color w:val="auto"/>
                <w:kern w:val="0"/>
                <w:sz w:val="21"/>
                <w:szCs w:val="21"/>
                <w:highlight w:val="none"/>
                <w:lang w:val="en-US" w:eastAsia="zh-CN"/>
              </w:rPr>
              <w:t>服务</w:t>
            </w:r>
            <w:r>
              <w:rPr>
                <w:rFonts w:hint="eastAsia" w:ascii="宋体" w:hAnsi="宋体" w:eastAsia="宋体" w:cs="宋体"/>
                <w:snapToGrid w:val="0"/>
                <w:color w:val="auto"/>
                <w:kern w:val="0"/>
                <w:sz w:val="21"/>
                <w:szCs w:val="21"/>
                <w:highlight w:val="none"/>
                <w:lang w:val="en-US" w:eastAsia="zh-CN"/>
              </w:rPr>
              <w:t>费</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rPr>
              <w:t>本项目由中标人支付招标代理服务费,招标代理费为人民币</w:t>
            </w:r>
            <w:r>
              <w:rPr>
                <w:rFonts w:hint="eastAsia" w:hAnsi="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lang w:val="en-US" w:eastAsia="zh-CN"/>
              </w:rPr>
              <w:t>0000.00元。中标人须在中标公告公示期结束后,向招标代理机构一次性付清招标代理服务费。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lang w:val="en-US" w:eastAsia="zh-CN"/>
              </w:rPr>
              <w:t>7</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招标文件要求提交的用于评审的证书、证件、证明原件</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投标人提交用于评审的证书、证件、证明原件的</w:t>
            </w:r>
            <w:r>
              <w:rPr>
                <w:rFonts w:hint="eastAsia" w:hAnsi="宋体" w:cs="宋体"/>
                <w:color w:val="auto"/>
                <w:kern w:val="0"/>
                <w:sz w:val="21"/>
                <w:szCs w:val="21"/>
                <w:highlight w:val="none"/>
                <w:lang w:val="en-US" w:eastAsia="zh-CN" w:bidi="ar"/>
              </w:rPr>
              <w:t>（如有）</w:t>
            </w:r>
            <w:r>
              <w:rPr>
                <w:rFonts w:hint="eastAsia" w:ascii="宋体" w:hAnsi="宋体" w:eastAsia="宋体" w:cs="宋体"/>
                <w:color w:val="auto"/>
                <w:kern w:val="0"/>
                <w:sz w:val="21"/>
                <w:szCs w:val="21"/>
                <w:highlight w:val="none"/>
                <w:lang w:val="en-US" w:eastAsia="zh-CN" w:bidi="ar"/>
              </w:rPr>
              <w:t>，投标人应自行将所需原件密封于文件袋（箱）中，并自行准备两张“原件一览表”(详见格式十</w:t>
            </w:r>
            <w:r>
              <w:rPr>
                <w:rFonts w:hint="eastAsia" w:hAnsi="宋体" w:cs="宋体"/>
                <w:color w:val="auto"/>
                <w:kern w:val="0"/>
                <w:sz w:val="21"/>
                <w:szCs w:val="21"/>
                <w:highlight w:val="none"/>
                <w:lang w:val="en-US" w:eastAsia="zh-CN" w:bidi="ar"/>
              </w:rPr>
              <w:t>六</w:t>
            </w:r>
            <w:r>
              <w:rPr>
                <w:rFonts w:hint="eastAsia" w:ascii="宋体" w:hAnsi="宋体" w:eastAsia="宋体" w:cs="宋体"/>
                <w:color w:val="auto"/>
                <w:kern w:val="0"/>
                <w:sz w:val="21"/>
                <w:szCs w:val="21"/>
                <w:highlight w:val="none"/>
                <w:lang w:val="en-US" w:eastAsia="zh-CN" w:bidi="ar"/>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lang w:val="en-US" w:eastAsia="zh-CN"/>
              </w:rPr>
              <w:t>8</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始兴县政府投资建设项目代建管理局</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val="en-US" w:eastAsia="zh-CN"/>
              </w:rPr>
              <w:t>始兴县丹凤东路5号</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联系人（部门）：</w:t>
            </w:r>
            <w:r>
              <w:rPr>
                <w:rFonts w:hint="eastAsia" w:ascii="宋体" w:hAnsi="宋体" w:eastAsia="宋体" w:cs="宋体"/>
                <w:snapToGrid w:val="0"/>
                <w:color w:val="auto"/>
                <w:kern w:val="0"/>
                <w:sz w:val="21"/>
                <w:szCs w:val="21"/>
                <w:highlight w:val="none"/>
                <w:lang w:val="en-US" w:eastAsia="zh-CN"/>
              </w:rPr>
              <w:t>李工</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联系电话：0751</w:t>
            </w:r>
            <w:r>
              <w:rPr>
                <w:rFonts w:hint="eastAsia" w:hAnsi="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3327801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bidi="ar-SA"/>
              </w:rPr>
              <w:t>39</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p>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韶关市诚智工程管理咨询有限公司</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eastAsia="zh-CN"/>
              </w:rPr>
              <w:t>韶关市武江区西联镇车头新村一街5-2座-2</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项目负责人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陈红英</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项目经办人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王蕾</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 xml:space="preserve">联系电话： </w:t>
            </w:r>
            <w:r>
              <w:rPr>
                <w:rFonts w:hint="eastAsia" w:ascii="宋体" w:hAnsi="宋体" w:eastAsia="宋体" w:cs="宋体"/>
                <w:snapToGrid w:val="0"/>
                <w:color w:val="auto"/>
                <w:kern w:val="0"/>
                <w:sz w:val="21"/>
                <w:szCs w:val="21"/>
                <w:highlight w:val="none"/>
                <w:lang w:eastAsia="zh-CN"/>
              </w:rPr>
              <w:t>0751-8963229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4</w:t>
            </w:r>
            <w:r>
              <w:rPr>
                <w:rFonts w:hint="eastAsia" w:hAnsi="宋体" w:cs="宋体"/>
                <w:snapToGrid w:val="0"/>
                <w:color w:val="auto"/>
                <w:kern w:val="0"/>
                <w:sz w:val="21"/>
                <w:szCs w:val="21"/>
                <w:highlight w:val="none"/>
                <w:lang w:val="en-US" w:eastAsia="zh-CN"/>
              </w:rPr>
              <w:t>0</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交易场所</w:t>
            </w:r>
          </w:p>
          <w:p>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单位名称：韶关市公共资源交易中心</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办公地址：始兴县永安大道中79号行政服务大楼四楼(始兴县公共服务中心内)</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联系人（部门）：邓工(工程交易股)</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联系电话：0751-3315236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w:t>
            </w:r>
            <w:r>
              <w:rPr>
                <w:rFonts w:hint="eastAsia" w:hAnsi="宋体" w:cs="宋体"/>
                <w:snapToGrid w:val="0"/>
                <w:color w:val="auto"/>
                <w:kern w:val="0"/>
                <w:sz w:val="21"/>
                <w:szCs w:val="21"/>
                <w:highlight w:val="none"/>
                <w:lang w:val="en-US" w:eastAsia="zh-CN"/>
              </w:rPr>
              <w:t>1</w:t>
            </w:r>
          </w:p>
        </w:tc>
        <w:tc>
          <w:tcPr>
            <w:tcW w:w="1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行政监督部门</w:t>
            </w:r>
          </w:p>
          <w:p>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单位名称：始兴县住房和城乡建设管理局</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办公地址：始兴县太平镇沿江北路1号</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联系人（部门）：建管股</w:t>
            </w:r>
          </w:p>
          <w:p>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联系电话： 0751-3315107</w:t>
            </w:r>
          </w:p>
        </w:tc>
      </w:tr>
    </w:tbl>
    <w:p>
      <w:pPr>
        <w:rPr>
          <w:rFonts w:hint="eastAsia"/>
          <w:color w:val="auto"/>
          <w:highlight w:val="none"/>
        </w:rPr>
        <w:sectPr>
          <w:footerReference r:id="rId8" w:type="default"/>
          <w:endnotePr>
            <w:numFmt w:val="decimal"/>
          </w:endnotePr>
          <w:pgSz w:w="11906" w:h="16838"/>
          <w:pgMar w:top="1440" w:right="1080" w:bottom="1440" w:left="1080" w:header="850" w:footer="544" w:gutter="0"/>
          <w:pgNumType w:fmt="decimal" w:start="1"/>
          <w:cols w:space="720" w:num="1"/>
          <w:rtlGutter w:val="0"/>
          <w:docGrid w:linePitch="327" w:charSpace="0"/>
        </w:sectPr>
      </w:pPr>
    </w:p>
    <w:p>
      <w:pPr>
        <w:pStyle w:val="28"/>
        <w:snapToGrid w:val="0"/>
        <w:spacing w:after="260" w:line="440" w:lineRule="exact"/>
        <w:jc w:val="both"/>
        <w:outlineLvl w:val="1"/>
        <w:rPr>
          <w:rStyle w:val="25"/>
          <w:rFonts w:hint="eastAsia" w:hAnsi="宋体"/>
          <w:color w:val="auto"/>
          <w:highlight w:val="none"/>
        </w:rPr>
      </w:pPr>
      <w:bookmarkStart w:id="29" w:name="_Toc11396"/>
      <w:bookmarkStart w:id="30" w:name="_Toc933"/>
      <w:bookmarkStart w:id="31" w:name="_Toc30944"/>
      <w:bookmarkStart w:id="32" w:name="_Toc18767"/>
      <w:bookmarkStart w:id="33" w:name="_Toc16802"/>
      <w:bookmarkStart w:id="34" w:name="_Toc11705"/>
      <w:bookmarkStart w:id="35" w:name="_Toc30618"/>
      <w:bookmarkStart w:id="36" w:name="_Toc30806"/>
      <w:bookmarkStart w:id="37" w:name="_Toc11352"/>
      <w:bookmarkStart w:id="38" w:name="_Toc12413"/>
      <w:bookmarkStart w:id="39" w:name="_Toc32120"/>
      <w:bookmarkStart w:id="40" w:name="_Toc3663"/>
      <w:bookmarkStart w:id="41" w:name="_Toc6231"/>
      <w:bookmarkStart w:id="42" w:name="_Toc22095"/>
      <w:r>
        <w:rPr>
          <w:rStyle w:val="25"/>
          <w:rFonts w:hint="eastAsia" w:hAnsi="宋体"/>
          <w:b/>
          <w:bCs/>
          <w:color w:val="auto"/>
          <w:highlight w:val="none"/>
        </w:rPr>
        <w:t>第二节 重要事项时间地点一览表</w:t>
      </w:r>
      <w:bookmarkEnd w:id="29"/>
      <w:bookmarkEnd w:id="30"/>
      <w:bookmarkEnd w:id="31"/>
      <w:bookmarkEnd w:id="32"/>
      <w:bookmarkEnd w:id="33"/>
      <w:bookmarkEnd w:id="34"/>
      <w:bookmarkEnd w:id="35"/>
      <w:bookmarkEnd w:id="36"/>
      <w:bookmarkEnd w:id="37"/>
      <w:bookmarkEnd w:id="38"/>
      <w:bookmarkEnd w:id="39"/>
      <w:bookmarkEnd w:id="40"/>
      <w:bookmarkEnd w:id="41"/>
      <w:bookmarkEnd w:id="42"/>
    </w:p>
    <w:p>
      <w:pPr>
        <w:rPr>
          <w:rFonts w:hint="eastAsia"/>
          <w:color w:val="auto"/>
          <w:highlight w:val="none"/>
        </w:rPr>
      </w:pPr>
    </w:p>
    <w:tbl>
      <w:tblPr>
        <w:tblStyle w:val="20"/>
        <w:tblW w:w="9498" w:type="dxa"/>
        <w:jc w:val="center"/>
        <w:tblLayout w:type="fixed"/>
        <w:tblCellMar>
          <w:top w:w="15" w:type="dxa"/>
          <w:left w:w="15" w:type="dxa"/>
          <w:bottom w:w="15" w:type="dxa"/>
          <w:right w:w="15" w:type="dxa"/>
        </w:tblCellMar>
      </w:tblPr>
      <w:tblGrid>
        <w:gridCol w:w="607"/>
        <w:gridCol w:w="1544"/>
        <w:gridCol w:w="7347"/>
      </w:tblGrid>
      <w:tr>
        <w:tblPrEx>
          <w:tblCellMar>
            <w:top w:w="15" w:type="dxa"/>
            <w:left w:w="15" w:type="dxa"/>
            <w:bottom w:w="15" w:type="dxa"/>
            <w:right w:w="15" w:type="dxa"/>
          </w:tblCellMar>
        </w:tblPrEx>
        <w:trPr>
          <w:trHeight w:val="963" w:hRule="atLeast"/>
          <w:jc w:val="center"/>
        </w:trPr>
        <w:tc>
          <w:tcPr>
            <w:tcW w:w="607" w:type="dxa"/>
            <w:tcBorders>
              <w:top w:val="single" w:color="080000" w:sz="6" w:space="0"/>
              <w:left w:val="single" w:color="080000" w:sz="6" w:space="0"/>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44" w:type="dxa"/>
            <w:tcBorders>
              <w:top w:val="single" w:color="080000" w:sz="6" w:space="0"/>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招标公告</w:t>
            </w:r>
          </w:p>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发布时间</w:t>
            </w:r>
          </w:p>
        </w:tc>
        <w:tc>
          <w:tcPr>
            <w:tcW w:w="7347" w:type="dxa"/>
            <w:tcBorders>
              <w:top w:val="single" w:color="080000" w:sz="6" w:space="0"/>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28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21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tblPrEx>
          <w:tblCellMar>
            <w:top w:w="15" w:type="dxa"/>
            <w:left w:w="15" w:type="dxa"/>
            <w:bottom w:w="15" w:type="dxa"/>
            <w:right w:w="15" w:type="dxa"/>
          </w:tblCellMar>
        </w:tblPrEx>
        <w:trPr>
          <w:trHeight w:val="101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获取招标文件</w:t>
            </w:r>
          </w:p>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 xml:space="preserve"> 9</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 xml:space="preserve">18 </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tblPrEx>
          <w:tblCellMar>
            <w:top w:w="15" w:type="dxa"/>
            <w:left w:w="15" w:type="dxa"/>
            <w:bottom w:w="15" w:type="dxa"/>
            <w:right w:w="15" w:type="dxa"/>
          </w:tblCellMar>
        </w:tblPrEx>
        <w:trPr>
          <w:trHeight w:val="963"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网上提问</w:t>
            </w:r>
          </w:p>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16</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分</w:t>
            </w:r>
          </w:p>
        </w:tc>
      </w:tr>
      <w:tr>
        <w:tblPrEx>
          <w:tblCellMar>
            <w:top w:w="15" w:type="dxa"/>
            <w:left w:w="15" w:type="dxa"/>
            <w:bottom w:w="15" w:type="dxa"/>
            <w:right w:w="15" w:type="dxa"/>
          </w:tblCellMar>
        </w:tblPrEx>
        <w:trPr>
          <w:trHeight w:val="917"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网上答疑时间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16</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分至</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rPr>
              <w:t>月</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16</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tblPrEx>
          <w:tblCellMar>
            <w:top w:w="15" w:type="dxa"/>
            <w:left w:w="15" w:type="dxa"/>
            <w:bottom w:w="15" w:type="dxa"/>
            <w:right w:w="15" w:type="dxa"/>
          </w:tblCellMar>
        </w:tblPrEx>
        <w:trPr>
          <w:trHeight w:val="136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投标保证缴</w:t>
            </w:r>
          </w:p>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纳截止时间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rPr>
              <w:t>投标保证金到账截止时间：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none"/>
              </w:rPr>
              <w:t>年</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u w:val="none"/>
              </w:rPr>
              <w:t>分；</w:t>
            </w:r>
          </w:p>
          <w:p>
            <w:pPr>
              <w:pStyle w:val="17"/>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投标保证担保上传截止时间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none"/>
              </w:rPr>
              <w:t>年</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w:t>
            </w:r>
          </w:p>
          <w:p>
            <w:pPr>
              <w:pStyle w:val="17"/>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投标保证保险投保截止时间：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none"/>
              </w:rPr>
              <w:t>年</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w:t>
            </w:r>
          </w:p>
        </w:tc>
      </w:tr>
      <w:tr>
        <w:tblPrEx>
          <w:tblCellMar>
            <w:top w:w="15" w:type="dxa"/>
            <w:left w:w="15" w:type="dxa"/>
            <w:bottom w:w="15" w:type="dxa"/>
            <w:right w:w="15" w:type="dxa"/>
          </w:tblCellMar>
        </w:tblPrEx>
        <w:trPr>
          <w:trHeight w:val="917"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w:t>
            </w:r>
          </w:p>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tblPrEx>
          <w:tblCellMar>
            <w:top w:w="15" w:type="dxa"/>
            <w:left w:w="15" w:type="dxa"/>
            <w:bottom w:w="15" w:type="dxa"/>
            <w:right w:w="15" w:type="dxa"/>
          </w:tblCellMar>
        </w:tblPrEx>
        <w:trPr>
          <w:trHeight w:val="136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相关评审资料原件（如有）递交时间</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分至</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rPr>
              <w:t>月</w:t>
            </w:r>
            <w:r>
              <w:rPr>
                <w:rFonts w:hint="eastAsia"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tblPrEx>
          <w:tblCellMar>
            <w:top w:w="15" w:type="dxa"/>
            <w:left w:w="15" w:type="dxa"/>
            <w:bottom w:w="15" w:type="dxa"/>
            <w:right w:w="15" w:type="dxa"/>
          </w:tblCellMar>
        </w:tblPrEx>
        <w:trPr>
          <w:trHeight w:val="1360" w:hRule="atLeast"/>
          <w:jc w:val="center"/>
        </w:trPr>
        <w:tc>
          <w:tcPr>
            <w:tcW w:w="607" w:type="dxa"/>
            <w:tcBorders>
              <w:top w:val="nil"/>
              <w:left w:val="single" w:color="080000" w:sz="6" w:space="0"/>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544"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相关评审资料原件（如有）递交地点</w:t>
            </w:r>
          </w:p>
        </w:tc>
        <w:tc>
          <w:tcPr>
            <w:tcW w:w="7347" w:type="dxa"/>
            <w:tcBorders>
              <w:top w:val="nil"/>
              <w:left w:val="nil"/>
              <w:bottom w:val="single" w:color="080000" w:sz="6" w:space="0"/>
              <w:right w:val="single" w:color="080000" w:sz="6" w:space="0"/>
            </w:tcBorders>
            <w:noWrap w:val="0"/>
            <w:tcMar>
              <w:top w:w="0" w:type="dxa"/>
              <w:left w:w="0" w:type="dxa"/>
              <w:bottom w:w="0" w:type="dxa"/>
              <w:right w:w="0" w:type="dxa"/>
            </w:tcMar>
            <w:vAlign w:val="center"/>
          </w:tcPr>
          <w:p>
            <w:pPr>
              <w:pStyle w:val="29"/>
              <w:keepNext w:val="0"/>
              <w:keepLines w:val="0"/>
              <w:widowControl/>
              <w:suppressLineNumbers w:val="0"/>
              <w:snapToGrid w:val="0"/>
              <w:spacing w:before="0" w:beforeAutospacing="0" w:after="0" w:afterAutospacing="0" w:line="400" w:lineRule="exact"/>
              <w:ind w:left="0" w:right="0"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递交场所：韶关市公共资源交易中心始兴分中心</w:t>
            </w:r>
          </w:p>
          <w:p>
            <w:pPr>
              <w:pStyle w:val="29"/>
              <w:keepNext w:val="0"/>
              <w:keepLines w:val="0"/>
              <w:widowControl/>
              <w:suppressLineNumbers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地址：始兴县永安大道中79号行政服务大楼四楼</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具体递交场所以当日现场通知为准</w:t>
            </w:r>
            <w:r>
              <w:rPr>
                <w:rFonts w:hint="eastAsia" w:ascii="宋体" w:hAnsi="宋体" w:eastAsia="宋体" w:cs="宋体"/>
                <w:color w:val="auto"/>
                <w:kern w:val="0"/>
                <w:sz w:val="21"/>
                <w:szCs w:val="21"/>
                <w:highlight w:val="none"/>
                <w:lang w:eastAsia="zh-CN"/>
              </w:rPr>
              <w:t>）</w:t>
            </w:r>
          </w:p>
        </w:tc>
      </w:tr>
      <w:tr>
        <w:tblPrEx>
          <w:tblCellMar>
            <w:top w:w="15" w:type="dxa"/>
            <w:left w:w="15" w:type="dxa"/>
            <w:bottom w:w="15" w:type="dxa"/>
            <w:right w:w="15" w:type="dxa"/>
          </w:tblCellMar>
        </w:tblPrEx>
        <w:trPr>
          <w:trHeight w:val="761" w:hRule="atLeast"/>
          <w:jc w:val="center"/>
        </w:trPr>
        <w:tc>
          <w:tcPr>
            <w:tcW w:w="607" w:type="dxa"/>
            <w:tcBorders>
              <w:top w:val="nil"/>
              <w:left w:val="single" w:color="080000" w:sz="6" w:space="0"/>
              <w:bottom w:val="single" w:color="auto" w:sz="4"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544" w:type="dxa"/>
            <w:tcBorders>
              <w:top w:val="nil"/>
              <w:left w:val="nil"/>
              <w:bottom w:val="single" w:color="auto" w:sz="4"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w:t>
            </w:r>
          </w:p>
        </w:tc>
        <w:tc>
          <w:tcPr>
            <w:tcW w:w="7347" w:type="dxa"/>
            <w:tcBorders>
              <w:top w:val="nil"/>
              <w:left w:val="nil"/>
              <w:bottom w:val="single" w:color="auto" w:sz="4" w:space="0"/>
              <w:right w:val="single" w:color="080000" w:sz="6"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rPr>
              <w:t>月</w:t>
            </w:r>
            <w:r>
              <w:rPr>
                <w:rFonts w:hint="eastAsia"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rPr>
              <w:t>日</w:t>
            </w:r>
            <w:r>
              <w:rPr>
                <w:rFonts w:hint="eastAsia"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分</w:t>
            </w:r>
          </w:p>
        </w:tc>
      </w:tr>
      <w:tr>
        <w:tblPrEx>
          <w:tblCellMar>
            <w:top w:w="15" w:type="dxa"/>
            <w:left w:w="15" w:type="dxa"/>
            <w:bottom w:w="15" w:type="dxa"/>
            <w:right w:w="15" w:type="dxa"/>
          </w:tblCellMar>
        </w:tblPrEx>
        <w:trPr>
          <w:trHeight w:val="1365" w:hRule="atLeast"/>
          <w:jc w:val="center"/>
        </w:trPr>
        <w:tc>
          <w:tcPr>
            <w:tcW w:w="60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5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pStyle w:val="17"/>
              <w:keepNext w:val="0"/>
              <w:keepLines w:val="0"/>
              <w:widowControl/>
              <w:suppressLineNumbers w:val="0"/>
              <w:spacing w:before="0" w:beforeAutospacing="0" w:after="0" w:after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w:t>
            </w:r>
          </w:p>
        </w:tc>
        <w:tc>
          <w:tcPr>
            <w:tcW w:w="734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pStyle w:val="29"/>
              <w:keepNext w:val="0"/>
              <w:keepLines w:val="0"/>
              <w:widowControl/>
              <w:suppressLineNumbers w:val="0"/>
              <w:snapToGrid w:val="0"/>
              <w:spacing w:before="0" w:beforeAutospacing="0" w:after="0" w:afterAutospacing="0" w:line="400" w:lineRule="exact"/>
              <w:ind w:left="0" w:right="0"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开标场所：韶关市公共资源交易中心始兴分中心</w:t>
            </w:r>
          </w:p>
          <w:p>
            <w:pPr>
              <w:pStyle w:val="29"/>
              <w:keepNext w:val="0"/>
              <w:keepLines w:val="0"/>
              <w:widowControl/>
              <w:suppressLineNumbers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地址：始兴县永安大道中79号行政服务大楼四楼</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具体递交场所以当日现场通知为准</w:t>
            </w:r>
            <w:r>
              <w:rPr>
                <w:rFonts w:hint="eastAsia" w:ascii="宋体" w:hAnsi="宋体" w:eastAsia="宋体" w:cs="宋体"/>
                <w:color w:val="auto"/>
                <w:kern w:val="0"/>
                <w:sz w:val="21"/>
                <w:szCs w:val="21"/>
                <w:highlight w:val="none"/>
                <w:lang w:eastAsia="zh-CN"/>
              </w:rPr>
              <w:t>）</w:t>
            </w:r>
          </w:p>
        </w:tc>
      </w:tr>
      <w:tr>
        <w:tblPrEx>
          <w:tblCellMar>
            <w:top w:w="15" w:type="dxa"/>
            <w:left w:w="15" w:type="dxa"/>
            <w:bottom w:w="15" w:type="dxa"/>
            <w:right w:w="15" w:type="dxa"/>
          </w:tblCellMar>
        </w:tblPrEx>
        <w:trPr>
          <w:trHeight w:val="1365" w:hRule="atLeast"/>
          <w:jc w:val="center"/>
        </w:trPr>
        <w:tc>
          <w:tcPr>
            <w:tcW w:w="2151" w:type="dxa"/>
            <w:gridSpan w:val="2"/>
            <w:tcBorders>
              <w:top w:val="single" w:color="auto" w:sz="4" w:space="0"/>
              <w:left w:val="single" w:color="080000" w:sz="6" w:space="0"/>
              <w:bottom w:val="single" w:color="auto" w:sz="4" w:space="0"/>
              <w:right w:val="single" w:color="080000" w:sz="6" w:space="0"/>
            </w:tcBorders>
            <w:shd w:val="clear" w:color="auto" w:fill="auto"/>
            <w:noWrap w:val="0"/>
            <w:tcMar>
              <w:top w:w="0" w:type="dxa"/>
              <w:left w:w="0" w:type="dxa"/>
              <w:bottom w:w="0" w:type="dxa"/>
              <w:right w:w="0" w:type="dxa"/>
            </w:tcMar>
            <w:vAlign w:val="center"/>
          </w:tcPr>
          <w:p>
            <w:pPr>
              <w:pStyle w:val="29"/>
              <w:keepNext w:val="0"/>
              <w:keepLines w:val="0"/>
              <w:suppressLineNumbers w:val="0"/>
              <w:wordWrap w:val="0"/>
              <w:adjustRightInd w:val="0"/>
              <w:snapToGrid w:val="0"/>
              <w:spacing w:before="0" w:beforeAutospacing="0" w:after="0" w:afterAutospacing="0" w:line="360" w:lineRule="exact"/>
              <w:ind w:left="0" w:leftChars="0" w:right="0" w:rightChars="0"/>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备注</w:t>
            </w:r>
          </w:p>
        </w:tc>
        <w:tc>
          <w:tcPr>
            <w:tcW w:w="7347" w:type="dxa"/>
            <w:tcBorders>
              <w:top w:val="single" w:color="auto" w:sz="4" w:space="0"/>
              <w:left w:val="nil"/>
              <w:bottom w:val="single" w:color="auto" w:sz="4" w:space="0"/>
              <w:right w:val="single" w:color="080000" w:sz="6" w:space="0"/>
            </w:tcBorders>
            <w:shd w:val="clear" w:color="auto" w:fill="auto"/>
            <w:noWrap w:val="0"/>
            <w:tcMar>
              <w:top w:w="0" w:type="dxa"/>
              <w:left w:w="0" w:type="dxa"/>
              <w:bottom w:w="0" w:type="dxa"/>
              <w:right w:w="0" w:type="dxa"/>
            </w:tcMar>
            <w:vAlign w:val="center"/>
          </w:tcPr>
          <w:p>
            <w:pPr>
              <w:keepNext w:val="0"/>
              <w:keepLines w:val="0"/>
              <w:widowControl w:val="0"/>
              <w:suppressLineNumbers w:val="0"/>
              <w:wordWrap w:val="0"/>
              <w:adjustRightInd w:val="0"/>
              <w:snapToGrid w:val="0"/>
              <w:spacing w:before="0" w:beforeAutospacing="0" w:after="0" w:afterAutospacing="0" w:line="400" w:lineRule="exact"/>
              <w:ind w:left="0" w:leftChars="0" w:right="0" w:rightChars="0" w:firstLine="220" w:firstLineChars="10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pPr>
        <w:pStyle w:val="18"/>
        <w:rPr>
          <w:rFonts w:hint="eastAsia"/>
          <w:color w:val="auto"/>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pPr>
        <w:pStyle w:val="27"/>
        <w:tabs>
          <w:tab w:val="left" w:pos="885"/>
        </w:tabs>
        <w:snapToGrid w:val="0"/>
        <w:ind w:left="885" w:hanging="885"/>
        <w:jc w:val="both"/>
        <w:outlineLvl w:val="1"/>
        <w:rPr>
          <w:rStyle w:val="25"/>
          <w:rFonts w:hint="eastAsia" w:hAnsi="宋体"/>
          <w:color w:val="auto"/>
          <w:highlight w:val="none"/>
          <w:u w:val="single"/>
        </w:rPr>
      </w:pPr>
      <w:bookmarkStart w:id="43" w:name="_Toc5177"/>
      <w:bookmarkStart w:id="44" w:name="_Toc7836"/>
      <w:bookmarkStart w:id="45" w:name="_Toc25284"/>
      <w:bookmarkStart w:id="46" w:name="_Toc4501"/>
      <w:bookmarkStart w:id="47" w:name="_Toc26910"/>
      <w:bookmarkStart w:id="48" w:name="_Toc7725"/>
      <w:bookmarkStart w:id="49" w:name="_Toc26764"/>
      <w:bookmarkStart w:id="50" w:name="_Toc16435"/>
      <w:bookmarkStart w:id="51" w:name="_Toc31767"/>
      <w:bookmarkStart w:id="52" w:name="_Toc5521"/>
      <w:bookmarkStart w:id="53" w:name="_Toc30755"/>
      <w:bookmarkStart w:id="54" w:name="_Toc28559"/>
      <w:bookmarkStart w:id="55" w:name="_Toc3121"/>
      <w:bookmarkStart w:id="56" w:name="_Toc21763"/>
      <w:r>
        <w:rPr>
          <w:rStyle w:val="25"/>
          <w:rFonts w:hint="eastAsia" w:hAnsi="宋体"/>
          <w:b/>
          <w:bCs/>
          <w:color w:val="auto"/>
          <w:sz w:val="24"/>
          <w:szCs w:val="24"/>
          <w:highlight w:val="none"/>
        </w:rPr>
        <w:t>第三节 投标人须知正文</w:t>
      </w:r>
      <w:bookmarkEnd w:id="43"/>
      <w:bookmarkEnd w:id="44"/>
      <w:bookmarkEnd w:id="45"/>
      <w:bookmarkEnd w:id="46"/>
      <w:bookmarkEnd w:id="47"/>
      <w:bookmarkEnd w:id="48"/>
      <w:bookmarkEnd w:id="49"/>
      <w:bookmarkEnd w:id="50"/>
      <w:bookmarkEnd w:id="51"/>
      <w:bookmarkEnd w:id="52"/>
      <w:bookmarkEnd w:id="53"/>
      <w:bookmarkEnd w:id="54"/>
      <w:bookmarkEnd w:id="55"/>
      <w:bookmarkEnd w:id="56"/>
    </w:p>
    <w:p>
      <w:pPr>
        <w:widowControl/>
        <w:wordWrap w:val="0"/>
        <w:ind w:firstLine="420" w:firstLineChars="200"/>
        <w:jc w:val="left"/>
        <w:rPr>
          <w:rFonts w:hint="eastAsia" w:ascii="宋体" w:hAnsi="宋体" w:eastAsia="宋体" w:cs="宋体"/>
          <w:b/>
          <w:snapToGrid w:val="0"/>
          <w:color w:val="auto"/>
          <w:sz w:val="21"/>
          <w:szCs w:val="21"/>
          <w:highlight w:val="none"/>
        </w:rPr>
      </w:pPr>
      <w:r>
        <w:rPr>
          <w:rFonts w:hint="eastAsia" w:ascii="宋体" w:hAnsi="宋体" w:eastAsia="宋体" w:cs="宋体"/>
          <w:snapToGrid w:val="0"/>
          <w:color w:val="auto"/>
          <w:kern w:val="0"/>
          <w:sz w:val="21"/>
          <w:szCs w:val="21"/>
          <w:highlight w:val="none"/>
          <w:u w:val="single"/>
        </w:rPr>
        <w:t>始兴县风度中学高中基础设施建设项目</w:t>
      </w:r>
      <w:r>
        <w:rPr>
          <w:rFonts w:hint="eastAsia" w:ascii="宋体" w:hAnsi="宋体" w:eastAsia="宋体" w:cs="宋体"/>
          <w:snapToGrid w:val="0"/>
          <w:color w:val="auto"/>
          <w:kern w:val="0"/>
          <w:sz w:val="21"/>
          <w:szCs w:val="21"/>
          <w:highlight w:val="none"/>
        </w:rPr>
        <w:t>经</w:t>
      </w:r>
      <w:r>
        <w:rPr>
          <w:rFonts w:hint="eastAsia" w:ascii="宋体" w:hAnsi="宋体" w:eastAsia="宋体" w:cs="宋体"/>
          <w:snapToGrid w:val="0"/>
          <w:color w:val="auto"/>
          <w:kern w:val="0"/>
          <w:sz w:val="21"/>
          <w:szCs w:val="21"/>
          <w:highlight w:val="none"/>
          <w:u w:val="single"/>
        </w:rPr>
        <w:t>始兴县发展和改革局以《关于始兴县风度中学高中基础设施建设项目可行性研究报告的批复》（始发改投审〔2024〕82号）批准建设，项目代码为2411-440222-04-01-272427。项目建设所需资金由上级资金和县级财政资金安排解决</w:t>
      </w:r>
      <w:r>
        <w:rPr>
          <w:rFonts w:hint="eastAsia" w:ascii="宋体" w:hAnsi="宋体" w:eastAsia="宋体" w:cs="宋体"/>
          <w:snapToGrid w:val="0"/>
          <w:color w:val="auto"/>
          <w:kern w:val="0"/>
          <w:sz w:val="21"/>
          <w:szCs w:val="21"/>
          <w:highlight w:val="none"/>
        </w:rPr>
        <w:t>，出资比例为</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，招标人为</w:t>
      </w:r>
      <w:r>
        <w:rPr>
          <w:rFonts w:hint="eastAsia" w:ascii="宋体" w:hAnsi="宋体" w:eastAsia="宋体" w:cs="宋体"/>
          <w:snapToGrid w:val="0"/>
          <w:color w:val="auto"/>
          <w:kern w:val="0"/>
          <w:sz w:val="21"/>
          <w:szCs w:val="21"/>
          <w:highlight w:val="none"/>
          <w:u w:val="single"/>
          <w:lang w:eastAsia="zh-CN"/>
        </w:rPr>
        <w:t>始兴县政府投资建设项目代建管理局</w:t>
      </w:r>
      <w:r>
        <w:rPr>
          <w:rFonts w:hint="eastAsia" w:ascii="宋体" w:hAnsi="宋体" w:eastAsia="宋体" w:cs="宋体"/>
          <w:snapToGrid w:val="0"/>
          <w:color w:val="auto"/>
          <w:kern w:val="0"/>
          <w:sz w:val="21"/>
          <w:szCs w:val="21"/>
          <w:highlight w:val="none"/>
        </w:rPr>
        <w:t>，招标代理机构为</w:t>
      </w:r>
      <w:r>
        <w:rPr>
          <w:rFonts w:hint="eastAsia" w:ascii="宋体" w:hAnsi="宋体" w:eastAsia="宋体" w:cs="宋体"/>
          <w:snapToGrid w:val="0"/>
          <w:color w:val="auto"/>
          <w:kern w:val="0"/>
          <w:sz w:val="21"/>
          <w:szCs w:val="21"/>
          <w:highlight w:val="none"/>
          <w:u w:val="single"/>
        </w:rPr>
        <w:t>韶关市诚智工程管理咨询有限公司</w:t>
      </w:r>
      <w:r>
        <w:rPr>
          <w:rFonts w:hint="eastAsia" w:ascii="宋体" w:hAnsi="宋体" w:eastAsia="宋体" w:cs="宋体"/>
          <w:snapToGrid w:val="0"/>
          <w:color w:val="auto"/>
          <w:kern w:val="0"/>
          <w:sz w:val="21"/>
          <w:szCs w:val="21"/>
          <w:highlight w:val="none"/>
        </w:rPr>
        <w:t>。项目已具备招标条件，现对</w:t>
      </w:r>
      <w:r>
        <w:rPr>
          <w:rFonts w:hint="eastAsia" w:hAnsi="宋体" w:cs="宋体"/>
          <w:snapToGrid w:val="0"/>
          <w:color w:val="auto"/>
          <w:kern w:val="0"/>
          <w:sz w:val="21"/>
          <w:szCs w:val="21"/>
          <w:highlight w:val="none"/>
          <w:u w:val="single"/>
          <w:lang w:eastAsia="zh-CN"/>
        </w:rPr>
        <w:t>始兴县风度中学高中基础设施建设项目施工（第二次）</w:t>
      </w:r>
      <w:r>
        <w:rPr>
          <w:rFonts w:hint="eastAsia" w:ascii="宋体" w:hAnsi="宋体" w:eastAsia="宋体" w:cs="宋体"/>
          <w:snapToGrid w:val="0"/>
          <w:color w:val="auto"/>
          <w:kern w:val="0"/>
          <w:sz w:val="21"/>
          <w:szCs w:val="21"/>
          <w:highlight w:val="none"/>
        </w:rPr>
        <w:t>进行公开招标。</w:t>
      </w:r>
      <w:bookmarkStart w:id="57" w:name="_Hlt109358474"/>
      <w:bookmarkEnd w:id="57"/>
      <w:bookmarkStart w:id="58" w:name="_Hlt78795222"/>
      <w:bookmarkEnd w:id="58"/>
      <w:bookmarkStart w:id="59" w:name="_Hlt87948285"/>
      <w:bookmarkEnd w:id="59"/>
      <w:bookmarkStart w:id="60" w:name="_Hlt119991399"/>
      <w:bookmarkEnd w:id="60"/>
      <w:bookmarkStart w:id="61" w:name="_Hlt74474735"/>
      <w:bookmarkEnd w:id="61"/>
    </w:p>
    <w:p>
      <w:pPr>
        <w:pStyle w:val="7"/>
        <w:keepNext w:val="0"/>
        <w:keepLines w:val="0"/>
        <w:pageBreakBefore w:val="0"/>
        <w:widowControl w:val="0"/>
        <w:kinsoku w:val="0"/>
        <w:overflowPunct w:val="0"/>
        <w:topLinePunct w:val="0"/>
        <w:autoSpaceDE w:val="0"/>
        <w:autoSpaceDN w:val="0"/>
        <w:bidi w:val="0"/>
        <w:adjustRightInd/>
        <w:snapToGrid/>
        <w:spacing w:line="240" w:lineRule="auto"/>
        <w:ind w:firstLine="420" w:firstLineChars="200"/>
        <w:rPr>
          <w:rFonts w:hint="eastAsia" w:ascii="宋体" w:hAnsi="宋体" w:eastAsia="宋体" w:cs="宋体"/>
          <w:color w:val="auto"/>
          <w:kern w:val="0"/>
          <w:sz w:val="21"/>
          <w:szCs w:val="21"/>
          <w:highlight w:val="none"/>
        </w:rPr>
      </w:pPr>
    </w:p>
    <w:p>
      <w:pPr>
        <w:pStyle w:val="28"/>
        <w:keepNext w:val="0"/>
        <w:keepLines w:val="0"/>
        <w:pageBreakBefore w:val="0"/>
        <w:widowControl w:val="0"/>
        <w:kinsoku/>
        <w:overflowPunct/>
        <w:topLinePunct w:val="0"/>
        <w:autoSpaceDE/>
        <w:autoSpaceDN/>
        <w:bidi w:val="0"/>
        <w:adjustRightInd/>
        <w:snapToGrid/>
        <w:spacing w:line="400" w:lineRule="exact"/>
        <w:ind w:firstLine="421" w:firstLineChars="200"/>
        <w:jc w:val="both"/>
        <w:textAlignment w:val="baseline"/>
        <w:outlineLvl w:val="1"/>
        <w:rPr>
          <w:rStyle w:val="25"/>
          <w:rFonts w:hint="eastAsia" w:ascii="宋体" w:hAnsi="宋体" w:eastAsia="宋体" w:cs="宋体"/>
          <w:b/>
          <w:bCs/>
          <w:color w:val="auto"/>
          <w:sz w:val="21"/>
          <w:szCs w:val="21"/>
          <w:highlight w:val="none"/>
        </w:rPr>
      </w:pPr>
      <w:bookmarkStart w:id="62" w:name="_Toc2854"/>
      <w:bookmarkStart w:id="63" w:name="_Toc28045"/>
      <w:bookmarkStart w:id="64" w:name="_Toc16849"/>
      <w:r>
        <w:rPr>
          <w:rStyle w:val="25"/>
          <w:rFonts w:hint="eastAsia" w:ascii="宋体" w:hAnsi="宋体" w:eastAsia="宋体" w:cs="宋体"/>
          <w:b/>
          <w:bCs/>
          <w:color w:val="auto"/>
          <w:sz w:val="21"/>
          <w:szCs w:val="21"/>
          <w:highlight w:val="none"/>
        </w:rPr>
        <w:t>1．工程概况、招标范围和标段划分、投标费用</w:t>
      </w:r>
      <w:bookmarkEnd w:id="62"/>
      <w:bookmarkEnd w:id="63"/>
      <w:bookmarkEnd w:id="64"/>
    </w:p>
    <w:p>
      <w:pPr>
        <w:pStyle w:val="30"/>
        <w:keepNext w:val="0"/>
        <w:keepLines w:val="0"/>
        <w:pageBreakBefore w:val="0"/>
        <w:widowControl w:val="0"/>
        <w:kinsoku/>
        <w:overflowPunct/>
        <w:topLinePunct w:val="0"/>
        <w:autoSpaceDE/>
        <w:autoSpaceDN/>
        <w:bidi w:val="0"/>
        <w:adjustRightInd/>
        <w:snapToGrid/>
        <w:spacing w:line="400" w:lineRule="exact"/>
        <w:ind w:firstLine="421" w:firstLineChars="200"/>
        <w:jc w:val="left"/>
        <w:rPr>
          <w:rStyle w:val="25"/>
          <w:rFonts w:hint="eastAsia" w:ascii="宋体" w:hAnsi="宋体" w:eastAsia="宋体" w:cs="宋体"/>
          <w:b/>
          <w:bCs/>
          <w:color w:val="auto"/>
          <w:kern w:val="0"/>
          <w:sz w:val="21"/>
          <w:szCs w:val="21"/>
          <w:highlight w:val="none"/>
        </w:rPr>
      </w:pPr>
      <w:r>
        <w:rPr>
          <w:rStyle w:val="25"/>
          <w:rFonts w:hint="eastAsia" w:ascii="宋体" w:hAnsi="宋体" w:eastAsia="宋体" w:cs="宋体"/>
          <w:b/>
          <w:bCs/>
          <w:color w:val="auto"/>
          <w:kern w:val="0"/>
          <w:sz w:val="21"/>
          <w:szCs w:val="21"/>
          <w:highlight w:val="none"/>
        </w:rPr>
        <w:t>1.1 工程概况</w:t>
      </w:r>
    </w:p>
    <w:p>
      <w:pPr>
        <w:pStyle w:val="29"/>
        <w:keepNext w:val="0"/>
        <w:keepLines w:val="0"/>
        <w:pageBreakBefore w:val="0"/>
        <w:kinsoku/>
        <w:wordWrap w:val="0"/>
        <w:overflowPunct/>
        <w:topLinePunct w:val="0"/>
        <w:bidi w:val="0"/>
        <w:adjustRightInd w:val="0"/>
        <w:snapToGrid w:val="0"/>
        <w:spacing w:line="400" w:lineRule="atLeast"/>
        <w:ind w:firstLine="420" w:firstLineChars="200"/>
        <w:jc w:val="left"/>
        <w:rPr>
          <w:rFonts w:hint="eastAsia" w:ascii="宋体" w:hAnsi="宋体" w:eastAsia="宋体" w:cs="宋体"/>
          <w:b w:val="0"/>
          <w:bCs w:val="0"/>
          <w:snapToGrid w:val="0"/>
          <w:color w:val="auto"/>
          <w:kern w:val="0"/>
          <w:sz w:val="21"/>
          <w:szCs w:val="21"/>
          <w:highlight w:val="none"/>
          <w:u w:val="single"/>
          <w:lang w:val="en-US" w:eastAsia="zh-CN" w:bidi="ar-SA"/>
        </w:rPr>
      </w:pPr>
      <w:r>
        <w:rPr>
          <w:rFonts w:hint="eastAsia" w:ascii="宋体" w:hAnsi="宋体" w:eastAsia="宋体" w:cs="宋体"/>
          <w:b w:val="0"/>
          <w:bCs w:val="0"/>
          <w:snapToGrid w:val="0"/>
          <w:color w:val="auto"/>
          <w:kern w:val="0"/>
          <w:sz w:val="21"/>
          <w:szCs w:val="21"/>
          <w:highlight w:val="none"/>
        </w:rPr>
        <w:t>1.1.1 建设地点：</w:t>
      </w:r>
      <w:r>
        <w:rPr>
          <w:rFonts w:hint="eastAsia" w:ascii="宋体" w:hAnsi="宋体" w:eastAsia="宋体" w:cs="宋体"/>
          <w:b w:val="0"/>
          <w:bCs w:val="0"/>
          <w:snapToGrid w:val="0"/>
          <w:color w:val="auto"/>
          <w:kern w:val="0"/>
          <w:sz w:val="21"/>
          <w:szCs w:val="21"/>
          <w:highlight w:val="none"/>
          <w:u w:val="single"/>
        </w:rPr>
        <w:t>韶关市始兴县太平镇城北路62号</w:t>
      </w:r>
    </w:p>
    <w:p>
      <w:pPr>
        <w:pStyle w:val="29"/>
        <w:keepNext w:val="0"/>
        <w:keepLines w:val="0"/>
        <w:pageBreakBefore w:val="0"/>
        <w:kinsoku/>
        <w:wordWrap w:val="0"/>
        <w:overflowPunct/>
        <w:topLinePunct w:val="0"/>
        <w:bidi w:val="0"/>
        <w:adjustRightInd w:val="0"/>
        <w:snapToGrid w:val="0"/>
        <w:spacing w:line="400" w:lineRule="atLeast"/>
        <w:ind w:firstLine="420" w:firstLineChars="200"/>
        <w:jc w:val="left"/>
        <w:rPr>
          <w:rFonts w:hint="eastAsia" w:ascii="宋体" w:hAnsi="宋体" w:eastAsia="宋体" w:cs="宋体"/>
          <w:b w:val="0"/>
          <w:bCs w:val="0"/>
          <w:snapToGrid w:val="0"/>
          <w:color w:val="auto"/>
          <w:kern w:val="0"/>
          <w:sz w:val="21"/>
          <w:szCs w:val="21"/>
          <w:highlight w:val="none"/>
          <w:u w:val="single"/>
          <w:lang w:val="en-US" w:eastAsia="zh-CN" w:bidi="ar-SA"/>
        </w:rPr>
      </w:pPr>
      <w:r>
        <w:rPr>
          <w:rFonts w:hint="eastAsia" w:ascii="宋体" w:hAnsi="宋体" w:eastAsia="宋体" w:cs="宋体"/>
          <w:b w:val="0"/>
          <w:bCs w:val="0"/>
          <w:snapToGrid w:val="0"/>
          <w:color w:val="auto"/>
          <w:kern w:val="0"/>
          <w:sz w:val="21"/>
          <w:szCs w:val="21"/>
          <w:highlight w:val="none"/>
        </w:rPr>
        <w:t>1.1.2 建设内容和规模：</w:t>
      </w:r>
      <w:r>
        <w:rPr>
          <w:rFonts w:hint="eastAsia" w:ascii="宋体" w:hAnsi="宋体" w:eastAsia="宋体" w:cs="宋体"/>
          <w:b w:val="0"/>
          <w:bCs w:val="0"/>
          <w:snapToGrid w:val="0"/>
          <w:color w:val="auto"/>
          <w:kern w:val="0"/>
          <w:sz w:val="21"/>
          <w:szCs w:val="21"/>
          <w:highlight w:val="none"/>
          <w:u w:val="single"/>
        </w:rPr>
        <w:t>新建一栋五层高中教学楼，建筑面积7400.00 平方米；一栋六层高中宿舍楼，建筑面积3700.00 平方米；一栋三层体育馆，建筑面积6600.00 平方米，以及完善配电用房、给排水、挡土墙、围墙、园建、消防水池、广场、校道等配套基础设施等</w:t>
      </w:r>
      <w:r>
        <w:rPr>
          <w:rFonts w:hint="eastAsia" w:ascii="宋体" w:hAnsi="宋体" w:eastAsia="宋体" w:cs="宋体"/>
          <w:b w:val="0"/>
          <w:bCs w:val="0"/>
          <w:snapToGrid w:val="0"/>
          <w:color w:val="auto"/>
          <w:kern w:val="0"/>
          <w:sz w:val="21"/>
          <w:szCs w:val="21"/>
          <w:highlight w:val="none"/>
          <w:u w:val="single"/>
          <w:lang w:val="en-US" w:eastAsia="zh-CN" w:bidi="ar-SA"/>
        </w:rPr>
        <w:t>。</w:t>
      </w:r>
    </w:p>
    <w:p>
      <w:pPr>
        <w:pStyle w:val="29"/>
        <w:keepNext w:val="0"/>
        <w:keepLines w:val="0"/>
        <w:pageBreakBefore w:val="0"/>
        <w:kinsoku/>
        <w:wordWrap w:val="0"/>
        <w:overflowPunct/>
        <w:topLinePunct w:val="0"/>
        <w:bidi w:val="0"/>
        <w:adjustRightInd w:val="0"/>
        <w:snapToGrid w:val="0"/>
        <w:spacing w:line="400" w:lineRule="atLeast"/>
        <w:ind w:firstLine="420" w:firstLineChars="200"/>
        <w:jc w:val="left"/>
        <w:rPr>
          <w:rFonts w:hint="default" w:ascii="宋体" w:hAnsi="宋体" w:eastAsia="宋体" w:cs="宋体"/>
          <w:snapToGrid w:val="0"/>
          <w:color w:val="auto"/>
          <w:kern w:val="0"/>
          <w:sz w:val="21"/>
          <w:szCs w:val="21"/>
          <w:highlight w:val="none"/>
          <w:u w:val="single"/>
          <w:lang w:val="en-US" w:eastAsia="zh-CN" w:bidi="ar-SA"/>
        </w:rPr>
      </w:pPr>
      <w:r>
        <w:rPr>
          <w:rFonts w:hint="eastAsia" w:ascii="宋体" w:hAnsi="宋体" w:eastAsia="宋体" w:cs="宋体"/>
          <w:b w:val="0"/>
          <w:bCs w:val="0"/>
          <w:snapToGrid w:val="0"/>
          <w:color w:val="auto"/>
          <w:kern w:val="0"/>
          <w:sz w:val="21"/>
          <w:szCs w:val="21"/>
          <w:highlight w:val="none"/>
        </w:rPr>
        <w:t xml:space="preserve">1.1.3 </w:t>
      </w:r>
      <w:r>
        <w:rPr>
          <w:rFonts w:hint="eastAsia" w:ascii="宋体" w:hAnsi="宋体" w:eastAsia="宋体" w:cs="宋体"/>
          <w:snapToGrid w:val="0"/>
          <w:color w:val="auto"/>
          <w:kern w:val="0"/>
          <w:sz w:val="21"/>
          <w:szCs w:val="21"/>
          <w:highlight w:val="none"/>
        </w:rPr>
        <w:t>项目总投资</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u w:val="single"/>
          <w:lang w:val="en-US" w:eastAsia="zh-CN"/>
        </w:rPr>
        <w:t>项目总投资约13200.00万元，其中工程费用</w:t>
      </w:r>
      <w:r>
        <w:rPr>
          <w:rFonts w:hint="eastAsia" w:ascii="宋体" w:hAnsi="宋体" w:cs="宋体"/>
          <w:b w:val="0"/>
          <w:bCs w:val="0"/>
          <w:snapToGrid w:val="0"/>
          <w:color w:val="auto"/>
          <w:kern w:val="0"/>
          <w:sz w:val="21"/>
          <w:szCs w:val="21"/>
          <w:highlight w:val="none"/>
          <w:u w:val="single"/>
          <w:lang w:val="en-US" w:eastAsia="zh-CN" w:bidi="ar-SA"/>
        </w:rPr>
        <w:t>9009.52</w:t>
      </w:r>
      <w:r>
        <w:rPr>
          <w:rFonts w:hint="eastAsia" w:ascii="宋体" w:hAnsi="宋体" w:eastAsia="宋体" w:cs="宋体"/>
          <w:b w:val="0"/>
          <w:bCs w:val="0"/>
          <w:snapToGrid w:val="0"/>
          <w:color w:val="auto"/>
          <w:kern w:val="0"/>
          <w:sz w:val="21"/>
          <w:szCs w:val="21"/>
          <w:highlight w:val="none"/>
          <w:u w:val="single"/>
          <w:lang w:val="en-US" w:eastAsia="zh-CN" w:bidi="ar-SA"/>
        </w:rPr>
        <w:t xml:space="preserve"> 万元</w:t>
      </w:r>
    </w:p>
    <w:p>
      <w:pPr>
        <w:pStyle w:val="29"/>
        <w:keepNext w:val="0"/>
        <w:keepLines w:val="0"/>
        <w:pageBreakBefore w:val="0"/>
        <w:kinsoku/>
        <w:wordWrap w:val="0"/>
        <w:overflowPunct/>
        <w:topLinePunct w:val="0"/>
        <w:bidi w:val="0"/>
        <w:adjustRightInd w:val="0"/>
        <w:snapToGrid w:val="0"/>
        <w:spacing w:line="400" w:lineRule="atLeast"/>
        <w:ind w:firstLine="421" w:firstLineChars="200"/>
        <w:jc w:val="left"/>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1.2 招标范围和标段划分</w:t>
      </w:r>
    </w:p>
    <w:p>
      <w:pPr>
        <w:pStyle w:val="29"/>
        <w:keepNext w:val="0"/>
        <w:keepLines w:val="0"/>
        <w:pageBreakBefore w:val="0"/>
        <w:kinsoku/>
        <w:wordWrap w:val="0"/>
        <w:overflowPunct/>
        <w:topLinePunct w:val="0"/>
        <w:bidi w:val="0"/>
        <w:adjustRightInd w:val="0"/>
        <w:snapToGrid w:val="0"/>
        <w:spacing w:line="400" w:lineRule="atLeast"/>
        <w:ind w:firstLine="420" w:firstLineChars="200"/>
        <w:jc w:val="left"/>
        <w:rPr>
          <w:rFonts w:hint="eastAsia" w:ascii="宋体" w:hAnsi="宋体" w:eastAsia="宋体" w:cs="宋体"/>
          <w:snapToGrid w:val="0"/>
          <w:color w:val="auto"/>
          <w:kern w:val="0"/>
          <w:sz w:val="21"/>
          <w:szCs w:val="21"/>
          <w:highlight w:val="none"/>
          <w:u w:val="single"/>
        </w:rPr>
      </w:pPr>
      <w:r>
        <w:rPr>
          <w:rFonts w:hint="eastAsia" w:ascii="宋体" w:hAnsi="宋体" w:eastAsia="宋体" w:cs="宋体"/>
          <w:b w:val="0"/>
          <w:bCs w:val="0"/>
          <w:snapToGrid w:val="0"/>
          <w:color w:val="auto"/>
          <w:kern w:val="0"/>
          <w:sz w:val="21"/>
          <w:szCs w:val="21"/>
          <w:highlight w:val="none"/>
        </w:rPr>
        <w:t>1.2.1</w:t>
      </w:r>
      <w:r>
        <w:rPr>
          <w:rFonts w:hint="eastAsia" w:ascii="宋体" w:hAnsi="宋体" w:eastAsia="宋体" w:cs="宋体"/>
          <w:snapToGrid w:val="0"/>
          <w:color w:val="auto"/>
          <w:kern w:val="0"/>
          <w:sz w:val="21"/>
          <w:szCs w:val="21"/>
          <w:highlight w:val="none"/>
        </w:rPr>
        <w:t xml:space="preserve"> 招标范围：</w:t>
      </w:r>
      <w:r>
        <w:rPr>
          <w:rFonts w:hint="eastAsia" w:ascii="宋体" w:hAnsi="宋体" w:eastAsia="宋体" w:cs="宋体"/>
          <w:snapToGrid w:val="0"/>
          <w:color w:val="auto"/>
          <w:kern w:val="0"/>
          <w:sz w:val="21"/>
          <w:szCs w:val="21"/>
          <w:highlight w:val="none"/>
          <w:u w:val="single"/>
          <w:lang w:eastAsia="zh-CN"/>
        </w:rPr>
        <w:t>按审查合格的施工图纸及工程量清单内容施工</w:t>
      </w:r>
      <w:r>
        <w:rPr>
          <w:rFonts w:hint="eastAsia" w:ascii="宋体" w:hAnsi="宋体" w:eastAsia="宋体" w:cs="宋体"/>
          <w:snapToGrid w:val="0"/>
          <w:color w:val="auto"/>
          <w:kern w:val="0"/>
          <w:sz w:val="21"/>
          <w:szCs w:val="21"/>
          <w:highlight w:val="none"/>
          <w:u w:val="single"/>
        </w:rPr>
        <w:t>。</w:t>
      </w:r>
    </w:p>
    <w:p>
      <w:pPr>
        <w:pStyle w:val="29"/>
        <w:keepNext w:val="0"/>
        <w:keepLines w:val="0"/>
        <w:pageBreakBefore w:val="0"/>
        <w:kinsoku/>
        <w:wordWrap w:val="0"/>
        <w:overflowPunct/>
        <w:topLinePunct w:val="0"/>
        <w:bidi w:val="0"/>
        <w:adjustRightInd w:val="0"/>
        <w:snapToGrid w:val="0"/>
        <w:spacing w:line="400" w:lineRule="atLeas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val="0"/>
          <w:snapToGrid w:val="0"/>
          <w:color w:val="auto"/>
          <w:kern w:val="0"/>
          <w:sz w:val="21"/>
          <w:szCs w:val="21"/>
          <w:highlight w:val="none"/>
        </w:rPr>
        <w:t xml:space="preserve">1.2.2 </w:t>
      </w:r>
      <w:r>
        <w:rPr>
          <w:rFonts w:hint="eastAsia" w:ascii="宋体" w:hAnsi="宋体" w:eastAsia="宋体" w:cs="宋体"/>
          <w:snapToGrid w:val="0"/>
          <w:color w:val="auto"/>
          <w:kern w:val="0"/>
          <w:sz w:val="21"/>
          <w:szCs w:val="21"/>
          <w:highlight w:val="none"/>
        </w:rPr>
        <w:t>标段划分：本招标项目</w:t>
      </w:r>
      <w:r>
        <w:rPr>
          <w:rFonts w:hint="eastAsia" w:ascii="宋体" w:hAnsi="宋体" w:eastAsia="宋体" w:cs="宋体"/>
          <w:snapToGrid w:val="0"/>
          <w:color w:val="auto"/>
          <w:kern w:val="0"/>
          <w:sz w:val="21"/>
          <w:szCs w:val="21"/>
          <w:highlight w:val="none"/>
          <w:u w:val="single"/>
        </w:rPr>
        <w:t>不划分</w:t>
      </w:r>
      <w:r>
        <w:rPr>
          <w:rFonts w:hint="eastAsia" w:ascii="宋体" w:hAnsi="宋体" w:eastAsia="宋体" w:cs="宋体"/>
          <w:snapToGrid w:val="0"/>
          <w:color w:val="auto"/>
          <w:kern w:val="0"/>
          <w:sz w:val="21"/>
          <w:szCs w:val="21"/>
          <w:highlight w:val="none"/>
        </w:rPr>
        <w:t>标段。</w:t>
      </w:r>
    </w:p>
    <w:p>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1.3</w:t>
      </w:r>
      <w:r>
        <w:rPr>
          <w:rFonts w:hint="eastAsia" w:ascii="宋体" w:hAnsi="宋体" w:eastAsia="宋体" w:cs="宋体"/>
          <w:snapToGrid w:val="0"/>
          <w:color w:val="auto"/>
          <w:kern w:val="0"/>
          <w:sz w:val="21"/>
          <w:szCs w:val="21"/>
          <w:highlight w:val="none"/>
        </w:rPr>
        <w:t xml:space="preserve"> 投标费用：投标人应承担所有准备和参加投标的相关费用，不论投标结果如何，招标人均无义务和责任承担这些费用。</w:t>
      </w:r>
    </w:p>
    <w:p>
      <w:pPr>
        <w:keepNext w:val="0"/>
        <w:keepLines w:val="0"/>
        <w:pageBreakBefore w:val="0"/>
        <w:widowControl/>
        <w:suppressLineNumbers w:val="0"/>
        <w:kinsoku/>
        <w:overflowPunct/>
        <w:topLinePunct w:val="0"/>
        <w:bidi w:val="0"/>
        <w:spacing w:line="400" w:lineRule="atLeas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1.4 </w:t>
      </w:r>
      <w:r>
        <w:rPr>
          <w:rFonts w:hint="eastAsia" w:ascii="宋体" w:hAnsi="宋体" w:eastAsia="宋体" w:cs="宋体"/>
          <w:color w:val="auto"/>
          <w:kern w:val="0"/>
          <w:sz w:val="21"/>
          <w:szCs w:val="21"/>
          <w:highlight w:val="none"/>
          <w:lang w:val="en-US" w:eastAsia="zh-CN" w:bidi="ar"/>
        </w:rPr>
        <w:t xml:space="preserve">招标代理费用：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由招标人支付 ☑由中标人支付。</w:t>
      </w:r>
    </w:p>
    <w:p>
      <w:pPr>
        <w:pStyle w:val="5"/>
        <w:keepNext/>
        <w:keepLines/>
        <w:wordWrap/>
        <w:snapToGrid/>
        <w:spacing w:line="240" w:lineRule="auto"/>
        <w:ind w:firstLine="420"/>
        <w:jc w:val="left"/>
        <w:rPr>
          <w:rFonts w:hint="eastAsia" w:ascii="宋体" w:hAnsi="宋体" w:eastAsia="宋体" w:cs="宋体"/>
          <w:b/>
          <w:snapToGrid w:val="0"/>
          <w:color w:val="auto"/>
          <w:sz w:val="24"/>
          <w:szCs w:val="24"/>
          <w:highlight w:val="none"/>
        </w:rPr>
      </w:pPr>
      <w:bookmarkStart w:id="65" w:name="_Toc885"/>
      <w:bookmarkStart w:id="66" w:name="_Toc10418"/>
      <w:bookmarkStart w:id="67" w:name="_Toc19143"/>
      <w:bookmarkStart w:id="68" w:name="_Toc5250"/>
      <w:bookmarkStart w:id="69" w:name="_Toc27487"/>
      <w:bookmarkStart w:id="70" w:name="_Toc24088"/>
      <w:bookmarkStart w:id="71" w:name="_Toc26102"/>
      <w:bookmarkStart w:id="72" w:name="_Toc14747"/>
      <w:r>
        <w:rPr>
          <w:rFonts w:hint="eastAsia" w:ascii="宋体" w:hAnsi="宋体" w:eastAsia="宋体" w:cs="宋体"/>
          <w:b/>
          <w:snapToGrid w:val="0"/>
          <w:color w:val="auto"/>
          <w:sz w:val="24"/>
          <w:szCs w:val="24"/>
          <w:highlight w:val="none"/>
        </w:rPr>
        <w:t>2．投标人资格要求</w:t>
      </w:r>
      <w:bookmarkEnd w:id="65"/>
      <w:bookmarkEnd w:id="66"/>
      <w:bookmarkEnd w:id="67"/>
      <w:bookmarkEnd w:id="68"/>
      <w:bookmarkEnd w:id="69"/>
      <w:bookmarkEnd w:id="70"/>
      <w:bookmarkEnd w:id="71"/>
      <w:bookmarkEnd w:id="72"/>
      <w:bookmarkStart w:id="73" w:name="_Hlt74496495"/>
      <w:bookmarkEnd w:id="73"/>
    </w:p>
    <w:p>
      <w:pPr>
        <w:pStyle w:val="29"/>
        <w:adjustRightInd w:val="0"/>
        <w:snapToGrid w:val="0"/>
        <w:spacing w:line="400" w:lineRule="atLeast"/>
        <w:ind w:firstLine="421" w:firstLineChars="200"/>
        <w:jc w:val="left"/>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2.1 本次招标</w:t>
      </w:r>
      <w:r>
        <w:rPr>
          <w:rFonts w:hint="eastAsia" w:ascii="宋体" w:hAnsi="宋体" w:eastAsia="宋体" w:cs="宋体"/>
          <w:b/>
          <w:bCs/>
          <w:snapToGrid w:val="0"/>
          <w:color w:val="auto"/>
          <w:kern w:val="0"/>
          <w:sz w:val="21"/>
          <w:szCs w:val="21"/>
          <w:highlight w:val="none"/>
          <w:lang w:val="en-US" w:eastAsia="zh-CN"/>
        </w:rPr>
        <w:t>不</w:t>
      </w:r>
      <w:r>
        <w:rPr>
          <w:rFonts w:hint="eastAsia" w:ascii="宋体" w:hAnsi="宋体" w:eastAsia="宋体" w:cs="宋体"/>
          <w:b/>
          <w:bCs/>
          <w:snapToGrid w:val="0"/>
          <w:color w:val="auto"/>
          <w:kern w:val="0"/>
          <w:sz w:val="21"/>
          <w:szCs w:val="21"/>
          <w:highlight w:val="none"/>
        </w:rPr>
        <w:t>接受联合体投标。</w:t>
      </w:r>
    </w:p>
    <w:p>
      <w:pPr>
        <w:pStyle w:val="29"/>
        <w:adjustRightInd w:val="0"/>
        <w:snapToGrid w:val="0"/>
        <w:spacing w:line="400" w:lineRule="atLeast"/>
        <w:ind w:firstLine="421"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 资格资质要求</w:t>
      </w:r>
    </w:p>
    <w:p>
      <w:pPr>
        <w:widowControl w:val="0"/>
        <w:numPr>
          <w:ilvl w:val="0"/>
          <w:numId w:val="0"/>
        </w:numPr>
        <w:adjustRightInd/>
        <w:snapToGrid/>
        <w:spacing w:line="400" w:lineRule="exact"/>
        <w:ind w:right="120" w:rightChars="50" w:firstLine="420" w:firstLineChars="200"/>
        <w:rPr>
          <w:rFonts w:hint="eastAsia" w:ascii="宋体" w:hAnsi="宋体" w:eastAsia="宋体" w:cs="宋体"/>
          <w:snapToGrid/>
          <w:color w:val="auto"/>
          <w:kern w:val="0"/>
          <w:sz w:val="21"/>
          <w:szCs w:val="21"/>
          <w:highlight w:val="none"/>
        </w:rPr>
      </w:pPr>
      <w:r>
        <w:rPr>
          <w:rFonts w:hint="eastAsia" w:ascii="宋体" w:hAnsi="宋体" w:eastAsia="宋体" w:cs="宋体"/>
          <w:b w:val="0"/>
          <w:bCs w:val="0"/>
          <w:snapToGrid/>
          <w:color w:val="auto"/>
          <w:kern w:val="0"/>
          <w:sz w:val="21"/>
          <w:szCs w:val="21"/>
          <w:highlight w:val="none"/>
        </w:rPr>
        <w:t>2.2.1</w:t>
      </w:r>
      <w:r>
        <w:rPr>
          <w:rFonts w:hint="eastAsia" w:ascii="宋体" w:hAnsi="宋体" w:eastAsia="宋体" w:cs="宋体"/>
          <w:snapToGrid/>
          <w:color w:val="auto"/>
          <w:kern w:val="0"/>
          <w:sz w:val="21"/>
          <w:szCs w:val="21"/>
          <w:highlight w:val="none"/>
        </w:rPr>
        <w:t xml:space="preserve"> 投标人须具备独立法人资格，按国家法律经营。</w:t>
      </w:r>
    </w:p>
    <w:p>
      <w:pPr>
        <w:widowControl w:val="0"/>
        <w:numPr>
          <w:ilvl w:val="0"/>
          <w:numId w:val="0"/>
        </w:numPr>
        <w:adjustRightInd/>
        <w:snapToGrid/>
        <w:spacing w:line="400" w:lineRule="exact"/>
        <w:ind w:right="120" w:rightChars="50" w:firstLine="420" w:firstLineChars="200"/>
        <w:rPr>
          <w:rFonts w:hint="eastAsia" w:ascii="宋体" w:hAnsi="宋体" w:eastAsia="宋体" w:cs="宋体"/>
          <w:snapToGrid/>
          <w:color w:val="auto"/>
          <w:kern w:val="0"/>
          <w:sz w:val="21"/>
          <w:szCs w:val="21"/>
          <w:highlight w:val="none"/>
        </w:rPr>
      </w:pPr>
      <w:r>
        <w:rPr>
          <w:rFonts w:hint="eastAsia" w:ascii="宋体" w:hAnsi="宋体" w:eastAsia="宋体" w:cs="宋体"/>
          <w:b w:val="0"/>
          <w:bCs w:val="0"/>
          <w:snapToGrid/>
          <w:color w:val="auto"/>
          <w:kern w:val="0"/>
          <w:sz w:val="21"/>
          <w:szCs w:val="21"/>
          <w:highlight w:val="none"/>
        </w:rPr>
        <w:t>2.2.2</w:t>
      </w:r>
      <w:r>
        <w:rPr>
          <w:rFonts w:hint="eastAsia" w:ascii="宋体" w:hAnsi="宋体" w:eastAsia="宋体" w:cs="宋体"/>
          <w:snapToGrid/>
          <w:color w:val="auto"/>
          <w:kern w:val="0"/>
          <w:sz w:val="21"/>
          <w:szCs w:val="21"/>
          <w:highlight w:val="none"/>
        </w:rPr>
        <w:t xml:space="preserve"> 投标人须持有建设行政主管部门颁发的企业资质证书及安全生产许可证。</w:t>
      </w:r>
    </w:p>
    <w:p>
      <w:pPr>
        <w:numPr>
          <w:ilvl w:val="0"/>
          <w:numId w:val="0"/>
        </w:numPr>
        <w:spacing w:line="400" w:lineRule="exact"/>
        <w:ind w:firstLine="420" w:firstLineChars="200"/>
        <w:rPr>
          <w:rFonts w:hint="eastAsia" w:ascii="宋体" w:hAnsi="宋体" w:eastAsia="宋体" w:cs="宋体"/>
          <w:color w:val="auto"/>
          <w:sz w:val="21"/>
          <w:szCs w:val="21"/>
          <w:highlight w:val="none"/>
          <w:u w:val="single"/>
          <w:lang w:val="en-US" w:eastAsia="zh-CN"/>
        </w:rPr>
      </w:pPr>
      <w:r>
        <w:rPr>
          <w:rFonts w:hint="eastAsia" w:ascii="宋体" w:hAnsi="宋体" w:eastAsia="宋体" w:cs="宋体"/>
          <w:b w:val="0"/>
          <w:bCs w:val="0"/>
          <w:snapToGrid w:val="0"/>
          <w:color w:val="auto"/>
          <w:kern w:val="0"/>
          <w:sz w:val="21"/>
          <w:szCs w:val="21"/>
          <w:highlight w:val="none"/>
        </w:rPr>
        <w:t>2.2.</w:t>
      </w:r>
      <w:r>
        <w:rPr>
          <w:rFonts w:hint="eastAsia" w:ascii="宋体" w:hAnsi="宋体" w:eastAsia="宋体" w:cs="宋体"/>
          <w:b w:val="0"/>
          <w:bCs w:val="0"/>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投标人须具备以下资质：</w:t>
      </w:r>
      <w:r>
        <w:rPr>
          <w:rFonts w:hint="eastAsia" w:hAnsi="宋体" w:cs="宋体"/>
          <w:b/>
          <w:bCs/>
          <w:color w:val="auto"/>
          <w:sz w:val="21"/>
          <w:szCs w:val="21"/>
          <w:highlight w:val="none"/>
          <w:u w:val="single"/>
          <w:lang w:eastAsia="zh-CN"/>
        </w:rPr>
        <w:t>建筑工程施工总承包二级以上（含二级）</w:t>
      </w:r>
      <w:r>
        <w:rPr>
          <w:rFonts w:hint="eastAsia" w:ascii="宋体" w:hAnsi="宋体" w:eastAsia="宋体" w:cs="宋体"/>
          <w:b/>
          <w:bCs/>
          <w:color w:val="auto"/>
          <w:sz w:val="21"/>
          <w:szCs w:val="21"/>
          <w:highlight w:val="none"/>
          <w:u w:val="single"/>
          <w:lang w:eastAsia="zh-CN"/>
        </w:rPr>
        <w:t>资质</w:t>
      </w:r>
      <w:r>
        <w:rPr>
          <w:rFonts w:hint="eastAsia" w:ascii="宋体" w:hAnsi="宋体" w:eastAsia="宋体" w:cs="宋体"/>
          <w:b/>
          <w:bCs/>
          <w:color w:val="auto"/>
          <w:sz w:val="21"/>
          <w:szCs w:val="21"/>
          <w:highlight w:val="none"/>
          <w:u w:val="single"/>
          <w:lang w:val="en-US" w:eastAsia="zh-CN"/>
        </w:rPr>
        <w:t>。</w:t>
      </w:r>
    </w:p>
    <w:p>
      <w:pPr>
        <w:numPr>
          <w:ilvl w:val="0"/>
          <w:numId w:val="0"/>
        </w:numPr>
        <w:spacing w:line="400" w:lineRule="exact"/>
        <w:ind w:firstLine="420" w:firstLineChars="200"/>
        <w:rPr>
          <w:rFonts w:hint="eastAsia" w:ascii="宋体" w:hAnsi="宋体" w:eastAsia="宋体" w:cs="宋体"/>
          <w:b w:val="0"/>
          <w:bCs w:val="0"/>
          <w:snapToGrid w:val="0"/>
          <w:color w:val="auto"/>
          <w:kern w:val="0"/>
          <w:sz w:val="21"/>
          <w:szCs w:val="21"/>
          <w:highlight w:val="none"/>
          <w:lang w:eastAsia="zh-CN"/>
        </w:rPr>
      </w:pPr>
      <w:r>
        <w:rPr>
          <w:rFonts w:hint="eastAsia" w:ascii="宋体" w:hAnsi="宋体" w:eastAsia="宋体" w:cs="宋体"/>
          <w:b w:val="0"/>
          <w:bCs w:val="0"/>
          <w:snapToGrid w:val="0"/>
          <w:color w:val="auto"/>
          <w:kern w:val="0"/>
          <w:sz w:val="21"/>
          <w:szCs w:val="21"/>
          <w:highlight w:val="none"/>
        </w:rPr>
        <w:t>2.2.</w:t>
      </w:r>
      <w:r>
        <w:rPr>
          <w:rFonts w:hint="eastAsia" w:ascii="宋体" w:hAnsi="宋体" w:eastAsia="宋体" w:cs="宋体"/>
          <w:b w:val="0"/>
          <w:bCs w:val="0"/>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w:t>
      </w:r>
      <w:r>
        <w:rPr>
          <w:rFonts w:hint="eastAsia" w:ascii="宋体" w:hAnsi="宋体" w:eastAsia="宋体" w:cs="宋体"/>
          <w:b w:val="0"/>
          <w:bCs w:val="0"/>
          <w:snapToGrid w:val="0"/>
          <w:color w:val="auto"/>
          <w:kern w:val="0"/>
          <w:sz w:val="21"/>
          <w:szCs w:val="21"/>
          <w:highlight w:val="none"/>
          <w:lang w:eastAsia="zh-CN"/>
        </w:rPr>
        <w:t>在开标日继续有效。</w:t>
      </w:r>
    </w:p>
    <w:p>
      <w:pPr>
        <w:numPr>
          <w:ilvl w:val="0"/>
          <w:numId w:val="0"/>
        </w:numPr>
        <w:spacing w:line="400" w:lineRule="exact"/>
        <w:ind w:firstLine="421"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 相关人员要求</w:t>
      </w:r>
    </w:p>
    <w:p>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2.3.1 拟派项目经理为</w:t>
      </w:r>
      <w:r>
        <w:rPr>
          <w:rFonts w:hint="eastAsia" w:ascii="宋体" w:hAnsi="宋体" w:eastAsia="宋体" w:cs="宋体"/>
          <w:b w:val="0"/>
          <w:bCs w:val="0"/>
          <w:snapToGrid w:val="0"/>
          <w:color w:val="auto"/>
          <w:kern w:val="0"/>
          <w:sz w:val="21"/>
          <w:szCs w:val="21"/>
          <w:highlight w:val="none"/>
          <w:lang w:val="en-US" w:eastAsia="zh-CN"/>
        </w:rPr>
        <w:t>具备</w:t>
      </w:r>
      <w:r>
        <w:rPr>
          <w:rFonts w:hint="eastAsia" w:ascii="宋体" w:hAnsi="宋体" w:eastAsia="宋体" w:cs="宋体"/>
          <w:b/>
          <w:bCs/>
          <w:snapToGrid w:val="0"/>
          <w:color w:val="auto"/>
          <w:kern w:val="0"/>
          <w:sz w:val="21"/>
          <w:szCs w:val="21"/>
          <w:highlight w:val="none"/>
          <w:u w:val="single"/>
          <w:lang w:eastAsia="zh-CN"/>
        </w:rPr>
        <w:t>建筑工程</w:t>
      </w:r>
      <w:r>
        <w:rPr>
          <w:rFonts w:hint="eastAsia" w:ascii="宋体" w:hAnsi="宋体" w:eastAsia="宋体" w:cs="宋体"/>
          <w:b/>
          <w:bCs/>
          <w:snapToGrid w:val="0"/>
          <w:color w:val="auto"/>
          <w:kern w:val="0"/>
          <w:sz w:val="21"/>
          <w:szCs w:val="21"/>
          <w:highlight w:val="none"/>
          <w:u w:val="single"/>
        </w:rPr>
        <w:t>专业</w:t>
      </w:r>
      <w:r>
        <w:rPr>
          <w:rFonts w:hint="eastAsia" w:ascii="宋体" w:hAnsi="宋体" w:eastAsia="宋体" w:cs="宋体"/>
          <w:b w:val="0"/>
          <w:bCs w:val="0"/>
          <w:snapToGrid w:val="0"/>
          <w:color w:val="auto"/>
          <w:kern w:val="0"/>
          <w:sz w:val="21"/>
          <w:szCs w:val="21"/>
          <w:highlight w:val="none"/>
        </w:rPr>
        <w:t>一级或二级注册建造师，</w:t>
      </w:r>
      <w:r>
        <w:rPr>
          <w:rFonts w:hint="eastAsia" w:ascii="宋体" w:hAnsi="宋体" w:eastAsia="宋体" w:cs="宋体"/>
          <w:b w:val="0"/>
          <w:bCs w:val="0"/>
          <w:snapToGrid w:val="0"/>
          <w:color w:val="auto"/>
          <w:kern w:val="0"/>
          <w:sz w:val="21"/>
          <w:szCs w:val="21"/>
          <w:highlight w:val="none"/>
          <w:lang w:eastAsia="zh-CN"/>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建设工程项目的项目经理。</w:t>
      </w:r>
    </w:p>
    <w:p>
      <w:pPr>
        <w:pStyle w:val="29"/>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2.3.2 拟派</w:t>
      </w:r>
      <w:r>
        <w:rPr>
          <w:rFonts w:hint="eastAsia" w:ascii="宋体" w:hAnsi="宋体" w:eastAsia="宋体" w:cs="宋体"/>
          <w:snapToGrid w:val="0"/>
          <w:color w:val="auto"/>
          <w:kern w:val="0"/>
          <w:sz w:val="21"/>
          <w:szCs w:val="21"/>
          <w:highlight w:val="none"/>
        </w:rPr>
        <w:t>项目技术负责人须具备</w:t>
      </w:r>
      <w:r>
        <w:rPr>
          <w:rFonts w:hint="eastAsia" w:ascii="宋体" w:hAnsi="宋体" w:eastAsia="宋体" w:cs="宋体"/>
          <w:b/>
          <w:bCs/>
          <w:snapToGrid w:val="0"/>
          <w:color w:val="auto"/>
          <w:kern w:val="0"/>
          <w:sz w:val="21"/>
          <w:szCs w:val="21"/>
          <w:highlight w:val="none"/>
          <w:u w:val="single"/>
          <w:lang w:val="en-US" w:eastAsia="zh-CN"/>
        </w:rPr>
        <w:t>建筑工程</w:t>
      </w:r>
      <w:r>
        <w:rPr>
          <w:rFonts w:hint="eastAsia" w:ascii="宋体" w:hAnsi="宋体" w:eastAsia="宋体" w:cs="宋体"/>
          <w:b/>
          <w:bCs/>
          <w:snapToGrid w:val="0"/>
          <w:color w:val="auto"/>
          <w:kern w:val="0"/>
          <w:sz w:val="21"/>
          <w:szCs w:val="21"/>
          <w:highlight w:val="none"/>
          <w:u w:val="single"/>
        </w:rPr>
        <w:t>相关专业</w:t>
      </w:r>
      <w:r>
        <w:rPr>
          <w:rFonts w:hint="eastAsia" w:ascii="宋体" w:hAnsi="宋体" w:cs="宋体"/>
          <w:b/>
          <w:bCs/>
          <w:snapToGrid w:val="0"/>
          <w:color w:val="auto"/>
          <w:kern w:val="0"/>
          <w:sz w:val="21"/>
          <w:szCs w:val="21"/>
          <w:highlight w:val="none"/>
          <w:u w:val="single"/>
          <w:lang w:val="en-US" w:eastAsia="zh-CN"/>
        </w:rPr>
        <w:t>高</w:t>
      </w:r>
      <w:r>
        <w:rPr>
          <w:rFonts w:hint="eastAsia" w:ascii="宋体" w:hAnsi="宋体" w:eastAsia="宋体" w:cs="宋体"/>
          <w:b/>
          <w:bCs/>
          <w:snapToGrid w:val="0"/>
          <w:color w:val="auto"/>
          <w:kern w:val="0"/>
          <w:sz w:val="21"/>
          <w:szCs w:val="21"/>
          <w:highlight w:val="none"/>
          <w:u w:val="single"/>
        </w:rPr>
        <w:t>级或以上</w:t>
      </w:r>
      <w:r>
        <w:rPr>
          <w:rFonts w:hint="eastAsia" w:ascii="宋体" w:hAnsi="宋体" w:eastAsia="宋体" w:cs="宋体"/>
          <w:snapToGrid w:val="0"/>
          <w:color w:val="auto"/>
          <w:kern w:val="0"/>
          <w:sz w:val="21"/>
          <w:szCs w:val="21"/>
          <w:highlight w:val="none"/>
        </w:rPr>
        <w:t>技术职称。</w:t>
      </w:r>
    </w:p>
    <w:p>
      <w:pPr>
        <w:pStyle w:val="30"/>
        <w:keepNext w:val="0"/>
        <w:keepLines w:val="0"/>
        <w:pageBreakBefore w:val="0"/>
        <w:widowControl w:val="0"/>
        <w:kinsoku/>
        <w:overflowPunct/>
        <w:topLinePunct w:val="0"/>
        <w:autoSpaceDE/>
        <w:autoSpaceDN/>
        <w:bidi w:val="0"/>
        <w:adjustRightInd/>
        <w:snapToGrid/>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snapToGrid w:val="0"/>
          <w:color w:val="auto"/>
          <w:kern w:val="0"/>
          <w:sz w:val="21"/>
          <w:szCs w:val="21"/>
          <w:highlight w:val="none"/>
          <w:u w:val="single"/>
          <w:lang w:val="en-US" w:eastAsia="zh-CN"/>
        </w:rPr>
        <w:t>2</w:t>
      </w:r>
      <w:r>
        <w:rPr>
          <w:rFonts w:hint="eastAsia" w:ascii="宋体" w:hAnsi="宋体" w:eastAsia="宋体" w:cs="宋体"/>
          <w:snapToGrid w:val="0"/>
          <w:color w:val="auto"/>
          <w:kern w:val="0"/>
          <w:sz w:val="21"/>
          <w:szCs w:val="21"/>
          <w:highlight w:val="none"/>
        </w:rPr>
        <w:t>人。</w:t>
      </w:r>
    </w:p>
    <w:p>
      <w:pPr>
        <w:pStyle w:val="30"/>
        <w:keepNext w:val="0"/>
        <w:keepLines w:val="0"/>
        <w:pageBreakBefore w:val="0"/>
        <w:widowControl w:val="0"/>
        <w:kinsoku/>
        <w:overflowPunct/>
        <w:topLinePunct w:val="0"/>
        <w:autoSpaceDE/>
        <w:autoSpaceDN/>
        <w:bidi w:val="0"/>
        <w:adjustRightInd/>
        <w:snapToGrid/>
        <w:spacing w:line="400" w:lineRule="exact"/>
        <w:ind w:firstLine="420" w:firstLineChars="200"/>
        <w:jc w:val="left"/>
        <w:rPr>
          <w:rStyle w:val="25"/>
          <w:rFonts w:hint="eastAsia" w:ascii="宋体" w:hAnsi="宋体" w:eastAsia="宋体" w:cs="宋体"/>
          <w:b w:val="0"/>
          <w:bCs w:val="0"/>
          <w:color w:val="auto"/>
          <w:kern w:val="0"/>
          <w:sz w:val="21"/>
          <w:szCs w:val="21"/>
          <w:highlight w:val="none"/>
        </w:rPr>
      </w:pPr>
      <w:r>
        <w:rPr>
          <w:rStyle w:val="25"/>
          <w:rFonts w:hint="eastAsia" w:ascii="宋体" w:hAnsi="宋体" w:eastAsia="宋体" w:cs="宋体"/>
          <w:b w:val="0"/>
          <w:bCs w:val="0"/>
          <w:color w:val="auto"/>
          <w:kern w:val="0"/>
          <w:sz w:val="21"/>
          <w:szCs w:val="21"/>
          <w:highlight w:val="none"/>
          <w:lang w:val="en-US" w:eastAsia="zh-CN"/>
        </w:rPr>
        <w:t>2.</w:t>
      </w:r>
      <w:r>
        <w:rPr>
          <w:rStyle w:val="25"/>
          <w:rFonts w:hint="eastAsia" w:ascii="宋体" w:hAnsi="宋体" w:eastAsia="宋体" w:cs="宋体"/>
          <w:b w:val="0"/>
          <w:bCs w:val="0"/>
          <w:color w:val="auto"/>
          <w:kern w:val="0"/>
          <w:sz w:val="21"/>
          <w:szCs w:val="21"/>
          <w:highlight w:val="none"/>
        </w:rPr>
        <w:t>3.</w:t>
      </w:r>
      <w:r>
        <w:rPr>
          <w:rStyle w:val="25"/>
          <w:rFonts w:hint="eastAsia" w:ascii="宋体" w:hAnsi="宋体" w:eastAsia="宋体" w:cs="宋体"/>
          <w:b w:val="0"/>
          <w:bCs w:val="0"/>
          <w:color w:val="auto"/>
          <w:kern w:val="0"/>
          <w:sz w:val="21"/>
          <w:szCs w:val="21"/>
          <w:highlight w:val="none"/>
          <w:lang w:val="en-US" w:eastAsia="zh-CN"/>
        </w:rPr>
        <w:t>4</w:t>
      </w:r>
      <w:r>
        <w:rPr>
          <w:rStyle w:val="25"/>
          <w:rFonts w:hint="eastAsia" w:ascii="宋体" w:hAnsi="宋体" w:eastAsia="宋体" w:cs="宋体"/>
          <w:b w:val="0"/>
          <w:bCs w:val="0"/>
          <w:color w:val="auto"/>
          <w:kern w:val="0"/>
          <w:sz w:val="21"/>
          <w:szCs w:val="21"/>
          <w:highlight w:val="none"/>
        </w:rPr>
        <w:t xml:space="preserve"> </w:t>
      </w:r>
      <w:r>
        <w:rPr>
          <w:rStyle w:val="25"/>
          <w:rFonts w:hint="eastAsia" w:ascii="宋体" w:hAnsi="宋体" w:eastAsia="宋体" w:cs="宋体"/>
          <w:b w:val="0"/>
          <w:bCs w:val="0"/>
          <w:color w:val="auto"/>
          <w:kern w:val="0"/>
          <w:sz w:val="21"/>
          <w:szCs w:val="21"/>
          <w:highlight w:val="none"/>
          <w:lang w:eastAsia="zh-CN"/>
        </w:rPr>
        <w:t>投标人</w:t>
      </w:r>
      <w:r>
        <w:rPr>
          <w:rFonts w:hint="eastAsia" w:ascii="宋体" w:hAnsi="宋体" w:eastAsia="宋体" w:cs="宋体"/>
          <w:color w:val="auto"/>
          <w:sz w:val="21"/>
          <w:szCs w:val="21"/>
          <w:highlight w:val="none"/>
          <w:lang w:val="en-US" w:eastAsia="zh-CN"/>
        </w:rPr>
        <w:t>（包括组成联合体的所有成员单位）</w:t>
      </w:r>
      <w:r>
        <w:rPr>
          <w:rStyle w:val="25"/>
          <w:rFonts w:hint="eastAsia" w:ascii="宋体" w:hAnsi="宋体" w:eastAsia="宋体" w:cs="宋体"/>
          <w:b w:val="0"/>
          <w:bCs w:val="0"/>
          <w:color w:val="auto"/>
          <w:kern w:val="0"/>
          <w:sz w:val="21"/>
          <w:szCs w:val="21"/>
          <w:highlight w:val="none"/>
          <w:lang w:eastAsia="zh-CN"/>
        </w:rPr>
        <w:t>与其拟派往本项目管理机构的所有人员之间必须具备合法、唯一的劳动聘用关系。拟派人员中具备注册执业资格的，其注册单位须与投标人保持一致（提供社保缴纳证明或劳动合同）。</w:t>
      </w:r>
    </w:p>
    <w:p>
      <w:pPr>
        <w:pStyle w:val="30"/>
        <w:keepNext w:val="0"/>
        <w:keepLines w:val="0"/>
        <w:pageBreakBefore w:val="0"/>
        <w:widowControl w:val="0"/>
        <w:kinsoku/>
        <w:overflowPunct/>
        <w:topLinePunct w:val="0"/>
        <w:autoSpaceDE/>
        <w:autoSpaceDN/>
        <w:bidi w:val="0"/>
        <w:adjustRightInd/>
        <w:snapToGrid/>
        <w:spacing w:line="400" w:lineRule="exact"/>
        <w:ind w:firstLine="421"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b/>
          <w:bCs/>
          <w:color w:val="auto"/>
          <w:kern w:val="0"/>
          <w:sz w:val="21"/>
          <w:szCs w:val="21"/>
          <w:highlight w:val="none"/>
        </w:rPr>
        <w:t>2.4</w:t>
      </w:r>
      <w:r>
        <w:rPr>
          <w:rStyle w:val="25"/>
          <w:rFonts w:hint="eastAsia" w:ascii="宋体" w:hAnsi="宋体" w:eastAsia="宋体" w:cs="宋体"/>
          <w:color w:val="auto"/>
          <w:kern w:val="0"/>
          <w:sz w:val="21"/>
          <w:szCs w:val="21"/>
          <w:highlight w:val="none"/>
        </w:rPr>
        <w:t xml:space="preserve">  禁止投标条款</w:t>
      </w:r>
    </w:p>
    <w:p>
      <w:pPr>
        <w:pStyle w:val="30"/>
        <w:keepNext w:val="0"/>
        <w:keepLines w:val="0"/>
        <w:pageBreakBefore w:val="0"/>
        <w:widowControl w:val="0"/>
        <w:kinsoku/>
        <w:overflowPunct/>
        <w:topLinePunct w:val="0"/>
        <w:autoSpaceDE/>
        <w:autoSpaceDN/>
        <w:bidi w:val="0"/>
        <w:adjustRightInd/>
        <w:snapToGrid/>
        <w:spacing w:line="400" w:lineRule="exact"/>
        <w:ind w:firstLine="421"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b/>
          <w:bCs/>
          <w:color w:val="auto"/>
          <w:kern w:val="0"/>
          <w:sz w:val="21"/>
          <w:szCs w:val="21"/>
          <w:highlight w:val="none"/>
        </w:rPr>
        <w:t xml:space="preserve">2.4.1 </w:t>
      </w:r>
      <w:r>
        <w:rPr>
          <w:rStyle w:val="25"/>
          <w:rFonts w:hint="eastAsia" w:ascii="宋体" w:hAnsi="宋体" w:eastAsia="宋体" w:cs="宋体"/>
          <w:color w:val="auto"/>
          <w:kern w:val="0"/>
          <w:sz w:val="21"/>
          <w:szCs w:val="21"/>
          <w:highlight w:val="none"/>
        </w:rPr>
        <w:t>投标人不得存在下列情形之一：</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（1）为招标人不具有独立法人资格的附属机构（单位）；</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（2）为本招标项目前期准备提供设计或咨询服务的；</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（3）与本招标项目的其他投标人为同一个单位负责人；</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（4）与本招标项目的其他投标人存在控股、管理关系；</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（5）为本招标项目的监理人；</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（6）为本招标项目的代建人；</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（7）为本招标项目的招标代理机构；</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（8）与本招标项目的监理人或代建人或招标代理机构同为一个法定代表人；</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（9）与本招标项目的监理人或代建人或招标代理机构存在控股或参股关系；</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（10）与本招标项目的监理人或代建人或招标代理机构存在相互任职或工作关系；</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（11）被依法暂停或者取消投标资格；</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（12）被责令停产停业、暂扣或者吊销许可证、暂扣或者吊销执照；</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（13）进入清算程序，或被宣告破产，或其他丧失履约能力的情形；</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（14）在最近三年内发生重大工程质量或安全问题（以相关行业主管部门的行政处罚决定或司法机关出具的有关法律文书为准）；</w:t>
      </w:r>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（15）被“信用中国”网站（https：//www.creditchina.gov.cn）发布的《法人和非法人组织公共信用信息报告》列为严重失信主体名单的。</w:t>
      </w:r>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b/>
          <w:bCs/>
          <w:color w:val="auto"/>
          <w:kern w:val="0"/>
          <w:sz w:val="21"/>
          <w:szCs w:val="21"/>
          <w:highlight w:val="none"/>
        </w:rPr>
        <w:t>2.4.2</w:t>
      </w:r>
      <w:r>
        <w:rPr>
          <w:rStyle w:val="25"/>
          <w:rFonts w:hint="eastAsia" w:ascii="宋体" w:hAnsi="宋体" w:eastAsia="宋体" w:cs="宋体"/>
          <w:color w:val="auto"/>
          <w:kern w:val="0"/>
          <w:sz w:val="21"/>
          <w:szCs w:val="21"/>
          <w:highlight w:val="none"/>
        </w:rPr>
        <w:t xml:space="preserve"> 招标人拒绝以下名单中的单位参加本次投标：</w:t>
      </w:r>
    </w:p>
    <w:tbl>
      <w:tblPr>
        <w:tblStyle w:val="20"/>
        <w:tblW w:w="49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4843"/>
        <w:gridCol w:w="4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88" w:type="pct"/>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460" w:type="pct"/>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tc>
        <w:tc>
          <w:tcPr>
            <w:tcW w:w="2051" w:type="pct"/>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88"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1</w:t>
            </w:r>
          </w:p>
        </w:tc>
        <w:tc>
          <w:tcPr>
            <w:tcW w:w="2460"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世纪工程项目管理有限公司</w:t>
            </w:r>
          </w:p>
        </w:tc>
        <w:tc>
          <w:tcPr>
            <w:tcW w:w="2051"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为本招标项目的项目可行性研究报告编制单位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8"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2</w:t>
            </w:r>
          </w:p>
        </w:tc>
        <w:tc>
          <w:tcPr>
            <w:tcW w:w="2460"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iCs/>
                <w:snapToGrid w:val="0"/>
                <w:color w:val="auto"/>
                <w:kern w:val="0"/>
                <w:sz w:val="21"/>
                <w:szCs w:val="21"/>
                <w:highlight w:val="none"/>
                <w:lang w:val="en-US"/>
              </w:rPr>
            </w:pPr>
            <w:r>
              <w:rPr>
                <w:rFonts w:hint="eastAsia" w:ascii="宋体" w:hAnsi="宋体" w:eastAsia="宋体" w:cs="宋体"/>
                <w:iCs/>
                <w:snapToGrid w:val="0"/>
                <w:color w:val="auto"/>
                <w:kern w:val="0"/>
                <w:sz w:val="21"/>
                <w:szCs w:val="21"/>
                <w:highlight w:val="none"/>
                <w:lang w:val="en-US"/>
              </w:rPr>
              <w:t>广东中茂项目咨询管理有限公司</w:t>
            </w:r>
          </w:p>
        </w:tc>
        <w:tc>
          <w:tcPr>
            <w:tcW w:w="2051"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w:t>
            </w:r>
            <w:r>
              <w:rPr>
                <w:rFonts w:hint="eastAsia" w:ascii="宋体" w:hAnsi="宋体" w:eastAsia="宋体" w:cs="宋体"/>
                <w:color w:val="auto"/>
                <w:kern w:val="0"/>
                <w:sz w:val="21"/>
                <w:szCs w:val="21"/>
                <w:highlight w:val="none"/>
                <w:lang w:val="en-US" w:eastAsia="zh-CN" w:bidi="ar-SA"/>
              </w:rPr>
              <w:fldChar w:fldCharType="begin"/>
            </w:r>
            <w:r>
              <w:rPr>
                <w:rFonts w:hint="eastAsia" w:ascii="宋体" w:hAnsi="宋体" w:eastAsia="宋体" w:cs="宋体"/>
                <w:color w:val="auto"/>
                <w:kern w:val="0"/>
                <w:sz w:val="21"/>
                <w:szCs w:val="21"/>
                <w:highlight w:val="none"/>
                <w:lang w:val="en-US" w:eastAsia="zh-CN" w:bidi="ar-SA"/>
              </w:rPr>
              <w:instrText xml:space="preserve"> HYPERLINK "https://ygp.gdzwfw.gov.cn/zjfwcs/gd-zjcs-pub/bidResultNotice/view/4402224558876132603270464" </w:instrText>
            </w:r>
            <w:r>
              <w:rPr>
                <w:rFonts w:hint="eastAsia" w:ascii="宋体" w:hAnsi="宋体" w:eastAsia="宋体" w:cs="宋体"/>
                <w:color w:val="auto"/>
                <w:kern w:val="0"/>
                <w:sz w:val="21"/>
                <w:szCs w:val="21"/>
                <w:highlight w:val="none"/>
                <w:lang w:val="en-US" w:eastAsia="zh-CN" w:bidi="ar-SA"/>
              </w:rPr>
              <w:fldChar w:fldCharType="separate"/>
            </w:r>
            <w:r>
              <w:rPr>
                <w:rFonts w:hint="eastAsia" w:ascii="宋体" w:hAnsi="宋体" w:eastAsia="宋体" w:cs="宋体"/>
                <w:color w:val="auto"/>
                <w:kern w:val="0"/>
                <w:sz w:val="21"/>
                <w:szCs w:val="21"/>
                <w:highlight w:val="none"/>
                <w:lang w:val="en-US" w:eastAsia="zh-CN" w:bidi="ar-SA"/>
              </w:rPr>
              <w:t>全过程造价咨询</w:t>
            </w:r>
            <w:r>
              <w:rPr>
                <w:rFonts w:hint="eastAsia" w:ascii="宋体" w:hAnsi="宋体" w:eastAsia="宋体" w:cs="宋体"/>
                <w:color w:val="auto"/>
                <w:kern w:val="0"/>
                <w:sz w:val="21"/>
                <w:szCs w:val="21"/>
                <w:highlight w:val="none"/>
                <w:lang w:val="en-US" w:eastAsia="zh-CN" w:bidi="ar-SA"/>
              </w:rPr>
              <w:fldChar w:fldCharType="end"/>
            </w:r>
            <w:r>
              <w:rPr>
                <w:rFonts w:hint="eastAsia" w:ascii="宋体" w:hAnsi="宋体" w:eastAsia="宋体" w:cs="宋体"/>
                <w:color w:val="auto"/>
                <w:kern w:val="0"/>
                <w:sz w:val="21"/>
                <w:szCs w:val="21"/>
                <w:highlight w:val="none"/>
                <w:lang w:val="en-US" w:eastAsia="zh-CN" w:bidi="ar-SA"/>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88"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3</w:t>
            </w:r>
          </w:p>
        </w:tc>
        <w:tc>
          <w:tcPr>
            <w:tcW w:w="2460"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大华建设项目管理有限公司</w:t>
            </w:r>
          </w:p>
        </w:tc>
        <w:tc>
          <w:tcPr>
            <w:tcW w:w="2051"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为本招标项目的初步设计概算评估单位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88"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4</w:t>
            </w:r>
          </w:p>
        </w:tc>
        <w:tc>
          <w:tcPr>
            <w:tcW w:w="2460"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中合一工程设计有限公司</w:t>
            </w:r>
          </w:p>
        </w:tc>
        <w:tc>
          <w:tcPr>
            <w:tcW w:w="2051"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为本招标项目的勘察、设计单位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88"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5</w:t>
            </w:r>
          </w:p>
        </w:tc>
        <w:tc>
          <w:tcPr>
            <w:tcW w:w="2460"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待定</w:t>
            </w:r>
          </w:p>
        </w:tc>
        <w:tc>
          <w:tcPr>
            <w:tcW w:w="2051"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488"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6</w:t>
            </w:r>
          </w:p>
        </w:tc>
        <w:tc>
          <w:tcPr>
            <w:tcW w:w="2460"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t>始兴县风度中学</w:t>
            </w:r>
          </w:p>
        </w:tc>
        <w:tc>
          <w:tcPr>
            <w:tcW w:w="2051"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SA"/>
              </w:rPr>
              <w:t>为本招标项目的</w:t>
            </w:r>
            <w:r>
              <w:rPr>
                <w:rFonts w:hint="eastAsia" w:hAnsi="宋体" w:cs="宋体"/>
                <w:color w:val="auto"/>
                <w:kern w:val="0"/>
                <w:sz w:val="21"/>
                <w:szCs w:val="21"/>
                <w:highlight w:val="none"/>
                <w:lang w:val="en-US" w:eastAsia="zh-CN" w:bidi="ar-SA"/>
              </w:rPr>
              <w:t>业主单位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88"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7</w:t>
            </w:r>
          </w:p>
        </w:tc>
        <w:tc>
          <w:tcPr>
            <w:tcW w:w="2460"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始兴县政府投资建设项目代建管理局</w:t>
            </w:r>
          </w:p>
        </w:tc>
        <w:tc>
          <w:tcPr>
            <w:tcW w:w="2051"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88"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hAnsi="宋体" w:cs="宋体"/>
                <w:color w:val="auto"/>
                <w:kern w:val="0"/>
                <w:sz w:val="21"/>
                <w:szCs w:val="21"/>
                <w:highlight w:val="none"/>
                <w:lang w:val="en-US" w:eastAsia="zh-CN" w:bidi="ar-SA"/>
              </w:rPr>
              <w:t>8</w:t>
            </w:r>
          </w:p>
        </w:tc>
        <w:tc>
          <w:tcPr>
            <w:tcW w:w="2460"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韶关市诚智工程管理咨询有限公司</w:t>
            </w:r>
          </w:p>
        </w:tc>
        <w:tc>
          <w:tcPr>
            <w:tcW w:w="2051" w:type="pct"/>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i w:val="0"/>
                <w:iCs w:val="0"/>
                <w:caps w:val="0"/>
                <w:color w:val="auto"/>
                <w:spacing w:val="0"/>
                <w:sz w:val="21"/>
                <w:szCs w:val="21"/>
                <w:highlight w:val="none"/>
              </w:rPr>
            </w:pPr>
            <w:r>
              <w:rPr>
                <w:rFonts w:hint="eastAsia" w:ascii="宋体" w:hAnsi="宋体" w:eastAsia="宋体" w:cs="宋体"/>
                <w:color w:val="auto"/>
                <w:kern w:val="0"/>
                <w:sz w:val="21"/>
                <w:szCs w:val="21"/>
                <w:highlight w:val="none"/>
                <w:lang w:val="en-US" w:eastAsia="zh-CN" w:bidi="ar-SA"/>
              </w:rPr>
              <w:t>为本招标项目的招标代理机构</w:t>
            </w:r>
          </w:p>
        </w:tc>
      </w:tr>
    </w:tbl>
    <w:p>
      <w:pPr>
        <w:pStyle w:val="30"/>
        <w:keepNext w:val="0"/>
        <w:keepLines w:val="0"/>
        <w:pageBreakBefore w:val="0"/>
        <w:widowControl w:val="0"/>
        <w:kinsoku/>
        <w:overflowPunct/>
        <w:topLinePunct w:val="0"/>
        <w:autoSpaceDE/>
        <w:autoSpaceDN/>
        <w:bidi w:val="0"/>
        <w:adjustRightInd/>
        <w:snapToGrid/>
        <w:spacing w:line="400" w:lineRule="exact"/>
        <w:ind w:firstLine="421"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b/>
          <w:bCs/>
          <w:color w:val="auto"/>
          <w:kern w:val="0"/>
          <w:sz w:val="21"/>
          <w:szCs w:val="21"/>
          <w:highlight w:val="none"/>
        </w:rPr>
        <w:t>2.5</w:t>
      </w:r>
      <w:r>
        <w:rPr>
          <w:rStyle w:val="25"/>
          <w:rFonts w:hint="eastAsia" w:ascii="宋体" w:hAnsi="宋体" w:eastAsia="宋体" w:cs="宋体"/>
          <w:color w:val="auto"/>
          <w:kern w:val="0"/>
          <w:sz w:val="21"/>
          <w:szCs w:val="21"/>
          <w:highlight w:val="none"/>
        </w:rPr>
        <w:t xml:space="preserve"> 其他要求</w:t>
      </w:r>
    </w:p>
    <w:p>
      <w:pPr>
        <w:pStyle w:val="30"/>
        <w:keepNext w:val="0"/>
        <w:keepLines w:val="0"/>
        <w:pageBreakBefore w:val="0"/>
        <w:widowControl w:val="0"/>
        <w:kinsoku/>
        <w:overflowPunct/>
        <w:topLinePunct w:val="0"/>
        <w:autoSpaceDE/>
        <w:autoSpaceDN/>
        <w:bidi w:val="0"/>
        <w:adjustRightInd/>
        <w:snapToGrid/>
        <w:spacing w:line="40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省外企业</w:t>
      </w:r>
      <w:r>
        <w:rPr>
          <w:rStyle w:val="25"/>
          <w:rFonts w:hint="eastAsia" w:ascii="宋体" w:hAnsi="宋体" w:cs="宋体"/>
          <w:color w:val="auto"/>
          <w:kern w:val="0"/>
          <w:sz w:val="21"/>
          <w:szCs w:val="21"/>
          <w:highlight w:val="none"/>
          <w:lang w:eastAsia="zh-CN"/>
        </w:rPr>
        <w:t>（</w:t>
      </w:r>
      <w:r>
        <w:rPr>
          <w:rStyle w:val="25"/>
          <w:rFonts w:hint="eastAsia" w:ascii="宋体" w:hAnsi="宋体" w:eastAsia="宋体" w:cs="宋体"/>
          <w:color w:val="auto"/>
          <w:kern w:val="0"/>
          <w:sz w:val="21"/>
          <w:szCs w:val="21"/>
          <w:highlight w:val="none"/>
        </w:rPr>
        <w:t>包括组成联合体的所有成员单位）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pPr>
        <w:pStyle w:val="30"/>
        <w:keepNext w:val="0"/>
        <w:keepLines w:val="0"/>
        <w:pageBreakBefore w:val="0"/>
        <w:widowControl w:val="0"/>
        <w:kinsoku/>
        <w:overflowPunct/>
        <w:topLinePunct w:val="0"/>
        <w:autoSpaceDE/>
        <w:autoSpaceDN/>
        <w:bidi w:val="0"/>
        <w:adjustRightInd/>
        <w:snapToGrid/>
        <w:spacing w:line="240" w:lineRule="auto"/>
        <w:ind w:firstLine="421" w:firstLineChars="200"/>
        <w:jc w:val="left"/>
        <w:rPr>
          <w:rStyle w:val="25"/>
          <w:rFonts w:hint="eastAsia" w:ascii="宋体" w:hAnsi="宋体" w:eastAsia="宋体" w:cs="宋体"/>
          <w:b/>
          <w:bCs/>
          <w:strike/>
          <w:color w:val="auto"/>
          <w:kern w:val="0"/>
          <w:sz w:val="21"/>
          <w:szCs w:val="21"/>
          <w:highlight w:val="none"/>
        </w:rPr>
      </w:pPr>
    </w:p>
    <w:p>
      <w:pPr>
        <w:pStyle w:val="28"/>
        <w:keepNext w:val="0"/>
        <w:keepLines w:val="0"/>
        <w:pageBreakBefore w:val="0"/>
        <w:widowControl w:val="0"/>
        <w:numPr>
          <w:ilvl w:val="0"/>
          <w:numId w:val="1"/>
        </w:numPr>
        <w:kinsoku/>
        <w:overflowPunct/>
        <w:topLinePunct w:val="0"/>
        <w:autoSpaceDE/>
        <w:autoSpaceDN/>
        <w:bidi w:val="0"/>
        <w:adjustRightInd/>
        <w:snapToGrid/>
        <w:spacing w:line="400" w:lineRule="exact"/>
        <w:ind w:firstLine="421" w:firstLineChars="200"/>
        <w:jc w:val="both"/>
        <w:textAlignment w:val="baseline"/>
        <w:outlineLvl w:val="1"/>
        <w:rPr>
          <w:rStyle w:val="25"/>
          <w:rFonts w:hint="eastAsia" w:ascii="宋体" w:hAnsi="宋体" w:eastAsia="宋体" w:cs="宋体"/>
          <w:b/>
          <w:bCs/>
          <w:color w:val="auto"/>
          <w:sz w:val="21"/>
          <w:szCs w:val="21"/>
          <w:highlight w:val="none"/>
        </w:rPr>
      </w:pPr>
      <w:bookmarkStart w:id="74" w:name="_Toc1588"/>
      <w:bookmarkStart w:id="75" w:name="_Toc5831"/>
      <w:bookmarkStart w:id="76" w:name="_Toc17996"/>
      <w:r>
        <w:rPr>
          <w:rFonts w:hint="eastAsia" w:ascii="宋体" w:hAnsi="宋体" w:eastAsia="宋体" w:cs="宋体"/>
          <w:b/>
          <w:snapToGrid w:val="0"/>
          <w:color w:val="auto"/>
          <w:sz w:val="21"/>
          <w:szCs w:val="21"/>
          <w:highlight w:val="none"/>
        </w:rPr>
        <w:t>招标文件的获取、提问和答疑</w:t>
      </w:r>
      <w:bookmarkEnd w:id="74"/>
      <w:bookmarkEnd w:id="75"/>
      <w:bookmarkEnd w:id="76"/>
    </w:p>
    <w:p>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21"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3.1 </w:t>
      </w:r>
      <w:r>
        <w:rPr>
          <w:rFonts w:hint="eastAsia" w:ascii="宋体" w:hAnsi="宋体" w:eastAsia="宋体" w:cs="宋体"/>
          <w:snapToGrid w:val="0"/>
          <w:color w:val="auto"/>
          <w:kern w:val="0"/>
          <w:sz w:val="21"/>
          <w:szCs w:val="21"/>
          <w:highlight w:val="none"/>
        </w:rPr>
        <w:t>本次招标实行电子投标。本项目招标文件随招标公告一并在广东省招标投标监管网（</w:t>
      </w:r>
      <w:r>
        <w:rPr>
          <w:rFonts w:hint="eastAsia" w:ascii="宋体" w:hAnsi="宋体" w:eastAsia="宋体" w:cs="宋体"/>
          <w:snapToGrid w:val="0"/>
          <w:color w:val="auto"/>
          <w:kern w:val="0"/>
          <w:sz w:val="21"/>
          <w:szCs w:val="21"/>
          <w:highlight w:val="none"/>
          <w:lang w:eastAsia="zh-CN"/>
        </w:rPr>
        <w:t>http：//zbtb.gd.gov.cn</w:t>
      </w:r>
      <w:r>
        <w:rPr>
          <w:rFonts w:hint="eastAsia" w:ascii="宋体" w:hAnsi="宋体" w:eastAsia="宋体" w:cs="宋体"/>
          <w:snapToGrid w:val="0"/>
          <w:color w:val="auto"/>
          <w:kern w:val="0"/>
          <w:sz w:val="21"/>
          <w:szCs w:val="21"/>
          <w:highlight w:val="none"/>
        </w:rPr>
        <w:t>）、全国公共资源交易平台（广东省·韶关市）（https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“重要事项时间地点一览表”）招标文件获取期间与招标公告发布时间一致，投标人须登录全国公共资源交易平台（广东省·韶关市）（https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//ygp.gdzwfw.gov.cn/ggzy-portal/#/440200/index），使用新建设工程交易系统进行下载招标文件及相关附件，并于电子投标截止时间（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“重要事项时间地点一览表”）前完成电子投标。投标人可登录全国公共资源交易平台（广东省·韶关市）（https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在【服务指南】栏目中下载《韶关市公共资源建设工程交易系统-投标人操作指南（电子评标）V1.3》，了解网上获取招标文件操作流程。技术咨询电话：18819797080/0751-8379671伍先生，业务咨询电话：0751-8633211、8633071。</w:t>
      </w:r>
    </w:p>
    <w:p>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 </w:t>
      </w:r>
      <w:r>
        <w:rPr>
          <w:rFonts w:hint="eastAsia" w:ascii="宋体" w:hAnsi="宋体" w:eastAsia="宋体" w:cs="宋体"/>
          <w:snapToGrid w:val="0"/>
          <w:color w:val="auto"/>
          <w:kern w:val="0"/>
          <w:sz w:val="21"/>
          <w:szCs w:val="21"/>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首次在韶关市参与建设工程招标投标活动的投标人，必须在平台系统上传企业相关资料办理企业入库事宜。投标人可登录全国公共资源交易平台（广东省·韶关市）（https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//ygp.gdzwfw.gov.cn/ggzy-portal/#/440200/index）办理企业入库、数字证书及电子印章事宜，具体请在平台查阅相应的交易指引。</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已入库企业有关信息（如单位名称、基本账号、资质、人员等）发生变化的，须及时在交易系统进行相应变更。投标人未及时变更信息而造成的损失和后果，由投标人自行承担。</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1"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投标保证</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3.3.1</w:t>
      </w:r>
      <w:r>
        <w:rPr>
          <w:rFonts w:hint="eastAsia" w:ascii="宋体" w:hAnsi="宋体" w:eastAsia="宋体" w:cs="宋体"/>
          <w:snapToGrid w:val="0"/>
          <w:color w:val="auto"/>
          <w:kern w:val="0"/>
          <w:sz w:val="21"/>
          <w:szCs w:val="21"/>
          <w:highlight w:val="none"/>
        </w:rPr>
        <w:t xml:space="preserve"> 投标人须缴纳金额为人民币</w:t>
      </w:r>
      <w:r>
        <w:rPr>
          <w:rFonts w:hint="eastAsia" w:hAnsi="宋体" w:cs="宋体"/>
          <w:snapToGrid w:val="0"/>
          <w:color w:val="auto"/>
          <w:kern w:val="0"/>
          <w:sz w:val="21"/>
          <w:szCs w:val="21"/>
          <w:highlight w:val="none"/>
          <w:u w:val="single"/>
          <w:lang w:val="en-US" w:eastAsia="zh-CN"/>
        </w:rPr>
        <w:t>拾</w:t>
      </w:r>
      <w:r>
        <w:rPr>
          <w:rFonts w:hint="eastAsia" w:ascii="宋体" w:hAnsi="宋体" w:eastAsia="宋体" w:cs="宋体"/>
          <w:snapToGrid w:val="0"/>
          <w:color w:val="auto"/>
          <w:kern w:val="0"/>
          <w:sz w:val="21"/>
          <w:szCs w:val="21"/>
          <w:highlight w:val="none"/>
          <w:u w:val="single"/>
          <w:lang w:val="en-US" w:eastAsia="zh-CN"/>
        </w:rPr>
        <w:t>万元整</w:t>
      </w:r>
      <w:r>
        <w:rPr>
          <w:rFonts w:hint="eastAsia" w:ascii="宋体" w:hAnsi="宋体" w:eastAsia="宋体" w:cs="宋体"/>
          <w:snapToGrid w:val="0"/>
          <w:color w:val="auto"/>
          <w:kern w:val="0"/>
          <w:sz w:val="21"/>
          <w:szCs w:val="21"/>
          <w:highlight w:val="none"/>
        </w:rPr>
        <w:t>的投标保证。</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3.3.2</w:t>
      </w:r>
      <w:r>
        <w:rPr>
          <w:rFonts w:hint="eastAsia" w:ascii="宋体" w:hAnsi="宋体" w:eastAsia="宋体" w:cs="宋体"/>
          <w:snapToGrid w:val="0"/>
          <w:color w:val="auto"/>
          <w:kern w:val="0"/>
          <w:sz w:val="21"/>
          <w:szCs w:val="21"/>
          <w:highlight w:val="none"/>
        </w:rPr>
        <w:t xml:space="preserve"> 投标保证的形式包括投标保证金、投标保证担保、投标保证保险三种，由投标人自主选择。</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“重要事项时间地点一览表”）前，从其基本账户将投标保证金转账到指定的缴纳账号。逾期到账的、从非投标人基本账户转出的，其投标无效。</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（2）采用投标保证担保的，投标人应提交有效的电子保函或保证保险，电子保函或保证保险的有效期不得短于投标有效期。投标人必须在投标保证担保截止时间（详</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“重要事项时间地点一览表”）前，使用工程建设交易系统完成网上办理电子保函或保证保险。</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（3）采用投标保证保险的，投标人须在投标保证保险投保截止时间（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//ygp.gdzwfw.gov.cn/ggzy-portal/#/440200/index），在【服务指南】栏目中下载《韶关市公共资源建设工程交易系统-投标人操作指南（电子评标）V1.3》，了解网上投保具体操作流程。逾期投保的，其投标无效。</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温馨提</w:t>
      </w:r>
      <w:r>
        <w:rPr>
          <w:rFonts w:hint="eastAsia" w:ascii="宋体" w:hAnsi="宋体" w:eastAsia="宋体" w:cs="宋体"/>
          <w:snapToGrid w:val="0"/>
          <w:color w:val="auto"/>
          <w:kern w:val="0"/>
          <w:sz w:val="21"/>
          <w:szCs w:val="21"/>
          <w:highlight w:val="none"/>
          <w:lang w:eastAsia="zh-CN"/>
        </w:rPr>
        <w:t>示</w:t>
      </w:r>
      <w:r>
        <w:rPr>
          <w:rFonts w:hint="eastAsia" w:ascii="宋体" w:hAnsi="宋体" w:eastAsia="宋体" w:cs="宋体"/>
          <w:snapToGrid w:val="0"/>
          <w:color w:val="auto"/>
          <w:kern w:val="0"/>
          <w:sz w:val="21"/>
          <w:szCs w:val="21"/>
          <w:highlight w:val="none"/>
        </w:rPr>
        <w:t>：1.投标人采用投标保证担保或投标保证保险的，为避免在评标过程中因有效期发生争议，建议投标人将银行保函或电子保单有效期设置为较招标文件规定的投标有效期延长不少于20个日历天。</w:t>
      </w:r>
    </w:p>
    <w:p>
      <w:pPr>
        <w:pStyle w:val="7"/>
        <w:keepNext w:val="0"/>
        <w:keepLines w:val="0"/>
        <w:pageBreakBefore w:val="0"/>
        <w:widowControl w:val="0"/>
        <w:kinsoku/>
        <w:overflowPunct/>
        <w:topLinePunct w:val="0"/>
        <w:autoSpaceDE/>
        <w:autoSpaceDN/>
        <w:bidi w:val="0"/>
        <w:adjustRightInd/>
        <w:snapToGrid/>
        <w:spacing w:line="420" w:lineRule="exact"/>
        <w:ind w:firstLine="421" w:firstLineChars="200"/>
        <w:rPr>
          <w:rFonts w:hint="eastAsia" w:ascii="宋体" w:hAnsi="宋体" w:eastAsia="宋体" w:cs="宋体"/>
          <w:snapToGrid w:val="0"/>
          <w:color w:val="auto"/>
          <w:sz w:val="21"/>
          <w:szCs w:val="21"/>
          <w:highlight w:val="none"/>
        </w:rPr>
      </w:pPr>
      <w:r>
        <w:rPr>
          <w:rFonts w:hint="eastAsia" w:ascii="宋体" w:hAnsi="宋体" w:eastAsia="宋体" w:cs="宋体"/>
          <w:b/>
          <w:bCs/>
          <w:snapToGrid w:val="0"/>
          <w:color w:val="auto"/>
          <w:sz w:val="21"/>
          <w:szCs w:val="21"/>
          <w:highlight w:val="none"/>
        </w:rPr>
        <w:t>3.4</w:t>
      </w:r>
      <w:r>
        <w:rPr>
          <w:rFonts w:hint="eastAsia" w:ascii="宋体" w:hAnsi="宋体" w:eastAsia="宋体" w:cs="宋体"/>
          <w:snapToGrid w:val="0"/>
          <w:color w:val="auto"/>
          <w:sz w:val="21"/>
          <w:szCs w:val="21"/>
          <w:highlight w:val="none"/>
        </w:rPr>
        <w:t xml:space="preserve"> 若投标人因自身原因未能正确获取招标文件、电子投标、缴纳投标保证的，其投标无效。</w:t>
      </w:r>
    </w:p>
    <w:p>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snapToGrid w:val="0"/>
          <w:color w:val="auto"/>
          <w:sz w:val="21"/>
          <w:szCs w:val="21"/>
          <w:highlight w:val="none"/>
        </w:rPr>
      </w:pPr>
    </w:p>
    <w:p>
      <w:pPr>
        <w:pStyle w:val="28"/>
        <w:keepNext w:val="0"/>
        <w:keepLines w:val="0"/>
        <w:pageBreakBefore w:val="0"/>
        <w:widowControl w:val="0"/>
        <w:numPr>
          <w:ilvl w:val="0"/>
          <w:numId w:val="1"/>
        </w:numPr>
        <w:kinsoku/>
        <w:overflowPunct/>
        <w:topLinePunct w:val="0"/>
        <w:autoSpaceDE/>
        <w:autoSpaceDN/>
        <w:bidi w:val="0"/>
        <w:adjustRightInd/>
        <w:snapToGrid/>
        <w:spacing w:line="400" w:lineRule="exact"/>
        <w:ind w:firstLine="421" w:firstLineChars="200"/>
        <w:jc w:val="both"/>
        <w:textAlignment w:val="baseline"/>
        <w:outlineLvl w:val="1"/>
        <w:rPr>
          <w:rStyle w:val="25"/>
          <w:rFonts w:hint="eastAsia" w:ascii="宋体" w:hAnsi="宋体" w:eastAsia="宋体" w:cs="宋体"/>
          <w:b/>
          <w:bCs/>
          <w:color w:val="auto"/>
          <w:sz w:val="21"/>
          <w:szCs w:val="21"/>
          <w:highlight w:val="none"/>
        </w:rPr>
      </w:pPr>
      <w:bookmarkStart w:id="77" w:name="_Toc29707"/>
      <w:bookmarkStart w:id="78" w:name="_Toc22236"/>
      <w:bookmarkStart w:id="79" w:name="_Toc11233"/>
      <w:r>
        <w:rPr>
          <w:rStyle w:val="25"/>
          <w:rFonts w:hint="eastAsia" w:ascii="宋体" w:hAnsi="宋体" w:eastAsia="宋体" w:cs="宋体"/>
          <w:b/>
          <w:bCs/>
          <w:color w:val="auto"/>
          <w:sz w:val="21"/>
          <w:szCs w:val="21"/>
          <w:highlight w:val="none"/>
        </w:rPr>
        <w:t>工期要求</w:t>
      </w:r>
      <w:bookmarkEnd w:id="77"/>
      <w:bookmarkEnd w:id="78"/>
      <w:bookmarkEnd w:id="79"/>
    </w:p>
    <w:p>
      <w:pPr>
        <w:keepNext w:val="0"/>
        <w:keepLines w:val="0"/>
        <w:pageBreakBefore w:val="0"/>
        <w:widowControl w:val="0"/>
        <w:tabs>
          <w:tab w:val="left" w:pos="7020"/>
        </w:tabs>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本招标项目施工招标工期为</w:t>
      </w:r>
      <w:r>
        <w:rPr>
          <w:rStyle w:val="25"/>
          <w:rFonts w:hint="eastAsia" w:hAnsi="宋体" w:cs="宋体"/>
          <w:color w:val="auto"/>
          <w:kern w:val="0"/>
          <w:sz w:val="21"/>
          <w:szCs w:val="21"/>
          <w:highlight w:val="none"/>
          <w:u w:val="single"/>
          <w:lang w:val="en-US" w:eastAsia="zh-CN"/>
        </w:rPr>
        <w:t>1080个日历天</w:t>
      </w:r>
      <w:r>
        <w:rPr>
          <w:rStyle w:val="25"/>
          <w:rFonts w:hint="eastAsia" w:ascii="宋体" w:hAnsi="宋体" w:eastAsia="宋体" w:cs="宋体"/>
          <w:color w:val="auto"/>
          <w:kern w:val="0"/>
          <w:sz w:val="21"/>
          <w:szCs w:val="21"/>
          <w:highlight w:val="none"/>
        </w:rPr>
        <w:t>，中标人必须在招标工期内完成招标范围内的全部内容。</w:t>
      </w:r>
    </w:p>
    <w:p>
      <w:pPr>
        <w:pStyle w:val="7"/>
        <w:keepNext w:val="0"/>
        <w:keepLines w:val="0"/>
        <w:pageBreakBefore w:val="0"/>
        <w:widowControl w:val="0"/>
        <w:kinsoku/>
        <w:overflowPunct/>
        <w:topLinePunct w:val="0"/>
        <w:autoSpaceDE/>
        <w:autoSpaceDN/>
        <w:bidi w:val="0"/>
        <w:adjustRightInd/>
        <w:snapToGrid/>
        <w:spacing w:line="240" w:lineRule="auto"/>
        <w:ind w:firstLine="480" w:firstLineChars="200"/>
        <w:rPr>
          <w:rFonts w:hint="eastAsia"/>
          <w:color w:val="auto"/>
          <w:highlight w:val="none"/>
        </w:rPr>
      </w:pPr>
    </w:p>
    <w:p>
      <w:pPr>
        <w:pStyle w:val="28"/>
        <w:keepNext w:val="0"/>
        <w:keepLines w:val="0"/>
        <w:pageBreakBefore w:val="0"/>
        <w:widowControl w:val="0"/>
        <w:numPr>
          <w:ilvl w:val="0"/>
          <w:numId w:val="1"/>
        </w:numPr>
        <w:kinsoku/>
        <w:overflowPunct/>
        <w:topLinePunct w:val="0"/>
        <w:autoSpaceDE/>
        <w:autoSpaceDN/>
        <w:bidi w:val="0"/>
        <w:adjustRightInd/>
        <w:snapToGrid/>
        <w:spacing w:line="400" w:lineRule="exact"/>
        <w:ind w:firstLine="421" w:firstLineChars="200"/>
        <w:jc w:val="both"/>
        <w:textAlignment w:val="baseline"/>
        <w:outlineLvl w:val="1"/>
        <w:rPr>
          <w:rStyle w:val="25"/>
          <w:rFonts w:hint="eastAsia" w:ascii="宋体" w:hAnsi="宋体" w:eastAsia="宋体" w:cs="宋体"/>
          <w:b/>
          <w:bCs/>
          <w:color w:val="auto"/>
          <w:sz w:val="21"/>
          <w:szCs w:val="21"/>
          <w:highlight w:val="none"/>
        </w:rPr>
      </w:pPr>
      <w:bookmarkStart w:id="80" w:name="_Toc32236"/>
      <w:bookmarkStart w:id="81" w:name="_Toc1054"/>
      <w:bookmarkStart w:id="82" w:name="_Toc23049"/>
      <w:r>
        <w:rPr>
          <w:rStyle w:val="25"/>
          <w:rFonts w:hint="eastAsia" w:ascii="宋体" w:hAnsi="宋体" w:eastAsia="宋体" w:cs="宋体"/>
          <w:b/>
          <w:bCs/>
          <w:color w:val="auto"/>
          <w:sz w:val="21"/>
          <w:szCs w:val="21"/>
          <w:highlight w:val="none"/>
        </w:rPr>
        <w:t>质量标准和材料、机械要求</w:t>
      </w:r>
      <w:bookmarkEnd w:id="80"/>
      <w:bookmarkEnd w:id="81"/>
      <w:bookmarkEnd w:id="82"/>
    </w:p>
    <w:p>
      <w:pPr>
        <w:keepNext w:val="0"/>
        <w:keepLines w:val="0"/>
        <w:pageBreakBefore w:val="0"/>
        <w:widowControl w:val="0"/>
        <w:tabs>
          <w:tab w:val="left" w:pos="6240"/>
        </w:tabs>
        <w:kinsoku/>
        <w:wordWrap w:val="0"/>
        <w:overflowPunct/>
        <w:topLinePunct w:val="0"/>
        <w:autoSpaceDE/>
        <w:autoSpaceDN/>
        <w:bidi w:val="0"/>
        <w:adjustRightInd/>
        <w:snapToGrid/>
        <w:spacing w:line="400" w:lineRule="exact"/>
        <w:ind w:firstLine="421"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5.1</w:t>
      </w:r>
      <w:r>
        <w:rPr>
          <w:rFonts w:hint="eastAsia" w:ascii="宋体" w:hAnsi="宋体" w:eastAsia="宋体" w:cs="宋体"/>
          <w:snapToGrid w:val="0"/>
          <w:color w:val="auto"/>
          <w:kern w:val="0"/>
          <w:sz w:val="21"/>
          <w:szCs w:val="21"/>
          <w:highlight w:val="none"/>
        </w:rPr>
        <w:t xml:space="preserve"> 施工工艺严格按照国家和广东省的有关现行施工技术规范及标准执行，工程质量标准须</w:t>
      </w:r>
      <w:r>
        <w:rPr>
          <w:rFonts w:hint="eastAsia" w:ascii="宋体" w:hAnsi="宋体" w:eastAsia="宋体" w:cs="宋体"/>
          <w:snapToGrid w:val="0"/>
          <w:color w:val="auto"/>
          <w:kern w:val="0"/>
          <w:sz w:val="21"/>
          <w:szCs w:val="21"/>
          <w:highlight w:val="none"/>
          <w:u w:val="none"/>
        </w:rPr>
        <w:t>达到</w:t>
      </w:r>
      <w:r>
        <w:rPr>
          <w:rFonts w:hint="eastAsia" w:ascii="宋体" w:hAnsi="宋体" w:eastAsia="宋体" w:cs="宋体"/>
          <w:snapToGrid w:val="0"/>
          <w:color w:val="auto"/>
          <w:kern w:val="0"/>
          <w:sz w:val="21"/>
          <w:szCs w:val="21"/>
          <w:highlight w:val="none"/>
          <w:u w:val="single"/>
          <w:lang w:val="en-US" w:eastAsia="zh-CN"/>
        </w:rPr>
        <w:t>符合现行国家有关工程施工质量验收规范和标准的要求并达到合格</w:t>
      </w:r>
      <w:r>
        <w:rPr>
          <w:rFonts w:hint="eastAsia" w:ascii="宋体" w:hAnsi="宋体" w:eastAsia="宋体" w:cs="宋体"/>
          <w:snapToGrid w:val="0"/>
          <w:color w:val="auto"/>
          <w:kern w:val="0"/>
          <w:sz w:val="21"/>
          <w:szCs w:val="21"/>
          <w:highlight w:val="none"/>
          <w:u w:val="none"/>
          <w:lang w:eastAsia="zh-CN"/>
        </w:rPr>
        <w:t>。</w:t>
      </w:r>
      <w:r>
        <w:rPr>
          <w:rFonts w:hint="eastAsia" w:hAnsi="宋体"/>
          <w:color w:val="auto"/>
          <w:sz w:val="21"/>
          <w:szCs w:val="21"/>
          <w:highlight w:val="none"/>
        </w:rPr>
        <w:t>如未达到合格标准，则按合同价款的</w:t>
      </w:r>
      <w:r>
        <w:rPr>
          <w:rFonts w:hint="eastAsia" w:hAnsi="宋体"/>
          <w:color w:val="auto"/>
          <w:sz w:val="21"/>
          <w:szCs w:val="21"/>
          <w:highlight w:val="none"/>
          <w:u w:val="single"/>
        </w:rPr>
        <w:t xml:space="preserve"> 1 </w:t>
      </w:r>
      <w:r>
        <w:rPr>
          <w:rFonts w:hint="eastAsia" w:hAnsi="宋体"/>
          <w:color w:val="auto"/>
          <w:sz w:val="21"/>
          <w:szCs w:val="21"/>
          <w:highlight w:val="none"/>
        </w:rPr>
        <w:t>%向招标人返纳质量违约金，并由中标人负责返修至达到</w:t>
      </w:r>
      <w:r>
        <w:rPr>
          <w:rFonts w:hint="eastAsia" w:hAnsi="宋体"/>
          <w:b/>
          <w:bCs/>
          <w:color w:val="auto"/>
          <w:sz w:val="21"/>
          <w:szCs w:val="21"/>
          <w:highlight w:val="none"/>
          <w:u w:val="single"/>
        </w:rPr>
        <w:t>合格标准</w:t>
      </w:r>
      <w:r>
        <w:rPr>
          <w:rFonts w:hint="eastAsia" w:hAnsi="宋体"/>
          <w:color w:val="auto"/>
          <w:sz w:val="21"/>
          <w:szCs w:val="21"/>
          <w:highlight w:val="none"/>
        </w:rPr>
        <w:t>，返修费用由中标人承担，同时承担所有的责任及经济损失</w:t>
      </w:r>
      <w:r>
        <w:rPr>
          <w:rFonts w:hint="eastAsia" w:hAnsi="宋体"/>
          <w:color w:val="auto"/>
          <w:sz w:val="21"/>
          <w:szCs w:val="21"/>
          <w:highlight w:val="none"/>
          <w:lang w:eastAsia="zh-CN"/>
        </w:rPr>
        <w:t>。</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中标人在施工中如果工程质量不符合设计要求和有关规定，招标人或监理单位要求停工和返工的必须立即执行，并承担由此产生的各种费用，工期不予顺延。</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5.3</w:t>
      </w:r>
      <w:r>
        <w:rPr>
          <w:rFonts w:hint="eastAsia" w:ascii="宋体" w:hAnsi="宋体" w:eastAsia="宋体" w:cs="宋体"/>
          <w:snapToGrid w:val="0"/>
          <w:color w:val="auto"/>
          <w:kern w:val="0"/>
          <w:sz w:val="21"/>
          <w:szCs w:val="21"/>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pPr>
        <w:tabs>
          <w:tab w:val="left" w:pos="251"/>
        </w:tabs>
        <w:spacing w:before="157" w:line="320" w:lineRule="auto"/>
        <w:ind w:left="1" w:right="99" w:firstLine="567"/>
        <w:rPr>
          <w:rFonts w:ascii="宋体" w:hAnsi="宋体" w:eastAsia="宋体" w:cs="宋体"/>
          <w:color w:val="auto"/>
          <w:sz w:val="21"/>
          <w:szCs w:val="21"/>
          <w:highlight w:val="none"/>
        </w:rPr>
      </w:pPr>
      <w:r>
        <w:rPr>
          <w:rFonts w:ascii="Times New Roman" w:hAnsi="Times New Roman" w:eastAsia="Times New Roman" w:cs="Times New Roman"/>
          <w:b/>
          <w:bCs/>
          <w:color w:val="auto"/>
          <w:sz w:val="21"/>
          <w:szCs w:val="21"/>
          <w:highlight w:val="none"/>
        </w:rPr>
        <w:t xml:space="preserve">5.4 </w:t>
      </w:r>
      <w:r>
        <w:rPr>
          <w:rFonts w:ascii="宋体" w:hAnsi="宋体" w:eastAsia="宋体" w:cs="宋体"/>
          <w:color w:val="auto"/>
          <w:sz w:val="21"/>
          <w:szCs w:val="21"/>
          <w:highlight w:val="none"/>
        </w:rPr>
        <w:t>根据韶关市人民政府《关于加快推进全市绿色建筑发展工作的通</w:t>
      </w:r>
      <w:r>
        <w:rPr>
          <w:rFonts w:ascii="宋体" w:hAnsi="宋体" w:eastAsia="宋体" w:cs="宋体"/>
          <w:color w:val="auto"/>
          <w:spacing w:val="-1"/>
          <w:sz w:val="21"/>
          <w:szCs w:val="21"/>
          <w:highlight w:val="none"/>
        </w:rPr>
        <w:t>知》（韶府</w:t>
      </w:r>
      <w:r>
        <w:rPr>
          <w:rFonts w:ascii="宋体" w:hAnsi="宋体" w:eastAsia="宋体" w:cs="宋体"/>
          <w:color w:val="auto"/>
          <w:sz w:val="21"/>
          <w:szCs w:val="21"/>
          <w:highlight w:val="none"/>
        </w:rPr>
        <w:t xml:space="preserve"> </w:t>
      </w:r>
      <w:r>
        <w:rPr>
          <w:rFonts w:ascii="宋体" w:hAnsi="宋体" w:eastAsia="宋体" w:cs="宋体"/>
          <w:color w:val="auto"/>
          <w:spacing w:val="-3"/>
          <w:sz w:val="21"/>
          <w:szCs w:val="21"/>
          <w:highlight w:val="none"/>
        </w:rPr>
        <w:t>办明电〔</w:t>
      </w:r>
      <w:r>
        <w:rPr>
          <w:rFonts w:ascii="Times New Roman" w:hAnsi="Times New Roman" w:eastAsia="Times New Roman" w:cs="Times New Roman"/>
          <w:color w:val="auto"/>
          <w:spacing w:val="-3"/>
          <w:sz w:val="21"/>
          <w:szCs w:val="21"/>
          <w:highlight w:val="none"/>
        </w:rPr>
        <w:t>2013</w:t>
      </w:r>
      <w:r>
        <w:rPr>
          <w:rFonts w:ascii="宋体" w:hAnsi="宋体"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277</w:t>
      </w:r>
      <w:r>
        <w:rPr>
          <w:rFonts w:ascii="Times New Roman" w:hAnsi="Times New Roman" w:eastAsia="Times New Roman" w:cs="Times New Roman"/>
          <w:color w:val="auto"/>
          <w:spacing w:val="15"/>
          <w:w w:val="101"/>
          <w:sz w:val="21"/>
          <w:szCs w:val="21"/>
          <w:highlight w:val="none"/>
        </w:rPr>
        <w:t xml:space="preserve"> </w:t>
      </w:r>
      <w:r>
        <w:rPr>
          <w:rFonts w:ascii="宋体" w:hAnsi="宋体" w:eastAsia="宋体" w:cs="宋体"/>
          <w:color w:val="auto"/>
          <w:spacing w:val="-3"/>
          <w:sz w:val="21"/>
          <w:szCs w:val="21"/>
          <w:highlight w:val="none"/>
        </w:rPr>
        <w:t>号）有关规定，结合《韶关市住建管理局关于贯彻落实</w:t>
      </w:r>
      <w:r>
        <w:rPr>
          <w:rFonts w:ascii="Times New Roman" w:hAnsi="Times New Roman" w:eastAsia="Times New Roman" w:cs="Times New Roman"/>
          <w:color w:val="auto"/>
          <w:spacing w:val="-4"/>
          <w:sz w:val="21"/>
          <w:szCs w:val="21"/>
          <w:highlight w:val="none"/>
        </w:rPr>
        <w:t>&lt;</w:t>
      </w:r>
      <w:r>
        <w:rPr>
          <w:rFonts w:ascii="宋体" w:hAnsi="宋体" w:eastAsia="宋体" w:cs="宋体"/>
          <w:color w:val="auto"/>
          <w:spacing w:val="-4"/>
          <w:sz w:val="21"/>
          <w:szCs w:val="21"/>
          <w:highlight w:val="none"/>
        </w:rPr>
        <w:t>广东省绿</w:t>
      </w:r>
      <w:r>
        <w:rPr>
          <w:rFonts w:ascii="宋体" w:hAnsi="宋体" w:eastAsia="宋体" w:cs="宋体"/>
          <w:color w:val="auto"/>
          <w:sz w:val="21"/>
          <w:szCs w:val="21"/>
          <w:highlight w:val="none"/>
        </w:rPr>
        <w:t xml:space="preserve"> 色建筑条例</w:t>
      </w:r>
      <w:r>
        <w:rPr>
          <w:rFonts w:ascii="Times New Roman" w:hAnsi="Times New Roman" w:eastAsia="Times New Roman" w:cs="Times New Roman"/>
          <w:color w:val="auto"/>
          <w:sz w:val="21"/>
          <w:szCs w:val="21"/>
          <w:highlight w:val="none"/>
        </w:rPr>
        <w:t>&gt;</w:t>
      </w:r>
      <w:r>
        <w:rPr>
          <w:rFonts w:ascii="宋体" w:hAnsi="宋体" w:eastAsia="宋体" w:cs="宋体"/>
          <w:color w:val="auto"/>
          <w:sz w:val="21"/>
          <w:szCs w:val="21"/>
          <w:highlight w:val="none"/>
        </w:rPr>
        <w:t>有关工作的通知》（韶市建字〔</w:t>
      </w:r>
      <w:r>
        <w:rPr>
          <w:rFonts w:ascii="Times New Roman" w:hAnsi="Times New Roman" w:eastAsia="Times New Roman" w:cs="Times New Roman"/>
          <w:color w:val="auto"/>
          <w:sz w:val="21"/>
          <w:szCs w:val="21"/>
          <w:highlight w:val="none"/>
        </w:rPr>
        <w:t>2021</w:t>
      </w:r>
      <w:r>
        <w:rPr>
          <w:rFonts w:ascii="宋体" w:hAnsi="宋体" w:eastAsia="宋体" w:cs="宋体"/>
          <w:color w:val="auto"/>
          <w:sz w:val="21"/>
          <w:szCs w:val="21"/>
          <w:highlight w:val="none"/>
        </w:rPr>
        <w:t>〕</w:t>
      </w:r>
      <w:r>
        <w:rPr>
          <w:rFonts w:ascii="Times New Roman" w:hAnsi="Times New Roman" w:eastAsia="Times New Roman" w:cs="Times New Roman"/>
          <w:color w:val="auto"/>
          <w:sz w:val="21"/>
          <w:szCs w:val="21"/>
          <w:highlight w:val="none"/>
        </w:rPr>
        <w:t>85</w:t>
      </w:r>
      <w:r>
        <w:rPr>
          <w:rFonts w:ascii="Times New Roman" w:hAnsi="Times New Roman" w:eastAsia="Times New Roman" w:cs="Times New Roman"/>
          <w:color w:val="auto"/>
          <w:spacing w:val="15"/>
          <w:sz w:val="21"/>
          <w:szCs w:val="21"/>
          <w:highlight w:val="none"/>
        </w:rPr>
        <w:t xml:space="preserve"> </w:t>
      </w:r>
      <w:r>
        <w:rPr>
          <w:rFonts w:ascii="宋体" w:hAnsi="宋体" w:eastAsia="宋体" w:cs="宋体"/>
          <w:color w:val="auto"/>
          <w:sz w:val="21"/>
          <w:szCs w:val="21"/>
          <w:highlight w:val="none"/>
        </w:rPr>
        <w:t>号）等</w:t>
      </w:r>
      <w:r>
        <w:rPr>
          <w:rFonts w:ascii="宋体" w:hAnsi="宋体" w:eastAsia="宋体" w:cs="宋体"/>
          <w:color w:val="auto"/>
          <w:spacing w:val="-1"/>
          <w:sz w:val="21"/>
          <w:szCs w:val="21"/>
          <w:highlight w:val="none"/>
        </w:rPr>
        <w:t>有关规定，本招标项目</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纳入绿色建筑实施范围，要求达到《绿色建筑评价</w:t>
      </w:r>
      <w:r>
        <w:rPr>
          <w:rFonts w:ascii="宋体" w:hAnsi="宋体" w:eastAsia="宋体" w:cs="宋体"/>
          <w:color w:val="auto"/>
          <w:spacing w:val="-2"/>
          <w:sz w:val="21"/>
          <w:szCs w:val="21"/>
          <w:highlight w:val="none"/>
        </w:rPr>
        <w:t>标准》（</w:t>
      </w:r>
      <w:r>
        <w:rPr>
          <w:rFonts w:ascii="Times New Roman" w:hAnsi="Times New Roman" w:eastAsia="Times New Roman" w:cs="Times New Roman"/>
          <w:color w:val="auto"/>
          <w:spacing w:val="-2"/>
          <w:sz w:val="21"/>
          <w:szCs w:val="21"/>
          <w:highlight w:val="none"/>
        </w:rPr>
        <w:t>GB/T50378-2019</w:t>
      </w:r>
      <w:r>
        <w:rPr>
          <w:rFonts w:ascii="宋体" w:hAnsi="宋体" w:eastAsia="宋体" w:cs="宋体"/>
          <w:color w:val="auto"/>
          <w:spacing w:val="-2"/>
          <w:sz w:val="21"/>
          <w:szCs w:val="21"/>
          <w:highlight w:val="none"/>
        </w:rPr>
        <w:t>）规定的</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u w:val="single" w:color="auto"/>
        </w:rPr>
        <w:t>一星级</w:t>
      </w:r>
      <w:r>
        <w:rPr>
          <w:rFonts w:ascii="宋体" w:hAnsi="宋体" w:eastAsia="宋体" w:cs="宋体"/>
          <w:color w:val="auto"/>
          <w:spacing w:val="-1"/>
          <w:sz w:val="21"/>
          <w:szCs w:val="21"/>
          <w:highlight w:val="none"/>
        </w:rPr>
        <w:t>标准。</w:t>
      </w:r>
    </w:p>
    <w:p>
      <w:pPr>
        <w:keepNext w:val="0"/>
        <w:keepLines w:val="0"/>
        <w:pageBreakBefore w:val="0"/>
        <w:widowControl w:val="0"/>
        <w:kinsoku/>
        <w:wordWrap w:val="0"/>
        <w:overflowPunct/>
        <w:topLinePunct w:val="0"/>
        <w:autoSpaceDE/>
        <w:autoSpaceDN/>
        <w:bidi w:val="0"/>
        <w:adjustRightInd w:val="0"/>
        <w:snapToGrid w:val="0"/>
        <w:spacing w:line="400" w:lineRule="atLeast"/>
        <w:ind w:firstLine="416" w:firstLineChars="200"/>
        <w:textAlignment w:val="auto"/>
        <w:rPr>
          <w:rFonts w:hint="eastAsia" w:ascii="宋体" w:hAnsi="宋体" w:eastAsia="宋体" w:cs="宋体"/>
          <w:b/>
          <w:bCs/>
          <w:snapToGrid w:val="0"/>
          <w:color w:val="auto"/>
          <w:kern w:val="0"/>
          <w:sz w:val="21"/>
          <w:szCs w:val="21"/>
          <w:highlight w:val="none"/>
        </w:rPr>
      </w:pPr>
      <w:r>
        <w:rPr>
          <w:rFonts w:ascii="Times New Roman" w:hAnsi="Times New Roman" w:eastAsia="Times New Roman" w:cs="Times New Roman"/>
          <w:b/>
          <w:bCs/>
          <w:color w:val="auto"/>
          <w:spacing w:val="-1"/>
          <w:sz w:val="21"/>
          <w:szCs w:val="21"/>
          <w:highlight w:val="none"/>
        </w:rPr>
        <w:t xml:space="preserve">5.5  </w:t>
      </w:r>
      <w:r>
        <w:rPr>
          <w:rFonts w:hint="eastAsia" w:ascii="宋体" w:hAnsi="宋体" w:eastAsia="宋体" w:cs="宋体"/>
          <w:color w:val="auto"/>
          <w:spacing w:val="-1"/>
          <w:sz w:val="21"/>
          <w:szCs w:val="21"/>
          <w:highlight w:val="none"/>
          <w:lang w:val="en-US" w:eastAsia="zh-CN"/>
        </w:rPr>
        <w:t>本招标项目不纳入装配式建造建设实施范围。</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auto"/>
        <w:rPr>
          <w:rFonts w:hint="eastAsia" w:ascii="宋体" w:hAnsi="宋体" w:eastAsia="宋体" w:cs="宋体"/>
          <w:strike/>
          <w:dstrike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w:t>
      </w:r>
      <w:r>
        <w:rPr>
          <w:rFonts w:hint="eastAsia" w:ascii="宋体" w:hAnsi="宋体" w:eastAsia="宋体" w:cs="宋体"/>
          <w:b/>
          <w:bCs/>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r>
        <w:rPr>
          <w:rFonts w:hint="eastAsia" w:ascii="宋体" w:hAnsi="宋体" w:eastAsia="宋体" w:cs="宋体"/>
          <w:strike w:val="0"/>
          <w:dstrike w:val="0"/>
          <w:snapToGrid w:val="0"/>
          <w:color w:val="auto"/>
          <w:kern w:val="0"/>
          <w:sz w:val="21"/>
          <w:szCs w:val="21"/>
          <w:highlight w:val="none"/>
        </w:rPr>
        <w:t>。</w:t>
      </w:r>
    </w:p>
    <w:p>
      <w:pPr>
        <w:pStyle w:val="12"/>
        <w:keepNext w:val="0"/>
        <w:keepLines w:val="0"/>
        <w:pageBreakBefore w:val="0"/>
        <w:widowControl w:val="0"/>
        <w:kinsoku/>
        <w:overflowPunct/>
        <w:topLinePunct w:val="0"/>
        <w:bidi w:val="0"/>
        <w:adjustRightInd/>
        <w:snapToGrid/>
        <w:spacing w:line="400" w:lineRule="exact"/>
        <w:ind w:firstLine="421" w:firstLineChars="200"/>
        <w:rPr>
          <w:rFonts w:hint="eastAsia" w:ascii="宋体" w:hAnsi="宋体" w:eastAsia="宋体" w:cs="宋体"/>
          <w:b w:val="0"/>
          <w:bCs w:val="0"/>
          <w:color w:val="auto"/>
          <w:sz w:val="21"/>
          <w:szCs w:val="21"/>
          <w:highlight w:val="none"/>
          <w:lang w:val="en-US" w:eastAsia="zh-CN"/>
        </w:rPr>
      </w:pPr>
      <w:bookmarkStart w:id="83" w:name="_Hlt121563076"/>
      <w:bookmarkEnd w:id="83"/>
      <w:bookmarkStart w:id="84" w:name="_Hlt88974078"/>
      <w:bookmarkEnd w:id="84"/>
      <w:bookmarkStart w:id="85" w:name="_Hlt120502666"/>
      <w:bookmarkEnd w:id="85"/>
      <w:bookmarkStart w:id="86" w:name="_Hlt74496537"/>
      <w:bookmarkEnd w:id="86"/>
      <w:bookmarkStart w:id="87" w:name="_Hlt69699204"/>
      <w:bookmarkEnd w:id="87"/>
      <w:bookmarkStart w:id="88" w:name="_Hlt69356505"/>
      <w:bookmarkEnd w:id="88"/>
      <w:bookmarkStart w:id="89" w:name="_Hlt74493474"/>
      <w:bookmarkEnd w:id="89"/>
      <w:bookmarkStart w:id="90" w:name="_Hlt111690342"/>
      <w:bookmarkEnd w:id="90"/>
      <w:r>
        <w:rPr>
          <w:rFonts w:hint="eastAsia" w:ascii="宋体" w:hAnsi="宋体" w:eastAsia="宋体" w:cs="宋体"/>
          <w:b/>
          <w:bCs/>
          <w:color w:val="auto"/>
          <w:sz w:val="21"/>
          <w:szCs w:val="21"/>
          <w:highlight w:val="none"/>
          <w:lang w:val="en-US" w:eastAsia="zh-CN"/>
        </w:rPr>
        <w:t>5.7</w:t>
      </w:r>
      <w:r>
        <w:rPr>
          <w:rFonts w:hint="eastAsia" w:ascii="宋体" w:hAnsi="宋体" w:eastAsia="宋体" w:cs="宋体"/>
          <w:b w:val="0"/>
          <w:bCs w:val="0"/>
          <w:color w:val="auto"/>
          <w:sz w:val="21"/>
          <w:szCs w:val="21"/>
          <w:highlight w:val="none"/>
          <w:lang w:val="en-US" w:eastAsia="zh-CN"/>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b w:val="0"/>
          <w:bCs w:val="0"/>
          <w:color w:val="auto"/>
          <w:sz w:val="21"/>
          <w:szCs w:val="21"/>
          <w:highlight w:val="none"/>
          <w:lang w:val="en-US" w:eastAsia="zh-CN"/>
        </w:rPr>
      </w:pPr>
    </w:p>
    <w:p>
      <w:pPr>
        <w:pStyle w:val="28"/>
        <w:keepNext w:val="0"/>
        <w:keepLines w:val="0"/>
        <w:pageBreakBefore w:val="0"/>
        <w:widowControl w:val="0"/>
        <w:numPr>
          <w:ilvl w:val="0"/>
          <w:numId w:val="1"/>
        </w:numPr>
        <w:kinsoku/>
        <w:overflowPunct/>
        <w:topLinePunct w:val="0"/>
        <w:autoSpaceDE/>
        <w:autoSpaceDN/>
        <w:bidi w:val="0"/>
        <w:adjustRightInd/>
        <w:snapToGrid/>
        <w:spacing w:line="400" w:lineRule="exact"/>
        <w:ind w:firstLine="421" w:firstLineChars="200"/>
        <w:jc w:val="both"/>
        <w:textAlignment w:val="baseline"/>
        <w:outlineLvl w:val="1"/>
        <w:rPr>
          <w:rStyle w:val="25"/>
          <w:rFonts w:hint="eastAsia" w:ascii="宋体" w:hAnsi="宋体" w:eastAsia="宋体" w:cs="宋体"/>
          <w:b/>
          <w:bCs/>
          <w:color w:val="auto"/>
          <w:sz w:val="21"/>
          <w:szCs w:val="21"/>
          <w:highlight w:val="none"/>
        </w:rPr>
      </w:pPr>
      <w:bookmarkStart w:id="91" w:name="_Toc12594"/>
      <w:bookmarkStart w:id="92" w:name="_Toc21709"/>
      <w:bookmarkStart w:id="93" w:name="_Toc12438"/>
      <w:r>
        <w:rPr>
          <w:rStyle w:val="25"/>
          <w:rFonts w:hint="eastAsia" w:ascii="宋体" w:hAnsi="宋体" w:eastAsia="宋体" w:cs="宋体"/>
          <w:b/>
          <w:bCs/>
          <w:color w:val="auto"/>
          <w:sz w:val="21"/>
          <w:szCs w:val="21"/>
          <w:highlight w:val="none"/>
        </w:rPr>
        <w:t>施工条件及现场踏勘</w:t>
      </w:r>
      <w:bookmarkEnd w:id="91"/>
      <w:bookmarkEnd w:id="92"/>
      <w:bookmarkEnd w:id="93"/>
    </w:p>
    <w:p>
      <w:pPr>
        <w:pStyle w:val="9"/>
        <w:keepNext w:val="0"/>
        <w:keepLines w:val="0"/>
        <w:pageBreakBefore w:val="0"/>
        <w:widowControl w:val="0"/>
        <w:wordWrap w:val="0"/>
        <w:topLinePunct w:val="0"/>
        <w:bidi w:val="0"/>
        <w:adjustRightInd/>
        <w:snapToGrid/>
        <w:spacing w:line="400" w:lineRule="exact"/>
        <w:ind w:firstLine="421"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6.1 </w:t>
      </w:r>
      <w:r>
        <w:rPr>
          <w:rFonts w:hint="eastAsia" w:ascii="宋体" w:hAnsi="宋体" w:eastAsia="宋体" w:cs="宋体"/>
          <w:b w:val="0"/>
          <w:bCs w:val="0"/>
          <w:snapToGrid w:val="0"/>
          <w:color w:val="auto"/>
          <w:kern w:val="0"/>
          <w:sz w:val="21"/>
          <w:szCs w:val="21"/>
          <w:highlight w:val="none"/>
        </w:rPr>
        <w:t>招标人仅在本招标项目征地红线范围内提供场地，其他一切场地费用由中标人自行负责（含临时道路）。</w:t>
      </w:r>
    </w:p>
    <w:p>
      <w:pPr>
        <w:keepNext w:val="0"/>
        <w:keepLines w:val="0"/>
        <w:pageBreakBefore w:val="0"/>
        <w:widowControl w:val="0"/>
        <w:wordWrap w:val="0"/>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6.2</w:t>
      </w:r>
      <w:r>
        <w:rPr>
          <w:rFonts w:hint="eastAsia" w:ascii="宋体" w:hAnsi="宋体" w:eastAsia="宋体" w:cs="宋体"/>
          <w:snapToGrid w:val="0"/>
          <w:color w:val="auto"/>
          <w:kern w:val="0"/>
          <w:sz w:val="21"/>
          <w:szCs w:val="21"/>
          <w:highlight w:val="none"/>
        </w:rPr>
        <w:t xml:space="preserve"> 施工</w:t>
      </w:r>
      <w:r>
        <w:rPr>
          <w:rFonts w:hint="eastAsia" w:hAnsi="宋体" w:eastAsia="宋体" w:cs="宋体"/>
          <w:snapToGrid w:val="0"/>
          <w:color w:val="auto"/>
          <w:kern w:val="0"/>
          <w:sz w:val="21"/>
          <w:szCs w:val="21"/>
          <w:highlight w:val="none"/>
          <w:lang w:val="en-US" w:eastAsia="zh-CN"/>
        </w:rPr>
        <w:t>临时</w:t>
      </w:r>
      <w:r>
        <w:rPr>
          <w:rFonts w:hint="eastAsia" w:ascii="宋体" w:hAnsi="宋体" w:eastAsia="宋体" w:cs="宋体"/>
          <w:snapToGrid w:val="0"/>
          <w:color w:val="auto"/>
          <w:kern w:val="0"/>
          <w:sz w:val="21"/>
          <w:szCs w:val="21"/>
          <w:highlight w:val="none"/>
        </w:rPr>
        <w:t>用水：</w:t>
      </w:r>
      <w:r>
        <w:rPr>
          <w:rFonts w:hint="eastAsia" w:ascii="宋体" w:hAnsi="宋体" w:eastAsia="宋体" w:cs="宋体"/>
          <w:snapToGrid w:val="0"/>
          <w:color w:val="auto"/>
          <w:kern w:val="0"/>
          <w:sz w:val="21"/>
          <w:szCs w:val="21"/>
          <w:highlight w:val="none"/>
          <w:u w:val="single"/>
        </w:rPr>
        <w:t>招标人协调，由中标人自行解决，费用考虑在投标报价中</w:t>
      </w:r>
      <w:r>
        <w:rPr>
          <w:rFonts w:hint="eastAsia" w:ascii="宋体" w:hAnsi="宋体" w:eastAsia="宋体" w:cs="宋体"/>
          <w:snapToGrid w:val="0"/>
          <w:color w:val="auto"/>
          <w:kern w:val="0"/>
          <w:sz w:val="21"/>
          <w:szCs w:val="21"/>
          <w:highlight w:val="none"/>
        </w:rPr>
        <w:t>。</w:t>
      </w:r>
    </w:p>
    <w:p>
      <w:pPr>
        <w:keepNext w:val="0"/>
        <w:keepLines w:val="0"/>
        <w:pageBreakBefore w:val="0"/>
        <w:widowControl w:val="0"/>
        <w:wordWrap w:val="0"/>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6.3</w:t>
      </w:r>
      <w:r>
        <w:rPr>
          <w:rFonts w:hint="eastAsia" w:ascii="宋体" w:hAnsi="宋体" w:eastAsia="宋体" w:cs="宋体"/>
          <w:snapToGrid w:val="0"/>
          <w:color w:val="auto"/>
          <w:kern w:val="0"/>
          <w:sz w:val="21"/>
          <w:szCs w:val="21"/>
          <w:highlight w:val="none"/>
        </w:rPr>
        <w:t xml:space="preserve"> 施工</w:t>
      </w:r>
      <w:r>
        <w:rPr>
          <w:rFonts w:hint="eastAsia" w:hAnsi="宋体" w:eastAsia="宋体" w:cs="宋体"/>
          <w:snapToGrid w:val="0"/>
          <w:color w:val="auto"/>
          <w:kern w:val="0"/>
          <w:sz w:val="21"/>
          <w:szCs w:val="21"/>
          <w:highlight w:val="none"/>
          <w:lang w:val="en-US" w:eastAsia="zh-CN"/>
        </w:rPr>
        <w:t>临时</w:t>
      </w:r>
      <w:r>
        <w:rPr>
          <w:rFonts w:hint="eastAsia" w:ascii="宋体" w:hAnsi="宋体" w:eastAsia="宋体" w:cs="宋体"/>
          <w:snapToGrid w:val="0"/>
          <w:color w:val="auto"/>
          <w:kern w:val="0"/>
          <w:sz w:val="21"/>
          <w:szCs w:val="21"/>
          <w:highlight w:val="none"/>
        </w:rPr>
        <w:t>用电：</w:t>
      </w:r>
      <w:r>
        <w:rPr>
          <w:rFonts w:hint="eastAsia" w:ascii="宋体" w:hAnsi="宋体" w:eastAsia="宋体" w:cs="宋体"/>
          <w:snapToGrid w:val="0"/>
          <w:color w:val="auto"/>
          <w:kern w:val="0"/>
          <w:sz w:val="21"/>
          <w:szCs w:val="21"/>
          <w:highlight w:val="none"/>
          <w:u w:val="single"/>
        </w:rPr>
        <w:t>招标人协调，由中标人自行解决，费用考虑在投标报价中</w:t>
      </w:r>
      <w:r>
        <w:rPr>
          <w:rFonts w:hint="eastAsia" w:ascii="宋体" w:hAnsi="宋体" w:eastAsia="宋体" w:cs="宋体"/>
          <w:snapToGrid w:val="0"/>
          <w:color w:val="auto"/>
          <w:kern w:val="0"/>
          <w:sz w:val="21"/>
          <w:szCs w:val="21"/>
          <w:highlight w:val="none"/>
        </w:rPr>
        <w:t>。</w:t>
      </w:r>
    </w:p>
    <w:p>
      <w:pPr>
        <w:keepNext w:val="0"/>
        <w:keepLines w:val="0"/>
        <w:pageBreakBefore w:val="0"/>
        <w:widowControl w:val="0"/>
        <w:wordWrap w:val="0"/>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6.4</w:t>
      </w:r>
      <w:r>
        <w:rPr>
          <w:rFonts w:hint="eastAsia" w:ascii="宋体" w:hAnsi="宋体" w:eastAsia="宋体" w:cs="宋体"/>
          <w:snapToGrid w:val="0"/>
          <w:color w:val="auto"/>
          <w:kern w:val="0"/>
          <w:sz w:val="21"/>
          <w:szCs w:val="21"/>
          <w:highlight w:val="none"/>
        </w:rPr>
        <w:t xml:space="preserve"> 施工临时用水、临时用电：招标人协调，由中标人自行解决。要求中标人单独安装水表、电表，其水、电费按项目所在地</w:t>
      </w:r>
      <w:r>
        <w:rPr>
          <w:rFonts w:hint="eastAsia" w:hAnsi="宋体" w:cs="宋体"/>
          <w:snapToGrid w:val="0"/>
          <w:color w:val="auto"/>
          <w:kern w:val="0"/>
          <w:sz w:val="21"/>
          <w:szCs w:val="21"/>
          <w:highlight w:val="none"/>
          <w:u w:val="single"/>
          <w:lang w:val="en-US" w:eastAsia="zh-CN"/>
        </w:rPr>
        <w:t>韶关市始兴县</w:t>
      </w:r>
      <w:r>
        <w:rPr>
          <w:rFonts w:hint="eastAsia" w:ascii="宋体" w:hAnsi="宋体" w:eastAsia="宋体" w:cs="宋体"/>
          <w:snapToGrid w:val="0"/>
          <w:color w:val="auto"/>
          <w:kern w:val="0"/>
          <w:sz w:val="21"/>
          <w:szCs w:val="21"/>
          <w:highlight w:val="none"/>
        </w:rPr>
        <w:t>基建工程水、电计费标准计算并由中标人缴纳。</w:t>
      </w:r>
    </w:p>
    <w:p>
      <w:pPr>
        <w:keepNext w:val="0"/>
        <w:keepLines w:val="0"/>
        <w:pageBreakBefore w:val="0"/>
        <w:widowControl w:val="0"/>
        <w:wordWrap w:val="0"/>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6.5</w:t>
      </w:r>
      <w:r>
        <w:rPr>
          <w:rFonts w:hint="eastAsia" w:ascii="宋体" w:hAnsi="宋体" w:eastAsia="宋体" w:cs="宋体"/>
          <w:snapToGrid w:val="0"/>
          <w:color w:val="auto"/>
          <w:kern w:val="0"/>
          <w:sz w:val="21"/>
          <w:szCs w:val="21"/>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pPr>
        <w:keepNext w:val="0"/>
        <w:keepLines w:val="0"/>
        <w:pageBreakBefore w:val="0"/>
        <w:widowControl w:val="0"/>
        <w:wordWrap w:val="0"/>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6.6</w:t>
      </w:r>
      <w:r>
        <w:rPr>
          <w:rFonts w:hint="eastAsia" w:ascii="宋体" w:hAnsi="宋体" w:eastAsia="宋体" w:cs="宋体"/>
          <w:snapToGrid w:val="0"/>
          <w:color w:val="auto"/>
          <w:kern w:val="0"/>
          <w:sz w:val="21"/>
          <w:szCs w:val="21"/>
          <w:highlight w:val="none"/>
        </w:rPr>
        <w:t xml:space="preserve"> 在现场踏勘过程中，投标人应确保自身安全，投标人如果发生人身伤亡、财物或其他损失，法律法规有规定的按有关规定处理，没有规定的由投标人自行负责。</w:t>
      </w:r>
    </w:p>
    <w:p>
      <w:pPr>
        <w:keepNext w:val="0"/>
        <w:keepLines w:val="0"/>
        <w:pageBreakBefore w:val="0"/>
        <w:widowControl w:val="0"/>
        <w:wordWrap w:val="0"/>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6.7</w:t>
      </w:r>
      <w:r>
        <w:rPr>
          <w:rFonts w:hint="eastAsia" w:ascii="宋体" w:hAnsi="宋体" w:eastAsia="宋体" w:cs="宋体"/>
          <w:snapToGrid w:val="0"/>
          <w:color w:val="auto"/>
          <w:kern w:val="0"/>
          <w:sz w:val="21"/>
          <w:szCs w:val="21"/>
          <w:highlight w:val="none"/>
        </w:rPr>
        <w:t xml:space="preserve"> 现场踏勘期间的交通、食宿由投标人自行安排，费用自理。</w:t>
      </w:r>
    </w:p>
    <w:p>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Style w:val="25"/>
          <w:rFonts w:hint="eastAsia" w:ascii="宋体" w:hAnsi="宋体" w:eastAsia="宋体" w:cs="宋体"/>
          <w:color w:val="auto"/>
          <w:sz w:val="21"/>
          <w:szCs w:val="21"/>
          <w:highlight w:val="none"/>
        </w:rPr>
      </w:pPr>
    </w:p>
    <w:p>
      <w:pPr>
        <w:pStyle w:val="28"/>
        <w:keepNext w:val="0"/>
        <w:keepLines w:val="0"/>
        <w:pageBreakBefore w:val="0"/>
        <w:widowControl w:val="0"/>
        <w:kinsoku/>
        <w:overflowPunct/>
        <w:topLinePunct w:val="0"/>
        <w:autoSpaceDE/>
        <w:autoSpaceDN/>
        <w:bidi w:val="0"/>
        <w:adjustRightInd/>
        <w:snapToGrid/>
        <w:spacing w:line="400" w:lineRule="exact"/>
        <w:ind w:firstLine="421" w:firstLineChars="200"/>
        <w:jc w:val="both"/>
        <w:textAlignment w:val="baseline"/>
        <w:outlineLvl w:val="1"/>
        <w:rPr>
          <w:rStyle w:val="25"/>
          <w:rFonts w:hint="eastAsia" w:ascii="宋体" w:hAnsi="宋体" w:eastAsia="宋体" w:cs="宋体"/>
          <w:b/>
          <w:bCs/>
          <w:color w:val="auto"/>
          <w:sz w:val="21"/>
          <w:szCs w:val="21"/>
          <w:highlight w:val="none"/>
        </w:rPr>
      </w:pPr>
      <w:bookmarkStart w:id="94" w:name="_Toc6310"/>
      <w:bookmarkStart w:id="95" w:name="_Toc17119"/>
      <w:bookmarkStart w:id="96" w:name="_Toc12026"/>
      <w:r>
        <w:rPr>
          <w:rStyle w:val="25"/>
          <w:rFonts w:hint="eastAsia" w:ascii="宋体" w:hAnsi="宋体" w:eastAsia="宋体" w:cs="宋体"/>
          <w:b/>
          <w:bCs/>
          <w:color w:val="auto"/>
          <w:sz w:val="21"/>
          <w:szCs w:val="21"/>
          <w:highlight w:val="none"/>
        </w:rPr>
        <w:t>7．招标文件的提问和答疑</w:t>
      </w:r>
      <w:bookmarkEnd w:id="94"/>
      <w:bookmarkEnd w:id="95"/>
      <w:bookmarkEnd w:id="96"/>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lang w:bidi="ar"/>
        </w:rPr>
      </w:pPr>
      <w:r>
        <w:rPr>
          <w:rFonts w:hint="eastAsia" w:ascii="宋体" w:hAnsi="宋体" w:eastAsia="宋体" w:cs="宋体"/>
          <w:b/>
          <w:bCs/>
          <w:snapToGrid w:val="0"/>
          <w:color w:val="auto"/>
          <w:kern w:val="0"/>
          <w:sz w:val="21"/>
          <w:szCs w:val="21"/>
          <w:highlight w:val="none"/>
        </w:rPr>
        <w:t>7.1</w:t>
      </w:r>
      <w:r>
        <w:rPr>
          <w:rFonts w:hint="eastAsia" w:ascii="宋体" w:hAnsi="宋体" w:eastAsia="宋体" w:cs="宋体"/>
          <w:snapToGrid w:val="0"/>
          <w:color w:val="auto"/>
          <w:kern w:val="0"/>
          <w:sz w:val="21"/>
          <w:szCs w:val="21"/>
          <w:highlight w:val="none"/>
        </w:rPr>
        <w:t xml:space="preserve"> 投标人若对招标文件（含施工图、招标工程量清单）有疑问，应在提问截止时间（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1"/>
          <w:szCs w:val="21"/>
          <w:highlight w:val="none"/>
          <w:lang w:bidi="ar"/>
        </w:rPr>
        <w:t>。</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7.2 </w:t>
      </w:r>
      <w:r>
        <w:rPr>
          <w:rFonts w:hint="eastAsia" w:ascii="宋体" w:hAnsi="宋体" w:eastAsia="宋体" w:cs="宋体"/>
          <w:snapToGrid w:val="0"/>
          <w:color w:val="auto"/>
          <w:kern w:val="0"/>
          <w:sz w:val="21"/>
          <w:szCs w:val="21"/>
          <w:highlight w:val="none"/>
        </w:rPr>
        <w:t>招标人在提问截止时间（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pPr>
        <w:keepNext w:val="0"/>
        <w:keepLines w:val="0"/>
        <w:pageBreakBefore w:val="0"/>
        <w:widowControl w:val="0"/>
        <w:topLinePunct w:val="0"/>
        <w:bidi w:val="0"/>
        <w:adjustRightInd/>
        <w:snapToGrid/>
        <w:spacing w:line="400" w:lineRule="exact"/>
        <w:ind w:firstLine="421" w:firstLineChars="200"/>
        <w:rPr>
          <w:rStyle w:val="25"/>
          <w:rFonts w:hint="eastAsia" w:ascii="宋体" w:hAnsi="宋体" w:eastAsia="宋体" w:cs="宋体"/>
          <w:color w:val="auto"/>
          <w:kern w:val="0"/>
          <w:sz w:val="21"/>
          <w:szCs w:val="21"/>
          <w:highlight w:val="none"/>
        </w:rPr>
      </w:pPr>
      <w:r>
        <w:rPr>
          <w:rFonts w:hint="eastAsia" w:ascii="宋体" w:hAnsi="宋体" w:eastAsia="宋体" w:cs="宋体"/>
          <w:b/>
          <w:bCs/>
          <w:snapToGrid w:val="0"/>
          <w:color w:val="auto"/>
          <w:kern w:val="0"/>
          <w:sz w:val="21"/>
          <w:szCs w:val="21"/>
          <w:highlight w:val="none"/>
        </w:rPr>
        <w:t>7.3</w:t>
      </w:r>
      <w:r>
        <w:rPr>
          <w:rFonts w:hint="eastAsia" w:ascii="宋体" w:hAnsi="宋体" w:eastAsia="宋体" w:cs="宋体"/>
          <w:snapToGrid w:val="0"/>
          <w:color w:val="auto"/>
          <w:kern w:val="0"/>
          <w:sz w:val="21"/>
          <w:szCs w:val="21"/>
          <w:highlight w:val="none"/>
        </w:rPr>
        <w:t xml:space="preserve"> 招标人对招标文件所作的答疑（或修改）公告，构成招标文件的组成部分</w:t>
      </w:r>
      <w:r>
        <w:rPr>
          <w:rStyle w:val="25"/>
          <w:rFonts w:hint="eastAsia" w:ascii="宋体" w:hAnsi="宋体" w:eastAsia="宋体" w:cs="宋体"/>
          <w:color w:val="auto"/>
          <w:kern w:val="0"/>
          <w:sz w:val="21"/>
          <w:szCs w:val="21"/>
          <w:highlight w:val="none"/>
        </w:rPr>
        <w:t>。</w:t>
      </w:r>
    </w:p>
    <w:p>
      <w:pPr>
        <w:pStyle w:val="7"/>
        <w:keepNext w:val="0"/>
        <w:keepLines w:val="0"/>
        <w:pageBreakBefore w:val="0"/>
        <w:widowControl w:val="0"/>
        <w:kinsoku/>
        <w:overflowPunct/>
        <w:topLinePunct w:val="0"/>
        <w:autoSpaceDE/>
        <w:autoSpaceDN/>
        <w:bidi w:val="0"/>
        <w:adjustRightInd/>
        <w:snapToGrid/>
        <w:spacing w:line="240" w:lineRule="auto"/>
        <w:ind w:firstLine="421" w:firstLineChars="200"/>
        <w:rPr>
          <w:rStyle w:val="25"/>
          <w:rFonts w:hint="eastAsia" w:ascii="宋体" w:hAnsi="宋体" w:eastAsia="宋体" w:cs="宋体"/>
          <w:b/>
          <w:bCs/>
          <w:color w:val="auto"/>
          <w:sz w:val="21"/>
          <w:szCs w:val="21"/>
          <w:highlight w:val="none"/>
        </w:rPr>
      </w:pPr>
    </w:p>
    <w:p>
      <w:pPr>
        <w:pStyle w:val="28"/>
        <w:keepNext w:val="0"/>
        <w:keepLines w:val="0"/>
        <w:pageBreakBefore w:val="0"/>
        <w:widowControl w:val="0"/>
        <w:kinsoku/>
        <w:overflowPunct/>
        <w:topLinePunct w:val="0"/>
        <w:autoSpaceDE/>
        <w:autoSpaceDN/>
        <w:bidi w:val="0"/>
        <w:adjustRightInd/>
        <w:snapToGrid/>
        <w:spacing w:line="360" w:lineRule="auto"/>
        <w:ind w:firstLine="421" w:firstLineChars="200"/>
        <w:jc w:val="both"/>
        <w:textAlignment w:val="baseline"/>
        <w:outlineLvl w:val="1"/>
        <w:rPr>
          <w:rStyle w:val="25"/>
          <w:rFonts w:hint="eastAsia" w:ascii="宋体" w:hAnsi="宋体" w:eastAsia="宋体" w:cs="宋体"/>
          <w:i/>
          <w:iCs/>
          <w:color w:val="auto"/>
          <w:sz w:val="21"/>
          <w:szCs w:val="21"/>
          <w:highlight w:val="none"/>
        </w:rPr>
      </w:pPr>
      <w:bookmarkStart w:id="97" w:name="_Toc3827"/>
      <w:bookmarkStart w:id="98" w:name="_Toc21583"/>
      <w:bookmarkStart w:id="99" w:name="_Toc14713"/>
      <w:r>
        <w:rPr>
          <w:rStyle w:val="25"/>
          <w:rFonts w:hint="eastAsia" w:ascii="宋体" w:hAnsi="宋体" w:eastAsia="宋体" w:cs="宋体"/>
          <w:b/>
          <w:bCs/>
          <w:color w:val="auto"/>
          <w:sz w:val="21"/>
          <w:szCs w:val="21"/>
          <w:highlight w:val="none"/>
        </w:rPr>
        <w:t>8．招标控制价</w:t>
      </w:r>
      <w:bookmarkEnd w:id="97"/>
      <w:bookmarkEnd w:id="98"/>
      <w:bookmarkEnd w:id="99"/>
    </w:p>
    <w:p>
      <w:pPr>
        <w:keepNext w:val="0"/>
        <w:keepLines w:val="0"/>
        <w:pageBreakBefore w:val="0"/>
        <w:widowControl w:val="0"/>
        <w:kinsoku/>
        <w:wordWrap w:val="0"/>
        <w:overflowPunct/>
        <w:topLinePunct w:val="0"/>
        <w:autoSpaceDE/>
        <w:autoSpaceDN/>
        <w:bidi w:val="0"/>
        <w:adjustRightInd/>
        <w:snapToGrid/>
        <w:spacing w:line="360" w:lineRule="auto"/>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8.1</w:t>
      </w:r>
      <w:r>
        <w:rPr>
          <w:rFonts w:hint="eastAsia" w:ascii="宋体" w:hAnsi="宋体" w:eastAsia="宋体" w:cs="宋体"/>
          <w:snapToGrid w:val="0"/>
          <w:color w:val="auto"/>
          <w:kern w:val="0"/>
          <w:sz w:val="21"/>
          <w:szCs w:val="21"/>
          <w:highlight w:val="none"/>
        </w:rPr>
        <w:t xml:space="preserve"> 本招标项目按照以下依据编制招标控制价：</w:t>
      </w:r>
    </w:p>
    <w:p>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《房屋建筑与装饰工程工程量计算标准》（GB/T 50854-2024）</w:t>
      </w:r>
      <w:r>
        <w:rPr>
          <w:rFonts w:hint="eastAsia" w:hAnsi="宋体" w:eastAsia="宋体" w:cs="宋体"/>
          <w:snapToGrid w:val="0"/>
          <w:color w:val="auto"/>
          <w:kern w:val="0"/>
          <w:sz w:val="21"/>
          <w:szCs w:val="21"/>
          <w:highlight w:val="none"/>
          <w:lang w:val="en-US" w:eastAsia="zh-CN"/>
        </w:rPr>
        <w:t>；《通用安装工程工程量计算标准》（GB/T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（3）施工图及相关资料；</w:t>
      </w:r>
    </w:p>
    <w:p>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（4）招标文件及招标工程量清单；</w:t>
      </w:r>
    </w:p>
    <w:p>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（5）施工现场情况、工程特点及常规施工方案；</w:t>
      </w:r>
    </w:p>
    <w:p>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（6）项目所在地工程造价管理机构发布的工程造价信息，工程造价信息缺项的，参照市场价格；</w:t>
      </w:r>
    </w:p>
    <w:p>
      <w:pPr>
        <w:keepNext w:val="0"/>
        <w:keepLines w:val="0"/>
        <w:pageBreakBefore w:val="0"/>
        <w:widowControl w:val="0"/>
        <w:kinsoku/>
        <w:wordWrap w:val="0"/>
        <w:overflowPunct/>
        <w:topLinePunct w:val="0"/>
        <w:autoSpaceDE/>
        <w:autoSpaceDN/>
        <w:bidi w:val="0"/>
        <w:adjustRightInd/>
        <w:snapToGrid/>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（7）与建设项目相关的标准、规范、技术资料。</w:t>
      </w:r>
    </w:p>
    <w:p>
      <w:pPr>
        <w:widowControl w:val="0"/>
        <w:wordWrap w:val="0"/>
        <w:ind w:firstLine="421" w:firstLineChars="200"/>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rPr>
        <w:t xml:space="preserve">8.2 </w:t>
      </w:r>
      <w:r>
        <w:rPr>
          <w:rFonts w:hint="eastAsia" w:ascii="宋体" w:hAnsi="宋体" w:eastAsia="宋体" w:cs="宋体"/>
          <w:snapToGrid w:val="0"/>
          <w:color w:val="auto"/>
          <w:kern w:val="0"/>
          <w:sz w:val="21"/>
          <w:szCs w:val="21"/>
          <w:highlight w:val="none"/>
          <w:lang w:val="en-US" w:eastAsia="zh-CN"/>
        </w:rPr>
        <w:t>本招标项目最高投标限价为人民币（大写）：</w:t>
      </w:r>
      <w:r>
        <w:rPr>
          <w:rFonts w:hint="eastAsia" w:hAnsi="宋体" w:cs="宋体"/>
          <w:snapToGrid w:val="0"/>
          <w:color w:val="auto"/>
          <w:kern w:val="0"/>
          <w:sz w:val="21"/>
          <w:szCs w:val="21"/>
          <w:highlight w:val="none"/>
          <w:u w:val="none"/>
          <w:lang w:val="en-US" w:eastAsia="zh-CN"/>
        </w:rPr>
        <w:t xml:space="preserve">  捌仟叁佰叁拾肆万零陆佰陆拾玖元肆角伍分 </w:t>
      </w:r>
      <w:r>
        <w:rPr>
          <w:rFonts w:hint="eastAsia" w:ascii="宋体" w:hAnsi="宋体" w:eastAsia="宋体" w:cs="宋体"/>
          <w:snapToGrid w:val="0"/>
          <w:color w:val="auto"/>
          <w:kern w:val="0"/>
          <w:sz w:val="21"/>
          <w:szCs w:val="21"/>
          <w:highlight w:val="none"/>
          <w:lang w:val="en-US" w:eastAsia="zh-CN"/>
        </w:rPr>
        <w:t>（¥</w:t>
      </w:r>
      <w:r>
        <w:rPr>
          <w:rFonts w:hint="eastAsia" w:hAnsi="宋体" w:cs="宋体"/>
          <w:snapToGrid w:val="0"/>
          <w:color w:val="auto"/>
          <w:kern w:val="0"/>
          <w:sz w:val="21"/>
          <w:szCs w:val="21"/>
          <w:highlight w:val="none"/>
          <w:u w:val="none"/>
          <w:lang w:val="en-US" w:eastAsia="zh-CN"/>
        </w:rPr>
        <w:t xml:space="preserve">  83340669.45 </w:t>
      </w:r>
      <w:r>
        <w:rPr>
          <w:rFonts w:hint="eastAsia" w:ascii="宋体" w:hAnsi="宋体" w:eastAsia="宋体" w:cs="宋体"/>
          <w:snapToGrid w:val="0"/>
          <w:color w:val="auto"/>
          <w:kern w:val="0"/>
          <w:sz w:val="21"/>
          <w:szCs w:val="21"/>
          <w:highlight w:val="none"/>
          <w:lang w:val="en-US" w:eastAsia="zh-CN"/>
        </w:rPr>
        <w:t>元）。其中：安全生产措施费限价为¥</w:t>
      </w:r>
      <w:r>
        <w:rPr>
          <w:rFonts w:hint="eastAsia" w:hAnsi="宋体" w:cs="宋体"/>
          <w:snapToGrid w:val="0"/>
          <w:color w:val="auto"/>
          <w:kern w:val="0"/>
          <w:sz w:val="21"/>
          <w:szCs w:val="21"/>
          <w:highlight w:val="none"/>
          <w:u w:val="none"/>
          <w:lang w:val="en-US" w:eastAsia="zh-CN"/>
        </w:rPr>
        <w:t xml:space="preserve"> </w:t>
      </w:r>
      <w:r>
        <w:rPr>
          <w:rFonts w:hint="eastAsia" w:hAnsi="宋体"/>
          <w:snapToGrid w:val="0"/>
          <w:color w:val="auto"/>
          <w:kern w:val="0"/>
          <w:sz w:val="21"/>
          <w:szCs w:val="21"/>
          <w:highlight w:val="none"/>
        </w:rPr>
        <w:t>2092901.26</w:t>
      </w:r>
      <w:r>
        <w:rPr>
          <w:rFonts w:hint="eastAsia" w:ascii="宋体" w:hAnsi="宋体" w:eastAsia="宋体" w:cs="宋体"/>
          <w:snapToGrid w:val="0"/>
          <w:color w:val="auto"/>
          <w:kern w:val="0"/>
          <w:sz w:val="21"/>
          <w:szCs w:val="21"/>
          <w:highlight w:val="none"/>
          <w:lang w:val="en-US" w:eastAsia="zh-CN"/>
        </w:rPr>
        <w:t>元，暂列金额为¥</w:t>
      </w:r>
      <w:r>
        <w:rPr>
          <w:rFonts w:hint="eastAsia" w:hAnsi="宋体" w:cs="宋体"/>
          <w:snapToGrid w:val="0"/>
          <w:color w:val="auto"/>
          <w:kern w:val="0"/>
          <w:sz w:val="21"/>
          <w:szCs w:val="21"/>
          <w:highlight w:val="none"/>
          <w:u w:val="none"/>
          <w:lang w:val="en-US" w:eastAsia="zh-CN"/>
        </w:rPr>
        <w:t xml:space="preserve"> 4800000.00 </w:t>
      </w:r>
      <w:r>
        <w:rPr>
          <w:rFonts w:hint="eastAsia" w:ascii="宋体" w:hAnsi="宋体" w:eastAsia="宋体" w:cs="宋体"/>
          <w:snapToGrid w:val="0"/>
          <w:color w:val="auto"/>
          <w:kern w:val="0"/>
          <w:sz w:val="21"/>
          <w:szCs w:val="21"/>
          <w:highlight w:val="none"/>
          <w:lang w:val="en-US" w:eastAsia="zh-CN"/>
        </w:rPr>
        <w:t>元，暂估价为¥</w:t>
      </w:r>
      <w:r>
        <w:rPr>
          <w:rFonts w:hint="eastAsia" w:hAnsi="宋体" w:cs="宋体"/>
          <w:snapToGrid w:val="0"/>
          <w:color w:val="auto"/>
          <w:kern w:val="0"/>
          <w:sz w:val="21"/>
          <w:szCs w:val="21"/>
          <w:highlight w:val="none"/>
          <w:u w:val="none"/>
          <w:lang w:val="en-US" w:eastAsia="zh-CN"/>
        </w:rPr>
        <w:t xml:space="preserve"> 2475099.80 </w:t>
      </w:r>
      <w:r>
        <w:rPr>
          <w:rFonts w:hint="eastAsia" w:ascii="宋体" w:hAnsi="宋体" w:eastAsia="宋体" w:cs="宋体"/>
          <w:snapToGrid w:val="0"/>
          <w:color w:val="auto"/>
          <w:kern w:val="0"/>
          <w:sz w:val="21"/>
          <w:szCs w:val="21"/>
          <w:highlight w:val="none"/>
          <w:lang w:val="en-US" w:eastAsia="zh-CN"/>
        </w:rPr>
        <w:t>元（暂列金额、暂估价作统一报价）</w:t>
      </w:r>
      <w:r>
        <w:rPr>
          <w:rFonts w:hint="eastAsia" w:hAnsi="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bidi="ar"/>
        </w:rPr>
        <w:t>投标人的安全生产措施费报价必须达到或超过安全生产措施费限价。</w:t>
      </w:r>
    </w:p>
    <w:p>
      <w:pPr>
        <w:widowControl w:val="0"/>
        <w:wordWrap w:val="0"/>
        <w:ind w:left="-240" w:leftChars="-100" w:firstLine="237" w:firstLineChars="113"/>
        <w:rPr>
          <w:rFonts w:hint="eastAsia" w:ascii="宋体" w:hAnsi="宋体" w:eastAsia="宋体" w:cs="宋体"/>
          <w:snapToGrid w:val="0"/>
          <w:color w:val="auto"/>
          <w:kern w:val="0"/>
          <w:sz w:val="21"/>
          <w:szCs w:val="21"/>
          <w:highlight w:val="none"/>
          <w:lang w:val="en-US" w:eastAsia="zh-CN" w:bidi="ar"/>
        </w:rPr>
      </w:pPr>
    </w:p>
    <w:p>
      <w:pPr>
        <w:keepNext w:val="0"/>
        <w:keepLines w:val="0"/>
        <w:pageBreakBefore w:val="0"/>
        <w:widowControl w:val="0"/>
        <w:kinsoku/>
        <w:wordWrap w:val="0"/>
        <w:overflowPunct/>
        <w:topLinePunct w:val="0"/>
        <w:bidi w:val="0"/>
        <w:adjustRightInd/>
        <w:snapToGrid/>
        <w:spacing w:line="360" w:lineRule="auto"/>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8.3</w:t>
      </w:r>
      <w:r>
        <w:rPr>
          <w:rFonts w:hint="eastAsia" w:ascii="宋体" w:hAnsi="宋体" w:eastAsia="宋体" w:cs="宋体"/>
          <w:snapToGrid w:val="0"/>
          <w:color w:val="auto"/>
          <w:kern w:val="0"/>
          <w:sz w:val="21"/>
          <w:szCs w:val="21"/>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pPr>
        <w:keepNext w:val="0"/>
        <w:keepLines w:val="0"/>
        <w:pageBreakBefore w:val="0"/>
        <w:widowControl w:val="0"/>
        <w:kinsoku/>
        <w:wordWrap w:val="0"/>
        <w:overflowPunct/>
        <w:topLinePunct w:val="0"/>
        <w:bidi w:val="0"/>
        <w:adjustRightInd/>
        <w:snapToGrid/>
        <w:spacing w:line="360" w:lineRule="auto"/>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8.4</w:t>
      </w:r>
      <w:r>
        <w:rPr>
          <w:rFonts w:hint="eastAsia" w:ascii="宋体" w:hAnsi="宋体" w:eastAsia="宋体" w:cs="宋体"/>
          <w:snapToGrid w:val="0"/>
          <w:color w:val="auto"/>
          <w:kern w:val="0"/>
          <w:sz w:val="21"/>
          <w:szCs w:val="21"/>
          <w:highlight w:val="none"/>
        </w:rPr>
        <w:t xml:space="preserve"> 本招标项目以暂估价形式列入招标工程量清单中的材料、工程设备、专业工程（以下统称“暂估价项目”）包括：</w:t>
      </w:r>
      <w:r>
        <w:rPr>
          <w:rFonts w:hint="eastAsia" w:ascii="宋体" w:hAnsi="宋体" w:eastAsia="宋体" w:cs="宋体"/>
          <w:snapToGrid w:val="0"/>
          <w:color w:val="auto"/>
          <w:kern w:val="0"/>
          <w:sz w:val="21"/>
          <w:szCs w:val="21"/>
          <w:highlight w:val="none"/>
          <w:u w:val="single"/>
        </w:rPr>
        <w:t>(具体详见工程清单)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kern w:val="0"/>
          <w:sz w:val="21"/>
          <w:szCs w:val="21"/>
          <w:highlight w:val="none"/>
        </w:rPr>
        <w:t xml:space="preserve"> 当暂估价项目的内容、标准、要求在项目实施过程中得以深化、明确、固定后，按以下原则发包：</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（1）暂估价项目按工程、货物（指材料或工程设备，下同）的类别分类汇总的金额，达到必须招标规模标准的，由</w:t>
      </w:r>
      <w:r>
        <w:rPr>
          <w:rFonts w:hint="eastAsia" w:ascii="宋体" w:hAnsi="宋体" w:eastAsia="宋体" w:cs="宋体"/>
          <w:snapToGrid w:val="0"/>
          <w:color w:val="auto"/>
          <w:kern w:val="0"/>
          <w:sz w:val="21"/>
          <w:szCs w:val="21"/>
          <w:highlight w:val="none"/>
          <w:u w:val="single"/>
        </w:rPr>
        <w:t>中标人招标，招标人参与管理</w:t>
      </w:r>
      <w:r>
        <w:rPr>
          <w:rFonts w:hint="eastAsia" w:ascii="宋体" w:hAnsi="宋体" w:eastAsia="宋体" w:cs="宋体"/>
          <w:snapToGrid w:val="0"/>
          <w:color w:val="auto"/>
          <w:kern w:val="0"/>
          <w:sz w:val="21"/>
          <w:szCs w:val="21"/>
          <w:highlight w:val="none"/>
        </w:rPr>
        <w:t>，确定专业工程承包人（或材料、工程设备供应商）和合同价格。</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（2）暂估价项目按工程、货物的类别分类汇总的金额，未达到必须招标规模标准但适用政府采购规定的，按照政府采购规定确定专业工程承包人（或材料、工程设备供应商）和合同价格。</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（4）暂估价项目按工程、货物的类别分类汇总的金额，未达到必须招标规模标准也不适用政府采购规定，中标人既不具备相应资格条件又不具备分包权的，由招标人另行发包。</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（5）暂估价项目由其他承包人承包的，纳入中标人的管理和协调范围，由其他承包人向中标人承担质量、安全、文明施工、工期责任，中标人向招标人承担责任。</w:t>
      </w:r>
    </w:p>
    <w:p>
      <w:pPr>
        <w:keepNext w:val="0"/>
        <w:keepLines w:val="0"/>
        <w:pageBreakBefore w:val="0"/>
        <w:widowControl w:val="0"/>
        <w:topLinePunct w:val="0"/>
        <w:bidi w:val="0"/>
        <w:adjustRightInd/>
        <w:snapToGrid/>
        <w:spacing w:line="400" w:lineRule="exact"/>
        <w:ind w:firstLine="421" w:firstLineChars="200"/>
        <w:rPr>
          <w:rStyle w:val="25"/>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8.6</w:t>
      </w:r>
      <w:r>
        <w:rPr>
          <w:rFonts w:hint="eastAsia" w:ascii="宋体" w:hAnsi="宋体" w:eastAsia="宋体" w:cs="宋体"/>
          <w:snapToGrid w:val="0"/>
          <w:color w:val="auto"/>
          <w:kern w:val="0"/>
          <w:sz w:val="21"/>
          <w:szCs w:val="21"/>
          <w:highlight w:val="none"/>
        </w:rPr>
        <w:t xml:space="preserve"> 本招标项目以</w:t>
      </w:r>
      <w:r>
        <w:rPr>
          <w:rFonts w:hint="eastAsia" w:ascii="宋体" w:hAnsi="宋体" w:eastAsia="宋体" w:cs="宋体"/>
          <w:snapToGrid w:val="0"/>
          <w:color w:val="auto"/>
          <w:sz w:val="21"/>
          <w:szCs w:val="21"/>
          <w:highlight w:val="none"/>
        </w:rPr>
        <w:t>暂列金额</w:t>
      </w:r>
      <w:r>
        <w:rPr>
          <w:rFonts w:hint="eastAsia" w:ascii="宋体" w:hAnsi="宋体" w:eastAsia="宋体" w:cs="宋体"/>
          <w:snapToGrid w:val="0"/>
          <w:color w:val="auto"/>
          <w:kern w:val="0"/>
          <w:sz w:val="21"/>
          <w:szCs w:val="21"/>
          <w:highlight w:val="none"/>
        </w:rPr>
        <w:t>形式列入招标工程量清单中的</w:t>
      </w:r>
      <w:r>
        <w:rPr>
          <w:rFonts w:hint="eastAsia" w:ascii="宋体" w:hAnsi="宋体" w:eastAsia="宋体" w:cs="宋体"/>
          <w:snapToGrid w:val="0"/>
          <w:color w:val="auto"/>
          <w:sz w:val="21"/>
          <w:szCs w:val="21"/>
          <w:highlight w:val="none"/>
        </w:rPr>
        <w:t>所需货物和服务的采购</w:t>
      </w:r>
      <w:r>
        <w:rPr>
          <w:rFonts w:hint="eastAsia" w:ascii="宋体" w:hAnsi="宋体" w:eastAsia="宋体" w:cs="宋体"/>
          <w:snapToGrid w:val="0"/>
          <w:color w:val="auto"/>
          <w:kern w:val="0"/>
          <w:sz w:val="21"/>
          <w:szCs w:val="21"/>
          <w:highlight w:val="none"/>
        </w:rPr>
        <w:t>（以下统称“暂列金额项目”）若有</w:t>
      </w:r>
      <w:r>
        <w:rPr>
          <w:rFonts w:hint="eastAsia" w:ascii="宋体" w:hAnsi="宋体" w:eastAsia="宋体" w:cs="宋体"/>
          <w:snapToGrid w:val="0"/>
          <w:color w:val="auto"/>
          <w:sz w:val="21"/>
          <w:szCs w:val="21"/>
          <w:highlight w:val="none"/>
        </w:rPr>
        <w:t>发生，按照本节第</w:t>
      </w: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sz w:val="21"/>
          <w:szCs w:val="21"/>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r>
        <w:rPr>
          <w:rStyle w:val="25"/>
          <w:rFonts w:hint="eastAsia" w:ascii="宋体" w:hAnsi="宋体" w:eastAsia="宋体" w:cs="宋体"/>
          <w:color w:val="auto"/>
          <w:sz w:val="21"/>
          <w:szCs w:val="21"/>
          <w:highlight w:val="none"/>
        </w:rPr>
        <w:t>。</w:t>
      </w:r>
    </w:p>
    <w:p>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Style w:val="25"/>
          <w:rFonts w:hint="eastAsia" w:ascii="宋体" w:hAnsi="宋体" w:eastAsia="宋体" w:cs="宋体"/>
          <w:color w:val="auto"/>
          <w:sz w:val="21"/>
          <w:szCs w:val="21"/>
          <w:highlight w:val="none"/>
        </w:rPr>
      </w:pPr>
    </w:p>
    <w:p>
      <w:pPr>
        <w:pStyle w:val="28"/>
        <w:keepNext w:val="0"/>
        <w:keepLines w:val="0"/>
        <w:pageBreakBefore w:val="0"/>
        <w:widowControl w:val="0"/>
        <w:kinsoku/>
        <w:overflowPunct/>
        <w:topLinePunct w:val="0"/>
        <w:autoSpaceDE/>
        <w:autoSpaceDN/>
        <w:bidi w:val="0"/>
        <w:adjustRightInd/>
        <w:snapToGrid/>
        <w:spacing w:line="400" w:lineRule="exact"/>
        <w:ind w:firstLine="421" w:firstLineChars="200"/>
        <w:jc w:val="both"/>
        <w:textAlignment w:val="baseline"/>
        <w:outlineLvl w:val="1"/>
        <w:rPr>
          <w:rStyle w:val="25"/>
          <w:rFonts w:hint="eastAsia" w:ascii="宋体" w:hAnsi="宋体" w:eastAsia="宋体" w:cs="宋体"/>
          <w:b/>
          <w:bCs/>
          <w:color w:val="auto"/>
          <w:sz w:val="21"/>
          <w:szCs w:val="21"/>
          <w:highlight w:val="none"/>
        </w:rPr>
      </w:pPr>
      <w:bookmarkStart w:id="100" w:name="_Toc12745"/>
      <w:bookmarkStart w:id="101" w:name="_Toc10152"/>
      <w:bookmarkStart w:id="102" w:name="_Toc31162"/>
      <w:r>
        <w:rPr>
          <w:rStyle w:val="25"/>
          <w:rFonts w:hint="eastAsia" w:ascii="宋体" w:hAnsi="宋体" w:eastAsia="宋体" w:cs="宋体"/>
          <w:b/>
          <w:bCs/>
          <w:color w:val="auto"/>
          <w:sz w:val="21"/>
          <w:szCs w:val="21"/>
          <w:highlight w:val="none"/>
        </w:rPr>
        <w:t>9．投标报价</w:t>
      </w:r>
      <w:bookmarkEnd w:id="100"/>
      <w:bookmarkEnd w:id="101"/>
      <w:bookmarkEnd w:id="102"/>
    </w:p>
    <w:p>
      <w:pPr>
        <w:keepNext w:val="0"/>
        <w:keepLines w:val="0"/>
        <w:pageBreakBefore w:val="0"/>
        <w:widowControl w:val="0"/>
        <w:kinsoku/>
        <w:overflowPunct/>
        <w:topLinePunct w:val="0"/>
        <w:autoSpaceDE/>
        <w:autoSpaceDN/>
        <w:bidi w:val="0"/>
        <w:adjustRightInd/>
        <w:snapToGrid/>
        <w:spacing w:line="400" w:lineRule="exact"/>
        <w:ind w:firstLine="421" w:firstLineChars="200"/>
        <w:textAlignment w:val="baseline"/>
        <w:rPr>
          <w:rStyle w:val="25"/>
          <w:rFonts w:hint="eastAsia" w:ascii="宋体" w:hAnsi="宋体" w:eastAsia="宋体" w:cs="宋体"/>
          <w:color w:val="auto"/>
          <w:kern w:val="0"/>
          <w:sz w:val="21"/>
          <w:szCs w:val="21"/>
          <w:highlight w:val="none"/>
        </w:rPr>
      </w:pPr>
      <w:r>
        <w:rPr>
          <w:rStyle w:val="25"/>
          <w:rFonts w:hint="eastAsia" w:ascii="宋体" w:hAnsi="宋体" w:eastAsia="宋体" w:cs="宋体"/>
          <w:b/>
          <w:bCs/>
          <w:color w:val="auto"/>
          <w:kern w:val="0"/>
          <w:sz w:val="21"/>
          <w:szCs w:val="21"/>
          <w:highlight w:val="none"/>
        </w:rPr>
        <w:t>9.1</w:t>
      </w:r>
      <w:r>
        <w:rPr>
          <w:rStyle w:val="25"/>
          <w:rFonts w:hint="eastAsia" w:ascii="宋体" w:hAnsi="宋体" w:eastAsia="宋体" w:cs="宋体"/>
          <w:color w:val="auto"/>
          <w:kern w:val="0"/>
          <w:sz w:val="21"/>
          <w:szCs w:val="21"/>
          <w:highlight w:val="none"/>
        </w:rPr>
        <w:t xml:space="preserve"> 投标人应按照以下依据编制投标报价：</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《房屋建筑与装饰工程工程量计算标准》（GB/T 50854-2024）</w:t>
      </w:r>
      <w:r>
        <w:rPr>
          <w:rFonts w:hint="eastAsia" w:hAnsi="宋体" w:eastAsia="宋体" w:cs="宋体"/>
          <w:snapToGrid w:val="0"/>
          <w:color w:val="auto"/>
          <w:kern w:val="0"/>
          <w:sz w:val="21"/>
          <w:szCs w:val="21"/>
          <w:highlight w:val="none"/>
          <w:lang w:val="en-US" w:eastAsia="zh-CN"/>
        </w:rPr>
        <w:t>；《通用安装工程工程量计算标准》（GB/T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（3）企业定额；</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（4）招标文件及其答疑（或修改）公告、招标工程量清单；</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（5）施工图及相关资料；</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（6）施工现场情况、工程特点及投标时拟定的施工组织设计或施工方案；</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（7）市场价格信息或项目所在地工程造价管理机构发布的工程造价信息；</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（8）与建设项目相关的标准、规范、技术资料。</w:t>
      </w:r>
    </w:p>
    <w:p>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9.2</w:t>
      </w:r>
      <w:r>
        <w:rPr>
          <w:rFonts w:hint="eastAsia" w:ascii="宋体" w:hAnsi="宋体" w:eastAsia="宋体" w:cs="宋体"/>
          <w:snapToGrid w:val="0"/>
          <w:color w:val="auto"/>
          <w:kern w:val="0"/>
          <w:sz w:val="21"/>
          <w:szCs w:val="21"/>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103" w:name="_Hlt66594003"/>
      <w:bookmarkEnd w:id="103"/>
      <w:r>
        <w:rPr>
          <w:rFonts w:hint="eastAsia" w:ascii="宋体" w:hAnsi="宋体" w:eastAsia="宋体" w:cs="宋体"/>
          <w:snapToGrid w:val="0"/>
          <w:color w:val="auto"/>
          <w:kern w:val="0"/>
          <w:sz w:val="21"/>
          <w:szCs w:val="21"/>
          <w:highlight w:val="none"/>
        </w:rPr>
        <w:t>所谓“一定范围内的风险”是指合同约定的风险。</w:t>
      </w:r>
    </w:p>
    <w:p>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textAlignment w:val="baseline"/>
        <w:rPr>
          <w:rFonts w:hint="eastAsia" w:ascii="宋体" w:hAnsi="宋体" w:eastAsia="宋体" w:cs="宋体"/>
          <w:snapToGrid w:val="0"/>
          <w:color w:val="auto"/>
          <w:kern w:val="0"/>
          <w:sz w:val="21"/>
          <w:szCs w:val="21"/>
          <w:highlight w:val="none"/>
        </w:rPr>
      </w:pPr>
      <w:bookmarkStart w:id="104" w:name="_Hlt69335755"/>
      <w:bookmarkEnd w:id="104"/>
      <w:r>
        <w:rPr>
          <w:rFonts w:hint="eastAsia" w:ascii="宋体" w:hAnsi="宋体" w:eastAsia="宋体" w:cs="宋体"/>
          <w:b/>
          <w:bCs/>
          <w:snapToGrid w:val="0"/>
          <w:color w:val="auto"/>
          <w:kern w:val="0"/>
          <w:sz w:val="21"/>
          <w:szCs w:val="21"/>
          <w:highlight w:val="none"/>
        </w:rPr>
        <w:t>9.3</w:t>
      </w:r>
      <w:r>
        <w:rPr>
          <w:rFonts w:hint="eastAsia" w:ascii="宋体" w:hAnsi="宋体" w:eastAsia="宋体" w:cs="宋体"/>
          <w:snapToGrid w:val="0"/>
          <w:color w:val="auto"/>
          <w:kern w:val="0"/>
          <w:sz w:val="21"/>
          <w:szCs w:val="21"/>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105" w:name="_Hlt66509056"/>
      <w:bookmarkEnd w:id="105"/>
      <w:r>
        <w:rPr>
          <w:rFonts w:hint="eastAsia" w:ascii="宋体" w:hAnsi="宋体" w:eastAsia="宋体" w:cs="宋体"/>
          <w:snapToGrid w:val="0"/>
          <w:color w:val="auto"/>
          <w:kern w:val="0"/>
          <w:sz w:val="21"/>
          <w:szCs w:val="21"/>
          <w:highlight w:val="none"/>
        </w:rPr>
        <w:t>接资料。投标人应针对现场情况编制施工组织设计，并在编制投标报价时考虑现场情况的影响。</w:t>
      </w:r>
    </w:p>
    <w:p>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9.4</w:t>
      </w:r>
      <w:r>
        <w:rPr>
          <w:rFonts w:hint="eastAsia" w:ascii="宋体" w:hAnsi="宋体" w:eastAsia="宋体" w:cs="宋体"/>
          <w:snapToGrid w:val="0"/>
          <w:color w:val="auto"/>
          <w:kern w:val="0"/>
          <w:sz w:val="21"/>
          <w:szCs w:val="21"/>
          <w:highlight w:val="none"/>
        </w:rPr>
        <w:t xml:space="preserve"> 招标人向投标人提供的有关现场的数据和资料，是招标人现有的能被投标人利用的资料，招标人对投标人做出的任何推论、理解和结论均不负责任。</w:t>
      </w:r>
    </w:p>
    <w:p>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9.5</w:t>
      </w:r>
      <w:r>
        <w:rPr>
          <w:rFonts w:hint="eastAsia" w:ascii="宋体" w:hAnsi="宋体" w:eastAsia="宋体" w:cs="宋体"/>
          <w:snapToGrid w:val="0"/>
          <w:color w:val="auto"/>
          <w:kern w:val="0"/>
          <w:sz w:val="21"/>
          <w:szCs w:val="21"/>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9.6</w:t>
      </w:r>
      <w:r>
        <w:rPr>
          <w:rFonts w:hint="eastAsia" w:ascii="宋体" w:hAnsi="宋体" w:eastAsia="宋体" w:cs="宋体"/>
          <w:snapToGrid w:val="0"/>
          <w:color w:val="auto"/>
          <w:kern w:val="0"/>
          <w:sz w:val="21"/>
          <w:szCs w:val="21"/>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textAlignment w:val="baseline"/>
        <w:rPr>
          <w:rFonts w:hint="eastAsia" w:ascii="宋体" w:hAnsi="宋体" w:eastAsia="宋体" w:cs="宋体"/>
          <w:strike/>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9.7</w:t>
      </w:r>
      <w:r>
        <w:rPr>
          <w:rFonts w:hint="eastAsia" w:ascii="宋体" w:hAnsi="宋体" w:eastAsia="宋体" w:cs="宋体"/>
          <w:snapToGrid w:val="0"/>
          <w:color w:val="auto"/>
          <w:kern w:val="0"/>
          <w:sz w:val="21"/>
          <w:szCs w:val="21"/>
          <w:highlight w:val="none"/>
        </w:rPr>
        <w:t xml:space="preserve"> 投标人的投标总价不得高于招标控制价，也不得低于工程成本。投标人对投标总价的所有优惠（降价、让利等），均应当反映在具体清单项目或其综合单价的报价上。</w:t>
      </w:r>
      <w:r>
        <w:rPr>
          <w:rFonts w:hint="eastAsia" w:ascii="宋体" w:hAnsi="宋体" w:eastAsia="宋体" w:cs="宋体"/>
          <w:b/>
          <w:snapToGrid w:val="0"/>
          <w:color w:val="auto"/>
          <w:kern w:val="0"/>
          <w:sz w:val="21"/>
          <w:szCs w:val="21"/>
          <w:highlight w:val="none"/>
        </w:rPr>
        <w:t>如果投标人的投标总价下浮率高于15%时，投标人必须在投标文件中专项作出详细合理的书面说明并提供以往类似工程详细成本分析报告供评标委员会审查。投标总价下浮率＝（1－投标总价÷招标控制价）×100%</w:t>
      </w:r>
      <w:r>
        <w:rPr>
          <w:rFonts w:hint="eastAsia" w:ascii="宋体" w:hAnsi="宋体" w:eastAsia="宋体" w:cs="宋体"/>
          <w:b/>
          <w:snapToGrid w:val="0"/>
          <w:color w:val="auto"/>
          <w:kern w:val="0"/>
          <w:sz w:val="21"/>
          <w:szCs w:val="21"/>
          <w:highlight w:val="none"/>
          <w:lang w:eastAsia="zh-CN"/>
        </w:rPr>
        <w:t>。</w:t>
      </w:r>
    </w:p>
    <w:p>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9.8</w:t>
      </w:r>
      <w:r>
        <w:rPr>
          <w:rFonts w:hint="eastAsia" w:ascii="宋体" w:hAnsi="宋体" w:eastAsia="宋体" w:cs="宋体"/>
          <w:snapToGrid w:val="0"/>
          <w:color w:val="auto"/>
          <w:kern w:val="0"/>
          <w:sz w:val="21"/>
          <w:szCs w:val="21"/>
          <w:highlight w:val="none"/>
        </w:rPr>
        <w:t xml:space="preserve"> 投标人的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报价必须达到或超过</w:t>
      </w:r>
      <w:r>
        <w:rPr>
          <w:rFonts w:hint="eastAsia" w:ascii="宋体" w:hAnsi="宋体" w:eastAsia="宋体" w:cs="宋体"/>
          <w:color w:val="auto"/>
          <w:sz w:val="21"/>
          <w:szCs w:val="21"/>
          <w:highlight w:val="none"/>
          <w:lang w:val="en-US" w:eastAsia="zh-CN"/>
        </w:rPr>
        <w:t>招标控制价中</w:t>
      </w:r>
      <w:r>
        <w:rPr>
          <w:rFonts w:hint="eastAsia" w:ascii="宋体" w:hAnsi="宋体" w:eastAsia="宋体" w:cs="宋体"/>
          <w:snapToGrid w:val="0"/>
          <w:color w:val="auto"/>
          <w:kern w:val="0"/>
          <w:sz w:val="21"/>
          <w:szCs w:val="21"/>
          <w:highlight w:val="none"/>
        </w:rPr>
        <w:t>提供的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9.9</w:t>
      </w:r>
      <w:r>
        <w:rPr>
          <w:rFonts w:hint="eastAsia" w:ascii="宋体" w:hAnsi="宋体" w:eastAsia="宋体" w:cs="宋体"/>
          <w:snapToGrid w:val="0"/>
          <w:color w:val="auto"/>
          <w:kern w:val="0"/>
          <w:sz w:val="21"/>
          <w:szCs w:val="21"/>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106" w:name="_（十）投标文件的编制、包装、密封"/>
      <w:bookmarkEnd w:id="106"/>
    </w:p>
    <w:p>
      <w:pPr>
        <w:pStyle w:val="28"/>
        <w:keepNext w:val="0"/>
        <w:keepLines w:val="0"/>
        <w:pageBreakBefore w:val="0"/>
        <w:widowControl w:val="0"/>
        <w:numPr>
          <w:ilvl w:val="0"/>
          <w:numId w:val="2"/>
        </w:numPr>
        <w:kinsoku/>
        <w:overflowPunct/>
        <w:topLinePunct w:val="0"/>
        <w:autoSpaceDE/>
        <w:autoSpaceDN/>
        <w:bidi w:val="0"/>
        <w:adjustRightInd/>
        <w:snapToGrid/>
        <w:spacing w:line="400" w:lineRule="exact"/>
        <w:ind w:firstLine="421" w:firstLineChars="200"/>
        <w:jc w:val="both"/>
        <w:textAlignment w:val="baseline"/>
        <w:outlineLvl w:val="1"/>
        <w:rPr>
          <w:rStyle w:val="25"/>
          <w:rFonts w:hint="eastAsia" w:ascii="宋体" w:hAnsi="宋体" w:eastAsia="宋体" w:cs="宋体"/>
          <w:b/>
          <w:bCs/>
          <w:color w:val="auto"/>
          <w:sz w:val="21"/>
          <w:szCs w:val="21"/>
          <w:highlight w:val="none"/>
        </w:rPr>
      </w:pPr>
      <w:bookmarkStart w:id="107" w:name="_Toc29807"/>
      <w:bookmarkStart w:id="108" w:name="_Toc6168"/>
      <w:bookmarkStart w:id="109" w:name="_Toc22210"/>
      <w:r>
        <w:rPr>
          <w:rStyle w:val="25"/>
          <w:rFonts w:hint="eastAsia" w:ascii="宋体" w:hAnsi="宋体" w:eastAsia="宋体" w:cs="宋体"/>
          <w:b/>
          <w:bCs/>
          <w:color w:val="auto"/>
          <w:sz w:val="21"/>
          <w:szCs w:val="21"/>
          <w:highlight w:val="none"/>
        </w:rPr>
        <w:t>投标文件的编制要求</w:t>
      </w:r>
      <w:bookmarkEnd w:id="107"/>
      <w:bookmarkEnd w:id="108"/>
      <w:bookmarkEnd w:id="109"/>
    </w:p>
    <w:p>
      <w:pPr>
        <w:pStyle w:val="2"/>
        <w:keepNext w:val="0"/>
        <w:keepLines w:val="0"/>
        <w:pageBreakBefore w:val="0"/>
        <w:widowControl w:val="0"/>
        <w:kinsoku/>
        <w:wordWrap w:val="0"/>
        <w:overflowPunct/>
        <w:topLinePunct w:val="0"/>
        <w:bidi w:val="0"/>
        <w:adjustRightInd/>
        <w:snapToGrid/>
        <w:spacing w:before="0" w:beforeLines="0" w:after="0" w:afterLines="0" w:line="400" w:lineRule="exact"/>
        <w:ind w:firstLine="421" w:firstLineChars="200"/>
        <w:rPr>
          <w:rFonts w:hint="eastAsia" w:ascii="宋体" w:hAnsi="宋体" w:eastAsia="宋体" w:cs="宋体"/>
          <w:snapToGrid w:val="0"/>
          <w:color w:val="auto"/>
          <w:kern w:val="0"/>
          <w:sz w:val="21"/>
          <w:szCs w:val="21"/>
          <w:highlight w:val="none"/>
        </w:rPr>
      </w:pPr>
      <w:bookmarkStart w:id="110" w:name="_Toc17310"/>
      <w:bookmarkStart w:id="111" w:name="_Toc13010"/>
      <w:bookmarkStart w:id="112" w:name="_Toc24051"/>
      <w:r>
        <w:rPr>
          <w:rFonts w:hint="eastAsia" w:ascii="宋体" w:hAnsi="宋体" w:eastAsia="宋体" w:cs="宋体"/>
          <w:b/>
          <w:bCs/>
          <w:snapToGrid w:val="0"/>
          <w:color w:val="auto"/>
          <w:kern w:val="0"/>
          <w:sz w:val="21"/>
          <w:szCs w:val="21"/>
          <w:highlight w:val="none"/>
        </w:rPr>
        <w:t>10.1 一般要求</w:t>
      </w:r>
      <w:bookmarkEnd w:id="110"/>
      <w:bookmarkEnd w:id="111"/>
      <w:bookmarkEnd w:id="112"/>
    </w:p>
    <w:p>
      <w:pPr>
        <w:pStyle w:val="9"/>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投标文件应按第六章投标文件格式规定的内容，投标人提交的投标文件应当使用招标文件所提供的投标文件全部格式。</w:t>
      </w:r>
    </w:p>
    <w:p>
      <w:pPr>
        <w:pStyle w:val="9"/>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10.1.1</w:t>
      </w:r>
      <w:r>
        <w:rPr>
          <w:rFonts w:hint="eastAsia" w:ascii="宋体" w:hAnsi="宋体" w:eastAsia="宋体" w:cs="宋体"/>
          <w:snapToGrid w:val="0"/>
          <w:color w:val="auto"/>
          <w:kern w:val="0"/>
          <w:sz w:val="21"/>
          <w:szCs w:val="21"/>
          <w:highlight w:val="none"/>
        </w:rPr>
        <w:t xml:space="preserve"> 投标人必须响应招标文件，并在充分理解招标人提供的全部文件、设计图纸、资料及现场条件的基础</w:t>
      </w:r>
      <w:bookmarkStart w:id="113" w:name="_Hlt78709790"/>
      <w:bookmarkEnd w:id="113"/>
      <w:r>
        <w:rPr>
          <w:rFonts w:hint="eastAsia" w:ascii="宋体" w:hAnsi="宋体" w:eastAsia="宋体" w:cs="宋体"/>
          <w:snapToGrid w:val="0"/>
          <w:color w:val="auto"/>
          <w:kern w:val="0"/>
          <w:sz w:val="21"/>
          <w:szCs w:val="21"/>
          <w:highlight w:val="none"/>
        </w:rPr>
        <w:t>上编制投标文件。因投标文件不符合招标文件的要求而造成的损失和后果，由投标人自行承担。</w:t>
      </w:r>
      <w:bookmarkStart w:id="114" w:name="_Hlt74496890"/>
      <w:bookmarkEnd w:id="114"/>
    </w:p>
    <w:p>
      <w:pPr>
        <w:pStyle w:val="9"/>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10.1.2</w:t>
      </w:r>
      <w:r>
        <w:rPr>
          <w:rFonts w:hint="eastAsia" w:ascii="宋体" w:hAnsi="宋体" w:eastAsia="宋体" w:cs="宋体"/>
          <w:b/>
          <w:bCs/>
          <w:snapToGrid w:val="0"/>
          <w:color w:val="auto"/>
          <w:kern w:val="0"/>
          <w:sz w:val="21"/>
          <w:szCs w:val="21"/>
          <w:highlight w:val="none"/>
          <w:lang w:val="en-US" w:eastAsia="zh-CN"/>
        </w:rPr>
        <w:t>投标文件包括商务标书、经济标书、施工组织设计和定标文件四个分册</w:t>
      </w:r>
      <w:r>
        <w:rPr>
          <w:rFonts w:hint="eastAsia" w:ascii="宋体" w:hAnsi="宋体" w:eastAsia="宋体" w:cs="宋体"/>
          <w:b w:val="0"/>
          <w:bCs w:val="0"/>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投标文件全部采用电子文档，</w:t>
      </w:r>
      <w:r>
        <w:rPr>
          <w:rFonts w:hint="eastAsia" w:ascii="宋体" w:hAnsi="宋体" w:eastAsia="宋体" w:cs="宋体"/>
          <w:b/>
          <w:bCs/>
          <w:snapToGrid w:val="0"/>
          <w:color w:val="auto"/>
          <w:kern w:val="0"/>
          <w:sz w:val="21"/>
          <w:szCs w:val="21"/>
          <w:highlight w:val="none"/>
        </w:rPr>
        <w:t>投标文件所附证书证件均为原件扫描件</w:t>
      </w:r>
      <w:r>
        <w:rPr>
          <w:rFonts w:hint="eastAsia" w:ascii="宋体" w:hAnsi="宋体" w:eastAsia="宋体" w:cs="宋体"/>
          <w:snapToGrid w:val="0"/>
          <w:color w:val="auto"/>
          <w:kern w:val="0"/>
          <w:sz w:val="21"/>
          <w:szCs w:val="21"/>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 交易指引。</w:t>
      </w:r>
    </w:p>
    <w:p>
      <w:pPr>
        <w:pStyle w:val="9"/>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w:t>
      </w:r>
      <w:r>
        <w:rPr>
          <w:rFonts w:hint="eastAsia" w:ascii="宋体" w:hAnsi="宋体" w:eastAsia="宋体" w:cs="宋体"/>
          <w:snapToGrid w:val="0"/>
          <w:color w:val="auto"/>
          <w:kern w:val="0"/>
          <w:sz w:val="21"/>
          <w:szCs w:val="21"/>
          <w:highlight w:val="none"/>
        </w:rPr>
        <w:t>投标文件需按以下要求签字、盖章：</w:t>
      </w:r>
    </w:p>
    <w:p>
      <w:pPr>
        <w:pStyle w:val="9"/>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电子投标文件：</w:t>
      </w:r>
    </w:p>
    <w:p>
      <w:pPr>
        <w:pStyle w:val="9"/>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10.1.3.1</w:t>
      </w:r>
      <w:r>
        <w:rPr>
          <w:rFonts w:hint="eastAsia" w:ascii="宋体" w:hAnsi="宋体" w:eastAsia="宋体" w:cs="宋体"/>
          <w:snapToGrid w:val="0"/>
          <w:color w:val="auto"/>
          <w:kern w:val="0"/>
          <w:sz w:val="21"/>
          <w:szCs w:val="21"/>
          <w:highlight w:val="none"/>
        </w:rPr>
        <w:t xml:space="preserve"> 投标文件封面、组成内容中凡注明“签字”处由要求的人员签字或电子签章；凡注明“签字或盖章”处由要求的人员签字或盖其私章（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电子印章）；凡注明“签字并盖执业印章”处由要求的人员签字并盖其执业印章。</w:t>
      </w:r>
    </w:p>
    <w:p>
      <w:pPr>
        <w:pStyle w:val="9"/>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10.1.3.2</w:t>
      </w:r>
      <w:r>
        <w:rPr>
          <w:rFonts w:hint="eastAsia" w:ascii="宋体" w:hAnsi="宋体" w:eastAsia="宋体" w:cs="宋体"/>
          <w:snapToGrid w:val="0"/>
          <w:color w:val="auto"/>
          <w:kern w:val="0"/>
          <w:sz w:val="21"/>
          <w:szCs w:val="21"/>
          <w:highlight w:val="none"/>
        </w:rPr>
        <w:t>投标文件封套、封面、组成内容中凡要求录入投标人名称且注明“盖单位章”处盖单位法人公章（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w:t>
      </w:r>
    </w:p>
    <w:p>
      <w:pPr>
        <w:pStyle w:val="32"/>
        <w:keepNext w:val="0"/>
        <w:keepLines w:val="0"/>
        <w:pageBreakBefore w:val="0"/>
        <w:widowControl w:val="0"/>
        <w:kinsoku/>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bCs/>
          <w:strike/>
          <w:dstrike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10.1.3.3 </w:t>
      </w:r>
      <w:r>
        <w:rPr>
          <w:rFonts w:hint="eastAsia" w:ascii="宋体" w:hAnsi="宋体" w:eastAsia="宋体" w:cs="宋体"/>
          <w:snapToGrid w:val="0"/>
          <w:color w:val="auto"/>
          <w:kern w:val="0"/>
          <w:sz w:val="21"/>
          <w:szCs w:val="21"/>
          <w:highlight w:val="none"/>
        </w:rPr>
        <w:t>投标文件的签字均为签字人本人亲笔署名或签章（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电子印章），其余部分的</w:t>
      </w:r>
      <w:r>
        <w:rPr>
          <w:rFonts w:hint="eastAsia" w:ascii="宋体" w:hAnsi="宋体" w:eastAsia="宋体" w:cs="宋体"/>
          <w:snapToGrid w:val="0"/>
          <w:color w:val="auto"/>
          <w:kern w:val="0"/>
          <w:sz w:val="21"/>
          <w:szCs w:val="21"/>
          <w:highlight w:val="none"/>
          <w:lang w:val="en-US" w:eastAsia="zh-CN"/>
        </w:rPr>
        <w:t>彩色扫描件</w:t>
      </w:r>
      <w:r>
        <w:rPr>
          <w:rFonts w:hint="eastAsia" w:ascii="宋体" w:hAnsi="宋体" w:eastAsia="宋体" w:cs="宋体"/>
          <w:snapToGrid w:val="0"/>
          <w:color w:val="auto"/>
          <w:kern w:val="0"/>
          <w:sz w:val="21"/>
          <w:szCs w:val="21"/>
          <w:highlight w:val="none"/>
        </w:rPr>
        <w:t>无须另行签字、盖章</w:t>
      </w:r>
      <w:r>
        <w:rPr>
          <w:rStyle w:val="25"/>
          <w:rFonts w:hint="eastAsia" w:ascii="宋体" w:hAnsi="宋体" w:eastAsia="宋体" w:cs="宋体"/>
          <w:color w:val="auto"/>
          <w:kern w:val="0"/>
          <w:sz w:val="21"/>
          <w:szCs w:val="21"/>
          <w:highlight w:val="none"/>
        </w:rPr>
        <w:t>。</w:t>
      </w:r>
    </w:p>
    <w:p>
      <w:pPr>
        <w:pStyle w:val="28"/>
        <w:keepNext w:val="0"/>
        <w:keepLines w:val="0"/>
        <w:pageBreakBefore w:val="0"/>
        <w:widowControl w:val="0"/>
        <w:kinsoku/>
        <w:overflowPunct/>
        <w:topLinePunct w:val="0"/>
        <w:autoSpaceDE/>
        <w:autoSpaceDN/>
        <w:bidi w:val="0"/>
        <w:adjustRightInd/>
        <w:snapToGrid/>
        <w:spacing w:line="400" w:lineRule="exact"/>
        <w:ind w:firstLine="421" w:firstLineChars="200"/>
        <w:jc w:val="both"/>
        <w:textAlignment w:val="baseline"/>
        <w:rPr>
          <w:rStyle w:val="25"/>
          <w:rFonts w:hint="eastAsia" w:ascii="宋体" w:hAnsi="宋体" w:eastAsia="宋体" w:cs="宋体"/>
          <w:b/>
          <w:bCs/>
          <w:color w:val="auto"/>
          <w:sz w:val="21"/>
          <w:szCs w:val="21"/>
          <w:highlight w:val="none"/>
        </w:rPr>
      </w:pPr>
      <w:bookmarkStart w:id="115" w:name="_Toc28154"/>
      <w:bookmarkStart w:id="116" w:name="_Toc14523"/>
      <w:bookmarkStart w:id="117" w:name="_Toc28294"/>
      <w:bookmarkStart w:id="118" w:name="_Toc23762"/>
      <w:bookmarkStart w:id="119" w:name="_Toc11533"/>
      <w:bookmarkStart w:id="120" w:name="_Toc274313880"/>
      <w:bookmarkStart w:id="121" w:name="_Toc257031159"/>
      <w:r>
        <w:rPr>
          <w:rStyle w:val="25"/>
          <w:rFonts w:hint="eastAsia" w:ascii="宋体" w:hAnsi="宋体" w:eastAsia="宋体" w:cs="宋体"/>
          <w:b/>
          <w:bCs/>
          <w:color w:val="auto"/>
          <w:sz w:val="21"/>
          <w:szCs w:val="21"/>
          <w:highlight w:val="none"/>
        </w:rPr>
        <w:t>10.2 商务标书的编制要求</w:t>
      </w:r>
      <w:bookmarkEnd w:id="115"/>
      <w:bookmarkEnd w:id="116"/>
      <w:bookmarkEnd w:id="117"/>
      <w:bookmarkEnd w:id="118"/>
      <w:bookmarkEnd w:id="119"/>
      <w:bookmarkEnd w:id="120"/>
      <w:bookmarkEnd w:id="121"/>
    </w:p>
    <w:p>
      <w:pPr>
        <w:pStyle w:val="28"/>
        <w:keepNext w:val="0"/>
        <w:keepLines w:val="0"/>
        <w:pageBreakBefore w:val="0"/>
        <w:widowControl w:val="0"/>
        <w:kinsoku/>
        <w:overflowPunct/>
        <w:topLinePunct w:val="0"/>
        <w:autoSpaceDE/>
        <w:autoSpaceDN/>
        <w:bidi w:val="0"/>
        <w:adjustRightInd/>
        <w:snapToGrid/>
        <w:spacing w:line="400" w:lineRule="exact"/>
        <w:ind w:firstLine="421" w:firstLineChars="200"/>
        <w:jc w:val="both"/>
        <w:textAlignment w:val="baseline"/>
        <w:rPr>
          <w:rStyle w:val="25"/>
          <w:rFonts w:hint="eastAsia" w:ascii="宋体" w:hAnsi="宋体" w:eastAsia="宋体" w:cs="宋体"/>
          <w:color w:val="auto"/>
          <w:sz w:val="21"/>
          <w:szCs w:val="21"/>
          <w:highlight w:val="none"/>
        </w:rPr>
      </w:pPr>
      <w:r>
        <w:rPr>
          <w:rStyle w:val="25"/>
          <w:rFonts w:hint="eastAsia" w:ascii="宋体" w:hAnsi="宋体" w:eastAsia="宋体" w:cs="宋体"/>
          <w:b/>
          <w:bCs/>
          <w:color w:val="auto"/>
          <w:sz w:val="21"/>
          <w:szCs w:val="21"/>
          <w:highlight w:val="none"/>
        </w:rPr>
        <w:t xml:space="preserve">10.2.1 </w:t>
      </w:r>
      <w:r>
        <w:rPr>
          <w:rStyle w:val="25"/>
          <w:rFonts w:hint="eastAsia" w:ascii="宋体" w:hAnsi="宋体" w:eastAsia="宋体" w:cs="宋体"/>
          <w:color w:val="auto"/>
          <w:sz w:val="21"/>
          <w:szCs w:val="21"/>
          <w:highlight w:val="none"/>
        </w:rPr>
        <w:t>商务标书包括但不限于以下内容：</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（3）《投标函》（格式二）；</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（4）《各项承诺一览表》（格式三）；</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（5）《授权委托书》（格式四）；</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（6）《法定代表人身份证明》（格式五）；</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（7）《联合体协议书》（格式六）及所附资料；</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z w:val="21"/>
          <w:szCs w:val="21"/>
          <w:highlight w:val="none"/>
        </w:rPr>
        <w:t>《韶关市公共资源交易一体化平台保证金缴纳信息》</w:t>
      </w:r>
      <w:r>
        <w:rPr>
          <w:rFonts w:hint="eastAsia" w:ascii="宋体" w:hAnsi="宋体" w:eastAsia="宋体" w:cs="宋体"/>
          <w:b/>
          <w:bCs/>
          <w:snapToGrid w:val="0"/>
          <w:color w:val="auto"/>
          <w:kern w:val="0"/>
          <w:sz w:val="21"/>
          <w:szCs w:val="21"/>
          <w:highlight w:val="none"/>
        </w:rPr>
        <w:t>页面截图</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（9）《投标人基本情况表》（格式七）及所附资料；</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（10）《项目经理简历表》（格式八）及所附资料；</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（11）《项目经理任职声明》（格式九）；</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（12）《项目技术负责人简历表》（格式十）及所附资料；</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）《项目管理机构组成表》（格式十</w:t>
      </w:r>
      <w:r>
        <w:rPr>
          <w:rFonts w:hint="eastAsia" w:ascii="宋体" w:hAnsi="宋体" w:eastAsia="宋体" w:cs="宋体"/>
          <w:snapToGrid w:val="0"/>
          <w:color w:val="auto"/>
          <w:kern w:val="0"/>
          <w:sz w:val="21"/>
          <w:szCs w:val="21"/>
          <w:highlight w:val="none"/>
          <w:lang w:val="en-US" w:eastAsia="zh-CN"/>
        </w:rPr>
        <w:t>一</w:t>
      </w:r>
      <w:r>
        <w:rPr>
          <w:rFonts w:hint="eastAsia" w:ascii="宋体" w:hAnsi="宋体" w:eastAsia="宋体" w:cs="宋体"/>
          <w:snapToGrid w:val="0"/>
          <w:color w:val="auto"/>
          <w:kern w:val="0"/>
          <w:sz w:val="21"/>
          <w:szCs w:val="21"/>
          <w:highlight w:val="none"/>
        </w:rPr>
        <w:t>）及所附资料；</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）本节第</w:t>
      </w:r>
      <w:r>
        <w:rPr>
          <w:rFonts w:hint="eastAsia" w:ascii="宋体" w:hAnsi="宋体" w:eastAsia="宋体" w:cs="宋体"/>
          <w:b/>
          <w:bCs/>
          <w:snapToGrid w:val="0"/>
          <w:color w:val="auto"/>
          <w:kern w:val="0"/>
          <w:sz w:val="21"/>
          <w:szCs w:val="21"/>
          <w:highlight w:val="none"/>
        </w:rPr>
        <w:t>15.5.1</w:t>
      </w:r>
      <w:r>
        <w:rPr>
          <w:rFonts w:hint="eastAsia" w:ascii="宋体" w:hAnsi="宋体" w:eastAsia="宋体" w:cs="宋体"/>
          <w:snapToGrid w:val="0"/>
          <w:color w:val="auto"/>
          <w:kern w:val="0"/>
          <w:sz w:val="21"/>
          <w:szCs w:val="21"/>
          <w:highlight w:val="none"/>
        </w:rPr>
        <w:t>目“评标方法”要求提供的评审资料；</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投标人认为有必要补充的其他资料。（例如投标人已经工商变更，但其企业资质证书、安全生产许可证或其员工执业资格注册证书上的企业名称未能在投标期间完成变更的书面说明和佐证材料；企业所在省、地级市住建部门或其授权的组织（机构）关于企业资质、人员资格有效期自动顺延或延期办理的相关文件等）。</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10.2.2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10.2.1</w:t>
      </w:r>
      <w:r>
        <w:rPr>
          <w:rFonts w:hint="eastAsia" w:ascii="宋体" w:hAnsi="宋体" w:eastAsia="宋体" w:cs="宋体"/>
          <w:snapToGrid w:val="0"/>
          <w:color w:val="auto"/>
          <w:kern w:val="0"/>
          <w:sz w:val="21"/>
          <w:szCs w:val="21"/>
          <w:highlight w:val="none"/>
        </w:rPr>
        <w:t>目中所列出的商务标书组成内容中，第（1）至第（1</w:t>
      </w:r>
      <w:r>
        <w:rPr>
          <w:rFonts w:hint="eastAsia"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）项所有投标人均应提供，</w:t>
      </w:r>
      <w:r>
        <w:rPr>
          <w:rFonts w:hint="eastAsia" w:ascii="宋体" w:hAnsi="宋体" w:eastAsia="宋体" w:cs="宋体"/>
          <w:b/>
          <w:bCs/>
          <w:snapToGrid w:val="0"/>
          <w:color w:val="auto"/>
          <w:kern w:val="0"/>
          <w:sz w:val="21"/>
          <w:szCs w:val="21"/>
          <w:highlight w:val="none"/>
        </w:rPr>
        <w:t>但非联合体投标的，无需提供第（7）项内容。</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10.2.3</w:t>
      </w:r>
      <w:r>
        <w:rPr>
          <w:rFonts w:hint="eastAsia" w:ascii="宋体" w:hAnsi="宋体" w:eastAsia="宋体" w:cs="宋体"/>
          <w:snapToGrid w:val="0"/>
          <w:color w:val="auto"/>
          <w:kern w:val="0"/>
          <w:sz w:val="21"/>
          <w:szCs w:val="21"/>
          <w:highlight w:val="none"/>
        </w:rPr>
        <w:t xml:space="preserve"> 商务标书的组成内容按本节第 10.2.1 目规定的顺序整理、编排后，逐页（页码起始从封面开始）连续标记页码。</w:t>
      </w:r>
    </w:p>
    <w:p>
      <w:pPr>
        <w:pStyle w:val="28"/>
        <w:keepNext w:val="0"/>
        <w:keepLines w:val="0"/>
        <w:pageBreakBefore w:val="0"/>
        <w:widowControl w:val="0"/>
        <w:kinsoku/>
        <w:overflowPunct/>
        <w:topLinePunct w:val="0"/>
        <w:autoSpaceDE/>
        <w:autoSpaceDN/>
        <w:bidi w:val="0"/>
        <w:adjustRightInd/>
        <w:snapToGrid/>
        <w:spacing w:line="400" w:lineRule="exact"/>
        <w:ind w:firstLine="421" w:firstLineChars="200"/>
        <w:jc w:val="both"/>
        <w:textAlignment w:val="baseline"/>
        <w:rPr>
          <w:rStyle w:val="25"/>
          <w:rFonts w:hint="eastAsia" w:ascii="宋体" w:hAnsi="宋体" w:eastAsia="宋体" w:cs="宋体"/>
          <w:b/>
          <w:bCs/>
          <w:color w:val="auto"/>
          <w:sz w:val="21"/>
          <w:szCs w:val="21"/>
          <w:highlight w:val="none"/>
        </w:rPr>
      </w:pPr>
      <w:bookmarkStart w:id="122" w:name="_Toc18154"/>
      <w:bookmarkStart w:id="123" w:name="_Toc10756"/>
      <w:bookmarkStart w:id="124" w:name="_Toc23486"/>
      <w:bookmarkStart w:id="125" w:name="_Toc4083"/>
      <w:bookmarkStart w:id="126" w:name="_Toc28389"/>
      <w:bookmarkStart w:id="127" w:name="_Toc29164"/>
      <w:r>
        <w:rPr>
          <w:rStyle w:val="25"/>
          <w:rFonts w:hint="eastAsia" w:ascii="宋体" w:hAnsi="宋体" w:eastAsia="宋体" w:cs="宋体"/>
          <w:b/>
          <w:bCs/>
          <w:color w:val="auto"/>
          <w:sz w:val="21"/>
          <w:szCs w:val="21"/>
          <w:highlight w:val="none"/>
        </w:rPr>
        <w:t>10.3 经济标书的编制要求</w:t>
      </w:r>
      <w:bookmarkEnd w:id="122"/>
      <w:bookmarkEnd w:id="123"/>
      <w:bookmarkEnd w:id="124"/>
      <w:bookmarkEnd w:id="125"/>
      <w:bookmarkEnd w:id="126"/>
      <w:bookmarkEnd w:id="127"/>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 xml:space="preserve"> 经济标书包括以下内容：</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sz w:val="21"/>
          <w:szCs w:val="21"/>
          <w:highlight w:val="none"/>
        </w:rPr>
      </w:pPr>
      <w:bookmarkStart w:id="128" w:name="_Hlt69699579"/>
      <w:bookmarkEnd w:id="128"/>
      <w:r>
        <w:rPr>
          <w:rFonts w:hint="eastAsia" w:ascii="宋体" w:hAnsi="宋体" w:eastAsia="宋体" w:cs="宋体"/>
          <w:color w:val="auto"/>
          <w:sz w:val="21"/>
          <w:szCs w:val="21"/>
          <w:highlight w:val="none"/>
        </w:rPr>
        <w:t>（3）《投标总价》；</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说明：《投标总价》的格式按照《建设工程工程量清单计价规范》（</w:t>
      </w:r>
      <w:r>
        <w:rPr>
          <w:rFonts w:hint="eastAsia" w:ascii="宋体" w:hAnsi="宋体" w:eastAsia="宋体" w:cs="宋体"/>
          <w:snapToGrid w:val="0"/>
          <w:color w:val="auto"/>
          <w:kern w:val="0"/>
          <w:sz w:val="21"/>
          <w:szCs w:val="21"/>
          <w:highlight w:val="none"/>
          <w:lang w:eastAsia="zh-CN"/>
        </w:rPr>
        <w:t>GB</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）执行，并应满足以下要求：</w:t>
      </w:r>
    </w:p>
    <w:p>
      <w:pPr>
        <w:keepNext w:val="0"/>
        <w:keepLines w:val="0"/>
        <w:pageBreakBefore w:val="0"/>
        <w:widowControl w:val="0"/>
        <w:suppressLineNumbers w:val="0"/>
        <w:kinsoku/>
        <w:overflowPunct/>
        <w:topLinePunct w:val="0"/>
        <w:autoSpaceDE/>
        <w:autoSpaceDN/>
        <w:bidi w:val="0"/>
        <w:adjustRightInd/>
        <w:snapToGrid/>
        <w:spacing w:line="400" w:lineRule="exact"/>
        <w:ind w:firstLine="421" w:firstLineChars="200"/>
        <w:jc w:val="left"/>
        <w:textAlignment w:val="baseline"/>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a．《投标总价扉页》后应附编制人的造价工程师注册证书</w:t>
      </w:r>
      <w:r>
        <w:rPr>
          <w:rFonts w:hint="eastAsia" w:ascii="宋体" w:hAnsi="宋体" w:eastAsia="宋体" w:cs="宋体"/>
          <w:b/>
          <w:bCs/>
          <w:snapToGrid w:val="0"/>
          <w:color w:val="auto"/>
          <w:kern w:val="0"/>
          <w:sz w:val="21"/>
          <w:szCs w:val="21"/>
          <w:highlight w:val="none"/>
          <w:lang w:val="en-US" w:eastAsia="zh-CN"/>
        </w:rPr>
        <w:t>彩色扫描件</w:t>
      </w:r>
      <w:r>
        <w:rPr>
          <w:rFonts w:hint="eastAsia" w:ascii="宋体" w:hAnsi="宋体" w:eastAsia="宋体" w:cs="宋体"/>
          <w:b/>
          <w:bCs/>
          <w:snapToGrid w:val="0"/>
          <w:color w:val="auto"/>
          <w:kern w:val="0"/>
          <w:sz w:val="21"/>
          <w:szCs w:val="21"/>
          <w:highlight w:val="none"/>
        </w:rPr>
        <w:t>（须复印或打印至变更注册栏</w:t>
      </w:r>
      <w:r>
        <w:rPr>
          <w:rFonts w:hint="eastAsia" w:ascii="宋体" w:hAnsi="宋体" w:eastAsia="宋体" w:cs="宋体"/>
          <w:b/>
          <w:bCs/>
          <w:snapToGrid w:val="0"/>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bidi="ar"/>
        </w:rPr>
        <w:t>一级造价师或二级造价师均可提供电子证书</w:t>
      </w:r>
      <w:r>
        <w:rPr>
          <w:rFonts w:hint="eastAsia" w:ascii="宋体" w:hAnsi="宋体" w:eastAsia="宋体" w:cs="宋体"/>
          <w:b/>
          <w:bCs/>
          <w:snapToGrid w:val="0"/>
          <w:color w:val="auto"/>
          <w:kern w:val="0"/>
          <w:sz w:val="21"/>
          <w:szCs w:val="21"/>
          <w:highlight w:val="none"/>
        </w:rPr>
        <w:t>）；投标人委托造价咨询单位编制《投标总价》的，在该扉页“投标人”栏目加盖造价咨询人公章，并在该扉页后附造价咨询人的营业执照副本</w:t>
      </w:r>
      <w:r>
        <w:rPr>
          <w:rFonts w:hint="eastAsia" w:ascii="宋体" w:hAnsi="宋体" w:eastAsia="宋体" w:cs="宋体"/>
          <w:b/>
          <w:bCs/>
          <w:snapToGrid w:val="0"/>
          <w:color w:val="auto"/>
          <w:kern w:val="0"/>
          <w:sz w:val="21"/>
          <w:szCs w:val="21"/>
          <w:highlight w:val="none"/>
          <w:lang w:val="en-US" w:eastAsia="zh-CN"/>
        </w:rPr>
        <w:t>彩色扫描件</w:t>
      </w:r>
      <w:r>
        <w:rPr>
          <w:rFonts w:hint="eastAsia" w:ascii="宋体" w:hAnsi="宋体" w:eastAsia="宋体" w:cs="宋体"/>
          <w:b/>
          <w:bCs/>
          <w:snapToGrid w:val="0"/>
          <w:color w:val="auto"/>
          <w:kern w:val="0"/>
          <w:sz w:val="21"/>
          <w:szCs w:val="21"/>
          <w:highlight w:val="none"/>
        </w:rPr>
        <w:t>。</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b．投标人认为有必要补充的其他资料（例如关于投标总价下浮率超过15%的书面说明和佐证材料）。</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目中所列出的经济标书组成内容中，第（1）至第（3）项所有投标人均应提供</w:t>
      </w:r>
      <w:bookmarkStart w:id="129" w:name="_Hlt145127239"/>
      <w:bookmarkEnd w:id="129"/>
      <w:r>
        <w:rPr>
          <w:rFonts w:hint="eastAsia" w:ascii="宋体" w:hAnsi="宋体" w:eastAsia="宋体" w:cs="宋体"/>
          <w:snapToGrid w:val="0"/>
          <w:color w:val="auto"/>
          <w:kern w:val="0"/>
          <w:sz w:val="21"/>
          <w:szCs w:val="21"/>
          <w:highlight w:val="none"/>
        </w:rPr>
        <w:t>。</w:t>
      </w:r>
    </w:p>
    <w:p>
      <w:pPr>
        <w:pStyle w:val="7"/>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rPr>
        <w:t>10.3.3</w:t>
      </w:r>
      <w:r>
        <w:rPr>
          <w:rFonts w:hint="eastAsia" w:ascii="宋体" w:hAnsi="宋体" w:eastAsia="宋体" w:cs="宋体"/>
          <w:b/>
          <w:bCs/>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val="en-US" w:eastAsia="zh-CN" w:bidi="ar-SA"/>
        </w:rPr>
        <w:t>经济标书的组成内容按本节第10.3.1目规定的顺序整理、编排后，逐页（页码起始从封面开始）连续标记页码，作成一个PDF格式电子文件。</w:t>
      </w:r>
    </w:p>
    <w:p>
      <w:pPr>
        <w:pStyle w:val="5"/>
        <w:keepNext w:val="0"/>
        <w:keepLines w:val="0"/>
        <w:pageBreakBefore w:val="0"/>
        <w:widowControl w:val="0"/>
        <w:kinsoku/>
        <w:wordWrap w:val="0"/>
        <w:overflowPunct/>
        <w:topLinePunct w:val="0"/>
        <w:autoSpaceDE/>
        <w:autoSpaceDN/>
        <w:bidi w:val="0"/>
        <w:adjustRightInd/>
        <w:snapToGrid/>
        <w:spacing w:before="0" w:beforeLines="0" w:after="0" w:afterLines="0" w:line="400" w:lineRule="exact"/>
        <w:ind w:firstLine="421" w:firstLineChars="200"/>
        <w:jc w:val="both"/>
        <w:textAlignment w:val="baseline"/>
        <w:rPr>
          <w:rFonts w:hint="eastAsia" w:ascii="宋体" w:hAnsi="宋体" w:eastAsia="宋体" w:cs="宋体"/>
          <w:bCs/>
          <w:snapToGrid w:val="0"/>
          <w:color w:val="auto"/>
          <w:sz w:val="21"/>
          <w:szCs w:val="21"/>
          <w:highlight w:val="none"/>
        </w:rPr>
      </w:pPr>
      <w:bookmarkStart w:id="130" w:name="_Toc3720"/>
      <w:bookmarkStart w:id="131" w:name="_Toc30191"/>
      <w:r>
        <w:rPr>
          <w:rFonts w:hint="eastAsia" w:ascii="宋体" w:hAnsi="宋体" w:eastAsia="宋体" w:cs="宋体"/>
          <w:b/>
          <w:bCs/>
          <w:snapToGrid w:val="0"/>
          <w:color w:val="auto"/>
          <w:sz w:val="21"/>
          <w:szCs w:val="21"/>
          <w:highlight w:val="none"/>
        </w:rPr>
        <w:t xml:space="preserve">10.4 </w:t>
      </w:r>
      <w:r>
        <w:rPr>
          <w:rFonts w:hint="eastAsia" w:ascii="宋体" w:hAnsi="宋体" w:eastAsia="宋体" w:cs="宋体"/>
          <w:bCs/>
          <w:snapToGrid w:val="0"/>
          <w:color w:val="auto"/>
          <w:sz w:val="21"/>
          <w:szCs w:val="21"/>
          <w:highlight w:val="none"/>
        </w:rPr>
        <w:t>施工组织设计的编制要求</w:t>
      </w:r>
      <w:bookmarkEnd w:id="130"/>
      <w:bookmarkEnd w:id="131"/>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10.4.1</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施工组织设计的编制依据包括且不限于</w:t>
      </w:r>
      <w:r>
        <w:rPr>
          <w:rFonts w:hint="eastAsia" w:ascii="宋体" w:hAnsi="宋体" w:eastAsia="宋体" w:cs="宋体"/>
          <w:bCs/>
          <w:snapToGrid w:val="0"/>
          <w:color w:val="auto"/>
          <w:kern w:val="0"/>
          <w:sz w:val="21"/>
          <w:szCs w:val="21"/>
          <w:highlight w:val="none"/>
        </w:rPr>
        <w:t>：</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（1）招标文件及</w:t>
      </w:r>
      <w:r>
        <w:rPr>
          <w:rFonts w:hint="eastAsia" w:ascii="宋体" w:hAnsi="宋体" w:eastAsia="宋体" w:cs="宋体"/>
          <w:snapToGrid w:val="0"/>
          <w:color w:val="auto"/>
          <w:kern w:val="0"/>
          <w:sz w:val="21"/>
          <w:szCs w:val="21"/>
          <w:highlight w:val="none"/>
        </w:rPr>
        <w:t>其答疑（或修改）公告；</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（2）施工图及相关资料；</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（3）施工现场情况、工程特点；</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（4）相关法律、法规、规定；</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（6）企业内部标准、工法。</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10.4.2</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施工组织设计包括但不限于以下内容：</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（3）总体概述（包括施工程序总体设想及施工段划分等内容）；</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（4）施工总进度计划及保证措施（包括进度管理目标；以横道图或标明关键线路的网络进度计划；保障进度计划需要的人、材、机需求计划及保证措施；违约责任承诺等内容）；</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（5）质量保证措施（包括质量管理目标；相应保证措施；违约责任承诺等内容）；</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（6）施工技术措施（包括关键施工技术、工艺及工程项目实施的重点、难点分析和解决方案；新技术应用与承诺等内容）；</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（7）绿色施工、安全防护、文明施工措施计划</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rPr>
        <w:t>应对建设单位组织的勘察设计等单位在施工招标文件中列出的危大工程清单(详见格式十三)进行投标文件回应</w:t>
      </w:r>
      <w:r>
        <w:rPr>
          <w:rFonts w:hint="eastAsia" w:ascii="宋体" w:hAnsi="宋体" w:eastAsia="宋体" w:cs="宋体"/>
          <w:b/>
          <w:bCs/>
          <w:snapToGrid w:val="0"/>
          <w:color w:val="auto"/>
          <w:kern w:val="0"/>
          <w:sz w:val="21"/>
          <w:szCs w:val="21"/>
          <w:highlight w:val="none"/>
          <w:lang w:val="en-US" w:eastAsia="zh-CN"/>
        </w:rPr>
        <w:t>,如有</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（9）项目管理机构。</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（10）投标人认为有必要补充的其他内容。</w:t>
      </w:r>
      <w:r>
        <w:rPr>
          <w:rFonts w:hint="eastAsia" w:ascii="宋体" w:hAnsi="宋体" w:eastAsia="宋体" w:cs="宋体"/>
          <w:snapToGrid w:val="0"/>
          <w:color w:val="auto"/>
          <w:kern w:val="0"/>
          <w:sz w:val="21"/>
          <w:szCs w:val="21"/>
          <w:highlight w:val="none"/>
          <w:lang w:val="en-US" w:eastAsia="zh-CN"/>
        </w:rPr>
        <w:t>（例如对总包管理的认识以及对专业分包工程的管理、协调、配合、服务方案）。</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10.4.3</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10.4.2</w:t>
      </w:r>
      <w:r>
        <w:rPr>
          <w:rFonts w:hint="eastAsia" w:ascii="宋体" w:hAnsi="宋体" w:eastAsia="宋体" w:cs="宋体"/>
          <w:snapToGrid w:val="0"/>
          <w:color w:val="auto"/>
          <w:kern w:val="0"/>
          <w:sz w:val="21"/>
          <w:szCs w:val="21"/>
          <w:highlight w:val="none"/>
        </w:rPr>
        <w:t>目中所列出的施工组织设计组成内容中，第（1）至第（9）项所有投标人均应提供。</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10.4.4 施工组织设计的组成内容按本节第10.4.2目规定的顺序整理、编排后，逐页（页码起始从封面开始）连续标记页码，作成一个PDF格式电子文件。</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10.4.5 施工组织设计的正文不得超过</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hAnsi="宋体" w:cs="宋体"/>
          <w:snapToGrid w:val="0"/>
          <w:color w:val="auto"/>
          <w:kern w:val="0"/>
          <w:sz w:val="21"/>
          <w:szCs w:val="21"/>
          <w:highlight w:val="none"/>
          <w:u w:val="single"/>
          <w:lang w:val="en-US" w:eastAsia="zh-CN"/>
        </w:rPr>
        <w:t>20</w:t>
      </w:r>
      <w:r>
        <w:rPr>
          <w:rFonts w:hint="eastAsia" w:ascii="宋体" w:hAnsi="宋体" w:eastAsia="宋体" w:cs="宋体"/>
          <w:snapToGrid w:val="0"/>
          <w:color w:val="auto"/>
          <w:kern w:val="0"/>
          <w:sz w:val="21"/>
          <w:szCs w:val="21"/>
          <w:highlight w:val="none"/>
          <w:u w:val="single"/>
          <w:lang w:val="en-US" w:eastAsia="zh-CN"/>
        </w:rPr>
        <w:t>0 页</w:t>
      </w:r>
      <w:r>
        <w:rPr>
          <w:rFonts w:hint="eastAsia" w:ascii="宋体" w:hAnsi="宋体" w:eastAsia="宋体" w:cs="宋体"/>
          <w:snapToGrid w:val="0"/>
          <w:color w:val="auto"/>
          <w:kern w:val="0"/>
          <w:sz w:val="21"/>
          <w:szCs w:val="21"/>
          <w:highlight w:val="none"/>
          <w:lang w:val="en-US" w:eastAsia="zh-CN"/>
        </w:rPr>
        <w:t>。</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rPr>
          <w:rFonts w:hint="default" w:ascii="宋体" w:hAnsi="宋体" w:eastAsia="宋体" w:cs="宋体"/>
          <w:b/>
          <w:bCs/>
          <w:snapToGrid w:val="0"/>
          <w:color w:val="auto"/>
          <w:kern w:val="0"/>
          <w:sz w:val="21"/>
          <w:szCs w:val="21"/>
          <w:highlight w:val="none"/>
          <w:lang w:val="en-US" w:eastAsia="zh-CN"/>
        </w:rPr>
      </w:pPr>
      <w:bookmarkStart w:id="132" w:name="_Toc20579"/>
      <w:r>
        <w:rPr>
          <w:rFonts w:hint="eastAsia" w:ascii="宋体" w:hAnsi="宋体" w:eastAsia="宋体" w:cs="宋体"/>
          <w:b/>
          <w:bCs/>
          <w:snapToGrid w:val="0"/>
          <w:color w:val="auto"/>
          <w:kern w:val="0"/>
          <w:sz w:val="21"/>
          <w:szCs w:val="21"/>
          <w:highlight w:val="none"/>
          <w:lang w:val="en-US" w:eastAsia="zh-CN"/>
        </w:rPr>
        <w:t>10.5定标文件的编制要求：</w:t>
      </w:r>
      <w:r>
        <w:rPr>
          <w:rFonts w:hint="eastAsia" w:hAnsi="宋体" w:cs="宋体"/>
          <w:b/>
          <w:bCs/>
          <w:snapToGrid w:val="0"/>
          <w:color w:val="auto"/>
          <w:kern w:val="0"/>
          <w:sz w:val="21"/>
          <w:szCs w:val="21"/>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5.5</w:t>
      </w:r>
      <w:r>
        <w:rPr>
          <w:rFonts w:hint="eastAsia" w:ascii="宋体" w:hAnsi="宋体" w:eastAsia="宋体" w:cs="宋体"/>
          <w:snapToGrid w:val="0"/>
          <w:color w:val="auto"/>
          <w:kern w:val="0"/>
          <w:sz w:val="21"/>
          <w:szCs w:val="21"/>
          <w:highlight w:val="none"/>
        </w:rPr>
        <w:t xml:space="preserve">.1 </w:t>
      </w:r>
      <w:r>
        <w:rPr>
          <w:rFonts w:hint="eastAsia" w:ascii="宋体" w:hAnsi="宋体" w:eastAsia="宋体" w:cs="宋体"/>
          <w:snapToGrid w:val="0"/>
          <w:color w:val="auto"/>
          <w:kern w:val="0"/>
          <w:sz w:val="21"/>
          <w:szCs w:val="21"/>
          <w:highlight w:val="none"/>
          <w:lang w:val="en-US" w:eastAsia="zh-CN"/>
        </w:rPr>
        <w:t>定标文件</w:t>
      </w:r>
      <w:r>
        <w:rPr>
          <w:rFonts w:hint="eastAsia" w:ascii="宋体" w:hAnsi="宋体" w:eastAsia="宋体" w:cs="宋体"/>
          <w:snapToGrid w:val="0"/>
          <w:color w:val="auto"/>
          <w:kern w:val="0"/>
          <w:sz w:val="21"/>
          <w:szCs w:val="21"/>
          <w:highlight w:val="none"/>
        </w:rPr>
        <w:t>包括以下内容：</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定标因素评审资料（格式十</w:t>
      </w:r>
      <w:r>
        <w:rPr>
          <w:rFonts w:hint="eastAsia" w:hAnsi="宋体" w:cs="宋体"/>
          <w:snapToGrid w:val="0"/>
          <w:color w:val="auto"/>
          <w:kern w:val="0"/>
          <w:sz w:val="21"/>
          <w:szCs w:val="21"/>
          <w:highlight w:val="none"/>
          <w:lang w:val="en-US" w:eastAsia="zh-CN"/>
        </w:rPr>
        <w:t>五</w:t>
      </w:r>
      <w:r>
        <w:rPr>
          <w:rFonts w:hint="eastAsia" w:ascii="宋体" w:hAnsi="宋体" w:eastAsia="宋体" w:cs="宋体"/>
          <w:snapToGrid w:val="0"/>
          <w:color w:val="auto"/>
          <w:kern w:val="0"/>
          <w:sz w:val="21"/>
          <w:szCs w:val="21"/>
          <w:highlight w:val="none"/>
          <w:lang w:val="en-US" w:eastAsia="zh-CN"/>
        </w:rPr>
        <w:t>）</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outlineLvl w:val="9"/>
        <w:rPr>
          <w:rFonts w:hint="eastAsia" w:ascii="宋体" w:hAnsi="宋体" w:eastAsia="宋体" w:cs="宋体"/>
          <w:b/>
          <w:snapToGrid w:val="0"/>
          <w:color w:val="auto"/>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 xml:space="preserve"> 本节第1</w:t>
      </w:r>
      <w:r>
        <w:rPr>
          <w:rFonts w:hint="eastAsia" w:ascii="宋体" w:hAnsi="宋体" w:eastAsia="宋体" w:cs="宋体"/>
          <w:snapToGrid w:val="0"/>
          <w:color w:val="auto"/>
          <w:kern w:val="0"/>
          <w:sz w:val="21"/>
          <w:szCs w:val="21"/>
          <w:highlight w:val="none"/>
          <w:lang w:val="en-US" w:eastAsia="zh-CN"/>
        </w:rPr>
        <w:t>5.5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目中所列出的组成内容中，第第（1）至第（</w:t>
      </w:r>
      <w:r>
        <w:rPr>
          <w:rFonts w:hint="eastAsia"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）项所有投标人均应提供。</w:t>
      </w:r>
      <w:bookmarkEnd w:id="132"/>
      <w:bookmarkStart w:id="133" w:name="_Toc28481"/>
      <w:bookmarkStart w:id="134" w:name="_Toc10737"/>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outlineLvl w:val="1"/>
        <w:rPr>
          <w:rFonts w:hint="eastAsia" w:ascii="宋体" w:hAnsi="宋体" w:eastAsia="宋体" w:cs="宋体"/>
          <w:b/>
          <w:snapToGrid w:val="0"/>
          <w:color w:val="auto"/>
          <w:sz w:val="21"/>
          <w:szCs w:val="21"/>
          <w:highlight w:val="none"/>
        </w:rPr>
      </w:pPr>
      <w:bookmarkStart w:id="135" w:name="_Toc20225"/>
      <w:r>
        <w:rPr>
          <w:rFonts w:hint="eastAsia" w:ascii="宋体" w:hAnsi="宋体" w:eastAsia="宋体" w:cs="宋体"/>
          <w:b/>
          <w:snapToGrid w:val="0"/>
          <w:color w:val="auto"/>
          <w:sz w:val="21"/>
          <w:szCs w:val="21"/>
          <w:highlight w:val="none"/>
        </w:rPr>
        <w:t>11.电子投标</w:t>
      </w:r>
      <w:bookmarkEnd w:id="133"/>
      <w:bookmarkEnd w:id="134"/>
      <w:bookmarkEnd w:id="135"/>
    </w:p>
    <w:p>
      <w:pPr>
        <w:keepNext w:val="0"/>
        <w:keepLines w:val="0"/>
        <w:pageBreakBefore w:val="0"/>
        <w:widowControl w:val="0"/>
        <w:overflowPunct/>
        <w:topLinePunct w:val="0"/>
        <w:bidi w:val="0"/>
        <w:adjustRightInd/>
        <w:snapToGrid/>
        <w:spacing w:line="400" w:lineRule="exact"/>
        <w:ind w:left="0" w:leftChars="0" w:right="0" w:rightChars="0" w:firstLine="409" w:firstLineChars="200"/>
        <w:jc w:val="both"/>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3"/>
          <w:sz w:val="21"/>
          <w:szCs w:val="21"/>
          <w:highlight w:val="none"/>
        </w:rPr>
        <w:t xml:space="preserve">11.1 </w:t>
      </w:r>
      <w:r>
        <w:rPr>
          <w:rFonts w:hint="eastAsia" w:ascii="宋体" w:hAnsi="宋体" w:eastAsia="宋体" w:cs="宋体"/>
          <w:color w:val="auto"/>
          <w:spacing w:val="-2"/>
          <w:sz w:val="21"/>
          <w:szCs w:val="21"/>
          <w:highlight w:val="none"/>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pPr>
        <w:keepNext w:val="0"/>
        <w:keepLines w:val="0"/>
        <w:pageBreakBefore w:val="0"/>
        <w:widowControl w:val="0"/>
        <w:kinsoku/>
        <w:wordWrap w:val="0"/>
        <w:overflowPunct/>
        <w:topLinePunct w:val="0"/>
        <w:autoSpaceDE/>
        <w:autoSpaceDN/>
        <w:bidi w:val="0"/>
        <w:adjustRightInd/>
        <w:snapToGrid/>
        <w:spacing w:line="400" w:lineRule="exact"/>
        <w:ind w:firstLine="413" w:firstLineChars="200"/>
        <w:rPr>
          <w:rFonts w:hint="eastAsia"/>
          <w:color w:val="auto"/>
          <w:highlight w:val="none"/>
        </w:rPr>
      </w:pPr>
      <w:r>
        <w:rPr>
          <w:rFonts w:hint="eastAsia" w:ascii="宋体" w:hAnsi="宋体" w:eastAsia="宋体" w:cs="宋体"/>
          <w:b/>
          <w:bCs/>
          <w:color w:val="auto"/>
          <w:spacing w:val="-2"/>
          <w:sz w:val="21"/>
          <w:szCs w:val="21"/>
          <w:highlight w:val="none"/>
        </w:rPr>
        <w:t>11.2</w:t>
      </w:r>
      <w:r>
        <w:rPr>
          <w:rFonts w:hint="eastAsia" w:ascii="宋体" w:hAnsi="宋体" w:eastAsia="宋体" w:cs="宋体"/>
          <w:color w:val="auto"/>
          <w:spacing w:val="-2"/>
          <w:sz w:val="21"/>
          <w:szCs w:val="21"/>
          <w:highlight w:val="none"/>
        </w:rPr>
        <w:t xml:space="preserve"> 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r>
        <w:rPr>
          <w:rFonts w:hint="eastAsia" w:ascii="宋体" w:hAnsi="宋体" w:eastAsia="宋体" w:cs="宋体"/>
          <w:bCs/>
          <w:snapToGrid w:val="0"/>
          <w:color w:val="auto"/>
          <w:sz w:val="21"/>
          <w:szCs w:val="21"/>
          <w:highlight w:val="none"/>
        </w:rPr>
        <w:t>。</w:t>
      </w:r>
    </w:p>
    <w:p>
      <w:pPr>
        <w:keepNext w:val="0"/>
        <w:keepLines w:val="0"/>
        <w:pageBreakBefore w:val="0"/>
        <w:widowControl w:val="0"/>
        <w:kinsoku/>
        <w:wordWrap w:val="0"/>
        <w:overflowPunct/>
        <w:topLinePunct w:val="0"/>
        <w:autoSpaceDE/>
        <w:autoSpaceDN/>
        <w:bidi w:val="0"/>
        <w:adjustRightInd/>
        <w:snapToGrid/>
        <w:spacing w:line="400" w:lineRule="exact"/>
        <w:ind w:firstLine="421" w:firstLineChars="200"/>
        <w:textAlignment w:val="baseline"/>
        <w:outlineLvl w:val="1"/>
        <w:rPr>
          <w:rFonts w:hint="eastAsia" w:ascii="宋体" w:hAnsi="宋体" w:eastAsia="宋体" w:cs="宋体"/>
          <w:b/>
          <w:bCs/>
          <w:snapToGrid w:val="0"/>
          <w:color w:val="auto"/>
          <w:kern w:val="0"/>
          <w:sz w:val="21"/>
          <w:szCs w:val="21"/>
          <w:highlight w:val="none"/>
        </w:rPr>
      </w:pPr>
      <w:bookmarkStart w:id="136" w:name="_Toc17508"/>
      <w:bookmarkStart w:id="137" w:name="_Toc16372"/>
      <w:bookmarkStart w:id="138" w:name="_Toc9737"/>
      <w:bookmarkStart w:id="139" w:name="_Toc9469"/>
      <w:r>
        <w:rPr>
          <w:rFonts w:hint="eastAsia" w:ascii="宋体" w:hAnsi="宋体" w:eastAsia="宋体" w:cs="宋体"/>
          <w:b/>
          <w:bCs/>
          <w:snapToGrid w:val="0"/>
          <w:color w:val="auto"/>
          <w:kern w:val="0"/>
          <w:sz w:val="21"/>
          <w:szCs w:val="21"/>
          <w:highlight w:val="none"/>
        </w:rPr>
        <w:t>12.电子投标及投标解密失败及突发情况的补救方案</w:t>
      </w:r>
      <w:bookmarkEnd w:id="136"/>
      <w:bookmarkEnd w:id="137"/>
      <w:bookmarkEnd w:id="138"/>
      <w:bookmarkEnd w:id="139"/>
    </w:p>
    <w:p>
      <w:pPr>
        <w:keepNext w:val="0"/>
        <w:keepLines w:val="0"/>
        <w:pageBreakBefore w:val="0"/>
        <w:widowControl w:val="0"/>
        <w:overflowPunct/>
        <w:topLinePunct w:val="0"/>
        <w:bidi w:val="0"/>
        <w:adjustRightInd/>
        <w:snapToGrid/>
        <w:spacing w:line="320" w:lineRule="exact"/>
        <w:ind w:left="0" w:leftChars="0" w:right="0" w:rightChars="0" w:firstLine="413" w:firstLineChars="200"/>
        <w:jc w:val="both"/>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12.1</w:t>
      </w:r>
      <w:r>
        <w:rPr>
          <w:rFonts w:hint="eastAsia" w:ascii="宋体" w:hAnsi="宋体" w:eastAsia="宋体" w:cs="宋体"/>
          <w:color w:val="auto"/>
          <w:spacing w:val="-2"/>
          <w:sz w:val="21"/>
          <w:szCs w:val="21"/>
          <w:highlight w:val="none"/>
        </w:rPr>
        <w:t xml:space="preserve"> 按照交易平台关于全流程电子化项目的相关指南进行</w:t>
      </w:r>
      <w:r>
        <w:rPr>
          <w:rFonts w:hint="eastAsia" w:ascii="宋体" w:hAnsi="宋体" w:eastAsia="宋体" w:cs="宋体"/>
          <w:color w:val="auto"/>
          <w:sz w:val="21"/>
          <w:szCs w:val="21"/>
          <w:highlight w:val="none"/>
        </w:rPr>
        <w:t>操作。详见：全国公共</w:t>
      </w:r>
      <w:bookmarkStart w:id="140" w:name="bookmark122"/>
      <w:bookmarkEnd w:id="140"/>
      <w:r>
        <w:rPr>
          <w:rFonts w:hint="eastAsia" w:ascii="宋体" w:hAnsi="宋体" w:eastAsia="宋体" w:cs="宋体"/>
          <w:color w:val="auto"/>
          <w:sz w:val="21"/>
          <w:szCs w:val="21"/>
          <w:highlight w:val="none"/>
        </w:rPr>
        <w:t>资源交易平台（广东</w:t>
      </w:r>
      <w:r>
        <w:rPr>
          <w:rFonts w:hint="eastAsia" w:ascii="宋体" w:hAnsi="宋体" w:eastAsia="宋体" w:cs="宋体"/>
          <w:color w:val="auto"/>
          <w:spacing w:val="-2"/>
          <w:sz w:val="21"/>
          <w:szCs w:val="21"/>
          <w:highlight w:val="none"/>
        </w:rPr>
        <w:t>省·韶关市）（https://ygp.gdzwfw.gov.cn/ggzy-portal/#/440200/index）服务指南栏目发布的最新版操作指引。</w:t>
      </w:r>
    </w:p>
    <w:p>
      <w:pPr>
        <w:keepNext w:val="0"/>
        <w:keepLines w:val="0"/>
        <w:pageBreakBefore w:val="0"/>
        <w:widowControl w:val="0"/>
        <w:overflowPunct/>
        <w:topLinePunct w:val="0"/>
        <w:bidi w:val="0"/>
        <w:adjustRightInd/>
        <w:snapToGrid/>
        <w:spacing w:line="400" w:lineRule="exact"/>
        <w:ind w:left="0" w:leftChars="0" w:right="0" w:rightChars="0" w:firstLine="413"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12.2 </w:t>
      </w:r>
      <w:r>
        <w:rPr>
          <w:rFonts w:hint="eastAsia" w:ascii="宋体" w:hAnsi="宋体" w:eastAsia="宋体" w:cs="宋体"/>
          <w:color w:val="auto"/>
          <w:spacing w:val="-2"/>
          <w:sz w:val="21"/>
          <w:szCs w:val="21"/>
          <w:highlight w:val="none"/>
        </w:rPr>
        <w:t>补救方案：</w:t>
      </w:r>
    </w:p>
    <w:p>
      <w:pPr>
        <w:keepNext w:val="0"/>
        <w:keepLines w:val="0"/>
        <w:pageBreakBefore w:val="0"/>
        <w:widowControl w:val="0"/>
        <w:overflowPunct/>
        <w:topLinePunct w:val="0"/>
        <w:bidi w:val="0"/>
        <w:adjustRightInd/>
        <w:snapToGrid/>
        <w:spacing w:line="400" w:lineRule="exact"/>
        <w:ind w:left="0" w:leftChars="0" w:right="0" w:rightChars="0" w:firstLine="417"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12.2.1 </w:t>
      </w:r>
      <w:r>
        <w:rPr>
          <w:rFonts w:hint="eastAsia" w:ascii="宋体" w:hAnsi="宋体" w:eastAsia="宋体" w:cs="宋体"/>
          <w:color w:val="auto"/>
          <w:spacing w:val="-1"/>
          <w:sz w:val="21"/>
          <w:szCs w:val="21"/>
          <w:highlight w:val="none"/>
        </w:rPr>
        <w:t>投标文件解密失败的补救方案：</w:t>
      </w:r>
    </w:p>
    <w:p>
      <w:pPr>
        <w:keepNext w:val="0"/>
        <w:keepLines w:val="0"/>
        <w:pageBreakBefore w:val="0"/>
        <w:widowControl w:val="0"/>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分钟内）内重新提交投标文件继续开标程序。</w:t>
      </w:r>
    </w:p>
    <w:p>
      <w:pPr>
        <w:keepNext w:val="0"/>
        <w:keepLines w:val="0"/>
        <w:pageBreakBefore w:val="0"/>
        <w:widowControl w:val="0"/>
        <w:overflowPunct/>
        <w:topLinePunct w:val="0"/>
        <w:bidi w:val="0"/>
        <w:adjustRightInd/>
        <w:snapToGrid/>
        <w:spacing w:line="400" w:lineRule="exact"/>
        <w:ind w:left="0" w:leftChars="0" w:right="0" w:rightChars="0" w:firstLine="417"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12.2.2 </w:t>
      </w:r>
      <w:r>
        <w:rPr>
          <w:rFonts w:hint="eastAsia" w:ascii="宋体" w:hAnsi="宋体" w:eastAsia="宋体" w:cs="宋体"/>
          <w:color w:val="auto"/>
          <w:spacing w:val="-1"/>
          <w:sz w:val="21"/>
          <w:szCs w:val="21"/>
          <w:highlight w:val="none"/>
        </w:rPr>
        <w:t>评标时突发情况的补救方案</w:t>
      </w:r>
    </w:p>
    <w:p>
      <w:pPr>
        <w:keepNext w:val="0"/>
        <w:keepLines w:val="0"/>
        <w:pageBreakBefore w:val="0"/>
        <w:widowControl w:val="0"/>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pPr>
        <w:keepNext w:val="0"/>
        <w:keepLines w:val="0"/>
        <w:pageBreakBefore w:val="0"/>
        <w:widowControl w:val="0"/>
        <w:overflowPunct/>
        <w:topLinePunct w:val="0"/>
        <w:bidi w:val="0"/>
        <w:adjustRightInd/>
        <w:snapToGrid/>
        <w:spacing w:line="400" w:lineRule="exact"/>
        <w:ind w:left="0" w:leftChars="0" w:right="0" w:rightChars="0" w:firstLine="208" w:firstLineChars="100"/>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1"/>
          <w:sz w:val="21"/>
          <w:szCs w:val="21"/>
          <w:highlight w:val="none"/>
        </w:rPr>
        <w:t xml:space="preserve">12.2.3 </w:t>
      </w:r>
      <w:r>
        <w:rPr>
          <w:rFonts w:hint="eastAsia" w:ascii="宋体" w:hAnsi="宋体" w:eastAsia="宋体" w:cs="宋体"/>
          <w:color w:val="auto"/>
          <w:spacing w:val="-1"/>
          <w:sz w:val="21"/>
          <w:szCs w:val="21"/>
          <w:highlight w:val="none"/>
        </w:rPr>
        <w:t>除发生上述情况外，开标评标均以投标人（</w:t>
      </w:r>
      <w:r>
        <w:rPr>
          <w:rFonts w:hint="eastAsia" w:ascii="宋体" w:hAnsi="宋体" w:eastAsia="宋体" w:cs="宋体"/>
          <w:color w:val="auto"/>
          <w:spacing w:val="-2"/>
          <w:sz w:val="21"/>
          <w:szCs w:val="21"/>
          <w:highlight w:val="none"/>
        </w:rPr>
        <w:t>联合体投标的，由联合体牵头</w:t>
      </w:r>
      <w:r>
        <w:rPr>
          <w:rFonts w:hint="eastAsia" w:ascii="宋体" w:hAnsi="宋体" w:eastAsia="宋体" w:cs="宋体"/>
          <w:color w:val="auto"/>
          <w:spacing w:val="-1"/>
          <w:sz w:val="21"/>
          <w:szCs w:val="21"/>
          <w:highlight w:val="none"/>
        </w:rPr>
        <w:t>人）通过交易平台网上递交的电子投标文件为准。</w:t>
      </w:r>
    </w:p>
    <w:p>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bCs/>
          <w:snapToGrid w:val="0"/>
          <w:color w:val="auto"/>
          <w:sz w:val="21"/>
          <w:szCs w:val="21"/>
          <w:highlight w:val="none"/>
        </w:rPr>
      </w:pPr>
    </w:p>
    <w:p>
      <w:pPr>
        <w:keepNext w:val="0"/>
        <w:keepLines w:val="0"/>
        <w:pageBreakBefore w:val="0"/>
        <w:widowControl w:val="0"/>
        <w:kinsoku/>
        <w:overflowPunct/>
        <w:topLinePunct w:val="0"/>
        <w:autoSpaceDE/>
        <w:autoSpaceDN/>
        <w:bidi w:val="0"/>
        <w:adjustRightInd/>
        <w:snapToGrid/>
        <w:spacing w:line="400" w:lineRule="exact"/>
        <w:ind w:firstLine="421" w:firstLineChars="200"/>
        <w:textAlignment w:val="baseline"/>
        <w:outlineLvl w:val="1"/>
        <w:rPr>
          <w:rFonts w:hint="eastAsia" w:ascii="宋体" w:hAnsi="宋体" w:eastAsia="宋体" w:cs="宋体"/>
          <w:b/>
          <w:bCs/>
          <w:snapToGrid w:val="0"/>
          <w:color w:val="auto"/>
          <w:kern w:val="0"/>
          <w:sz w:val="21"/>
          <w:szCs w:val="21"/>
          <w:highlight w:val="none"/>
        </w:rPr>
      </w:pPr>
      <w:bookmarkStart w:id="141" w:name="_Toc12525"/>
      <w:bookmarkStart w:id="142" w:name="_Toc25934"/>
      <w:bookmarkStart w:id="143" w:name="_Toc12382"/>
      <w:bookmarkStart w:id="144" w:name="_Toc17532"/>
      <w:r>
        <w:rPr>
          <w:rFonts w:hint="eastAsia" w:ascii="宋体" w:hAnsi="宋体" w:eastAsia="宋体" w:cs="宋体"/>
          <w:b/>
          <w:bCs/>
          <w:snapToGrid w:val="0"/>
          <w:color w:val="auto"/>
          <w:kern w:val="0"/>
          <w:sz w:val="21"/>
          <w:szCs w:val="21"/>
          <w:highlight w:val="none"/>
        </w:rPr>
        <w:t>13．</w:t>
      </w:r>
      <w:bookmarkEnd w:id="141"/>
      <w:r>
        <w:rPr>
          <w:rFonts w:hint="eastAsia" w:ascii="宋体" w:hAnsi="宋体" w:eastAsia="宋体" w:cs="宋体"/>
          <w:b/>
          <w:bCs/>
          <w:snapToGrid w:val="0"/>
          <w:color w:val="auto"/>
          <w:kern w:val="0"/>
          <w:sz w:val="21"/>
          <w:szCs w:val="21"/>
          <w:highlight w:val="none"/>
        </w:rPr>
        <w:t>投标文件的提交</w:t>
      </w:r>
      <w:bookmarkEnd w:id="142"/>
      <w:bookmarkEnd w:id="143"/>
      <w:bookmarkEnd w:id="144"/>
    </w:p>
    <w:p>
      <w:pPr>
        <w:keepNext w:val="0"/>
        <w:keepLines w:val="0"/>
        <w:pageBreakBefore w:val="0"/>
        <w:widowControl w:val="0"/>
        <w:wordWrap/>
        <w:overflowPunct/>
        <w:topLinePunct w:val="0"/>
        <w:bidi w:val="0"/>
        <w:adjustRightInd/>
        <w:snapToGrid/>
        <w:spacing w:line="400" w:lineRule="exact"/>
        <w:ind w:left="0" w:leftChars="0" w:right="0" w:rightChars="0" w:firstLine="421" w:firstLineChars="20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b/>
          <w:bCs/>
          <w:color w:val="auto"/>
          <w:spacing w:val="0"/>
          <w:sz w:val="21"/>
          <w:szCs w:val="21"/>
          <w:highlight w:val="none"/>
        </w:rPr>
        <w:t xml:space="preserve">13.1 </w:t>
      </w:r>
      <w:r>
        <w:rPr>
          <w:rFonts w:hint="eastAsia" w:ascii="宋体" w:hAnsi="宋体" w:eastAsia="宋体" w:cs="宋体"/>
          <w:color w:val="auto"/>
          <w:spacing w:val="0"/>
          <w:sz w:val="21"/>
          <w:szCs w:val="21"/>
          <w:highlight w:val="none"/>
        </w:rPr>
        <w:t>在投标文件提交截止时间前，投标人通过全国公共资源交易平台（广东省·韶关市）提交已加密投标文件。逾期提交的电子投标文件，全国公共资源交易平台（广东省·韶关市）将予以拒收。</w:t>
      </w:r>
    </w:p>
    <w:p>
      <w:pPr>
        <w:keepNext w:val="0"/>
        <w:keepLines w:val="0"/>
        <w:pageBreakBefore w:val="0"/>
        <w:widowControl w:val="0"/>
        <w:wordWrap/>
        <w:overflowPunct/>
        <w:topLinePunct w:val="0"/>
        <w:bidi w:val="0"/>
        <w:adjustRightInd/>
        <w:snapToGrid/>
        <w:spacing w:line="400" w:lineRule="exact"/>
        <w:ind w:left="0" w:leftChars="0" w:right="0" w:rightChars="0" w:firstLine="429" w:firstLineChars="200"/>
        <w:jc w:val="both"/>
        <w:textAlignment w:val="baseline"/>
        <w:rPr>
          <w:rFonts w:hint="eastAsia" w:ascii="宋体" w:hAnsi="宋体" w:eastAsia="宋体" w:cs="宋体"/>
          <w:color w:val="auto"/>
          <w:spacing w:val="-2"/>
          <w:sz w:val="21"/>
          <w:szCs w:val="21"/>
          <w:highlight w:val="none"/>
          <w:lang w:eastAsia="zh-CN"/>
        </w:rPr>
      </w:pPr>
      <w:r>
        <w:rPr>
          <w:rFonts w:hint="eastAsia" w:ascii="宋体" w:hAnsi="宋体" w:eastAsia="宋体" w:cs="宋体"/>
          <w:b/>
          <w:bCs/>
          <w:color w:val="auto"/>
          <w:spacing w:val="2"/>
          <w:sz w:val="21"/>
          <w:szCs w:val="21"/>
          <w:highlight w:val="none"/>
        </w:rPr>
        <w:t xml:space="preserve">13.2 </w:t>
      </w:r>
      <w:r>
        <w:rPr>
          <w:rFonts w:hint="eastAsia" w:ascii="宋体" w:hAnsi="宋体" w:eastAsia="宋体" w:cs="宋体"/>
          <w:color w:val="auto"/>
          <w:spacing w:val="-2"/>
          <w:sz w:val="21"/>
          <w:szCs w:val="21"/>
          <w:highlight w:val="none"/>
        </w:rPr>
        <w:t>提交时间和地点：见本章第二节“重要事项时间地点一览表”</w:t>
      </w:r>
      <w:r>
        <w:rPr>
          <w:rFonts w:hint="eastAsia" w:ascii="宋体" w:hAnsi="宋体" w:eastAsia="宋体" w:cs="宋体"/>
          <w:color w:val="auto"/>
          <w:spacing w:val="-2"/>
          <w:sz w:val="21"/>
          <w:szCs w:val="21"/>
          <w:highlight w:val="none"/>
          <w:lang w:eastAsia="zh-CN"/>
        </w:rPr>
        <w:t>。</w:t>
      </w:r>
    </w:p>
    <w:p>
      <w:pPr>
        <w:keepNext w:val="0"/>
        <w:keepLines w:val="0"/>
        <w:pageBreakBefore w:val="0"/>
        <w:widowControl w:val="0"/>
        <w:wordWrap/>
        <w:overflowPunct/>
        <w:topLinePunct w:val="0"/>
        <w:bidi w:val="0"/>
        <w:adjustRightInd/>
        <w:snapToGrid/>
        <w:spacing w:line="400" w:lineRule="exact"/>
        <w:ind w:left="0" w:leftChars="0" w:right="0" w:rightChars="0" w:firstLine="417"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1"/>
          <w:sz w:val="21"/>
          <w:szCs w:val="21"/>
          <w:highlight w:val="none"/>
        </w:rPr>
        <w:t xml:space="preserve">13.3 </w:t>
      </w:r>
      <w:r>
        <w:rPr>
          <w:rFonts w:hint="eastAsia" w:ascii="宋体" w:hAnsi="宋体" w:eastAsia="宋体" w:cs="宋体"/>
          <w:color w:val="auto"/>
          <w:spacing w:val="-2"/>
          <w:sz w:val="21"/>
          <w:szCs w:val="21"/>
          <w:highlight w:val="none"/>
        </w:rPr>
        <w:t>递交时间和地点：投标人如有招标文件要求提交的用于评审的证书、证件、证明原件（附一式两份清单），由投标人法定代表人或其委托代理人在指定的时间和地点递交（见“重要事项时间地点一览表”）。</w:t>
      </w:r>
    </w:p>
    <w:p>
      <w:pPr>
        <w:keepNext w:val="0"/>
        <w:keepLines w:val="0"/>
        <w:pageBreakBefore w:val="0"/>
        <w:widowControl w:val="0"/>
        <w:wordWrap/>
        <w:overflowPunct/>
        <w:topLinePunct w:val="0"/>
        <w:bidi w:val="0"/>
        <w:adjustRightInd/>
        <w:snapToGrid/>
        <w:spacing w:line="400" w:lineRule="exact"/>
        <w:ind w:left="0" w:leftChars="0" w:right="0" w:rightChars="0" w:firstLine="417"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13.4 </w:t>
      </w:r>
      <w:r>
        <w:rPr>
          <w:rFonts w:hint="eastAsia" w:ascii="宋体" w:hAnsi="宋体" w:eastAsia="宋体" w:cs="宋体"/>
          <w:color w:val="auto"/>
          <w:spacing w:val="-1"/>
          <w:sz w:val="21"/>
          <w:szCs w:val="21"/>
          <w:highlight w:val="none"/>
        </w:rPr>
        <w:t>代理机构对因不可抗力事件造成的投标文件的损坏、丢失的，不承担责任</w:t>
      </w:r>
      <w:r>
        <w:rPr>
          <w:rFonts w:hint="eastAsia" w:ascii="宋体" w:hAnsi="宋体" w:eastAsia="宋体" w:cs="宋体"/>
          <w:color w:val="auto"/>
          <w:spacing w:val="-2"/>
          <w:sz w:val="21"/>
          <w:szCs w:val="21"/>
          <w:highlight w:val="none"/>
        </w:rPr>
        <w:t>。</w:t>
      </w:r>
    </w:p>
    <w:p>
      <w:pPr>
        <w:keepNext w:val="0"/>
        <w:keepLines w:val="0"/>
        <w:pageBreakBefore w:val="0"/>
        <w:widowControl w:val="0"/>
        <w:wordWrap/>
        <w:overflowPunct/>
        <w:topLinePunct w:val="0"/>
        <w:bidi w:val="0"/>
        <w:adjustRightInd/>
        <w:snapToGrid/>
        <w:spacing w:line="400" w:lineRule="exact"/>
        <w:ind w:left="0" w:leftChars="0" w:right="0" w:rightChars="0" w:firstLine="417"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1"/>
          <w:sz w:val="21"/>
          <w:szCs w:val="21"/>
          <w:highlight w:val="none"/>
        </w:rPr>
        <w:t>13.5</w:t>
      </w:r>
      <w:r>
        <w:rPr>
          <w:rFonts w:hint="eastAsia" w:ascii="宋体" w:hAnsi="宋体" w:eastAsia="宋体" w:cs="宋体"/>
          <w:b/>
          <w:bCs/>
          <w:color w:val="auto"/>
          <w:spacing w:val="15"/>
          <w:sz w:val="21"/>
          <w:szCs w:val="21"/>
          <w:highlight w:val="none"/>
        </w:rPr>
        <w:t xml:space="preserve"> </w:t>
      </w:r>
      <w:r>
        <w:rPr>
          <w:rFonts w:hint="eastAsia" w:ascii="宋体" w:hAnsi="宋体" w:eastAsia="宋体" w:cs="宋体"/>
          <w:color w:val="auto"/>
          <w:spacing w:val="-2"/>
          <w:sz w:val="21"/>
          <w:szCs w:val="21"/>
          <w:highlight w:val="none"/>
        </w:rPr>
        <w:t>出现下述情形之一，属于未成功提交投标文件，按无效投标处理：</w:t>
      </w:r>
    </w:p>
    <w:p>
      <w:pPr>
        <w:keepNext w:val="0"/>
        <w:keepLines w:val="0"/>
        <w:pageBreakBefore w:val="0"/>
        <w:widowControl w:val="0"/>
        <w:wordWrap/>
        <w:overflowPunct/>
        <w:topLinePunct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（1）至提交投标文件截止时，投标文件未完整上传及提交标书；</w:t>
      </w:r>
    </w:p>
    <w:p>
      <w:pPr>
        <w:keepNext w:val="0"/>
        <w:keepLines w:val="0"/>
        <w:pageBreakBefore w:val="0"/>
        <w:widowControl w:val="0"/>
        <w:wordWrap/>
        <w:overflowPunct/>
        <w:topLinePunct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（2）解密失败且在规定时间内未重新提交投标文件的；</w:t>
      </w:r>
    </w:p>
    <w:p>
      <w:pPr>
        <w:keepNext w:val="0"/>
        <w:keepLines w:val="0"/>
        <w:pageBreakBefore w:val="0"/>
        <w:widowControl w:val="0"/>
        <w:wordWrap/>
        <w:overflowPunct/>
        <w:topLinePunct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（3）投标文件损坏或格式不正确的；</w:t>
      </w:r>
    </w:p>
    <w:p>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7" w:firstLineChars="200"/>
        <w:jc w:val="both"/>
        <w:textAlignment w:val="baseline"/>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1"/>
          <w:sz w:val="21"/>
          <w:szCs w:val="21"/>
          <w:highlight w:val="none"/>
        </w:rPr>
        <w:t xml:space="preserve">13.6 </w:t>
      </w:r>
      <w:r>
        <w:rPr>
          <w:rFonts w:hint="eastAsia" w:ascii="宋体" w:hAnsi="宋体" w:eastAsia="宋体" w:cs="宋体"/>
          <w:color w:val="auto"/>
          <w:spacing w:val="-1"/>
          <w:sz w:val="21"/>
          <w:szCs w:val="21"/>
          <w:highlight w:val="none"/>
        </w:rPr>
        <w:t>联合体投标的，由联合体牵头人按以上要求递交相关资料。</w:t>
      </w:r>
    </w:p>
    <w:p>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3"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13.7 </w:t>
      </w:r>
      <w:r>
        <w:rPr>
          <w:rFonts w:hint="eastAsia" w:ascii="宋体" w:hAnsi="宋体" w:eastAsia="宋体" w:cs="宋体"/>
          <w:color w:val="auto"/>
          <w:spacing w:val="-2"/>
          <w:sz w:val="21"/>
          <w:szCs w:val="21"/>
          <w:highlight w:val="none"/>
        </w:rPr>
        <w:t>招标人或其授权的招标代理机构核对、接收投标人递交的投标相关资料后</w:t>
      </w:r>
      <w:r>
        <w:rPr>
          <w:rFonts w:hint="eastAsia" w:ascii="宋体" w:hAnsi="宋体" w:eastAsia="宋体" w:cs="宋体"/>
          <w:color w:val="auto"/>
          <w:spacing w:val="-2"/>
          <w:sz w:val="21"/>
          <w:szCs w:val="21"/>
          <w:highlight w:val="none"/>
          <w:lang w:eastAsia="zh-CN"/>
        </w:rPr>
        <w:t>，</w:t>
      </w:r>
      <w:bookmarkStart w:id="145" w:name="bookmark123"/>
      <w:bookmarkEnd w:id="145"/>
      <w:r>
        <w:rPr>
          <w:rFonts w:hint="eastAsia" w:ascii="宋体" w:hAnsi="宋体" w:eastAsia="宋体" w:cs="宋体"/>
          <w:color w:val="auto"/>
          <w:spacing w:val="-1"/>
          <w:sz w:val="21"/>
          <w:szCs w:val="21"/>
          <w:highlight w:val="none"/>
        </w:rPr>
        <w:t>应向投标人出具标明签收人和签收时间的凭证，并妥善保管。</w:t>
      </w:r>
    </w:p>
    <w:p>
      <w:pPr>
        <w:keepNext w:val="0"/>
        <w:keepLines w:val="0"/>
        <w:pageBreakBefore w:val="0"/>
        <w:widowControl w:val="0"/>
        <w:wordWrap/>
        <w:overflowPunct/>
        <w:topLinePunct w:val="0"/>
        <w:bidi w:val="0"/>
        <w:adjustRightInd/>
        <w:snapToGrid/>
        <w:spacing w:line="400" w:lineRule="exact"/>
        <w:ind w:firstLine="421"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13.8 </w:t>
      </w:r>
      <w:r>
        <w:rPr>
          <w:rFonts w:hint="eastAsia" w:ascii="宋体" w:hAnsi="宋体" w:eastAsia="宋体" w:cs="宋体"/>
          <w:color w:val="auto"/>
          <w:sz w:val="21"/>
          <w:szCs w:val="21"/>
          <w:highlight w:val="none"/>
        </w:rPr>
        <w:t>本次招标投标有效期为</w:t>
      </w:r>
      <w:r>
        <w:rPr>
          <w:rFonts w:hint="eastAsia" w:ascii="宋体" w:hAnsi="宋体" w:eastAsia="宋体" w:cs="宋体"/>
          <w:color w:val="auto"/>
          <w:sz w:val="21"/>
          <w:szCs w:val="21"/>
          <w:highlight w:val="none"/>
          <w:u w:val="single" w:color="auto"/>
          <w:lang w:val="en-US" w:eastAsia="zh-CN"/>
        </w:rPr>
        <w:t>90</w:t>
      </w:r>
      <w:r>
        <w:rPr>
          <w:rFonts w:hint="eastAsia" w:ascii="宋体" w:hAnsi="宋体" w:eastAsia="宋体" w:cs="宋体"/>
          <w:color w:val="auto"/>
          <w:sz w:val="21"/>
          <w:szCs w:val="21"/>
          <w:highlight w:val="none"/>
        </w:rPr>
        <w:t>个日历天，投标有效期从提交投</w:t>
      </w:r>
      <w:r>
        <w:rPr>
          <w:rFonts w:hint="eastAsia" w:ascii="宋体" w:hAnsi="宋体" w:eastAsia="宋体" w:cs="宋体"/>
          <w:color w:val="auto"/>
          <w:spacing w:val="-1"/>
          <w:sz w:val="21"/>
          <w:szCs w:val="21"/>
          <w:highlight w:val="none"/>
        </w:rPr>
        <w:t>标文件的截止之日起计算</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在此期间，投标人不得撤销或修改其投标文件，否</w:t>
      </w:r>
      <w:r>
        <w:rPr>
          <w:rFonts w:hint="eastAsia" w:ascii="宋体" w:hAnsi="宋体" w:eastAsia="宋体" w:cs="宋体"/>
          <w:color w:val="auto"/>
          <w:spacing w:val="-2"/>
          <w:sz w:val="21"/>
          <w:szCs w:val="21"/>
          <w:highlight w:val="none"/>
        </w:rPr>
        <w:t>则其投标保证不予退</w:t>
      </w:r>
      <w:r>
        <w:rPr>
          <w:rFonts w:hint="eastAsia" w:ascii="宋体" w:hAnsi="宋体" w:eastAsia="宋体" w:cs="宋体"/>
          <w:color w:val="auto"/>
          <w:spacing w:val="-5"/>
          <w:sz w:val="21"/>
          <w:szCs w:val="21"/>
          <w:highlight w:val="none"/>
        </w:rPr>
        <w:t>还</w:t>
      </w:r>
      <w:r>
        <w:rPr>
          <w:rFonts w:hint="eastAsia" w:ascii="宋体" w:hAnsi="宋体" w:eastAsia="宋体" w:cs="宋体"/>
          <w:color w:val="auto"/>
          <w:sz w:val="21"/>
          <w:szCs w:val="21"/>
          <w:highlight w:val="none"/>
        </w:rPr>
        <w:t>。</w:t>
      </w:r>
    </w:p>
    <w:p>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color w:val="auto"/>
          <w:sz w:val="21"/>
          <w:szCs w:val="21"/>
          <w:highlight w:val="none"/>
        </w:rPr>
      </w:pPr>
    </w:p>
    <w:p>
      <w:pPr>
        <w:keepNext w:val="0"/>
        <w:keepLines w:val="0"/>
        <w:pageBreakBefore w:val="0"/>
        <w:widowControl w:val="0"/>
        <w:kinsoku/>
        <w:overflowPunct/>
        <w:topLinePunct w:val="0"/>
        <w:autoSpaceDE/>
        <w:autoSpaceDN/>
        <w:bidi w:val="0"/>
        <w:adjustRightInd/>
        <w:snapToGrid/>
        <w:spacing w:line="400" w:lineRule="exact"/>
        <w:ind w:firstLine="421" w:firstLineChars="200"/>
        <w:textAlignment w:val="baseline"/>
        <w:outlineLvl w:val="1"/>
        <w:rPr>
          <w:rFonts w:hint="eastAsia" w:ascii="宋体" w:hAnsi="宋体" w:eastAsia="宋体" w:cs="宋体"/>
          <w:b/>
          <w:bCs/>
          <w:snapToGrid w:val="0"/>
          <w:color w:val="auto"/>
          <w:kern w:val="0"/>
          <w:sz w:val="21"/>
          <w:szCs w:val="21"/>
          <w:highlight w:val="none"/>
        </w:rPr>
      </w:pPr>
      <w:bookmarkStart w:id="146" w:name="_Toc29880"/>
      <w:bookmarkStart w:id="147" w:name="_Toc6919"/>
      <w:bookmarkStart w:id="148" w:name="_Toc17264"/>
      <w:bookmarkStart w:id="149" w:name="_Toc17257"/>
      <w:r>
        <w:rPr>
          <w:rFonts w:hint="eastAsia" w:ascii="宋体" w:hAnsi="宋体" w:eastAsia="宋体" w:cs="宋体"/>
          <w:b/>
          <w:bCs/>
          <w:snapToGrid w:val="0"/>
          <w:color w:val="auto"/>
          <w:kern w:val="0"/>
          <w:sz w:val="21"/>
          <w:szCs w:val="21"/>
          <w:highlight w:val="none"/>
        </w:rPr>
        <w:t>14．开标</w:t>
      </w:r>
      <w:bookmarkEnd w:id="146"/>
      <w:bookmarkEnd w:id="147"/>
      <w:bookmarkEnd w:id="148"/>
      <w:bookmarkEnd w:id="149"/>
    </w:p>
    <w:p>
      <w:pPr>
        <w:keepNext w:val="0"/>
        <w:keepLines w:val="0"/>
        <w:pageBreakBefore w:val="0"/>
        <w:widowControl w:val="0"/>
        <w:overflowPunct/>
        <w:topLinePunct w:val="0"/>
        <w:bidi w:val="0"/>
        <w:adjustRightInd/>
        <w:snapToGrid/>
        <w:spacing w:line="400" w:lineRule="exact"/>
        <w:ind w:left="0" w:leftChars="0" w:right="0" w:rightChars="0" w:firstLine="409"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3"/>
          <w:sz w:val="21"/>
          <w:szCs w:val="21"/>
          <w:highlight w:val="none"/>
        </w:rPr>
        <w:t xml:space="preserve">14.1 </w:t>
      </w:r>
      <w:r>
        <w:rPr>
          <w:rFonts w:hint="eastAsia" w:ascii="宋体" w:hAnsi="宋体" w:eastAsia="宋体" w:cs="宋体"/>
          <w:color w:val="auto"/>
          <w:spacing w:val="-2"/>
          <w:sz w:val="21"/>
          <w:szCs w:val="21"/>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pPr>
        <w:keepNext w:val="0"/>
        <w:keepLines w:val="0"/>
        <w:pageBreakBefore w:val="0"/>
        <w:widowControl w:val="0"/>
        <w:overflowPunct/>
        <w:topLinePunct w:val="0"/>
        <w:bidi w:val="0"/>
        <w:adjustRightInd/>
        <w:snapToGrid/>
        <w:spacing w:line="400" w:lineRule="exact"/>
        <w:ind w:left="0" w:leftChars="0" w:right="0" w:rightChars="0" w:firstLine="421"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14.1.1 </w:t>
      </w:r>
      <w:r>
        <w:rPr>
          <w:rFonts w:hint="eastAsia" w:ascii="宋体" w:hAnsi="宋体" w:eastAsia="宋体" w:cs="宋体"/>
          <w:color w:val="auto"/>
          <w:sz w:val="21"/>
          <w:szCs w:val="21"/>
          <w:highlight w:val="none"/>
        </w:rPr>
        <w:t>开标时间和地点：见本章第二节“重要事项时间地点一览表”。</w:t>
      </w:r>
    </w:p>
    <w:p>
      <w:pPr>
        <w:keepNext w:val="0"/>
        <w:keepLines w:val="0"/>
        <w:pageBreakBefore w:val="0"/>
        <w:widowControl w:val="0"/>
        <w:overflowPunct/>
        <w:topLinePunct w:val="0"/>
        <w:bidi w:val="0"/>
        <w:adjustRightInd/>
        <w:snapToGrid/>
        <w:spacing w:line="400" w:lineRule="exact"/>
        <w:ind w:left="0" w:leftChars="0" w:right="0" w:rightChars="0" w:firstLine="393"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7"/>
          <w:sz w:val="21"/>
          <w:szCs w:val="21"/>
          <w:highlight w:val="none"/>
        </w:rPr>
        <w:t xml:space="preserve">14.1.2 </w:t>
      </w:r>
      <w:r>
        <w:rPr>
          <w:rFonts w:hint="eastAsia" w:ascii="宋体" w:hAnsi="宋体" w:eastAsia="宋体" w:cs="宋体"/>
          <w:b/>
          <w:bCs/>
          <w:color w:val="auto"/>
          <w:spacing w:val="-7"/>
          <w:sz w:val="21"/>
          <w:szCs w:val="21"/>
          <w:highlight w:val="none"/>
          <w:lang w:val="en-US" w:eastAsia="zh-CN"/>
        </w:rPr>
        <w:t xml:space="preserve"> </w:t>
      </w:r>
      <w:r>
        <w:rPr>
          <w:rFonts w:hint="eastAsia" w:ascii="宋体" w:hAnsi="宋体" w:eastAsia="宋体" w:cs="宋体"/>
          <w:color w:val="auto"/>
          <w:spacing w:val="-2"/>
          <w:sz w:val="21"/>
          <w:szCs w:val="21"/>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pPr>
        <w:keepNext w:val="0"/>
        <w:keepLines w:val="0"/>
        <w:pageBreakBefore w:val="0"/>
        <w:widowControl w:val="0"/>
        <w:overflowPunct/>
        <w:topLinePunct w:val="0"/>
        <w:bidi w:val="0"/>
        <w:adjustRightInd/>
        <w:snapToGrid/>
        <w:spacing w:line="400" w:lineRule="exact"/>
        <w:ind w:left="0" w:leftChars="0" w:right="0" w:rightChars="0" w:firstLine="413"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14.1.3</w:t>
      </w:r>
      <w:r>
        <w:rPr>
          <w:rFonts w:hint="eastAsia" w:ascii="宋体" w:hAnsi="宋体" w:eastAsia="宋体" w:cs="宋体"/>
          <w:color w:val="auto"/>
          <w:spacing w:val="-2"/>
          <w:sz w:val="21"/>
          <w:szCs w:val="21"/>
          <w:highlight w:val="none"/>
        </w:rPr>
        <w:t xml:space="preserve"> 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3"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14.2</w:t>
      </w:r>
      <w:r>
        <w:rPr>
          <w:rFonts w:hint="eastAsia" w:ascii="宋体" w:hAnsi="宋体" w:eastAsia="宋体" w:cs="宋体"/>
          <w:color w:val="auto"/>
          <w:spacing w:val="-2"/>
          <w:sz w:val="21"/>
          <w:szCs w:val="21"/>
          <w:highlight w:val="none"/>
        </w:rPr>
        <w:t xml:space="preserve"> 开标程序</w:t>
      </w:r>
    </w:p>
    <w:p>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bookmarkStart w:id="150" w:name="bookmark124"/>
      <w:bookmarkEnd w:id="150"/>
      <w:r>
        <w:rPr>
          <w:rFonts w:hint="eastAsia" w:ascii="宋体" w:hAnsi="宋体" w:eastAsia="宋体" w:cs="宋体"/>
          <w:color w:val="auto"/>
          <w:spacing w:val="-2"/>
          <w:sz w:val="21"/>
          <w:szCs w:val="21"/>
          <w:highlight w:val="none"/>
        </w:rPr>
        <w:t>（1）主持人（招标人代表或招标人授权的招标代理机构人员）宣读开标纪律。</w:t>
      </w:r>
    </w:p>
    <w:p>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（2）主持人宣布唱标人、记录人、见证人、监督人等有关人员姓名。</w:t>
      </w:r>
    </w:p>
    <w:p>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（3）唱标人公布在投标截止时间前进行投标文件的投标人数量和名称</w:t>
      </w:r>
      <w:r>
        <w:rPr>
          <w:rFonts w:hint="eastAsia" w:ascii="宋体" w:hAnsi="宋体" w:eastAsia="宋体" w:cs="宋体"/>
          <w:color w:val="auto"/>
          <w:spacing w:val="-2"/>
          <w:sz w:val="21"/>
          <w:szCs w:val="21"/>
          <w:highlight w:val="none"/>
          <w:lang w:eastAsia="zh-CN"/>
        </w:rPr>
        <w:t>。</w:t>
      </w:r>
    </w:p>
    <w:p>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（4）招标代理机构会同交易场所工作人员对投标人的电子投标信息进行解密，建设工程交易系统自动生成《投标保证缴纳情况表》和《开标一览表》。</w:t>
      </w:r>
    </w:p>
    <w:p>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05"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lang w:val="en-US" w:eastAsia="zh-CN"/>
        </w:rPr>
        <w:t>备注</w:t>
      </w:r>
      <w:r>
        <w:rPr>
          <w:rFonts w:hint="eastAsia" w:ascii="宋体" w:hAnsi="宋体" w:eastAsia="宋体" w:cs="宋体"/>
          <w:b/>
          <w:bCs/>
          <w:color w:val="auto"/>
          <w:spacing w:val="-4"/>
          <w:sz w:val="21"/>
          <w:szCs w:val="21"/>
          <w:highlight w:val="none"/>
        </w:rPr>
        <w:t>：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r>
        <w:rPr>
          <w:rFonts w:hint="eastAsia" w:ascii="宋体" w:hAnsi="宋体" w:eastAsia="宋体" w:cs="宋体"/>
          <w:b/>
          <w:bCs/>
          <w:color w:val="auto"/>
          <w:spacing w:val="-3"/>
          <w:sz w:val="21"/>
          <w:szCs w:val="21"/>
          <w:highlight w:val="none"/>
        </w:rPr>
        <w:t>。</w:t>
      </w:r>
    </w:p>
    <w:p>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09"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14.3  </w:t>
      </w:r>
      <w:r>
        <w:rPr>
          <w:rFonts w:hint="eastAsia" w:ascii="宋体" w:hAnsi="宋体" w:eastAsia="宋体" w:cs="宋体"/>
          <w:color w:val="auto"/>
          <w:spacing w:val="-3"/>
          <w:sz w:val="21"/>
          <w:szCs w:val="21"/>
          <w:highlight w:val="none"/>
        </w:rPr>
        <w:t>投标人对开标相关事项（如开标程序等）有异议的，必须在开标期间和开标</w:t>
      </w:r>
      <w:r>
        <w:rPr>
          <w:rFonts w:hint="eastAsia" w:ascii="宋体" w:hAnsi="宋体" w:eastAsia="宋体" w:cs="宋体"/>
          <w:color w:val="auto"/>
          <w:spacing w:val="-1"/>
          <w:sz w:val="21"/>
          <w:szCs w:val="21"/>
          <w:highlight w:val="none"/>
        </w:rPr>
        <w:t>现场提出，招标人或其授权的招标代理机构应当场作出答</w:t>
      </w:r>
      <w:r>
        <w:rPr>
          <w:rFonts w:hint="eastAsia" w:ascii="宋体" w:hAnsi="宋体" w:eastAsia="宋体" w:cs="宋体"/>
          <w:color w:val="auto"/>
          <w:spacing w:val="-2"/>
          <w:sz w:val="21"/>
          <w:szCs w:val="21"/>
          <w:highlight w:val="none"/>
        </w:rPr>
        <w:t>复，并记录在案。对开标事</w:t>
      </w:r>
      <w:r>
        <w:rPr>
          <w:rFonts w:hint="eastAsia" w:ascii="宋体" w:hAnsi="宋体" w:eastAsia="宋体" w:cs="宋体"/>
          <w:color w:val="auto"/>
          <w:spacing w:val="-1"/>
          <w:sz w:val="21"/>
          <w:szCs w:val="21"/>
          <w:highlight w:val="none"/>
        </w:rPr>
        <w:t>项的异议未在开标期间和开标现场提出的，招标人不予受理。</w:t>
      </w:r>
    </w:p>
    <w:p>
      <w:pPr>
        <w:keepNext w:val="0"/>
        <w:keepLines w:val="0"/>
        <w:pageBreakBefore w:val="0"/>
        <w:widowControl w:val="0"/>
        <w:wordWrap w:val="0"/>
        <w:overflowPunct/>
        <w:topLinePunct w:val="0"/>
        <w:bidi w:val="0"/>
        <w:adjustRightInd/>
        <w:snapToGrid/>
        <w:spacing w:line="400" w:lineRule="exact"/>
        <w:ind w:firstLine="417"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14.4 </w:t>
      </w:r>
      <w:r>
        <w:rPr>
          <w:rFonts w:hint="eastAsia" w:ascii="宋体" w:hAnsi="宋体" w:eastAsia="宋体" w:cs="宋体"/>
          <w:b/>
          <w:bCs/>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招标代理机构将资料原件（如有）</w:t>
      </w:r>
      <w:r>
        <w:rPr>
          <w:rFonts w:hint="eastAsia" w:ascii="宋体" w:hAnsi="宋体" w:eastAsia="宋体" w:cs="宋体"/>
          <w:color w:val="auto"/>
          <w:spacing w:val="-2"/>
          <w:sz w:val="21"/>
          <w:szCs w:val="21"/>
          <w:highlight w:val="none"/>
        </w:rPr>
        <w:t>、《开标一览表》以及其他有关资料移交评标委员会</w:t>
      </w:r>
      <w:r>
        <w:rPr>
          <w:rFonts w:hint="eastAsia" w:ascii="宋体" w:hAnsi="宋体" w:eastAsia="宋体" w:cs="宋体"/>
          <w:snapToGrid w:val="0"/>
          <w:color w:val="auto"/>
          <w:kern w:val="0"/>
          <w:sz w:val="21"/>
          <w:szCs w:val="21"/>
          <w:highlight w:val="none"/>
        </w:rPr>
        <w:t>。</w:t>
      </w:r>
    </w:p>
    <w:p>
      <w:pPr>
        <w:pStyle w:val="7"/>
        <w:keepNext w:val="0"/>
        <w:keepLines w:val="0"/>
        <w:pageBreakBefore w:val="0"/>
        <w:widowControl w:val="0"/>
        <w:kinsoku/>
        <w:overflowPunct/>
        <w:topLinePunct w:val="0"/>
        <w:autoSpaceDE/>
        <w:autoSpaceDN/>
        <w:bidi w:val="0"/>
        <w:adjustRightInd/>
        <w:snapToGrid/>
        <w:spacing w:line="240" w:lineRule="auto"/>
        <w:ind w:firstLine="421" w:firstLineChars="200"/>
        <w:rPr>
          <w:rStyle w:val="25"/>
          <w:rFonts w:hint="eastAsia" w:ascii="宋体" w:hAnsi="宋体" w:eastAsia="宋体" w:cs="宋体"/>
          <w:b/>
          <w:bCs/>
          <w:color w:val="auto"/>
          <w:sz w:val="21"/>
          <w:szCs w:val="21"/>
          <w:highlight w:val="none"/>
        </w:rPr>
      </w:pPr>
    </w:p>
    <w:p>
      <w:pPr>
        <w:pStyle w:val="28"/>
        <w:keepNext w:val="0"/>
        <w:keepLines w:val="0"/>
        <w:pageBreakBefore w:val="0"/>
        <w:widowControl w:val="0"/>
        <w:kinsoku/>
        <w:overflowPunct/>
        <w:topLinePunct w:val="0"/>
        <w:autoSpaceDE/>
        <w:autoSpaceDN/>
        <w:bidi w:val="0"/>
        <w:adjustRightInd/>
        <w:snapToGrid/>
        <w:spacing w:line="400" w:lineRule="exact"/>
        <w:ind w:firstLine="421" w:firstLineChars="200"/>
        <w:jc w:val="both"/>
        <w:textAlignment w:val="baseline"/>
        <w:outlineLvl w:val="1"/>
        <w:rPr>
          <w:rStyle w:val="25"/>
          <w:rFonts w:hint="eastAsia" w:ascii="宋体" w:hAnsi="宋体" w:eastAsia="宋体" w:cs="宋体"/>
          <w:b/>
          <w:bCs/>
          <w:color w:val="auto"/>
          <w:sz w:val="21"/>
          <w:szCs w:val="21"/>
          <w:highlight w:val="none"/>
        </w:rPr>
      </w:pPr>
      <w:bookmarkStart w:id="151" w:name="_Toc22081"/>
      <w:bookmarkStart w:id="152" w:name="_Toc29089"/>
      <w:bookmarkStart w:id="153" w:name="_Toc4000"/>
      <w:r>
        <w:rPr>
          <w:rStyle w:val="25"/>
          <w:rFonts w:hint="eastAsia" w:ascii="宋体" w:hAnsi="宋体" w:eastAsia="宋体" w:cs="宋体"/>
          <w:b/>
          <w:bCs/>
          <w:color w:val="auto"/>
          <w:sz w:val="21"/>
          <w:szCs w:val="21"/>
          <w:highlight w:val="none"/>
        </w:rPr>
        <w:t>15．评标</w:t>
      </w:r>
      <w:bookmarkEnd w:id="151"/>
      <w:bookmarkEnd w:id="152"/>
      <w:bookmarkEnd w:id="153"/>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1"/>
          <w:szCs w:val="21"/>
          <w:highlight w:val="none"/>
          <w:lang w:eastAsia="zh-CN"/>
        </w:rPr>
        <w:t>投标人</w:t>
      </w:r>
      <w:r>
        <w:rPr>
          <w:rFonts w:hint="eastAsia" w:ascii="宋体" w:hAnsi="宋体" w:eastAsia="宋体" w:cs="宋体"/>
          <w:snapToGrid w:val="0"/>
          <w:color w:val="auto"/>
          <w:kern w:val="0"/>
          <w:sz w:val="21"/>
          <w:szCs w:val="21"/>
          <w:highlight w:val="none"/>
        </w:rPr>
        <w:t>评审综合总得分</w:t>
      </w:r>
      <w:r>
        <w:rPr>
          <w:rFonts w:hint="eastAsia" w:ascii="宋体" w:hAnsi="宋体" w:eastAsia="宋体" w:cs="宋体"/>
          <w:snapToGrid w:val="0"/>
          <w:color w:val="auto"/>
          <w:kern w:val="0"/>
          <w:sz w:val="21"/>
          <w:szCs w:val="21"/>
          <w:highlight w:val="none"/>
          <w:lang w:eastAsia="zh-CN"/>
        </w:rPr>
        <w:t>由</w:t>
      </w:r>
      <w:r>
        <w:rPr>
          <w:rFonts w:hint="eastAsia" w:ascii="宋体" w:hAnsi="宋体" w:eastAsia="宋体" w:cs="宋体"/>
          <w:snapToGrid w:val="0"/>
          <w:color w:val="auto"/>
          <w:kern w:val="0"/>
          <w:sz w:val="21"/>
          <w:szCs w:val="21"/>
          <w:highlight w:val="none"/>
        </w:rPr>
        <w:t>高</w:t>
      </w:r>
      <w:r>
        <w:rPr>
          <w:rFonts w:hint="eastAsia" w:ascii="宋体" w:hAnsi="宋体" w:eastAsia="宋体" w:cs="宋体"/>
          <w:snapToGrid w:val="0"/>
          <w:color w:val="auto"/>
          <w:kern w:val="0"/>
          <w:sz w:val="21"/>
          <w:szCs w:val="21"/>
          <w:highlight w:val="none"/>
          <w:lang w:eastAsia="zh-CN"/>
        </w:rPr>
        <w:t>到</w:t>
      </w:r>
      <w:r>
        <w:rPr>
          <w:rFonts w:hint="eastAsia" w:ascii="宋体" w:hAnsi="宋体" w:eastAsia="宋体" w:cs="宋体"/>
          <w:snapToGrid w:val="0"/>
          <w:color w:val="auto"/>
          <w:kern w:val="0"/>
          <w:sz w:val="21"/>
          <w:szCs w:val="21"/>
          <w:highlight w:val="none"/>
        </w:rPr>
        <w:t>低的</w:t>
      </w:r>
      <w:r>
        <w:rPr>
          <w:rFonts w:hint="eastAsia" w:ascii="宋体" w:hAnsi="宋体" w:eastAsia="宋体" w:cs="宋体"/>
          <w:snapToGrid w:val="0"/>
          <w:color w:val="auto"/>
          <w:kern w:val="0"/>
          <w:sz w:val="21"/>
          <w:szCs w:val="21"/>
          <w:highlight w:val="none"/>
          <w:lang w:eastAsia="zh-CN"/>
        </w:rPr>
        <w:t>原则</w:t>
      </w:r>
      <w:r>
        <w:rPr>
          <w:rFonts w:hint="eastAsia" w:ascii="宋体" w:hAnsi="宋体" w:eastAsia="宋体" w:cs="宋体"/>
          <w:snapToGrid w:val="0"/>
          <w:color w:val="auto"/>
          <w:kern w:val="0"/>
          <w:sz w:val="21"/>
          <w:szCs w:val="21"/>
          <w:highlight w:val="none"/>
        </w:rPr>
        <w:t>,向招标人推荐</w:t>
      </w:r>
      <w:r>
        <w:rPr>
          <w:rFonts w:hint="eastAsia" w:ascii="宋体" w:hAnsi="宋体" w:eastAsia="宋体" w:cs="宋体"/>
          <w:snapToGrid w:val="0"/>
          <w:color w:val="auto"/>
          <w:kern w:val="0"/>
          <w:sz w:val="21"/>
          <w:szCs w:val="21"/>
          <w:highlight w:val="none"/>
          <w:lang w:val="en-US" w:eastAsia="zh-CN"/>
        </w:rPr>
        <w:t>已明确的</w:t>
      </w:r>
      <w:r>
        <w:rPr>
          <w:rFonts w:hint="eastAsia" w:ascii="宋体" w:hAnsi="宋体" w:eastAsia="宋体" w:cs="宋体"/>
          <w:snapToGrid w:val="0"/>
          <w:color w:val="auto"/>
          <w:kern w:val="0"/>
          <w:sz w:val="21"/>
          <w:szCs w:val="21"/>
          <w:highlight w:val="none"/>
        </w:rPr>
        <w:t>定标候选人</w:t>
      </w:r>
      <w:r>
        <w:rPr>
          <w:rFonts w:hint="eastAsia" w:ascii="宋体" w:hAnsi="宋体" w:eastAsia="宋体" w:cs="宋体"/>
          <w:snapToGrid w:val="0"/>
          <w:color w:val="auto"/>
          <w:kern w:val="0"/>
          <w:sz w:val="21"/>
          <w:szCs w:val="21"/>
          <w:highlight w:val="none"/>
          <w:lang w:eastAsia="zh-CN"/>
        </w:rPr>
        <w:t>数量</w:t>
      </w:r>
      <w:r>
        <w:rPr>
          <w:rFonts w:hint="eastAsia" w:ascii="宋体" w:hAnsi="宋体" w:eastAsia="宋体" w:cs="宋体"/>
          <w:snapToGrid w:val="0"/>
          <w:color w:val="auto"/>
          <w:kern w:val="0"/>
          <w:sz w:val="21"/>
          <w:szCs w:val="21"/>
          <w:highlight w:val="none"/>
        </w:rPr>
        <w:t>（不</w:t>
      </w:r>
      <w:r>
        <w:rPr>
          <w:rFonts w:hint="eastAsia" w:ascii="宋体" w:hAnsi="宋体" w:eastAsia="宋体" w:cs="宋体"/>
          <w:snapToGrid w:val="0"/>
          <w:color w:val="auto"/>
          <w:kern w:val="0"/>
          <w:sz w:val="21"/>
          <w:szCs w:val="21"/>
          <w:highlight w:val="none"/>
          <w:lang w:val="en-US" w:eastAsia="zh-CN"/>
        </w:rPr>
        <w:t>标明</w:t>
      </w:r>
      <w:r>
        <w:rPr>
          <w:rFonts w:hint="eastAsia" w:ascii="宋体" w:hAnsi="宋体" w:eastAsia="宋体" w:cs="宋体"/>
          <w:snapToGrid w:val="0"/>
          <w:color w:val="auto"/>
          <w:kern w:val="0"/>
          <w:sz w:val="21"/>
          <w:szCs w:val="21"/>
          <w:highlight w:val="none"/>
        </w:rPr>
        <w:t>排序），并向招标人提交由全体评标委员会成员签字的评标报告。</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w:t>
      </w:r>
      <w:r>
        <w:rPr>
          <w:rFonts w:hint="eastAsia" w:ascii="宋体" w:hAnsi="宋体" w:eastAsia="宋体" w:cs="宋体"/>
          <w:bCs/>
          <w:snapToGrid w:val="0"/>
          <w:color w:val="auto"/>
          <w:kern w:val="0"/>
          <w:sz w:val="21"/>
          <w:szCs w:val="21"/>
          <w:highlight w:val="none"/>
        </w:rPr>
        <w:t xml:space="preserve"> 评标委员会</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15.1.1</w:t>
      </w:r>
      <w:r>
        <w:rPr>
          <w:rFonts w:hint="eastAsia" w:ascii="宋体" w:hAnsi="宋体" w:eastAsia="宋体" w:cs="宋体"/>
          <w:snapToGrid w:val="0"/>
          <w:color w:val="auto"/>
          <w:kern w:val="0"/>
          <w:sz w:val="21"/>
          <w:szCs w:val="21"/>
          <w:highlight w:val="none"/>
        </w:rPr>
        <w:t xml:space="preserve"> </w:t>
      </w:r>
      <w:bookmarkStart w:id="154" w:name="_Toc48666055"/>
      <w:r>
        <w:rPr>
          <w:rFonts w:hint="eastAsia" w:ascii="宋体" w:hAnsi="宋体" w:eastAsia="宋体" w:cs="宋体"/>
          <w:snapToGrid w:val="0"/>
          <w:color w:val="auto"/>
          <w:kern w:val="0"/>
          <w:sz w:val="21"/>
          <w:szCs w:val="21"/>
          <w:highlight w:val="none"/>
        </w:rPr>
        <w:t>评标委员会由招标人依法组建，</w:t>
      </w:r>
      <w:r>
        <w:rPr>
          <w:rFonts w:hint="eastAsia" w:ascii="宋体" w:hAnsi="宋体" w:eastAsia="宋体" w:cs="宋体"/>
          <w:snapToGrid w:val="0"/>
          <w:color w:val="auto"/>
          <w:kern w:val="0"/>
          <w:sz w:val="21"/>
          <w:szCs w:val="21"/>
          <w:highlight w:val="none"/>
          <w:lang w:eastAsia="zh-CN"/>
        </w:rPr>
        <w:t>其中，</w:t>
      </w:r>
      <w:r>
        <w:rPr>
          <w:rFonts w:hint="eastAsia" w:ascii="宋体" w:hAnsi="宋体" w:eastAsia="宋体" w:cs="宋体"/>
          <w:snapToGrid w:val="0"/>
          <w:color w:val="auto"/>
          <w:kern w:val="0"/>
          <w:sz w:val="21"/>
          <w:szCs w:val="21"/>
          <w:highlight w:val="none"/>
        </w:rPr>
        <w:t>采用远程异地评标方式评标的</w:t>
      </w:r>
      <w:r>
        <w:rPr>
          <w:rFonts w:hint="eastAsia" w:ascii="宋体" w:hAnsi="宋体" w:eastAsia="宋体" w:cs="宋体"/>
          <w:snapToGrid w:val="0"/>
          <w:color w:val="auto"/>
          <w:kern w:val="0"/>
          <w:sz w:val="21"/>
          <w:szCs w:val="21"/>
          <w:highlight w:val="none"/>
          <w:lang w:eastAsia="zh-CN"/>
        </w:rPr>
        <w:t>，招标人应</w:t>
      </w:r>
      <w:r>
        <w:rPr>
          <w:rFonts w:hint="eastAsia" w:ascii="宋体" w:hAnsi="宋体" w:eastAsia="宋体" w:cs="宋体"/>
          <w:snapToGrid w:val="0"/>
          <w:color w:val="auto"/>
          <w:kern w:val="0"/>
          <w:sz w:val="21"/>
          <w:szCs w:val="21"/>
          <w:highlight w:val="none"/>
        </w:rPr>
        <w:t>合理确定主场、副场评标专家专业类别及专家人数，依法组建</w:t>
      </w:r>
      <w:r>
        <w:rPr>
          <w:rFonts w:hint="eastAsia" w:ascii="宋体" w:hAnsi="宋体" w:eastAsia="宋体" w:cs="宋体"/>
          <w:snapToGrid w:val="0"/>
          <w:color w:val="auto"/>
          <w:kern w:val="0"/>
          <w:sz w:val="21"/>
          <w:szCs w:val="21"/>
          <w:highlight w:val="none"/>
          <w:lang w:eastAsia="zh-CN"/>
        </w:rPr>
        <w:t>评标委员会</w:t>
      </w:r>
      <w:r>
        <w:rPr>
          <w:rFonts w:hint="eastAsia" w:ascii="宋体" w:hAnsi="宋体" w:eastAsia="宋体" w:cs="宋体"/>
          <w:snapToGrid w:val="0"/>
          <w:color w:val="auto"/>
          <w:kern w:val="0"/>
          <w:sz w:val="21"/>
          <w:szCs w:val="21"/>
          <w:highlight w:val="none"/>
        </w:rPr>
        <w:t>，并在规定时间内抽取专家</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其组成人员数见本投标人须知前附表。</w:t>
      </w:r>
    </w:p>
    <w:bookmarkEnd w:id="154"/>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评标委员会设负责人，由评标委员会成员推举产生。评标委员会负责人与评标委员会的其他成员有同等的表决权。</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15.1.2</w:t>
      </w:r>
      <w:r>
        <w:rPr>
          <w:rFonts w:hint="eastAsia" w:ascii="宋体" w:hAnsi="宋体" w:eastAsia="宋体" w:cs="宋体"/>
          <w:snapToGrid w:val="0"/>
          <w:color w:val="auto"/>
          <w:kern w:val="0"/>
          <w:sz w:val="21"/>
          <w:szCs w:val="21"/>
          <w:highlight w:val="none"/>
        </w:rPr>
        <w:t xml:space="preserve"> 评标委员会应认真、公正、诚实、廉洁地履行职责。有下列情形之一的，不得担任评标委员会成员：</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（1）投标人或投标人主要负责人的近亲属；</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（2）项目主管部门或者行政监督部门的人员；</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（3）与投标人有经济利益关系，可能影响对投标公正评审的；</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（4）曾因在招标、评标以及其他与招标投标有关活动中从事违法行为而受过行政处罚或刑事处罚的。</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评标委员会成员有以上情形之一的，应主动提出回避。</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15.1.3</w:t>
      </w:r>
      <w:r>
        <w:rPr>
          <w:rFonts w:hint="eastAsia" w:ascii="宋体" w:hAnsi="宋体" w:eastAsia="宋体" w:cs="宋体"/>
          <w:snapToGrid w:val="0"/>
          <w:color w:val="auto"/>
          <w:kern w:val="0"/>
          <w:sz w:val="21"/>
          <w:szCs w:val="21"/>
          <w:highlight w:val="none"/>
        </w:rPr>
        <w:t xml:space="preserve"> 评标全过程实行封闭式管理，在中标结果公布前，禁止评标委员会成员以任何方式私下接触投标人。</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15.1.4</w:t>
      </w:r>
      <w:r>
        <w:rPr>
          <w:rFonts w:hint="eastAsia" w:ascii="宋体" w:hAnsi="宋体" w:eastAsia="宋体" w:cs="宋体"/>
          <w:snapToGrid w:val="0"/>
          <w:color w:val="auto"/>
          <w:kern w:val="0"/>
          <w:sz w:val="21"/>
          <w:szCs w:val="21"/>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15.1.5</w:t>
      </w:r>
      <w:r>
        <w:rPr>
          <w:rFonts w:hint="eastAsia" w:ascii="宋体" w:hAnsi="宋体" w:eastAsia="宋体" w:cs="宋体"/>
          <w:snapToGrid w:val="0"/>
          <w:color w:val="auto"/>
          <w:kern w:val="0"/>
          <w:sz w:val="21"/>
          <w:szCs w:val="21"/>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15.2</w:t>
      </w:r>
      <w:r>
        <w:rPr>
          <w:rFonts w:hint="eastAsia" w:ascii="宋体" w:hAnsi="宋体" w:eastAsia="宋体" w:cs="宋体"/>
          <w:bCs/>
          <w:snapToGrid w:val="0"/>
          <w:color w:val="auto"/>
          <w:kern w:val="0"/>
          <w:sz w:val="21"/>
          <w:szCs w:val="21"/>
          <w:highlight w:val="none"/>
        </w:rPr>
        <w:t xml:space="preserve"> 评标方法</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1"/>
          <w:szCs w:val="21"/>
          <w:highlight w:val="none"/>
          <w:u w:val="single"/>
        </w:rPr>
        <w:t>综合评估法</w:t>
      </w:r>
      <w:r>
        <w:rPr>
          <w:rFonts w:hint="eastAsia" w:ascii="宋体" w:hAnsi="宋体" w:eastAsia="宋体" w:cs="宋体"/>
          <w:snapToGrid w:val="0"/>
          <w:color w:val="auto"/>
          <w:kern w:val="0"/>
          <w:sz w:val="21"/>
          <w:szCs w:val="21"/>
          <w:highlight w:val="none"/>
        </w:rPr>
        <w:t>进行评标。</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15.3 </w:t>
      </w:r>
      <w:r>
        <w:rPr>
          <w:rFonts w:hint="eastAsia" w:ascii="宋体" w:hAnsi="宋体" w:eastAsia="宋体" w:cs="宋体"/>
          <w:snapToGrid w:val="0"/>
          <w:color w:val="auto"/>
          <w:kern w:val="0"/>
          <w:sz w:val="21"/>
          <w:szCs w:val="21"/>
          <w:highlight w:val="none"/>
        </w:rPr>
        <w:t>评审范围</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15.3.1 评标方法采用“综合评估法”的，评标委员会应对所有投标人的投标文件进行评审。</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w:t>
      </w:r>
      <w:r>
        <w:rPr>
          <w:rFonts w:hint="eastAsia" w:ascii="宋体" w:hAnsi="宋体" w:eastAsia="宋体" w:cs="宋体"/>
          <w:snapToGrid w:val="0"/>
          <w:color w:val="auto"/>
          <w:kern w:val="0"/>
          <w:sz w:val="21"/>
          <w:szCs w:val="21"/>
          <w:highlight w:val="none"/>
        </w:rPr>
        <w:t xml:space="preserve"> 初步评审阶段</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初步评审阶段分为资格评审、形式评审和响应性评审三个环节。</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15.4.1</w:t>
      </w:r>
      <w:r>
        <w:rPr>
          <w:rFonts w:hint="eastAsia" w:ascii="宋体" w:hAnsi="宋体" w:eastAsia="宋体" w:cs="宋体"/>
          <w:snapToGrid w:val="0"/>
          <w:color w:val="auto"/>
          <w:kern w:val="0"/>
          <w:sz w:val="21"/>
          <w:szCs w:val="21"/>
          <w:highlight w:val="none"/>
        </w:rPr>
        <w:t xml:space="preserve"> 资格评审环节</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资格评审事项包括：</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snapToGrid w:val="0"/>
          <w:color w:val="auto"/>
          <w:kern w:val="0"/>
          <w:sz w:val="21"/>
          <w:szCs w:val="21"/>
          <w:highlight w:val="none"/>
        </w:rPr>
        <w:t>投标人是否符合本章第三节第2.4条“禁止投标条款”规定。如果“禁止投标条款”包括失信惩戒的，投标人信用信息的获取采用现场实时查询的方式实施。由评标委员会成员登录信用中国网站(https://www.creditchina.gov.cn)进行查询。</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（2）投标人名称是否与营业执照、资质证书、安全生产许可证一致。</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（3）投标人的资质是否符合招标文件规定；其营业执照、资质证书、安全生产许可证（</w:t>
      </w:r>
      <w:r>
        <w:rPr>
          <w:rFonts w:hint="eastAsia" w:ascii="宋体" w:hAnsi="宋体" w:eastAsia="宋体" w:cs="宋体"/>
          <w:snapToGrid w:val="0"/>
          <w:color w:val="auto"/>
          <w:kern w:val="0"/>
          <w:sz w:val="21"/>
          <w:szCs w:val="21"/>
          <w:highlight w:val="none"/>
          <w:lang w:eastAsia="zh-CN"/>
        </w:rPr>
        <w:t>含</w:t>
      </w:r>
      <w:r>
        <w:rPr>
          <w:rFonts w:hint="eastAsia" w:ascii="宋体" w:hAnsi="宋体" w:eastAsia="宋体" w:cs="宋体"/>
          <w:snapToGrid w:val="0"/>
          <w:color w:val="auto"/>
          <w:kern w:val="0"/>
          <w:sz w:val="21"/>
          <w:szCs w:val="21"/>
          <w:highlight w:val="none"/>
        </w:rPr>
        <w:t>实时网页查询页</w:t>
      </w:r>
      <w:r>
        <w:rPr>
          <w:rFonts w:hint="eastAsia" w:ascii="宋体" w:hAnsi="宋体" w:eastAsia="宋体" w:cs="宋体"/>
          <w:snapToGrid w:val="0"/>
          <w:color w:val="auto"/>
          <w:kern w:val="0"/>
          <w:sz w:val="21"/>
          <w:szCs w:val="21"/>
          <w:highlight w:val="none"/>
          <w:lang w:eastAsia="zh-CN"/>
        </w:rPr>
        <w:t>，可参考网址https：//zlaq.mohurd.gov.cn/fwmh/bjxcjgl/fwmh/pages/construction_safety/qyaqscxkz/qyaqscxkz</w:t>
      </w:r>
      <w:r>
        <w:rPr>
          <w:rFonts w:hint="eastAsia" w:ascii="宋体" w:hAnsi="宋体" w:eastAsia="宋体" w:cs="宋体"/>
          <w:snapToGrid w:val="0"/>
          <w:color w:val="auto"/>
          <w:kern w:val="0"/>
          <w:sz w:val="21"/>
          <w:szCs w:val="21"/>
          <w:highlight w:val="none"/>
        </w:rPr>
        <w:t>）是否合法、有效、准确。</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（4）《项目经理简历表》中拟派项目经理是否与《开标一览表》一致。</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（7）投标人为外省建筑企业的，是否按规定在“进粤企业和人员诚信信息登记平台”录入企业及其拟派人员有关信息并通过数据规范检查。</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15.4.2</w:t>
      </w:r>
      <w:r>
        <w:rPr>
          <w:rFonts w:hint="eastAsia" w:ascii="宋体" w:hAnsi="宋体" w:eastAsia="宋体" w:cs="宋体"/>
          <w:snapToGrid w:val="0"/>
          <w:color w:val="auto"/>
          <w:kern w:val="0"/>
          <w:sz w:val="21"/>
          <w:szCs w:val="21"/>
          <w:highlight w:val="none"/>
        </w:rPr>
        <w:t xml:space="preserve"> 形式评审环节</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形式评审事项包括：</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（1）各分册是否按招标文件规定加盖电子印章。</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（2）本节第10.2.2目、第10.3.2目、第10.4.3目中规定的“所有投标人均应提供”的组成内容（包括该组成内容的所附资料）是否完整、齐全。</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15.4.3</w:t>
      </w:r>
      <w:r>
        <w:rPr>
          <w:rFonts w:hint="eastAsia" w:ascii="宋体" w:hAnsi="宋体" w:eastAsia="宋体" w:cs="宋体"/>
          <w:snapToGrid w:val="0"/>
          <w:color w:val="auto"/>
          <w:kern w:val="0"/>
          <w:sz w:val="21"/>
          <w:szCs w:val="21"/>
          <w:highlight w:val="none"/>
        </w:rPr>
        <w:t xml:space="preserve"> 响应性评审环节</w:t>
      </w:r>
    </w:p>
    <w:p>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响应性评审事项包括：</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（1）投标有效期、质量标准、工期等是否响应招标文件实质性要求；是否擅自修改、遗漏《投标函》《各项承诺一览表》的实质性内容。</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（2）编制《投标总价》的造价工程师，其注册证书是否合法、有效。</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（3）投标人委托造价咨询单位编制《投标总价》的，是否在《投标总价扉页》“投标人”栏目加盖造价咨询人公章；是否提供造价咨询人的营业执照照彩色扫描件；</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（4）投标总价是否唯一；投标总价是否超出招标控制价；</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是否达到最低要求；暂列金额、暂估价是否按照招标工程量清单统一报价；投标人是否以低于成本的价格竞标。</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注：如果某投标人的投标总价下浮率超过 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招标控制价）×100% 。</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（5）施工组织设计的质量、进度保障措施是否符合国家和省市现行有关规范、规定、标准，是否能实现工程质量、进度管理目标。  </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15.4.4</w:t>
      </w:r>
      <w:r>
        <w:rPr>
          <w:rFonts w:hint="eastAsia" w:ascii="宋体" w:hAnsi="宋体" w:eastAsia="宋体" w:cs="宋体"/>
          <w:snapToGrid w:val="0"/>
          <w:color w:val="auto"/>
          <w:kern w:val="0"/>
          <w:sz w:val="21"/>
          <w:szCs w:val="21"/>
          <w:highlight w:val="none"/>
        </w:rPr>
        <w:t xml:space="preserve"> 否决投标说明</w:t>
      </w:r>
    </w:p>
    <w:p>
      <w:pPr>
        <w:keepNext w:val="0"/>
        <w:keepLines w:val="0"/>
        <w:pageBreakBefore w:val="0"/>
        <w:widowControl w:val="0"/>
        <w:topLinePunct w:val="0"/>
        <w:bidi w:val="0"/>
        <w:adjustRightInd/>
        <w:snapToGrid/>
        <w:spacing w:line="400" w:lineRule="exact"/>
        <w:ind w:firstLine="420" w:firstLineChars="200"/>
        <w:rPr>
          <w:rStyle w:val="25"/>
          <w:rFonts w:hint="default" w:ascii="宋体" w:hAnsi="宋体" w:eastAsia="宋体" w:cs="宋体"/>
          <w:color w:val="auto"/>
          <w:kern w:val="0"/>
          <w:sz w:val="21"/>
          <w:szCs w:val="21"/>
          <w:highlight w:val="none"/>
          <w:lang w:val="en-US"/>
        </w:rPr>
      </w:pPr>
      <w:r>
        <w:rPr>
          <w:rFonts w:hint="eastAsia" w:ascii="宋体" w:hAnsi="宋体" w:eastAsia="宋体" w:cs="宋体"/>
          <w:snapToGrid w:val="0"/>
          <w:color w:val="auto"/>
          <w:kern w:val="0"/>
          <w:sz w:val="21"/>
          <w:szCs w:val="21"/>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kern w:val="0"/>
          <w:sz w:val="21"/>
          <w:szCs w:val="21"/>
          <w:highlight w:val="none"/>
          <w:lang w:val="en-US" w:eastAsia="zh-CN" w:bidi="ar"/>
        </w:rPr>
        <w:t>评标委员会经评审，认为所有投标都不符合招标文件要求的，可否决所有投标，项目的所有投标被否决的，招标人应依法重新组织招标。当在初步评审阶段任何环节，有效投标人数量不足3个时，招标人应依法重新组织招标。</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15.5.1</w:t>
      </w:r>
      <w:r>
        <w:rPr>
          <w:rFonts w:hint="eastAsia" w:ascii="宋体" w:hAnsi="宋体" w:eastAsia="宋体" w:cs="宋体"/>
          <w:bCs/>
          <w:snapToGrid w:val="0"/>
          <w:color w:val="auto"/>
          <w:kern w:val="0"/>
          <w:sz w:val="21"/>
          <w:szCs w:val="21"/>
          <w:highlight w:val="none"/>
        </w:rPr>
        <w:t xml:space="preserve"> “综合评估法”评审程序</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评审内容分为商务技术和投标报价两大部分。其中，商务技术合计满分</w:t>
      </w:r>
      <w:r>
        <w:rPr>
          <w:rFonts w:hint="eastAsia" w:ascii="宋体" w:hAnsi="宋体" w:eastAsia="宋体" w:cs="宋体"/>
          <w:snapToGrid w:val="0"/>
          <w:color w:val="auto"/>
          <w:kern w:val="0"/>
          <w:sz w:val="21"/>
          <w:szCs w:val="21"/>
          <w:highlight w:val="none"/>
          <w:u w:val="single"/>
        </w:rPr>
        <w:t xml:space="preserve"> 100</w:t>
      </w:r>
      <w:r>
        <w:rPr>
          <w:rFonts w:hint="eastAsia" w:ascii="宋体" w:hAnsi="宋体" w:eastAsia="宋体" w:cs="宋体"/>
          <w:snapToGrid w:val="0"/>
          <w:color w:val="auto"/>
          <w:kern w:val="0"/>
          <w:sz w:val="21"/>
          <w:szCs w:val="21"/>
          <w:highlight w:val="none"/>
        </w:rPr>
        <w:t>分，权重为</w:t>
      </w:r>
      <w:r>
        <w:rPr>
          <w:rFonts w:hint="eastAsia" w:ascii="宋体" w:hAnsi="宋体" w:eastAsia="宋体" w:cs="宋体"/>
          <w:snapToGrid w:val="0"/>
          <w:color w:val="auto"/>
          <w:kern w:val="0"/>
          <w:sz w:val="21"/>
          <w:szCs w:val="21"/>
          <w:highlight w:val="none"/>
          <w:u w:val="single"/>
        </w:rPr>
        <w:t xml:space="preserve"> 40 </w:t>
      </w:r>
      <w:r>
        <w:rPr>
          <w:rFonts w:hint="eastAsia" w:ascii="宋体" w:hAnsi="宋体" w:eastAsia="宋体" w:cs="宋体"/>
          <w:snapToGrid w:val="0"/>
          <w:color w:val="auto"/>
          <w:kern w:val="0"/>
          <w:sz w:val="21"/>
          <w:szCs w:val="21"/>
          <w:highlight w:val="none"/>
        </w:rPr>
        <w:t>%；投标报价满分100分，权重为</w:t>
      </w:r>
      <w:r>
        <w:rPr>
          <w:rFonts w:hint="eastAsia" w:ascii="宋体" w:hAnsi="宋体" w:eastAsia="宋体" w:cs="宋体"/>
          <w:snapToGrid w:val="0"/>
          <w:color w:val="auto"/>
          <w:kern w:val="0"/>
          <w:sz w:val="21"/>
          <w:szCs w:val="21"/>
          <w:highlight w:val="none"/>
          <w:u w:val="single"/>
        </w:rPr>
        <w:t xml:space="preserve"> 60 </w:t>
      </w:r>
      <w:r>
        <w:rPr>
          <w:rFonts w:hint="eastAsia" w:ascii="宋体" w:hAnsi="宋体" w:eastAsia="宋体" w:cs="宋体"/>
          <w:snapToGrid w:val="0"/>
          <w:color w:val="auto"/>
          <w:kern w:val="0"/>
          <w:sz w:val="21"/>
          <w:szCs w:val="21"/>
          <w:highlight w:val="none"/>
        </w:rPr>
        <w:t>%。两大部分权重之和应为</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除特别注明外，综合得分以及商务技术得分、投标报价得分的中间过程计算值和最终值，均按“四舍五入”原则精确到两位小数。</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（1）商务技术得分M</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评标委员会各成员独立按照《综合评分表》技术部分（施工组织设计）指定的评分标准对各评分因素进行打分，累加后得出技术评分。将评标委员会所有成员的技术评分去掉一个最高评分和一个最低评分后，取算术平均值，即为某投标人的技术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＋M</w:t>
      </w:r>
      <w:r>
        <w:rPr>
          <w:rFonts w:hint="eastAsia" w:ascii="宋体" w:hAnsi="宋体" w:eastAsia="宋体" w:cs="宋体"/>
          <w:snapToGrid w:val="0"/>
          <w:color w:val="auto"/>
          <w:kern w:val="0"/>
          <w:sz w:val="21"/>
          <w:szCs w:val="21"/>
          <w:highlight w:val="none"/>
          <w:vertAlign w:val="subscript"/>
        </w:rPr>
        <w:t>2</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为某投标人的商务得分，M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为某投标人的技术得分。</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（2）投标报价得分N</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．评标委员会按照《综合评分表》投标报价部分指定的方法计算评标基准价D。</w:t>
      </w:r>
    </w:p>
    <w:p>
      <w:pPr>
        <w:keepNext w:val="0"/>
        <w:keepLines w:val="0"/>
        <w:pageBreakBefore w:val="0"/>
        <w:widowControl w:val="0"/>
        <w:kinsoku/>
        <w:wordWrap w:val="0"/>
        <w:overflowPunct/>
        <w:topLinePunct w:val="0"/>
        <w:bidi w:val="0"/>
        <w:adjustRightInd/>
        <w:snapToGrid/>
        <w:spacing w:line="400" w:lineRule="exact"/>
        <w:ind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w:t>
      </w:r>
      <w:r>
        <w:rPr>
          <w:rFonts w:hint="eastAsia" w:ascii="宋体" w:hAnsi="宋体" w:eastAsia="宋体" w:cs="宋体"/>
          <w:b/>
          <w:bCs/>
          <w:snapToGrid w:val="0"/>
          <w:color w:val="auto"/>
          <w:kern w:val="0"/>
          <w:sz w:val="21"/>
          <w:szCs w:val="21"/>
          <w:highlight w:val="none"/>
        </w:rPr>
        <w:t>1分</w:t>
      </w:r>
      <w:r>
        <w:rPr>
          <w:rFonts w:hint="eastAsia" w:ascii="宋体" w:hAnsi="宋体" w:eastAsia="宋体" w:cs="宋体"/>
          <w:snapToGrid w:val="0"/>
          <w:color w:val="auto"/>
          <w:kern w:val="0"/>
          <w:sz w:val="21"/>
          <w:szCs w:val="21"/>
          <w:highlight w:val="none"/>
        </w:rPr>
        <w:t>, 每低于评标基准价一个百分点扣</w:t>
      </w:r>
      <w:r>
        <w:rPr>
          <w:rFonts w:hint="eastAsia" w:ascii="宋体" w:hAnsi="宋体" w:eastAsia="宋体" w:cs="宋体"/>
          <w:b/>
          <w:bCs/>
          <w:snapToGrid w:val="0"/>
          <w:color w:val="auto"/>
          <w:kern w:val="0"/>
          <w:sz w:val="21"/>
          <w:szCs w:val="21"/>
          <w:highlight w:val="none"/>
        </w:rPr>
        <w:t>0.5分</w:t>
      </w:r>
      <w:r>
        <w:rPr>
          <w:rFonts w:hint="eastAsia" w:ascii="宋体" w:hAnsi="宋体" w:eastAsia="宋体" w:cs="宋体"/>
          <w:snapToGrid w:val="0"/>
          <w:color w:val="auto"/>
          <w:kern w:val="0"/>
          <w:sz w:val="21"/>
          <w:szCs w:val="21"/>
          <w:highlight w:val="none"/>
        </w:rPr>
        <w:t>，扣完为止。公式如下：</w:t>
      </w:r>
    </w:p>
    <w:p>
      <w:pPr>
        <w:keepNext w:val="0"/>
        <w:keepLines w:val="0"/>
        <w:pageBreakBefore w:val="0"/>
        <w:widowControl w:val="0"/>
        <w:kinsoku/>
        <w:wordWrap w:val="0"/>
        <w:overflowPunct/>
        <w:topLinePunct w:val="0"/>
        <w:bidi w:val="0"/>
        <w:adjustRightInd/>
        <w:snapToGrid/>
        <w:spacing w:line="400" w:lineRule="exact"/>
        <w:ind w:firstLine="420" w:firstLineChars="20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式中：D为评标基准价；Di为某投标人的投标总价；E为扣分因子，当Di＞D时，E＝1；当Di＜D时，E＝0.5。</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（3）综合得分</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综合得分换算为百分制，满分100分，公式如下：</w:t>
      </w:r>
    </w:p>
    <w:p>
      <w:pPr>
        <w:keepNext w:val="0"/>
        <w:keepLines w:val="0"/>
        <w:pageBreakBefore w:val="0"/>
        <w:widowControl w:val="0"/>
        <w:kinsoku/>
        <w:wordWrap w:val="0"/>
        <w:overflowPunct/>
        <w:topLinePunct w:val="0"/>
        <w:bidi w:val="0"/>
        <w:adjustRightInd/>
        <w:snapToGrid/>
        <w:spacing w:line="400" w:lineRule="exact"/>
        <w:ind w:firstLine="420" w:firstLineChars="20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综合得分＝M÷商务技术合计满分×100×商务技术权重＋N×投标报价权重</w:t>
      </w:r>
    </w:p>
    <w:p>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式中：M为商务技术得分，N</w:t>
      </w:r>
      <w:r>
        <w:rPr>
          <w:rFonts w:hint="eastAsia" w:ascii="宋体" w:hAnsi="宋体" w:eastAsia="宋体" w:cs="宋体"/>
          <w:b w:val="0"/>
          <w:bCs w:val="0"/>
          <w:snapToGrid w:val="0"/>
          <w:color w:val="auto"/>
          <w:kern w:val="0"/>
          <w:sz w:val="21"/>
          <w:szCs w:val="21"/>
          <w:highlight w:val="none"/>
        </w:rPr>
        <w:t>为投标报价得分。</w:t>
      </w:r>
    </w:p>
    <w:p>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rPr>
      </w:pPr>
      <w:r>
        <w:rPr>
          <w:rFonts w:hint="default" w:ascii="宋体" w:hAnsi="宋体" w:eastAsia="宋体" w:cs="宋体"/>
          <w:b w:val="0"/>
          <w:bCs w:val="0"/>
          <w:snapToGrid w:val="0"/>
          <w:color w:val="auto"/>
          <w:kern w:val="0"/>
          <w:sz w:val="21"/>
          <w:szCs w:val="21"/>
          <w:highlight w:val="none"/>
          <w:lang w:val="en-US" w:eastAsia="zh-CN" w:bidi="ar-SA"/>
        </w:rPr>
        <w:t>（4）</w:t>
      </w:r>
      <w:r>
        <w:rPr>
          <w:rFonts w:hint="eastAsia" w:ascii="宋体" w:hAnsi="宋体" w:eastAsia="宋体" w:cs="宋体"/>
          <w:b w:val="0"/>
          <w:bCs w:val="0"/>
          <w:snapToGrid w:val="0"/>
          <w:color w:val="auto"/>
          <w:kern w:val="0"/>
          <w:sz w:val="21"/>
          <w:szCs w:val="21"/>
          <w:highlight w:val="none"/>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b w:val="0"/>
          <w:bCs w:val="0"/>
          <w:snapToGrid w:val="0"/>
          <w:color w:val="auto"/>
          <w:kern w:val="0"/>
          <w:sz w:val="21"/>
          <w:szCs w:val="21"/>
          <w:highlight w:val="none"/>
          <w:lang w:eastAsia="zh-CN"/>
        </w:rPr>
        <w:t>前</w:t>
      </w:r>
      <w:r>
        <w:rPr>
          <w:rFonts w:hint="eastAsia" w:ascii="宋体" w:hAnsi="宋体" w:eastAsia="宋体" w:cs="宋体"/>
          <w:b w:val="0"/>
          <w:bCs w:val="0"/>
          <w:snapToGrid w:val="0"/>
          <w:color w:val="auto"/>
          <w:kern w:val="0"/>
          <w:sz w:val="21"/>
          <w:szCs w:val="21"/>
          <w:highlight w:val="none"/>
        </w:rPr>
        <w:t>。</w:t>
      </w:r>
    </w:p>
    <w:p>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rPr>
        <w:t>定标候选人得分只作为评标委员会的推荐依据，不作为定标委员会对中标候选人排序的依据。</w:t>
      </w:r>
      <w:r>
        <w:rPr>
          <w:rFonts w:hint="eastAsia" w:ascii="宋体" w:hAnsi="宋体" w:eastAsia="宋体" w:cs="宋体"/>
          <w:b w:val="0"/>
          <w:bCs w:val="0"/>
          <w:snapToGrid w:val="0"/>
          <w:color w:val="auto"/>
          <w:kern w:val="0"/>
          <w:sz w:val="21"/>
          <w:szCs w:val="21"/>
          <w:highlight w:val="none"/>
          <w:lang w:val="en-US" w:eastAsia="zh-CN"/>
        </w:rPr>
        <w:t>当有效投标人数量不足5名但满足法定要求时，所有通过评审的有效投标人均应作为定标候选人。</w:t>
      </w:r>
    </w:p>
    <w:p>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pPr>
        <w:pStyle w:val="18"/>
        <w:rPr>
          <w:rFonts w:hint="eastAsia" w:ascii="宋体" w:hAnsi="宋体" w:eastAsia="宋体" w:cs="宋体"/>
          <w:b w:val="0"/>
          <w:bCs w:val="0"/>
          <w:snapToGrid w:val="0"/>
          <w:color w:val="auto"/>
          <w:kern w:val="0"/>
          <w:sz w:val="21"/>
          <w:szCs w:val="21"/>
          <w:highlight w:val="none"/>
          <w:lang w:val="en-US" w:eastAsia="zh-CN"/>
        </w:rPr>
      </w:pPr>
    </w:p>
    <w:p>
      <w:pPr>
        <w:pStyle w:val="18"/>
        <w:rPr>
          <w:rFonts w:hint="eastAsia" w:ascii="宋体" w:hAnsi="宋体" w:eastAsia="宋体" w:cs="宋体"/>
          <w:b w:val="0"/>
          <w:bCs w:val="0"/>
          <w:snapToGrid w:val="0"/>
          <w:color w:val="auto"/>
          <w:kern w:val="0"/>
          <w:sz w:val="21"/>
          <w:szCs w:val="21"/>
          <w:highlight w:val="none"/>
          <w:lang w:val="en-US" w:eastAsia="zh-CN"/>
        </w:rPr>
      </w:pPr>
    </w:p>
    <w:p>
      <w:pPr>
        <w:pStyle w:val="18"/>
        <w:rPr>
          <w:rFonts w:hint="eastAsia" w:ascii="宋体" w:hAnsi="宋体" w:eastAsia="宋体" w:cs="宋体"/>
          <w:b w:val="0"/>
          <w:bCs w:val="0"/>
          <w:snapToGrid w:val="0"/>
          <w:color w:val="auto"/>
          <w:kern w:val="0"/>
          <w:sz w:val="21"/>
          <w:szCs w:val="21"/>
          <w:highlight w:val="none"/>
          <w:lang w:val="en-US" w:eastAsia="zh-CN"/>
        </w:rPr>
      </w:pPr>
    </w:p>
    <w:p>
      <w:pPr>
        <w:pStyle w:val="18"/>
        <w:rPr>
          <w:rFonts w:hint="eastAsia" w:ascii="宋体" w:hAnsi="宋体" w:eastAsia="宋体" w:cs="宋体"/>
          <w:b w:val="0"/>
          <w:bCs w:val="0"/>
          <w:snapToGrid w:val="0"/>
          <w:color w:val="auto"/>
          <w:kern w:val="0"/>
          <w:sz w:val="21"/>
          <w:szCs w:val="21"/>
          <w:highlight w:val="none"/>
          <w:lang w:val="en-US" w:eastAsia="zh-CN"/>
        </w:rPr>
      </w:pPr>
    </w:p>
    <w:p>
      <w:pPr>
        <w:pStyle w:val="18"/>
        <w:rPr>
          <w:rFonts w:hint="eastAsia" w:ascii="宋体" w:hAnsi="宋体" w:eastAsia="宋体" w:cs="宋体"/>
          <w:b w:val="0"/>
          <w:bCs w:val="0"/>
          <w:snapToGrid w:val="0"/>
          <w:color w:val="auto"/>
          <w:kern w:val="0"/>
          <w:sz w:val="21"/>
          <w:szCs w:val="21"/>
          <w:highlight w:val="none"/>
          <w:lang w:val="en-US" w:eastAsia="zh-CN"/>
        </w:rPr>
      </w:pPr>
    </w:p>
    <w:p>
      <w:pPr>
        <w:pStyle w:val="18"/>
        <w:rPr>
          <w:rFonts w:hint="eastAsia" w:ascii="宋体" w:hAnsi="宋体" w:eastAsia="宋体" w:cs="宋体"/>
          <w:b w:val="0"/>
          <w:bCs w:val="0"/>
          <w:snapToGrid w:val="0"/>
          <w:color w:val="auto"/>
          <w:kern w:val="0"/>
          <w:sz w:val="21"/>
          <w:szCs w:val="21"/>
          <w:highlight w:val="none"/>
          <w:lang w:val="en-US" w:eastAsia="zh-CN"/>
        </w:rPr>
      </w:pPr>
    </w:p>
    <w:p>
      <w:pPr>
        <w:pStyle w:val="18"/>
        <w:rPr>
          <w:rFonts w:hint="eastAsia" w:ascii="宋体" w:hAnsi="宋体" w:eastAsia="宋体" w:cs="宋体"/>
          <w:b w:val="0"/>
          <w:bCs w:val="0"/>
          <w:snapToGrid w:val="0"/>
          <w:color w:val="auto"/>
          <w:kern w:val="0"/>
          <w:sz w:val="21"/>
          <w:szCs w:val="21"/>
          <w:highlight w:val="none"/>
          <w:lang w:val="en-US" w:eastAsia="zh-CN"/>
        </w:rPr>
      </w:pPr>
    </w:p>
    <w:p>
      <w:pPr>
        <w:pStyle w:val="18"/>
        <w:rPr>
          <w:rFonts w:hint="eastAsia" w:ascii="宋体" w:hAnsi="宋体" w:eastAsia="宋体" w:cs="宋体"/>
          <w:b w:val="0"/>
          <w:bCs w:val="0"/>
          <w:snapToGrid w:val="0"/>
          <w:color w:val="auto"/>
          <w:kern w:val="0"/>
          <w:sz w:val="21"/>
          <w:szCs w:val="21"/>
          <w:highlight w:val="none"/>
          <w:lang w:val="en-US" w:eastAsia="zh-CN"/>
        </w:rPr>
      </w:pPr>
    </w:p>
    <w:p>
      <w:pPr>
        <w:keepNext w:val="0"/>
        <w:keepLines w:val="0"/>
        <w:pageBreakBefore w:val="0"/>
        <w:widowControl/>
        <w:shd w:val="clear" w:color="auto" w:fill="auto"/>
        <w:kinsoku/>
        <w:wordWrap w:val="0"/>
        <w:overflowPunct/>
        <w:topLinePunct w:val="0"/>
        <w:autoSpaceDE/>
        <w:autoSpaceDN/>
        <w:bidi w:val="0"/>
        <w:adjustRightInd/>
        <w:snapToGrid/>
        <w:spacing w:after="260" w:line="440" w:lineRule="exact"/>
        <w:ind w:firstLine="481" w:firstLineChars="200"/>
        <w:jc w:val="center"/>
        <w:textAlignment w:val="baseline"/>
        <w:rPr>
          <w:rFonts w:hint="eastAsia" w:ascii="Times New Roman"/>
          <w:b/>
          <w:bCs/>
          <w:snapToGrid w:val="0"/>
          <w:color w:val="auto"/>
          <w:kern w:val="0"/>
          <w:sz w:val="24"/>
          <w:szCs w:val="24"/>
          <w:highlight w:val="none"/>
        </w:rPr>
      </w:pPr>
      <w:r>
        <w:rPr>
          <w:rFonts w:hint="eastAsia" w:ascii="Times New Roman"/>
          <w:b/>
          <w:bCs/>
          <w:snapToGrid w:val="0"/>
          <w:color w:val="auto"/>
          <w:kern w:val="0"/>
          <w:sz w:val="24"/>
          <w:szCs w:val="24"/>
          <w:highlight w:val="none"/>
        </w:rPr>
        <w:t xml:space="preserve">综合评分表 </w:t>
      </w:r>
    </w:p>
    <w:tbl>
      <w:tblPr>
        <w:tblStyle w:val="20"/>
        <w:tblW w:w="9521" w:type="dxa"/>
        <w:jc w:val="center"/>
        <w:tblLayout w:type="fixed"/>
        <w:tblCellMar>
          <w:top w:w="0" w:type="dxa"/>
          <w:left w:w="108" w:type="dxa"/>
          <w:bottom w:w="0" w:type="dxa"/>
          <w:right w:w="108" w:type="dxa"/>
        </w:tblCellMar>
      </w:tblPr>
      <w:tblGrid>
        <w:gridCol w:w="1203"/>
        <w:gridCol w:w="3900"/>
        <w:gridCol w:w="4418"/>
      </w:tblGrid>
      <w:tr>
        <w:tblPrEx>
          <w:tblCellMar>
            <w:top w:w="0" w:type="dxa"/>
            <w:left w:w="108" w:type="dxa"/>
            <w:bottom w:w="0" w:type="dxa"/>
            <w:right w:w="108" w:type="dxa"/>
          </w:tblCellMar>
        </w:tblPrEx>
        <w:trPr>
          <w:trHeight w:val="624" w:hRule="exact"/>
          <w:jc w:val="center"/>
        </w:trPr>
        <w:tc>
          <w:tcPr>
            <w:tcW w:w="9521"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pPr>
              <w:pStyle w:val="8"/>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商务部分，满分：</w:t>
            </w:r>
            <w:r>
              <w:rPr>
                <w:rFonts w:hint="eastAsia" w:hAnsi="宋体" w:cs="宋体"/>
                <w:snapToGrid w:val="0"/>
                <w:color w:val="auto"/>
                <w:kern w:val="0"/>
                <w:sz w:val="21"/>
                <w:szCs w:val="21"/>
                <w:highlight w:val="none"/>
                <w:u w:val="single"/>
              </w:rPr>
              <w:t xml:space="preserve">  80  </w:t>
            </w:r>
            <w:r>
              <w:rPr>
                <w:rFonts w:hint="eastAsia" w:hAnsi="宋体" w:cs="宋体"/>
                <w:snapToGrid w:val="0"/>
                <w:color w:val="auto"/>
                <w:kern w:val="0"/>
                <w:sz w:val="21"/>
                <w:szCs w:val="21"/>
                <w:highlight w:val="none"/>
              </w:rPr>
              <w:t>分。</w:t>
            </w:r>
          </w:p>
        </w:tc>
      </w:tr>
      <w:tr>
        <w:tblPrEx>
          <w:tblCellMar>
            <w:top w:w="0" w:type="dxa"/>
            <w:left w:w="108" w:type="dxa"/>
            <w:bottom w:w="0" w:type="dxa"/>
            <w:right w:w="108" w:type="dxa"/>
          </w:tblCellMar>
        </w:tblPrEx>
        <w:trPr>
          <w:trHeight w:val="624" w:hRule="exac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评分因素</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评分标准</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备注</w:t>
            </w:r>
          </w:p>
        </w:tc>
      </w:tr>
      <w:tr>
        <w:tblPrEx>
          <w:tblCellMar>
            <w:top w:w="0" w:type="dxa"/>
            <w:left w:w="108" w:type="dxa"/>
            <w:bottom w:w="0" w:type="dxa"/>
            <w:right w:w="108" w:type="dxa"/>
          </w:tblCellMar>
        </w:tblPrEx>
        <w:trPr>
          <w:trHeight w:val="3506"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项目经理</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综合素质</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20</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hAnsi="宋体" w:cs="宋体"/>
                <w:snapToGrid w:val="0"/>
                <w:color w:val="auto"/>
                <w:kern w:val="0"/>
                <w:sz w:val="21"/>
                <w:szCs w:val="21"/>
                <w:highlight w:val="none"/>
              </w:rPr>
              <w:t>项目经理工程类技术职称情况：</w:t>
            </w:r>
          </w:p>
          <w:p>
            <w:pPr>
              <w:pStyle w:val="8"/>
              <w:keepNext w:val="0"/>
              <w:keepLines w:val="0"/>
              <w:widowControl/>
              <w:numPr>
                <w:ilvl w:val="0"/>
                <w:numId w:val="3"/>
              </w:numPr>
              <w:suppressLineNumbers w:val="0"/>
              <w:wordWrap w:val="0"/>
              <w:adjustRightInd w:val="0"/>
              <w:snapToGrid w:val="0"/>
              <w:spacing w:before="0" w:beforeAutospacing="0" w:after="0" w:afterAutospacing="0" w:line="400" w:lineRule="exact"/>
              <w:ind w:left="425" w:leftChars="0" w:right="0" w:hanging="425" w:firstLineChars="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具备</w:t>
            </w:r>
            <w:r>
              <w:rPr>
                <w:rFonts w:hint="eastAsia" w:hAnsi="宋体" w:cs="宋体"/>
                <w:snapToGrid w:val="0"/>
                <w:color w:val="auto"/>
                <w:kern w:val="0"/>
                <w:sz w:val="21"/>
                <w:szCs w:val="21"/>
                <w:highlight w:val="none"/>
                <w:lang w:val="en-US" w:eastAsia="zh-CN"/>
              </w:rPr>
              <w:t>高级</w:t>
            </w:r>
            <w:r>
              <w:rPr>
                <w:rFonts w:hint="eastAsia" w:hAnsi="宋体" w:cs="宋体"/>
                <w:snapToGrid w:val="0"/>
                <w:color w:val="auto"/>
                <w:kern w:val="0"/>
                <w:sz w:val="21"/>
                <w:szCs w:val="21"/>
                <w:highlight w:val="none"/>
              </w:rPr>
              <w:t>工程师</w:t>
            </w:r>
            <w:r>
              <w:rPr>
                <w:rFonts w:hint="eastAsia" w:hAnsi="宋体" w:cs="宋体"/>
                <w:snapToGrid w:val="0"/>
                <w:color w:val="auto"/>
                <w:kern w:val="0"/>
                <w:sz w:val="21"/>
                <w:szCs w:val="21"/>
                <w:highlight w:val="none"/>
                <w:lang w:val="en-US" w:eastAsia="zh-CN"/>
              </w:rPr>
              <w:t>或</w:t>
            </w:r>
            <w:r>
              <w:rPr>
                <w:rFonts w:hint="eastAsia" w:hAnsi="宋体" w:cs="宋体"/>
                <w:snapToGrid w:val="0"/>
                <w:color w:val="auto"/>
                <w:kern w:val="0"/>
                <w:sz w:val="21"/>
                <w:szCs w:val="21"/>
                <w:highlight w:val="none"/>
              </w:rPr>
              <w:t xml:space="preserve">以上职称的，得 </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p>
            <w:pPr>
              <w:pStyle w:val="8"/>
              <w:keepNext w:val="0"/>
              <w:keepLines w:val="0"/>
              <w:widowControl/>
              <w:numPr>
                <w:ilvl w:val="0"/>
                <w:numId w:val="3"/>
              </w:numPr>
              <w:suppressLineNumbers w:val="0"/>
              <w:wordWrap w:val="0"/>
              <w:adjustRightInd w:val="0"/>
              <w:snapToGrid w:val="0"/>
              <w:spacing w:before="0" w:beforeAutospacing="0" w:after="0" w:afterAutospacing="0" w:line="400" w:lineRule="exact"/>
              <w:ind w:left="425" w:leftChars="0" w:right="0" w:hanging="425" w:firstLineChars="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具备工程师职称的，得</w:t>
            </w:r>
            <w:r>
              <w:rPr>
                <w:rFonts w:hint="eastAsia" w:hAnsi="宋体" w:cs="宋体"/>
                <w:snapToGrid w:val="0"/>
                <w:color w:val="auto"/>
                <w:kern w:val="0"/>
                <w:sz w:val="21"/>
                <w:szCs w:val="21"/>
                <w:highlight w:val="none"/>
                <w:lang w:val="en-US" w:eastAsia="zh-CN"/>
              </w:rPr>
              <w:t>7</w:t>
            </w:r>
            <w:r>
              <w:rPr>
                <w:rFonts w:hint="eastAsia" w:hAnsi="宋体" w:cs="宋体"/>
                <w:snapToGrid w:val="0"/>
                <w:color w:val="auto"/>
                <w:kern w:val="0"/>
                <w:sz w:val="21"/>
                <w:szCs w:val="21"/>
                <w:highlight w:val="none"/>
              </w:rPr>
              <w:t>分。</w:t>
            </w:r>
          </w:p>
          <w:p>
            <w:pPr>
              <w:pStyle w:val="8"/>
              <w:keepNext w:val="0"/>
              <w:keepLines w:val="0"/>
              <w:widowControl/>
              <w:numPr>
                <w:ilvl w:val="0"/>
                <w:numId w:val="3"/>
              </w:numPr>
              <w:suppressLineNumbers w:val="0"/>
              <w:wordWrap w:val="0"/>
              <w:adjustRightInd w:val="0"/>
              <w:snapToGrid w:val="0"/>
              <w:spacing w:before="0" w:beforeAutospacing="0" w:after="0" w:afterAutospacing="0" w:line="400" w:lineRule="exact"/>
              <w:ind w:left="425" w:leftChars="0" w:right="0" w:hanging="425" w:firstLineChars="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具备助理工程师职称的，得 </w:t>
            </w:r>
            <w:r>
              <w:rPr>
                <w:rFonts w:hint="eastAsia" w:hAnsi="宋体" w:cs="宋体"/>
                <w:snapToGrid w:val="0"/>
                <w:color w:val="auto"/>
                <w:kern w:val="0"/>
                <w:sz w:val="21"/>
                <w:szCs w:val="21"/>
                <w:highlight w:val="none"/>
                <w:lang w:val="en-US" w:eastAsia="zh-CN"/>
              </w:rPr>
              <w:t>4</w:t>
            </w:r>
            <w:r>
              <w:rPr>
                <w:rFonts w:hint="eastAsia" w:hAnsi="宋体" w:cs="宋体"/>
                <w:snapToGrid w:val="0"/>
                <w:color w:val="auto"/>
                <w:kern w:val="0"/>
                <w:sz w:val="21"/>
                <w:szCs w:val="21"/>
                <w:highlight w:val="none"/>
              </w:rPr>
              <w:t xml:space="preserve"> 分。</w:t>
            </w:r>
          </w:p>
          <w:p>
            <w:pPr>
              <w:keepNext w:val="0"/>
              <w:keepLines w:val="0"/>
              <w:widowControl w:val="0"/>
              <w:numPr>
                <w:ilvl w:val="0"/>
                <w:numId w:val="4"/>
              </w:numPr>
              <w:suppressLineNumbers w:val="0"/>
              <w:kinsoku/>
              <w:wordWrap w:val="0"/>
              <w:autoSpaceDE/>
              <w:autoSpaceDN/>
              <w:spacing w:before="0" w:beforeAutospacing="0" w:after="0" w:afterAutospacing="0" w:line="40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项目经理具有机电工程专业一级建造师得</w:t>
            </w:r>
            <w:r>
              <w:rPr>
                <w:rFonts w:hint="eastAsia" w:hAnsi="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en-US" w:eastAsia="zh-CN" w:bidi="ar-SA"/>
              </w:rPr>
              <w:t>分，具有一级造价工程师得</w:t>
            </w:r>
            <w:r>
              <w:rPr>
                <w:rFonts w:hint="eastAsia" w:hAnsi="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en-US" w:eastAsia="zh-CN" w:bidi="ar-SA"/>
              </w:rPr>
              <w:t>分,最高得</w:t>
            </w:r>
            <w:r>
              <w:rPr>
                <w:rFonts w:hint="eastAsia" w:hAnsi="宋体" w:cs="宋体"/>
                <w:snapToGrid w:val="0"/>
                <w:color w:val="auto"/>
                <w:kern w:val="0"/>
                <w:sz w:val="21"/>
                <w:szCs w:val="21"/>
                <w:highlight w:val="none"/>
                <w:lang w:val="en-US" w:eastAsia="zh-CN" w:bidi="ar-SA"/>
              </w:rPr>
              <w:t>10</w:t>
            </w:r>
            <w:r>
              <w:rPr>
                <w:rFonts w:hint="eastAsia" w:ascii="宋体" w:hAnsi="宋体" w:eastAsia="宋体" w:cs="宋体"/>
                <w:snapToGrid w:val="0"/>
                <w:color w:val="auto"/>
                <w:kern w:val="0"/>
                <w:sz w:val="21"/>
                <w:szCs w:val="21"/>
                <w:highlight w:val="none"/>
                <w:lang w:val="en-US" w:eastAsia="zh-CN" w:bidi="ar-SA"/>
              </w:rPr>
              <w:t>分。</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spacing w:before="0" w:beforeAutospacing="0" w:after="0" w:afterAutospacing="0" w:line="400" w:lineRule="exact"/>
              <w:ind w:left="0" w:right="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1．需附有效的有关证明彩色扫描件（或打印件）。</w:t>
            </w:r>
          </w:p>
          <w:p>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default" w:eastAsia="宋体"/>
                <w:color w:val="auto"/>
                <w:highlight w:val="none"/>
                <w:lang w:val="en-US" w:eastAsia="zh-CN"/>
              </w:rPr>
            </w:pPr>
            <w:r>
              <w:rPr>
                <w:rFonts w:hint="eastAsia" w:hAnsi="宋体" w:cs="宋体"/>
                <w:color w:val="auto"/>
                <w:kern w:val="0"/>
                <w:sz w:val="21"/>
                <w:szCs w:val="21"/>
                <w:highlight w:val="none"/>
              </w:rPr>
              <w:t>2．不符合评分标准和备注规定的，不计分。</w:t>
            </w:r>
          </w:p>
        </w:tc>
      </w:tr>
      <w:tr>
        <w:tblPrEx>
          <w:tblCellMar>
            <w:top w:w="0" w:type="dxa"/>
            <w:left w:w="108" w:type="dxa"/>
            <w:bottom w:w="0" w:type="dxa"/>
            <w:right w:w="108" w:type="dxa"/>
          </w:tblCellMar>
        </w:tblPrEx>
        <w:trPr>
          <w:trHeight w:val="4299"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企业业绩</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20</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企业近年来（202</w:t>
            </w:r>
            <w:r>
              <w:rPr>
                <w:rFonts w:hint="eastAsia" w:hAnsi="宋体" w:cs="宋体"/>
                <w:snapToGrid w:val="0"/>
                <w:color w:val="auto"/>
                <w:kern w:val="0"/>
                <w:sz w:val="21"/>
                <w:szCs w:val="21"/>
                <w:highlight w:val="none"/>
                <w:lang w:val="en-US" w:eastAsia="zh-CN"/>
              </w:rPr>
              <w:t>0</w:t>
            </w:r>
            <w:r>
              <w:rPr>
                <w:rFonts w:hint="eastAsia" w:hAnsi="宋体" w:cs="宋体"/>
                <w:snapToGrid w:val="0"/>
                <w:color w:val="auto"/>
                <w:kern w:val="0"/>
                <w:sz w:val="21"/>
                <w:szCs w:val="21"/>
                <w:highlight w:val="none"/>
              </w:rPr>
              <w:t>年1月1日至今）业绩情况：</w:t>
            </w:r>
          </w:p>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承接</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rPr>
              <w:t>过类似工程的，每个得</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5</w:t>
            </w:r>
            <w:r>
              <w:rPr>
                <w:rFonts w:hint="eastAsia" w:hAnsi="宋体" w:cs="宋体"/>
                <w:snapToGrid w:val="0"/>
                <w:color w:val="auto"/>
                <w:kern w:val="0"/>
                <w:sz w:val="21"/>
                <w:szCs w:val="21"/>
                <w:highlight w:val="none"/>
              </w:rPr>
              <w:t>分。</w:t>
            </w:r>
          </w:p>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2．未</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承接</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rPr>
              <w:t>过类似工程的，不予计分。</w:t>
            </w:r>
          </w:p>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ascii="宋体" w:hAnsi="宋体" w:eastAsia="宋体" w:cs="宋体"/>
                <w:color w:val="auto"/>
                <w:kern w:val="2"/>
                <w:sz w:val="21"/>
                <w:szCs w:val="21"/>
                <w:highlight w:val="none"/>
                <w:lang w:val="en-US" w:eastAsia="zh-CN" w:bidi="ar-SA"/>
              </w:rPr>
            </w:pPr>
            <w:r>
              <w:rPr>
                <w:rFonts w:hint="eastAsia" w:hAnsi="宋体" w:cs="宋体"/>
                <w:snapToGrid w:val="0"/>
                <w:color w:val="auto"/>
                <w:kern w:val="0"/>
                <w:sz w:val="21"/>
                <w:szCs w:val="21"/>
                <w:highlight w:val="none"/>
              </w:rPr>
              <w:t>3．本项最高得</w:t>
            </w:r>
            <w:r>
              <w:rPr>
                <w:rFonts w:hint="eastAsia" w:hAnsi="宋体" w:cs="宋体"/>
                <w:snapToGrid w:val="0"/>
                <w:color w:val="auto"/>
                <w:kern w:val="0"/>
                <w:sz w:val="21"/>
                <w:szCs w:val="21"/>
                <w:highlight w:val="none"/>
                <w:lang w:val="en-US" w:eastAsia="zh-CN"/>
              </w:rPr>
              <w:t>20</w:t>
            </w:r>
            <w:r>
              <w:rPr>
                <w:rFonts w:hint="eastAsia" w:hAnsi="宋体" w:cs="宋体"/>
                <w:snapToGrid w:val="0"/>
                <w:color w:val="auto"/>
                <w:kern w:val="0"/>
                <w:sz w:val="21"/>
                <w:szCs w:val="21"/>
                <w:highlight w:val="none"/>
              </w:rPr>
              <w:t xml:space="preserve">分。 </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00" w:lineRule="atLeast"/>
              <w:ind w:left="0" w:right="0"/>
              <w:jc w:val="lef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1．类似工程指：工程造价</w:t>
            </w:r>
            <w:r>
              <w:rPr>
                <w:rFonts w:hint="eastAsia" w:hAnsi="宋体" w:cs="宋体"/>
                <w:b/>
                <w:bCs/>
                <w:snapToGrid w:val="0"/>
                <w:color w:val="auto"/>
                <w:kern w:val="0"/>
                <w:sz w:val="21"/>
                <w:szCs w:val="21"/>
                <w:highlight w:val="none"/>
              </w:rPr>
              <w:t>≥</w:t>
            </w:r>
            <w:r>
              <w:rPr>
                <w:rFonts w:hint="eastAsia" w:hAnsi="宋体" w:cs="宋体"/>
                <w:b/>
                <w:bCs/>
                <w:snapToGrid w:val="0"/>
                <w:color w:val="auto"/>
                <w:kern w:val="0"/>
                <w:sz w:val="21"/>
                <w:szCs w:val="21"/>
                <w:highlight w:val="none"/>
                <w:lang w:val="en-US" w:eastAsia="zh-CN"/>
              </w:rPr>
              <w:t>1000</w:t>
            </w:r>
            <w:r>
              <w:rPr>
                <w:rFonts w:hint="eastAsia" w:hAnsi="宋体" w:cs="宋体"/>
                <w:b/>
                <w:bCs/>
                <w:snapToGrid w:val="0"/>
                <w:color w:val="auto"/>
                <w:kern w:val="0"/>
                <w:sz w:val="21"/>
                <w:szCs w:val="21"/>
                <w:highlight w:val="none"/>
              </w:rPr>
              <w:t>万元</w:t>
            </w:r>
            <w:r>
              <w:rPr>
                <w:rFonts w:hint="eastAsia" w:hAnsi="宋体" w:cs="宋体"/>
                <w:snapToGrid w:val="0"/>
                <w:color w:val="auto"/>
                <w:kern w:val="0"/>
                <w:sz w:val="21"/>
                <w:szCs w:val="21"/>
                <w:highlight w:val="none"/>
              </w:rPr>
              <w:t>的</w:t>
            </w:r>
            <w:r>
              <w:rPr>
                <w:rFonts w:hint="eastAsia" w:hAnsi="宋体" w:cs="宋体"/>
                <w:snapToGrid w:val="0"/>
                <w:color w:val="auto"/>
                <w:kern w:val="0"/>
                <w:sz w:val="21"/>
                <w:szCs w:val="21"/>
                <w:highlight w:val="none"/>
                <w:u w:val="single"/>
                <w:lang w:val="en-US" w:eastAsia="zh-CN"/>
              </w:rPr>
              <w:t>建筑工程类</w:t>
            </w:r>
            <w:r>
              <w:rPr>
                <w:rFonts w:hint="eastAsia" w:hAnsi="宋体" w:cs="宋体"/>
                <w:snapToGrid w:val="0"/>
                <w:color w:val="auto"/>
                <w:sz w:val="21"/>
                <w:szCs w:val="21"/>
                <w:highlight w:val="none"/>
              </w:rPr>
              <w:t>施工总承包项目（或设计施工总承包或勘察设计施工总承包项目或EPC项目）</w:t>
            </w:r>
            <w:r>
              <w:rPr>
                <w:rFonts w:hint="eastAsia" w:hAnsi="宋体" w:cs="宋体"/>
                <w:snapToGrid w:val="0"/>
                <w:color w:val="auto"/>
                <w:kern w:val="0"/>
                <w:sz w:val="21"/>
                <w:szCs w:val="21"/>
                <w:highlight w:val="none"/>
              </w:rPr>
              <w:t>。</w:t>
            </w:r>
          </w:p>
          <w:p>
            <w:pPr>
              <w:pStyle w:val="8"/>
              <w:keepNext w:val="0"/>
              <w:keepLines w:val="0"/>
              <w:widowControl/>
              <w:suppressLineNumbers w:val="0"/>
              <w:spacing w:before="0" w:beforeAutospacing="0" w:after="0" w:afterAutospacing="0"/>
              <w:ind w:left="0" w:right="0"/>
              <w:jc w:val="left"/>
              <w:rPr>
                <w:rFonts w:hint="eastAsia" w:hAnsi="宋体" w:cs="宋体"/>
                <w:i/>
                <w:iCs/>
                <w:snapToGrid w:val="0"/>
                <w:color w:val="auto"/>
                <w:kern w:val="0"/>
                <w:sz w:val="21"/>
                <w:szCs w:val="21"/>
                <w:highlight w:val="none"/>
              </w:rPr>
            </w:pPr>
            <w:r>
              <w:rPr>
                <w:rFonts w:hint="eastAsia" w:hAnsi="宋体" w:cs="宋体"/>
                <w:snapToGrid w:val="0"/>
                <w:color w:val="auto"/>
                <w:kern w:val="0"/>
                <w:sz w:val="21"/>
                <w:szCs w:val="21"/>
                <w:highlight w:val="none"/>
              </w:rPr>
              <w:t>2．需附有关业绩（仅限于以施工总承包单位身份参建的项目）合同协议书的彩色扫描件。</w:t>
            </w:r>
          </w:p>
          <w:p>
            <w:pPr>
              <w:pStyle w:val="8"/>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rPr>
              <w:t>．任一业绩有以下情形之一的，该业绩视为无效，不予计分：</w:t>
            </w:r>
          </w:p>
          <w:p>
            <w:pPr>
              <w:pStyle w:val="8"/>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①业绩不属于类似工程的；</w:t>
            </w:r>
          </w:p>
          <w:p>
            <w:pPr>
              <w:pStyle w:val="8"/>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②不是以指定身份参建的；</w:t>
            </w:r>
          </w:p>
          <w:p>
            <w:pPr>
              <w:pStyle w:val="8"/>
              <w:keepNext w:val="0"/>
              <w:keepLines w:val="0"/>
              <w:widowControl/>
              <w:suppressLineNumbers w:val="0"/>
              <w:spacing w:before="0" w:beforeAutospacing="0" w:after="0" w:afterAutospacing="0"/>
              <w:ind w:left="0" w:right="0"/>
              <w:jc w:val="left"/>
              <w:rPr>
                <w:rFonts w:hint="eastAsia"/>
                <w:color w:val="auto"/>
                <w:highlight w:val="none"/>
                <w:lang w:val="en-US" w:eastAsia="zh-CN"/>
              </w:rPr>
            </w:pPr>
            <w:r>
              <w:rPr>
                <w:rFonts w:hint="eastAsia" w:hAnsi="宋体" w:cs="宋体"/>
                <w:snapToGrid w:val="0"/>
                <w:color w:val="auto"/>
                <w:kern w:val="0"/>
                <w:sz w:val="21"/>
                <w:szCs w:val="21"/>
                <w:highlight w:val="none"/>
              </w:rPr>
              <w:t>③业绩时间不符合要求的。</w:t>
            </w:r>
          </w:p>
        </w:tc>
      </w:tr>
      <w:tr>
        <w:tblPrEx>
          <w:tblCellMar>
            <w:top w:w="0" w:type="dxa"/>
            <w:left w:w="108" w:type="dxa"/>
            <w:bottom w:w="0" w:type="dxa"/>
            <w:right w:w="108" w:type="dxa"/>
          </w:tblCellMar>
        </w:tblPrEx>
        <w:trPr>
          <w:trHeight w:val="3429"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企业银行</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资信评级</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1．银行资信评级AAA得</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2．银行资信评级AA（含AA＋、AA－）,得</w:t>
            </w:r>
            <w:r>
              <w:rPr>
                <w:rFonts w:hint="eastAsia" w:hAnsi="宋体" w:cs="宋体"/>
                <w:snapToGrid w:val="0"/>
                <w:color w:val="auto"/>
                <w:kern w:val="0"/>
                <w:sz w:val="21"/>
                <w:szCs w:val="21"/>
                <w:highlight w:val="none"/>
                <w:lang w:val="en-US" w:eastAsia="zh-CN"/>
              </w:rPr>
              <w:t>5</w:t>
            </w:r>
            <w:r>
              <w:rPr>
                <w:rFonts w:hint="eastAsia" w:hAnsi="宋体" w:cs="宋体"/>
                <w:snapToGrid w:val="0"/>
                <w:color w:val="auto"/>
                <w:kern w:val="0"/>
                <w:sz w:val="21"/>
                <w:szCs w:val="21"/>
                <w:highlight w:val="none"/>
              </w:rPr>
              <w:t>分；</w:t>
            </w:r>
          </w:p>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3．银行资信评级A（含A＋、A－）,得1分；</w:t>
            </w:r>
          </w:p>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4．未获得过以上年限评级的，或评级证书无效的，不予计分。</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1．需附在有效期内的资信评级证书（证明）彩色扫描件。</w:t>
            </w:r>
          </w:p>
          <w:p>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2．评级证书（证明）须由</w:t>
            </w:r>
            <w:r>
              <w:rPr>
                <w:rFonts w:hint="eastAsia" w:hAnsi="宋体" w:cs="宋体"/>
                <w:snapToGrid w:val="0"/>
                <w:color w:val="auto"/>
                <w:kern w:val="0"/>
                <w:sz w:val="21"/>
                <w:szCs w:val="21"/>
                <w:highlight w:val="none"/>
                <w:u w:val="single"/>
              </w:rPr>
              <w:t>企业基本账户开户银行</w:t>
            </w:r>
            <w:r>
              <w:rPr>
                <w:rFonts w:hint="eastAsia" w:hAnsi="宋体" w:cs="宋体"/>
                <w:snapToGrid w:val="0"/>
                <w:color w:val="auto"/>
                <w:kern w:val="0"/>
                <w:sz w:val="21"/>
                <w:szCs w:val="21"/>
                <w:highlight w:val="none"/>
                <w:u w:val="single"/>
                <w:lang w:val="en-US" w:eastAsia="zh-CN"/>
              </w:rPr>
              <w:t>或</w:t>
            </w:r>
            <w:r>
              <w:rPr>
                <w:rFonts w:hint="eastAsia" w:hAnsi="宋体" w:cs="宋体"/>
                <w:snapToGrid w:val="0"/>
                <w:color w:val="auto"/>
                <w:kern w:val="0"/>
                <w:sz w:val="21"/>
                <w:szCs w:val="21"/>
                <w:highlight w:val="none"/>
                <w:u w:val="single"/>
              </w:rPr>
              <w:t>金融机构</w:t>
            </w:r>
            <w:r>
              <w:rPr>
                <w:rFonts w:hint="eastAsia" w:hAnsi="宋体" w:cs="宋体"/>
                <w:snapToGrid w:val="0"/>
                <w:color w:val="auto"/>
                <w:kern w:val="0"/>
                <w:sz w:val="21"/>
                <w:szCs w:val="21"/>
                <w:highlight w:val="none"/>
              </w:rPr>
              <w:t>出具。</w:t>
            </w:r>
          </w:p>
          <w:p>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3．评级证书（证明）有以下情形之一的，视为无效：</w:t>
            </w:r>
          </w:p>
          <w:p>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①评级证书（证明）不在有效期内的；</w:t>
            </w:r>
          </w:p>
          <w:p>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②出具机构不符合要求的</w:t>
            </w:r>
            <w:r>
              <w:rPr>
                <w:rFonts w:hint="eastAsia" w:hAnsi="宋体" w:eastAsia="宋体" w:cs="宋体"/>
                <w:b/>
                <w:bCs/>
                <w:color w:val="auto"/>
                <w:sz w:val="21"/>
                <w:szCs w:val="21"/>
                <w:highlight w:val="none"/>
                <w:lang w:val="en-US" w:eastAsia="zh-CN"/>
              </w:rPr>
              <w:t>。</w:t>
            </w:r>
          </w:p>
        </w:tc>
      </w:tr>
      <w:tr>
        <w:tblPrEx>
          <w:tblCellMar>
            <w:top w:w="0" w:type="dxa"/>
            <w:left w:w="108" w:type="dxa"/>
            <w:bottom w:w="0" w:type="dxa"/>
            <w:right w:w="108" w:type="dxa"/>
          </w:tblCellMar>
        </w:tblPrEx>
        <w:trPr>
          <w:trHeight w:val="814"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企业管理</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snapToGrid w:val="0"/>
                <w:color w:val="auto"/>
                <w:kern w:val="0"/>
                <w:sz w:val="21"/>
                <w:szCs w:val="21"/>
                <w:highlight w:val="none"/>
              </w:rPr>
              <w:t>体系认证</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15</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企业</w:t>
            </w:r>
            <w:r>
              <w:rPr>
                <w:rFonts w:hint="eastAsia" w:ascii="宋体" w:hAnsi="宋体" w:eastAsia="宋体" w:cs="宋体"/>
                <w:color w:val="auto"/>
                <w:kern w:val="0"/>
                <w:sz w:val="21"/>
                <w:szCs w:val="21"/>
                <w:highlight w:val="none"/>
              </w:rPr>
              <w:t>获得质量管理体系认证</w:t>
            </w:r>
            <w:r>
              <w:rPr>
                <w:rFonts w:hint="eastAsia" w:hAnsi="宋体" w:eastAsia="宋体" w:cs="宋体"/>
                <w:color w:val="auto"/>
                <w:kern w:val="0"/>
                <w:sz w:val="21"/>
                <w:szCs w:val="21"/>
                <w:highlight w:val="none"/>
              </w:rPr>
              <w:t>、职业健康安全管理体系认证、环境管理体系认证、工程施工现场环境与卫生控制规范认证、合规管理体系认证证书</w:t>
            </w:r>
            <w:r>
              <w:rPr>
                <w:rFonts w:hint="eastAsia" w:hAnsi="宋体" w:eastAsia="宋体" w:cs="宋体"/>
                <w:color w:val="auto"/>
                <w:kern w:val="0"/>
                <w:sz w:val="21"/>
                <w:szCs w:val="21"/>
                <w:highlight w:val="none"/>
                <w:lang w:eastAsia="zh-CN"/>
              </w:rPr>
              <w:t>：</w:t>
            </w:r>
          </w:p>
          <w:p>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eastAsia="宋体" w:cs="宋体"/>
                <w:color w:val="auto"/>
                <w:kern w:val="0"/>
                <w:sz w:val="21"/>
                <w:szCs w:val="21"/>
                <w:highlight w:val="none"/>
              </w:rPr>
              <w:t>1.同时获得</w:t>
            </w:r>
            <w:r>
              <w:rPr>
                <w:rFonts w:hint="eastAsia" w:hAnsi="宋体" w:eastAsia="宋体" w:cs="宋体"/>
                <w:color w:val="auto"/>
                <w:kern w:val="0"/>
                <w:sz w:val="21"/>
                <w:szCs w:val="21"/>
                <w:highlight w:val="none"/>
                <w:lang w:val="en-US" w:eastAsia="zh-CN"/>
              </w:rPr>
              <w:t>5</w:t>
            </w:r>
            <w:r>
              <w:rPr>
                <w:rFonts w:hint="eastAsia" w:hAnsi="宋体" w:eastAsia="宋体" w:cs="宋体"/>
                <w:color w:val="auto"/>
                <w:kern w:val="0"/>
                <w:sz w:val="21"/>
                <w:szCs w:val="21"/>
                <w:highlight w:val="none"/>
              </w:rPr>
              <w:t>个认证的得</w:t>
            </w:r>
            <w:r>
              <w:rPr>
                <w:rFonts w:hint="eastAsia" w:hAnsi="宋体" w:eastAsia="宋体" w:cs="宋体"/>
                <w:color w:val="auto"/>
                <w:kern w:val="0"/>
                <w:sz w:val="21"/>
                <w:szCs w:val="21"/>
                <w:highlight w:val="none"/>
                <w:lang w:val="en-US" w:eastAsia="zh-CN"/>
              </w:rPr>
              <w:t>1</w:t>
            </w:r>
            <w:r>
              <w:rPr>
                <w:rFonts w:hint="eastAsia" w:hAnsi="宋体" w:cs="宋体"/>
                <w:color w:val="auto"/>
                <w:kern w:val="0"/>
                <w:sz w:val="21"/>
                <w:szCs w:val="21"/>
                <w:highlight w:val="none"/>
                <w:lang w:val="en-US" w:eastAsia="zh-CN"/>
              </w:rPr>
              <w:t>5</w:t>
            </w:r>
            <w:r>
              <w:rPr>
                <w:rFonts w:hint="eastAsia" w:hAnsi="宋体" w:eastAsia="宋体" w:cs="宋体"/>
                <w:color w:val="auto"/>
                <w:kern w:val="0"/>
                <w:sz w:val="21"/>
                <w:szCs w:val="21"/>
                <w:highlight w:val="none"/>
              </w:rPr>
              <w:t>分；</w:t>
            </w:r>
          </w:p>
          <w:p>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eastAsia="宋体" w:cs="宋体"/>
                <w:color w:val="auto"/>
                <w:kern w:val="0"/>
                <w:sz w:val="21"/>
                <w:szCs w:val="21"/>
                <w:highlight w:val="none"/>
              </w:rPr>
              <w:t>2.获得其中</w:t>
            </w:r>
            <w:r>
              <w:rPr>
                <w:rFonts w:hint="eastAsia" w:hAnsi="宋体" w:eastAsia="宋体" w:cs="宋体"/>
                <w:color w:val="auto"/>
                <w:kern w:val="0"/>
                <w:sz w:val="21"/>
                <w:szCs w:val="21"/>
                <w:highlight w:val="none"/>
                <w:lang w:val="en-US" w:eastAsia="zh-CN"/>
              </w:rPr>
              <w:t>4</w:t>
            </w:r>
            <w:r>
              <w:rPr>
                <w:rFonts w:hint="eastAsia" w:hAnsi="宋体" w:eastAsia="宋体" w:cs="宋体"/>
                <w:color w:val="auto"/>
                <w:kern w:val="0"/>
                <w:sz w:val="21"/>
                <w:szCs w:val="21"/>
                <w:highlight w:val="none"/>
              </w:rPr>
              <w:t>个的得</w:t>
            </w:r>
            <w:r>
              <w:rPr>
                <w:rFonts w:hint="eastAsia" w:hAnsi="宋体" w:cs="宋体"/>
                <w:color w:val="auto"/>
                <w:kern w:val="0"/>
                <w:sz w:val="21"/>
                <w:szCs w:val="21"/>
                <w:highlight w:val="none"/>
                <w:lang w:val="en-US" w:eastAsia="zh-CN"/>
              </w:rPr>
              <w:t>10</w:t>
            </w:r>
            <w:r>
              <w:rPr>
                <w:rFonts w:hint="eastAsia" w:hAnsi="宋体" w:eastAsia="宋体" w:cs="宋体"/>
                <w:color w:val="auto"/>
                <w:kern w:val="0"/>
                <w:sz w:val="21"/>
                <w:szCs w:val="21"/>
                <w:highlight w:val="none"/>
              </w:rPr>
              <w:t>分；</w:t>
            </w:r>
          </w:p>
          <w:p>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eastAsia="宋体" w:cs="宋体"/>
                <w:color w:val="auto"/>
                <w:kern w:val="0"/>
                <w:sz w:val="21"/>
                <w:szCs w:val="21"/>
                <w:highlight w:val="none"/>
              </w:rPr>
              <w:t>3.获得其中</w:t>
            </w:r>
            <w:r>
              <w:rPr>
                <w:rFonts w:hint="eastAsia" w:hAnsi="宋体" w:eastAsia="宋体" w:cs="宋体"/>
                <w:color w:val="auto"/>
                <w:kern w:val="0"/>
                <w:sz w:val="21"/>
                <w:szCs w:val="21"/>
                <w:highlight w:val="none"/>
                <w:lang w:val="en-US" w:eastAsia="zh-CN"/>
              </w:rPr>
              <w:t>3</w:t>
            </w:r>
            <w:r>
              <w:rPr>
                <w:rFonts w:hint="eastAsia" w:hAnsi="宋体" w:eastAsia="宋体" w:cs="宋体"/>
                <w:color w:val="auto"/>
                <w:kern w:val="0"/>
                <w:sz w:val="21"/>
                <w:szCs w:val="21"/>
                <w:highlight w:val="none"/>
              </w:rPr>
              <w:t>个的得</w:t>
            </w:r>
            <w:r>
              <w:rPr>
                <w:rFonts w:hint="eastAsia" w:hAnsi="宋体" w:cs="宋体"/>
                <w:color w:val="auto"/>
                <w:kern w:val="0"/>
                <w:sz w:val="21"/>
                <w:szCs w:val="21"/>
                <w:highlight w:val="none"/>
                <w:lang w:val="en-US" w:eastAsia="zh-CN"/>
              </w:rPr>
              <w:t>5</w:t>
            </w:r>
            <w:r>
              <w:rPr>
                <w:rFonts w:hint="eastAsia" w:hAnsi="宋体" w:eastAsia="宋体" w:cs="宋体"/>
                <w:color w:val="auto"/>
                <w:kern w:val="0"/>
                <w:sz w:val="21"/>
                <w:szCs w:val="21"/>
                <w:highlight w:val="none"/>
              </w:rPr>
              <w:t>分</w:t>
            </w:r>
          </w:p>
          <w:p>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eastAsia="宋体" w:cs="宋体"/>
                <w:color w:val="auto"/>
                <w:kern w:val="0"/>
                <w:sz w:val="21"/>
                <w:szCs w:val="21"/>
                <w:highlight w:val="none"/>
                <w:lang w:val="en-US" w:eastAsia="zh-CN"/>
              </w:rPr>
              <w:t>4</w:t>
            </w:r>
            <w:r>
              <w:rPr>
                <w:rFonts w:hint="eastAsia" w:hAnsi="宋体" w:eastAsia="宋体" w:cs="宋体"/>
                <w:color w:val="auto"/>
                <w:kern w:val="0"/>
                <w:sz w:val="21"/>
                <w:szCs w:val="21"/>
                <w:highlight w:val="none"/>
              </w:rPr>
              <w:t>.获得其中</w:t>
            </w:r>
            <w:r>
              <w:rPr>
                <w:rFonts w:hint="eastAsia" w:hAnsi="宋体" w:eastAsia="宋体" w:cs="宋体"/>
                <w:color w:val="auto"/>
                <w:kern w:val="0"/>
                <w:sz w:val="21"/>
                <w:szCs w:val="21"/>
                <w:highlight w:val="none"/>
                <w:lang w:val="en-US" w:eastAsia="zh-CN"/>
              </w:rPr>
              <w:t>1-2</w:t>
            </w:r>
            <w:r>
              <w:rPr>
                <w:rFonts w:hint="eastAsia" w:hAnsi="宋体" w:eastAsia="宋体" w:cs="宋体"/>
                <w:color w:val="auto"/>
                <w:kern w:val="0"/>
                <w:sz w:val="21"/>
                <w:szCs w:val="21"/>
                <w:highlight w:val="none"/>
              </w:rPr>
              <w:t>个的得</w:t>
            </w:r>
            <w:r>
              <w:rPr>
                <w:rFonts w:hint="eastAsia" w:hAnsi="宋体" w:eastAsia="宋体" w:cs="宋体"/>
                <w:color w:val="auto"/>
                <w:kern w:val="0"/>
                <w:sz w:val="21"/>
                <w:szCs w:val="21"/>
                <w:highlight w:val="none"/>
                <w:lang w:val="en-US" w:eastAsia="zh-CN"/>
              </w:rPr>
              <w:t>1</w:t>
            </w:r>
            <w:r>
              <w:rPr>
                <w:rFonts w:hint="eastAsia" w:hAnsi="宋体" w:eastAsia="宋体" w:cs="宋体"/>
                <w:color w:val="auto"/>
                <w:kern w:val="0"/>
                <w:sz w:val="21"/>
                <w:szCs w:val="21"/>
                <w:highlight w:val="none"/>
              </w:rPr>
              <w:t>分</w:t>
            </w:r>
          </w:p>
          <w:p>
            <w:pPr>
              <w:keepNext w:val="0"/>
              <w:keepLines w:val="0"/>
              <w:widowControl/>
              <w:suppressLineNumbers w:val="0"/>
              <w:spacing w:before="0" w:beforeAutospacing="0" w:after="0" w:afterAutospacing="0" w:line="360" w:lineRule="exact"/>
              <w:ind w:left="0" w:right="0"/>
              <w:rPr>
                <w:rFonts w:hint="eastAsia" w:hAnsi="宋体" w:eastAsia="宋体" w:cs="宋体"/>
                <w:color w:val="auto"/>
                <w:kern w:val="0"/>
                <w:sz w:val="21"/>
                <w:szCs w:val="21"/>
                <w:highlight w:val="none"/>
              </w:rPr>
            </w:pPr>
            <w:r>
              <w:rPr>
                <w:rFonts w:hint="eastAsia" w:hAnsi="宋体" w:cs="宋体"/>
                <w:color w:val="auto"/>
                <w:kern w:val="0"/>
                <w:sz w:val="21"/>
                <w:szCs w:val="21"/>
                <w:highlight w:val="none"/>
                <w:lang w:val="en-US" w:eastAsia="zh-CN"/>
              </w:rPr>
              <w:t>5.</w:t>
            </w:r>
            <w:r>
              <w:rPr>
                <w:rFonts w:hint="eastAsia" w:hAnsi="宋体" w:eastAsia="宋体" w:cs="宋体"/>
                <w:color w:val="auto"/>
                <w:kern w:val="0"/>
                <w:sz w:val="21"/>
                <w:szCs w:val="21"/>
                <w:highlight w:val="none"/>
              </w:rPr>
              <w:t>未获得以上认证的，不予计分。</w:t>
            </w:r>
          </w:p>
          <w:p>
            <w:pPr>
              <w:keepNext w:val="0"/>
              <w:keepLines w:val="0"/>
              <w:widowControl/>
              <w:suppressLineNumbers w:val="0"/>
              <w:spacing w:before="0" w:beforeAutospacing="0" w:after="0" w:afterAutospacing="0" w:line="360" w:lineRule="auto"/>
              <w:ind w:left="0" w:leftChars="0" w:right="0" w:rightChars="0"/>
              <w:rPr>
                <w:rFonts w:hint="eastAsia" w:hAnsi="宋体" w:cs="宋体"/>
                <w:color w:val="auto"/>
                <w:sz w:val="21"/>
                <w:szCs w:val="21"/>
                <w:highlight w:val="none"/>
              </w:rPr>
            </w:pPr>
            <w:r>
              <w:rPr>
                <w:rFonts w:hint="eastAsia" w:hAnsi="宋体" w:eastAsia="宋体" w:cs="宋体"/>
                <w:color w:val="auto"/>
                <w:kern w:val="0"/>
                <w:sz w:val="21"/>
                <w:szCs w:val="21"/>
                <w:highlight w:val="none"/>
              </w:rPr>
              <w:t>注：本项最高得</w:t>
            </w:r>
            <w:r>
              <w:rPr>
                <w:rFonts w:hint="eastAsia" w:hAnsi="宋体" w:cs="宋体"/>
                <w:color w:val="auto"/>
                <w:kern w:val="0"/>
                <w:sz w:val="21"/>
                <w:szCs w:val="21"/>
                <w:highlight w:val="none"/>
                <w:lang w:val="en-US" w:eastAsia="zh-CN"/>
              </w:rPr>
              <w:t>15</w:t>
            </w:r>
            <w:r>
              <w:rPr>
                <w:rFonts w:hint="eastAsia" w:hAnsi="宋体" w:eastAsia="宋体" w:cs="宋体"/>
                <w:color w:val="auto"/>
                <w:kern w:val="0"/>
                <w:sz w:val="21"/>
                <w:szCs w:val="21"/>
                <w:highlight w:val="none"/>
              </w:rPr>
              <w:t>分。</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需附在有效期内的认证证书彩色扫描件（或打印件）。同时需提供国家认证认可监督管理委员会官网查询截图，否则不得分</w:t>
            </w:r>
            <w:r>
              <w:rPr>
                <w:rFonts w:hint="eastAsia" w:ascii="宋体" w:hAnsi="宋体" w:eastAsia="宋体" w:cs="宋体"/>
                <w:color w:val="auto"/>
                <w:kern w:val="0"/>
                <w:sz w:val="21"/>
                <w:szCs w:val="21"/>
                <w:highlight w:val="none"/>
              </w:rPr>
              <w:t>。</w:t>
            </w:r>
          </w:p>
          <w:p>
            <w:pPr>
              <w:pStyle w:val="8"/>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证书有效性在国家认证认可监督管理委员会官网（http://www.cnca.gov.cn/)可查。</w:t>
            </w:r>
          </w:p>
          <w:p>
            <w:pPr>
              <w:pStyle w:val="8"/>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.认证证书有以下情形之一的，该认证证书视为无效，不予计分：</w:t>
            </w:r>
          </w:p>
          <w:p>
            <w:pPr>
              <w:pStyle w:val="8"/>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①未提供认证证书彩色扫描件和国家认证认可监督管理委员会官网查询截图的；</w:t>
            </w:r>
          </w:p>
          <w:p>
            <w:pPr>
              <w:pStyle w:val="8"/>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②认证证书不在有效期内的；</w:t>
            </w:r>
          </w:p>
          <w:p>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③获证时间不符合要求的</w:t>
            </w:r>
            <w:r>
              <w:rPr>
                <w:rFonts w:hint="eastAsia" w:ascii="宋体" w:hAnsi="宋体" w:eastAsia="宋体" w:cs="宋体"/>
                <w:color w:val="auto"/>
                <w:sz w:val="21"/>
                <w:szCs w:val="21"/>
                <w:highlight w:val="none"/>
              </w:rPr>
              <w:t>。</w:t>
            </w:r>
          </w:p>
          <w:p>
            <w:pPr>
              <w:keepNext w:val="0"/>
              <w:keepLines w:val="0"/>
              <w:widowControl/>
              <w:suppressLineNumbers w:val="0"/>
              <w:spacing w:before="0" w:beforeAutospacing="0" w:after="0" w:afterAutospacing="0" w:line="360" w:lineRule="auto"/>
              <w:ind w:left="0" w:leftChars="0" w:right="0" w:rightChars="0"/>
              <w:rPr>
                <w:rFonts w:hint="eastAsia" w:hAnsi="宋体" w:cs="宋体"/>
                <w:snapToGrid w:val="0"/>
                <w:color w:val="auto"/>
                <w:kern w:val="0"/>
                <w:sz w:val="21"/>
                <w:szCs w:val="21"/>
                <w:highlight w:val="none"/>
              </w:rPr>
            </w:pPr>
          </w:p>
        </w:tc>
      </w:tr>
      <w:tr>
        <w:tblPrEx>
          <w:tblCellMar>
            <w:top w:w="0" w:type="dxa"/>
            <w:left w:w="108" w:type="dxa"/>
            <w:bottom w:w="0" w:type="dxa"/>
            <w:right w:w="108" w:type="dxa"/>
          </w:tblCellMar>
        </w:tblPrEx>
        <w:trPr>
          <w:trHeight w:val="814"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财务状况</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5</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pStyle w:val="33"/>
              <w:keepNext w:val="0"/>
              <w:keepLines w:val="0"/>
              <w:numPr>
                <w:ilvl w:val="0"/>
                <w:numId w:val="0"/>
              </w:numPr>
              <w:suppressLineNumbers w:val="0"/>
              <w:wordWrap w:val="0"/>
              <w:adjustRightInd w:val="0"/>
              <w:snapToGrid w:val="0"/>
              <w:spacing w:before="0" w:beforeAutospacing="0" w:after="0" w:afterAutospacing="0" w:line="400" w:lineRule="exact"/>
              <w:ind w:left="0" w:right="0" w:right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提供不少于</w:t>
            </w:r>
            <w:r>
              <w:rPr>
                <w:rFonts w:hint="eastAsia" w:ascii="宋体" w:hAnsi="宋体" w:eastAsia="宋体" w:cs="宋体"/>
                <w:snapToGrid w:val="0"/>
                <w:color w:val="auto"/>
                <w:kern w:val="0"/>
                <w:sz w:val="21"/>
                <w:szCs w:val="21"/>
                <w:highlight w:val="none"/>
                <w:u w:val="single"/>
                <w:lang w:val="en-US" w:eastAsia="zh-CN"/>
              </w:rPr>
              <w:t xml:space="preserve"> 200</w:t>
            </w:r>
            <w:r>
              <w:rPr>
                <w:rFonts w:hint="eastAsia" w:ascii="宋体" w:hAnsi="宋体" w:eastAsia="宋体" w:cs="宋体"/>
                <w:snapToGrid w:val="0"/>
                <w:color w:val="auto"/>
                <w:kern w:val="0"/>
                <w:sz w:val="21"/>
                <w:szCs w:val="21"/>
                <w:highlight w:val="none"/>
              </w:rPr>
              <w:t>万元银行授信证明的，得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1．需附在有效期内的有关证明电子扫描件。</w:t>
            </w:r>
          </w:p>
          <w:p>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2．银行授信证明有以下情形之一的，视为无效，不予计分：</w:t>
            </w:r>
          </w:p>
          <w:p>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①授信证明不在有效期内的；</w:t>
            </w:r>
          </w:p>
          <w:p>
            <w:pPr>
              <w:pStyle w:val="8"/>
              <w:keepNext w:val="0"/>
              <w:keepLines w:val="0"/>
              <w:widowControl/>
              <w:suppressLineNumbers w:val="0"/>
              <w:wordWrap/>
              <w:adjustRightInd/>
              <w:snapToGrid/>
              <w:spacing w:before="0" w:beforeAutospacing="0" w:after="0" w:afterAutospacing="0" w:line="400" w:lineRule="exact"/>
              <w:ind w:left="0" w:right="0"/>
              <w:jc w:val="left"/>
              <w:rPr>
                <w:rFonts w:hint="eastAsia"/>
                <w:color w:val="auto"/>
                <w:highlight w:val="none"/>
              </w:rPr>
            </w:pPr>
            <w:r>
              <w:rPr>
                <w:rFonts w:hint="eastAsia" w:hAnsi="宋体" w:cs="宋体"/>
                <w:snapToGrid w:val="0"/>
                <w:color w:val="auto"/>
                <w:kern w:val="0"/>
                <w:sz w:val="21"/>
                <w:szCs w:val="21"/>
                <w:highlight w:val="none"/>
              </w:rPr>
              <w:t>②授信额度不符合要求的；</w:t>
            </w:r>
          </w:p>
        </w:tc>
      </w:tr>
      <w:tr>
        <w:tblPrEx>
          <w:tblCellMar>
            <w:top w:w="0" w:type="dxa"/>
            <w:left w:w="108" w:type="dxa"/>
            <w:bottom w:w="0" w:type="dxa"/>
            <w:right w:w="108" w:type="dxa"/>
          </w:tblCellMar>
        </w:tblPrEx>
        <w:trPr>
          <w:trHeight w:val="814" w:hRule="atLeast"/>
          <w:jc w:val="center"/>
        </w:trPr>
        <w:tc>
          <w:tcPr>
            <w:tcW w:w="1203" w:type="dxa"/>
            <w:vMerge w:val="restart"/>
            <w:tcBorders>
              <w:top w:val="single" w:color="auto" w:sz="4" w:space="0"/>
              <w:left w:val="single" w:color="auto" w:sz="4" w:space="0"/>
              <w:bottom w:val="single" w:color="auto" w:sz="4" w:space="0"/>
              <w:right w:val="single" w:color="auto" w:sz="4" w:space="0"/>
            </w:tcBorders>
            <w:noWrap w:val="0"/>
            <w:vAlign w:val="center"/>
          </w:tcPr>
          <w:p>
            <w:pPr>
              <w:pStyle w:val="16"/>
              <w:keepNext w:val="0"/>
              <w:keepLines w:val="0"/>
              <w:widowControl/>
              <w:suppressLineNumbers w:val="0"/>
              <w:spacing w:before="0" w:beforeAutospacing="0" w:after="0" w:afterAutospacing="0"/>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招标人自选项</w:t>
            </w:r>
          </w:p>
          <w:p>
            <w:pPr>
              <w:pStyle w:val="8"/>
              <w:keepNext w:val="0"/>
              <w:keepLines w:val="0"/>
              <w:widowControl/>
              <w:suppressLineNumbers w:val="0"/>
              <w:wordWrap w:val="0"/>
              <w:adjustRightInd w:val="0"/>
              <w:snapToGrid w:val="0"/>
              <w:spacing w:before="0" w:beforeAutospacing="0" w:after="0" w:afterAutospacing="0"/>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leftChars="0" w:right="0" w:rightChars="0"/>
              <w:jc w:val="lef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SA"/>
              </w:rPr>
              <w:t>技术负责人具备注册土木工程师(岩土)注册执业证书的得5分，本小项最高得</w:t>
            </w:r>
            <w:r>
              <w:rPr>
                <w:rFonts w:hint="eastAsia" w:hAnsi="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en-US" w:eastAsia="zh-CN" w:bidi="ar-SA"/>
              </w:rPr>
              <w:t>分。</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spacing w:before="0" w:beforeAutospacing="0" w:after="0" w:afterAutospacing="0" w:line="400" w:lineRule="exact"/>
              <w:ind w:left="0" w:right="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1．需附有效的有关证明彩色扫描件（或打印件）。</w:t>
            </w:r>
          </w:p>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leftChars="0" w:right="0" w:rightChars="0"/>
              <w:jc w:val="center"/>
              <w:textAlignment w:val="auto"/>
              <w:rPr>
                <w:rFonts w:hint="eastAsia" w:ascii="宋体" w:hAnsi="宋体" w:eastAsia="宋体" w:cs="宋体"/>
                <w:snapToGrid w:val="0"/>
                <w:color w:val="auto"/>
                <w:kern w:val="0"/>
                <w:sz w:val="21"/>
                <w:szCs w:val="21"/>
                <w:highlight w:val="none"/>
              </w:rPr>
            </w:pPr>
            <w:r>
              <w:rPr>
                <w:rFonts w:hint="eastAsia" w:hAnsi="宋体" w:cs="宋体"/>
                <w:color w:val="auto"/>
                <w:kern w:val="0"/>
                <w:sz w:val="21"/>
                <w:szCs w:val="21"/>
                <w:highlight w:val="none"/>
              </w:rPr>
              <w:t>2．不符合评分标准和备注规定的，不计分。</w:t>
            </w:r>
          </w:p>
        </w:tc>
      </w:tr>
      <w:tr>
        <w:tblPrEx>
          <w:tblCellMar>
            <w:top w:w="0" w:type="dxa"/>
            <w:left w:w="108" w:type="dxa"/>
            <w:bottom w:w="0" w:type="dxa"/>
            <w:right w:w="108" w:type="dxa"/>
          </w:tblCellMar>
        </w:tblPrEx>
        <w:trPr>
          <w:trHeight w:val="2600" w:hRule="atLeast"/>
          <w:jc w:val="center"/>
        </w:trPr>
        <w:tc>
          <w:tcPr>
            <w:tcW w:w="120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p>
        </w:tc>
        <w:tc>
          <w:tcPr>
            <w:tcW w:w="3900"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20</w:t>
            </w:r>
            <w:r>
              <w:rPr>
                <w:rFonts w:hint="eastAsia" w:hAnsi="宋体" w:cs="宋体"/>
                <w:snapToGrid w:val="0"/>
                <w:color w:val="auto"/>
                <w:kern w:val="0"/>
                <w:sz w:val="21"/>
                <w:szCs w:val="21"/>
                <w:highlight w:val="none"/>
                <w:lang w:val="en-US" w:eastAsia="zh-CN" w:bidi="ar-SA"/>
              </w:rPr>
              <w:t>20</w:t>
            </w:r>
            <w:r>
              <w:rPr>
                <w:rFonts w:hint="eastAsia" w:ascii="宋体" w:hAnsi="宋体" w:eastAsia="宋体" w:cs="宋体"/>
                <w:snapToGrid w:val="0"/>
                <w:color w:val="auto"/>
                <w:kern w:val="0"/>
                <w:sz w:val="21"/>
                <w:szCs w:val="21"/>
                <w:highlight w:val="none"/>
                <w:lang w:val="en-US" w:eastAsia="zh-CN" w:bidi="ar-SA"/>
              </w:rPr>
              <w:t>年1月1日至今投标人未发生事故等级为一般事故及以上的生产安全事故、一般质量事故及以上的工程质量事故的，得</w:t>
            </w:r>
            <w:r>
              <w:rPr>
                <w:rFonts w:hint="eastAsia" w:hAnsi="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en-US" w:eastAsia="zh-CN" w:bidi="ar-SA"/>
              </w:rPr>
              <w:t>分；</w:t>
            </w:r>
          </w:p>
          <w:p>
            <w:pPr>
              <w:pStyle w:val="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right="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2.其他情形的，不予计分。</w:t>
            </w:r>
          </w:p>
          <w:p>
            <w:pPr>
              <w:pStyle w:val="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400" w:lineRule="exact"/>
              <w:ind w:left="0" w:leftChars="0" w:right="0" w:rightChars="0"/>
              <w:textAlignment w:val="auto"/>
              <w:rPr>
                <w:rFonts w:hint="eastAsia"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bidi="ar-SA"/>
              </w:rPr>
              <w:t>3.本项最高得5分。</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1.需提供本单位承诺书（格式自定）并加盖本单位公章。</w:t>
            </w:r>
          </w:p>
          <w:p>
            <w:pPr>
              <w:keepNext w:val="0"/>
              <w:keepLines w:val="0"/>
              <w:widowControl/>
              <w:suppressLineNumbers w:val="0"/>
              <w:spacing w:before="0" w:beforeAutospacing="0" w:after="0" w:afterAutospacing="0"/>
              <w:ind w:left="0" w:leftChars="0" w:right="0" w:rightChars="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2.未提供本单位承诺书并加盖本单位公章的，按第2项标准处理。</w:t>
            </w:r>
          </w:p>
        </w:tc>
      </w:tr>
      <w:tr>
        <w:tblPrEx>
          <w:tblCellMar>
            <w:top w:w="0" w:type="dxa"/>
            <w:left w:w="108" w:type="dxa"/>
            <w:bottom w:w="0" w:type="dxa"/>
            <w:right w:w="108" w:type="dxa"/>
          </w:tblCellMar>
        </w:tblPrEx>
        <w:trPr>
          <w:trHeight w:val="709" w:hRule="exact"/>
          <w:jc w:val="center"/>
        </w:trPr>
        <w:tc>
          <w:tcPr>
            <w:tcW w:w="9521"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pPr>
              <w:pStyle w:val="8"/>
              <w:keepNext w:val="0"/>
              <w:keepLines w:val="0"/>
              <w:widowControl/>
              <w:suppressLineNumbers w:val="0"/>
              <w:wordWrap w:val="0"/>
              <w:adjustRightInd w:val="0"/>
              <w:snapToGrid w:val="0"/>
              <w:spacing w:before="0" w:beforeAutospacing="0" w:after="0" w:afterAutospacing="0" w:line="44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技术部分（施工组织设计），满分：</w:t>
            </w:r>
            <w:r>
              <w:rPr>
                <w:rFonts w:hint="eastAsia" w:hAnsi="宋体" w:cs="宋体"/>
                <w:snapToGrid w:val="0"/>
                <w:color w:val="auto"/>
                <w:kern w:val="0"/>
                <w:sz w:val="21"/>
                <w:szCs w:val="21"/>
                <w:highlight w:val="none"/>
                <w:u w:val="single"/>
              </w:rPr>
              <w:t xml:space="preserve">  20  </w:t>
            </w:r>
            <w:r>
              <w:rPr>
                <w:rFonts w:hint="eastAsia" w:hAnsi="宋体" w:cs="宋体"/>
                <w:snapToGrid w:val="0"/>
                <w:color w:val="auto"/>
                <w:kern w:val="0"/>
                <w:sz w:val="21"/>
                <w:szCs w:val="21"/>
                <w:highlight w:val="none"/>
              </w:rPr>
              <w:t>分。</w:t>
            </w:r>
          </w:p>
        </w:tc>
      </w:tr>
      <w:tr>
        <w:tblPrEx>
          <w:tblCellMar>
            <w:top w:w="0" w:type="dxa"/>
            <w:left w:w="108" w:type="dxa"/>
            <w:bottom w:w="0" w:type="dxa"/>
            <w:right w:w="108" w:type="dxa"/>
          </w:tblCellMar>
        </w:tblPrEx>
        <w:trPr>
          <w:trHeight w:val="670" w:hRule="exac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评分因素</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评分标准</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备注</w:t>
            </w:r>
          </w:p>
        </w:tc>
      </w:tr>
      <w:tr>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56"/>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总体概述</w:t>
            </w:r>
          </w:p>
          <w:p>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u w:val="single"/>
              </w:rPr>
              <w:t xml:space="preserve"> 3 </w:t>
            </w:r>
            <w:r>
              <w:rPr>
                <w:rFonts w:hint="eastAsia" w:hAnsi="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【良】对项目总体有一定认识，表述清晰、完整，措施具体有效；施工段划分呼应总体表述，划分清晰，符合规范要求。</w:t>
            </w:r>
          </w:p>
          <w:p>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【中】对项目总体有认识，有一定的措施但部分不具体；施工段划分较合理，符合规范要求。</w:t>
            </w:r>
          </w:p>
          <w:p>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【差】对项目认识不足，表述不清晰，措施不具体；施工段划分不合理。</w:t>
            </w:r>
          </w:p>
        </w:tc>
      </w:tr>
      <w:tr>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3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4</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【优】应用新技术、新工艺、新材料、新设备，针对项目实际提出先进、可行、具体的保证措施。超过招标文件的质量要求。</w:t>
            </w:r>
          </w:p>
          <w:p>
            <w:pPr>
              <w:keepNext w:val="0"/>
              <w:keepLines w:val="0"/>
              <w:widowControl/>
              <w:suppressLineNumbers w:val="0"/>
              <w:spacing w:before="0" w:beforeAutospacing="0" w:after="0" w:afterAutospacing="0"/>
              <w:ind w:left="0" w:right="0"/>
              <w:rPr>
                <w:rFonts w:hint="default"/>
                <w:color w:val="auto"/>
                <w:sz w:val="21"/>
                <w:szCs w:val="21"/>
                <w:highlight w:val="none"/>
              </w:rPr>
            </w:pPr>
          </w:p>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【良】针对项目实际提出先进、可行、具体的保证措施。满足招标文件的质量要求</w:t>
            </w:r>
          </w:p>
          <w:p>
            <w:pPr>
              <w:keepNext w:val="0"/>
              <w:keepLines w:val="0"/>
              <w:widowControl/>
              <w:suppressLineNumbers w:val="0"/>
              <w:spacing w:before="0" w:beforeAutospacing="0" w:after="0" w:afterAutospacing="0"/>
              <w:ind w:left="0" w:right="0"/>
              <w:rPr>
                <w:rFonts w:hint="default"/>
                <w:color w:val="auto"/>
                <w:sz w:val="21"/>
                <w:szCs w:val="21"/>
                <w:highlight w:val="none"/>
              </w:rPr>
            </w:pPr>
          </w:p>
          <w:p>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【中】具体措施可行。满足招标文件的质量要求。</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p>
        </w:tc>
      </w:tr>
      <w:tr>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安全防护、</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文明施工</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措施计划</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tblPrEx>
          <w:tblCellMar>
            <w:top w:w="0" w:type="dxa"/>
            <w:left w:w="108" w:type="dxa"/>
            <w:bottom w:w="0" w:type="dxa"/>
            <w:right w:w="108" w:type="dxa"/>
          </w:tblCellMar>
        </w:tblPrEx>
        <w:trPr>
          <w:trHeight w:val="457"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8" w:type="dxa"/>
            <w:tcBorders>
              <w:top w:val="single" w:color="auto" w:sz="4" w:space="0"/>
              <w:left w:val="single" w:color="auto" w:sz="4" w:space="0"/>
              <w:bottom w:val="single" w:color="auto" w:sz="4" w:space="0"/>
              <w:right w:val="single" w:color="auto" w:sz="4" w:space="0"/>
            </w:tcBorders>
            <w:noWrap w:val="0"/>
            <w:vAlign w:val="center"/>
          </w:tcPr>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【良】组织机构形式合理，指挥系统，生产及质量、绿色施工、安全、文明施工、创优达标监控系统、联络协调系统齐全。</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w:t>
            </w:r>
          </w:p>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w:t>
            </w:r>
          </w:p>
        </w:tc>
      </w:tr>
      <w:tr>
        <w:tblPrEx>
          <w:tblCellMar>
            <w:top w:w="0" w:type="dxa"/>
            <w:left w:w="108" w:type="dxa"/>
            <w:bottom w:w="0" w:type="dxa"/>
            <w:right w:w="108" w:type="dxa"/>
          </w:tblCellMar>
        </w:tblPrEx>
        <w:trPr>
          <w:trHeight w:val="493" w:hRule="atLeast"/>
          <w:jc w:val="center"/>
        </w:trPr>
        <w:tc>
          <w:tcPr>
            <w:tcW w:w="9521" w:type="dxa"/>
            <w:gridSpan w:val="3"/>
            <w:tcBorders>
              <w:top w:val="single" w:color="auto" w:sz="4" w:space="0"/>
              <w:left w:val="single" w:color="auto" w:sz="4" w:space="0"/>
              <w:bottom w:val="single" w:color="auto" w:sz="4" w:space="0"/>
              <w:right w:val="single" w:color="auto" w:sz="4" w:space="0"/>
            </w:tcBorders>
            <w:noWrap w:val="0"/>
            <w:vAlign w:val="center"/>
          </w:tcPr>
          <w:p>
            <w:pPr>
              <w:pStyle w:val="34"/>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投标报价部分，满分：100分。</w:t>
            </w:r>
          </w:p>
        </w:tc>
      </w:tr>
      <w:tr>
        <w:tblPrEx>
          <w:tblCellMar>
            <w:top w:w="0" w:type="dxa"/>
            <w:left w:w="108" w:type="dxa"/>
            <w:bottom w:w="0" w:type="dxa"/>
            <w:right w:w="108" w:type="dxa"/>
          </w:tblCellMar>
        </w:tblPrEx>
        <w:trPr>
          <w:trHeight w:val="494"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评分事项</w:t>
            </w:r>
          </w:p>
        </w:tc>
        <w:tc>
          <w:tcPr>
            <w:tcW w:w="8318" w:type="dxa"/>
            <w:gridSpan w:val="2"/>
            <w:tcBorders>
              <w:top w:val="single" w:color="auto" w:sz="4" w:space="0"/>
              <w:left w:val="single" w:color="auto" w:sz="4" w:space="0"/>
              <w:bottom w:val="single" w:color="auto" w:sz="4" w:space="0"/>
              <w:right w:val="single" w:color="auto" w:sz="4" w:space="0"/>
            </w:tcBorders>
            <w:noWrap w:val="0"/>
            <w:vAlign w:val="center"/>
          </w:tcPr>
          <w:p>
            <w:pPr>
              <w:pStyle w:val="34"/>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评分方法</w:t>
            </w:r>
          </w:p>
        </w:tc>
      </w:tr>
      <w:tr>
        <w:tblPrEx>
          <w:tblCellMar>
            <w:top w:w="0" w:type="dxa"/>
            <w:left w:w="108" w:type="dxa"/>
            <w:bottom w:w="0" w:type="dxa"/>
            <w:right w:w="108" w:type="dxa"/>
          </w:tblCellMar>
        </w:tblPrEx>
        <w:trPr>
          <w:trHeight w:val="1408" w:hRule="atLeast"/>
          <w:jc w:val="center"/>
        </w:trPr>
        <w:tc>
          <w:tcPr>
            <w:tcW w:w="1203"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评标基准价D</w:t>
            </w:r>
          </w:p>
        </w:tc>
        <w:tc>
          <w:tcPr>
            <w:tcW w:w="83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5"/>
              </w:numPr>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color w:val="auto"/>
                <w:sz w:val="21"/>
                <w:szCs w:val="21"/>
                <w:highlight w:val="none"/>
              </w:rPr>
            </w:pPr>
            <w:r>
              <w:rPr>
                <w:rFonts w:hint="eastAsia" w:hAnsi="宋体" w:cs="宋体"/>
                <w:snapToGrid w:val="0"/>
                <w:color w:val="auto"/>
                <w:kern w:val="0"/>
                <w:sz w:val="21"/>
                <w:szCs w:val="21"/>
                <w:highlight w:val="none"/>
              </w:rPr>
              <w:t>确定招标控制价下浮系数n：用1～21号球分别代表一个下浮系数，由评委代表从这21个号码中随机抽取</w:t>
            </w:r>
            <w:r>
              <w:rPr>
                <w:rFonts w:hint="eastAsia" w:hAnsi="宋体" w:cs="宋体"/>
                <w:snapToGrid w:val="0"/>
                <w:color w:val="auto"/>
                <w:kern w:val="0"/>
                <w:sz w:val="21"/>
                <w:szCs w:val="21"/>
                <w:highlight w:val="none"/>
                <w:u w:val="single"/>
              </w:rPr>
              <w:t xml:space="preserve"> 3 </w:t>
            </w:r>
            <w:r>
              <w:rPr>
                <w:rFonts w:hint="eastAsia" w:hAnsi="宋体" w:cs="宋体"/>
                <w:snapToGrid w:val="0"/>
                <w:color w:val="auto"/>
                <w:kern w:val="0"/>
                <w:sz w:val="21"/>
                <w:szCs w:val="21"/>
                <w:highlight w:val="none"/>
              </w:rPr>
              <w:t>次，每次抽取1个号码，抽出的号球不参与下次抽取。所抽取的3个号码对应下浮系数的算术平均值作为招标控制价下浮系数n。具体号码对应的下浮系数见下表。</w:t>
            </w:r>
          </w:p>
          <w:tbl>
            <w:tblPr>
              <w:tblStyle w:val="20"/>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b/>
                      <w:snapToGrid w:val="0"/>
                      <w:color w:val="auto"/>
                      <w:kern w:val="0"/>
                      <w:sz w:val="21"/>
                      <w:szCs w:val="21"/>
                      <w:highlight w:val="none"/>
                    </w:rPr>
                  </w:pPr>
                  <w:r>
                    <w:rPr>
                      <w:rFonts w:hint="eastAsia" w:hAnsi="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0.6</w:t>
                  </w:r>
                </w:p>
              </w:tc>
            </w:tr>
            <w:tr>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b/>
                      <w:snapToGrid w:val="0"/>
                      <w:color w:val="auto"/>
                      <w:kern w:val="0"/>
                      <w:sz w:val="21"/>
                      <w:szCs w:val="21"/>
                      <w:highlight w:val="none"/>
                    </w:rPr>
                  </w:pPr>
                  <w:r>
                    <w:rPr>
                      <w:rFonts w:hint="eastAsia" w:hAnsi="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1.3</w:t>
                  </w:r>
                </w:p>
              </w:tc>
            </w:tr>
            <w:tr>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b/>
                      <w:snapToGrid w:val="0"/>
                      <w:color w:val="auto"/>
                      <w:kern w:val="0"/>
                      <w:sz w:val="21"/>
                      <w:szCs w:val="21"/>
                      <w:highlight w:val="none"/>
                    </w:rPr>
                  </w:pPr>
                  <w:r>
                    <w:rPr>
                      <w:rFonts w:hint="eastAsia" w:hAnsi="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color w:val="auto"/>
                      <w:sz w:val="21"/>
                      <w:szCs w:val="21"/>
                      <w:highlight w:val="none"/>
                    </w:rPr>
                  </w:pPr>
                  <w:r>
                    <w:rPr>
                      <w:rFonts w:hint="eastAsia" w:hAnsi="宋体" w:cs="宋体"/>
                      <w:snapToGrid w:val="0"/>
                      <w:color w:val="auto"/>
                      <w:kern w:val="0"/>
                      <w:sz w:val="21"/>
                      <w:szCs w:val="21"/>
                      <w:highlight w:val="none"/>
                      <w:lang w:val="en-US" w:eastAsia="zh-CN"/>
                    </w:rPr>
                    <w:t>2</w:t>
                  </w:r>
                </w:p>
              </w:tc>
            </w:tr>
          </w:tbl>
          <w:p>
            <w:pPr>
              <w:pStyle w:val="34"/>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（2）评标价D＝招标控制价×（1－n）</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4" w:hRule="exact"/>
          <w:jc w:val="center"/>
        </w:trPr>
        <w:tc>
          <w:tcPr>
            <w:tcW w:w="12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pPr>
              <w:pStyle w:val="57"/>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8318"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采用内插法计算某投标人的投标报价得分N，即当投标人的投标总价等于评标基准价时得100分，每高于评标基准价一个百分点扣1分, 每低于评标基准价一个百分点扣0.5分，扣完为止。公式如下：</w:t>
            </w:r>
          </w:p>
          <w:p>
            <w:pPr>
              <w:keepNext w:val="0"/>
              <w:keepLines w:val="0"/>
              <w:widowControl/>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N＝100－（| Di－D | ÷D）×100×E</w:t>
            </w:r>
          </w:p>
          <w:p>
            <w:pPr>
              <w:keepNext w:val="0"/>
              <w:keepLines w:val="0"/>
              <w:widowControl/>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式中：D为评标基准价；Di为某投标人的投标总价；E为扣分因子，当Di＞D时，E＝1；当Di＜D时，E＝0.5。</w:t>
            </w:r>
          </w:p>
        </w:tc>
      </w:tr>
    </w:tbl>
    <w:p>
      <w:pPr>
        <w:spacing w:line="440" w:lineRule="exact"/>
        <w:ind w:left="0" w:leftChars="0" w:firstLine="421" w:firstLineChars="200"/>
        <w:rPr>
          <w:rFonts w:hint="eastAsia" w:ascii="宋体" w:hAnsi="宋体" w:eastAsia="宋体" w:cs="宋体"/>
          <w:b/>
          <w:bCs/>
          <w:color w:val="auto"/>
          <w:sz w:val="21"/>
          <w:szCs w:val="21"/>
          <w:highlight w:val="none"/>
          <w:u w:val="double"/>
        </w:rPr>
      </w:pPr>
      <w:r>
        <w:rPr>
          <w:rFonts w:hint="eastAsia"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u w:val="double"/>
        </w:rPr>
        <w:t>评分如出现小数点，则保留小数点后两位，第三位四舍五入。</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b/>
          <w:bCs/>
          <w:snapToGrid w:val="0"/>
          <w:color w:val="auto"/>
          <w:kern w:val="0"/>
          <w:sz w:val="21"/>
          <w:szCs w:val="21"/>
          <w:highlight w:val="none"/>
        </w:rPr>
      </w:pP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15.5.2 否决投标说明</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详细评审阶段否决投标的全部条件，在本章第四节“否决投标条件”第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b/>
          <w:bCs/>
          <w:color w:val="auto"/>
          <w:sz w:val="21"/>
          <w:szCs w:val="21"/>
          <w:highlight w:val="none"/>
        </w:rPr>
      </w:pPr>
      <w:bookmarkStart w:id="155" w:name="_Toc21502"/>
      <w:bookmarkStart w:id="156" w:name="_Toc19642"/>
      <w:bookmarkStart w:id="157" w:name="_Toc9095"/>
      <w:bookmarkStart w:id="158" w:name="_Toc4008"/>
      <w:bookmarkStart w:id="159" w:name="_Toc17835"/>
      <w:bookmarkStart w:id="160" w:name="_Toc30413"/>
      <w:bookmarkStart w:id="161" w:name="_Toc1471"/>
      <w:bookmarkStart w:id="162" w:name="_Toc3180"/>
      <w:bookmarkStart w:id="163" w:name="_Toc12478"/>
      <w:r>
        <w:rPr>
          <w:rFonts w:hint="eastAsia"/>
          <w:b/>
          <w:bCs/>
          <w:color w:val="auto"/>
          <w:sz w:val="21"/>
          <w:szCs w:val="21"/>
          <w:highlight w:val="none"/>
        </w:rPr>
        <w:t>注：投标人在详细评审阶段根据评分方法提供的佐证材料，其合法性、有效性和准确性不符合要求的，有关量化因素（或评分标准）的折算、调整（或评分）按相应量化标准（或评分标准）处理，但不否决投标。</w:t>
      </w:r>
      <w:bookmarkEnd w:id="155"/>
      <w:bookmarkEnd w:id="156"/>
      <w:bookmarkEnd w:id="157"/>
      <w:bookmarkEnd w:id="158"/>
      <w:bookmarkEnd w:id="159"/>
      <w:bookmarkEnd w:id="160"/>
      <w:bookmarkEnd w:id="161"/>
      <w:bookmarkEnd w:id="162"/>
      <w:bookmarkEnd w:id="163"/>
      <w:bookmarkStart w:id="164" w:name="_Toc8153"/>
    </w:p>
    <w:p>
      <w:pPr>
        <w:pStyle w:val="4"/>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1"/>
          <w:szCs w:val="21"/>
          <w:highlight w:val="none"/>
        </w:rPr>
      </w:pPr>
      <w:bookmarkStart w:id="165" w:name="_Toc19232"/>
      <w:bookmarkStart w:id="166" w:name="_Toc2769"/>
      <w:bookmarkStart w:id="167" w:name="_Toc13897"/>
      <w:bookmarkStart w:id="168" w:name="_Toc18711"/>
      <w:bookmarkStart w:id="169" w:name="_Toc7762"/>
      <w:bookmarkStart w:id="170" w:name="_Toc17370"/>
      <w:bookmarkStart w:id="171" w:name="_Toc10847"/>
      <w:bookmarkStart w:id="172" w:name="_Toc23634"/>
      <w:r>
        <w:rPr>
          <w:rFonts w:hint="eastAsia" w:ascii="宋体" w:hAnsi="宋体" w:eastAsia="宋体" w:cs="宋体"/>
          <w:b/>
          <w:snapToGrid w:val="0"/>
          <w:color w:val="auto"/>
          <w:sz w:val="21"/>
          <w:szCs w:val="21"/>
          <w:highlight w:val="none"/>
        </w:rPr>
        <w:t>16．</w:t>
      </w:r>
      <w:bookmarkEnd w:id="164"/>
      <w:bookmarkEnd w:id="165"/>
      <w:bookmarkEnd w:id="166"/>
      <w:bookmarkEnd w:id="167"/>
      <w:bookmarkEnd w:id="168"/>
      <w:bookmarkEnd w:id="169"/>
      <w:r>
        <w:rPr>
          <w:rFonts w:hint="eastAsia" w:ascii="宋体" w:hAnsi="宋体" w:eastAsia="宋体" w:cs="宋体"/>
          <w:b/>
          <w:snapToGrid w:val="0"/>
          <w:color w:val="auto"/>
          <w:sz w:val="21"/>
          <w:szCs w:val="21"/>
          <w:highlight w:val="none"/>
        </w:rPr>
        <w:t>定标候选人</w:t>
      </w:r>
      <w:r>
        <w:rPr>
          <w:rFonts w:hint="eastAsia" w:ascii="宋体" w:hAnsi="宋体" w:eastAsia="宋体" w:cs="宋体"/>
          <w:b/>
          <w:snapToGrid w:val="0"/>
          <w:color w:val="auto"/>
          <w:sz w:val="21"/>
          <w:szCs w:val="21"/>
          <w:highlight w:val="none"/>
          <w:lang w:eastAsia="zh-CN"/>
        </w:rPr>
        <w:t>公示</w:t>
      </w:r>
      <w:bookmarkEnd w:id="170"/>
      <w:bookmarkEnd w:id="171"/>
      <w:bookmarkEnd w:id="172"/>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16.1</w:t>
      </w:r>
      <w:r>
        <w:rPr>
          <w:rFonts w:hint="eastAsia" w:ascii="宋体" w:hAnsi="宋体" w:eastAsia="宋体" w:cs="宋体"/>
          <w:snapToGrid w:val="0"/>
          <w:color w:val="auto"/>
          <w:kern w:val="0"/>
          <w:sz w:val="21"/>
          <w:szCs w:val="21"/>
          <w:highlight w:val="none"/>
        </w:rPr>
        <w:t xml:space="preserve"> 评标委员会按照</w:t>
      </w:r>
      <w:r>
        <w:rPr>
          <w:rFonts w:hint="eastAsia" w:ascii="宋体" w:hAnsi="宋体" w:eastAsia="宋体" w:cs="宋体"/>
          <w:snapToGrid w:val="0"/>
          <w:color w:val="auto"/>
          <w:kern w:val="0"/>
          <w:sz w:val="21"/>
          <w:szCs w:val="21"/>
          <w:highlight w:val="none"/>
          <w:lang w:eastAsia="zh-CN"/>
        </w:rPr>
        <w:t>投标人</w:t>
      </w:r>
      <w:r>
        <w:rPr>
          <w:rFonts w:hint="eastAsia" w:ascii="宋体" w:hAnsi="宋体" w:eastAsia="宋体" w:cs="宋体"/>
          <w:snapToGrid w:val="0"/>
          <w:color w:val="auto"/>
          <w:kern w:val="0"/>
          <w:sz w:val="21"/>
          <w:szCs w:val="21"/>
          <w:highlight w:val="none"/>
        </w:rPr>
        <w:t>评审综合总得分</w:t>
      </w:r>
      <w:r>
        <w:rPr>
          <w:rFonts w:hint="eastAsia" w:ascii="宋体" w:hAnsi="宋体" w:eastAsia="宋体" w:cs="宋体"/>
          <w:snapToGrid w:val="0"/>
          <w:color w:val="auto"/>
          <w:kern w:val="0"/>
          <w:sz w:val="21"/>
          <w:szCs w:val="21"/>
          <w:highlight w:val="none"/>
          <w:lang w:eastAsia="zh-CN"/>
        </w:rPr>
        <w:t>由</w:t>
      </w:r>
      <w:r>
        <w:rPr>
          <w:rFonts w:hint="eastAsia" w:ascii="宋体" w:hAnsi="宋体" w:eastAsia="宋体" w:cs="宋体"/>
          <w:snapToGrid w:val="0"/>
          <w:color w:val="auto"/>
          <w:kern w:val="0"/>
          <w:sz w:val="21"/>
          <w:szCs w:val="21"/>
          <w:highlight w:val="none"/>
        </w:rPr>
        <w:t>高</w:t>
      </w:r>
      <w:r>
        <w:rPr>
          <w:rFonts w:hint="eastAsia" w:ascii="宋体" w:hAnsi="宋体" w:eastAsia="宋体" w:cs="宋体"/>
          <w:snapToGrid w:val="0"/>
          <w:color w:val="auto"/>
          <w:kern w:val="0"/>
          <w:sz w:val="21"/>
          <w:szCs w:val="21"/>
          <w:highlight w:val="none"/>
          <w:lang w:eastAsia="zh-CN"/>
        </w:rPr>
        <w:t>到</w:t>
      </w:r>
      <w:r>
        <w:rPr>
          <w:rFonts w:hint="eastAsia" w:ascii="宋体" w:hAnsi="宋体" w:eastAsia="宋体" w:cs="宋体"/>
          <w:snapToGrid w:val="0"/>
          <w:color w:val="auto"/>
          <w:kern w:val="0"/>
          <w:sz w:val="21"/>
          <w:szCs w:val="21"/>
          <w:highlight w:val="none"/>
        </w:rPr>
        <w:t>低的</w:t>
      </w:r>
      <w:r>
        <w:rPr>
          <w:rFonts w:hint="eastAsia" w:ascii="宋体" w:hAnsi="宋体" w:eastAsia="宋体" w:cs="宋体"/>
          <w:snapToGrid w:val="0"/>
          <w:color w:val="auto"/>
          <w:kern w:val="0"/>
          <w:sz w:val="21"/>
          <w:szCs w:val="21"/>
          <w:highlight w:val="none"/>
          <w:lang w:eastAsia="zh-CN"/>
        </w:rPr>
        <w:t>原则</w:t>
      </w:r>
      <w:r>
        <w:rPr>
          <w:rFonts w:hint="eastAsia" w:ascii="宋体" w:hAnsi="宋体" w:eastAsia="宋体" w:cs="宋体"/>
          <w:snapToGrid w:val="0"/>
          <w:color w:val="auto"/>
          <w:kern w:val="0"/>
          <w:sz w:val="21"/>
          <w:szCs w:val="21"/>
          <w:highlight w:val="none"/>
        </w:rPr>
        <w:t>,向招标人推荐</w:t>
      </w:r>
      <w:r>
        <w:rPr>
          <w:rFonts w:hint="eastAsia" w:ascii="宋体" w:hAnsi="宋体" w:eastAsia="宋体" w:cs="宋体"/>
          <w:snapToGrid w:val="0"/>
          <w:color w:val="auto"/>
          <w:kern w:val="0"/>
          <w:sz w:val="21"/>
          <w:szCs w:val="21"/>
          <w:highlight w:val="none"/>
          <w:lang w:val="en-US" w:eastAsia="zh-CN"/>
        </w:rPr>
        <w:t>已明确的</w:t>
      </w:r>
      <w:r>
        <w:rPr>
          <w:rFonts w:hint="eastAsia" w:ascii="宋体" w:hAnsi="宋体" w:eastAsia="宋体" w:cs="宋体"/>
          <w:snapToGrid w:val="0"/>
          <w:color w:val="auto"/>
          <w:kern w:val="0"/>
          <w:sz w:val="21"/>
          <w:szCs w:val="21"/>
          <w:highlight w:val="none"/>
        </w:rPr>
        <w:t>定标候选人</w:t>
      </w:r>
      <w:r>
        <w:rPr>
          <w:rFonts w:hint="eastAsia" w:ascii="宋体" w:hAnsi="宋体" w:eastAsia="宋体" w:cs="宋体"/>
          <w:snapToGrid w:val="0"/>
          <w:color w:val="auto"/>
          <w:kern w:val="0"/>
          <w:sz w:val="21"/>
          <w:szCs w:val="21"/>
          <w:highlight w:val="none"/>
          <w:lang w:eastAsia="zh-CN"/>
        </w:rPr>
        <w:t>数量</w:t>
      </w:r>
      <w:r>
        <w:rPr>
          <w:rFonts w:hint="eastAsia" w:ascii="宋体" w:hAnsi="宋体" w:eastAsia="宋体" w:cs="宋体"/>
          <w:snapToGrid w:val="0"/>
          <w:color w:val="auto"/>
          <w:kern w:val="0"/>
          <w:sz w:val="21"/>
          <w:szCs w:val="21"/>
          <w:highlight w:val="none"/>
        </w:rPr>
        <w:t>（不</w:t>
      </w:r>
      <w:r>
        <w:rPr>
          <w:rFonts w:hint="eastAsia" w:ascii="宋体" w:hAnsi="宋体" w:eastAsia="宋体" w:cs="宋体"/>
          <w:snapToGrid w:val="0"/>
          <w:color w:val="auto"/>
          <w:kern w:val="0"/>
          <w:sz w:val="21"/>
          <w:szCs w:val="21"/>
          <w:highlight w:val="none"/>
          <w:lang w:val="en-US" w:eastAsia="zh-CN"/>
        </w:rPr>
        <w:t>标明</w:t>
      </w:r>
      <w:r>
        <w:rPr>
          <w:rFonts w:hint="eastAsia" w:ascii="宋体" w:hAnsi="宋体" w:eastAsia="宋体" w:cs="宋体"/>
          <w:snapToGrid w:val="0"/>
          <w:color w:val="auto"/>
          <w:kern w:val="0"/>
          <w:sz w:val="21"/>
          <w:szCs w:val="21"/>
          <w:highlight w:val="none"/>
        </w:rPr>
        <w:t>排序）</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评标委员会推荐定标候选人后，</w:t>
      </w:r>
      <w:r>
        <w:rPr>
          <w:rFonts w:hint="eastAsia" w:ascii="宋体" w:hAnsi="宋体" w:eastAsia="宋体" w:cs="宋体"/>
          <w:snapToGrid w:val="0"/>
          <w:color w:val="auto"/>
          <w:kern w:val="0"/>
          <w:sz w:val="21"/>
          <w:szCs w:val="21"/>
          <w:highlight w:val="none"/>
        </w:rPr>
        <w:t>招标人应</w:t>
      </w:r>
      <w:r>
        <w:rPr>
          <w:rFonts w:hint="eastAsia" w:ascii="宋体" w:hAnsi="宋体" w:eastAsia="宋体" w:cs="宋体"/>
          <w:snapToGrid w:val="0"/>
          <w:color w:val="auto"/>
          <w:kern w:val="0"/>
          <w:sz w:val="21"/>
          <w:szCs w:val="21"/>
          <w:highlight w:val="none"/>
          <w:lang w:eastAsia="zh-CN"/>
        </w:rPr>
        <w:t>于评标会结束后</w:t>
      </w:r>
      <w:r>
        <w:rPr>
          <w:rFonts w:hint="eastAsia" w:ascii="宋体" w:hAnsi="宋体" w:eastAsia="宋体" w:cs="宋体"/>
          <w:snapToGrid w:val="0"/>
          <w:color w:val="auto"/>
          <w:kern w:val="0"/>
          <w:sz w:val="21"/>
          <w:szCs w:val="21"/>
          <w:highlight w:val="none"/>
          <w:lang w:val="en-US" w:eastAsia="zh-CN"/>
        </w:rPr>
        <w:t>3日内将</w:t>
      </w:r>
      <w:r>
        <w:rPr>
          <w:rFonts w:hint="eastAsia" w:ascii="宋体" w:hAnsi="宋体" w:eastAsia="宋体" w:cs="宋体"/>
          <w:snapToGrid w:val="0"/>
          <w:color w:val="auto"/>
          <w:kern w:val="0"/>
          <w:sz w:val="21"/>
          <w:szCs w:val="21"/>
          <w:highlight w:val="none"/>
          <w:lang w:eastAsia="zh-CN"/>
        </w:rPr>
        <w:t>定</w:t>
      </w:r>
      <w:r>
        <w:rPr>
          <w:rFonts w:hint="eastAsia" w:ascii="宋体" w:hAnsi="宋体" w:eastAsia="宋体" w:cs="宋体"/>
          <w:snapToGrid w:val="0"/>
          <w:color w:val="auto"/>
          <w:kern w:val="0"/>
          <w:sz w:val="21"/>
          <w:szCs w:val="21"/>
          <w:highlight w:val="none"/>
        </w:rPr>
        <w:t>标候选</w:t>
      </w:r>
      <w:r>
        <w:rPr>
          <w:rFonts w:hint="eastAsia" w:ascii="宋体" w:hAnsi="宋体" w:eastAsia="宋体" w:cs="宋体"/>
          <w:snapToGrid w:val="0"/>
          <w:color w:val="auto"/>
          <w:kern w:val="0"/>
          <w:sz w:val="21"/>
          <w:szCs w:val="21"/>
          <w:highlight w:val="none"/>
          <w:lang w:eastAsia="zh-CN"/>
        </w:rPr>
        <w:t>人和评标情况</w:t>
      </w:r>
      <w:r>
        <w:rPr>
          <w:rFonts w:hint="eastAsia" w:ascii="宋体" w:hAnsi="宋体" w:eastAsia="宋体" w:cs="宋体"/>
          <w:snapToGrid w:val="0"/>
          <w:color w:val="auto"/>
          <w:kern w:val="0"/>
          <w:sz w:val="21"/>
          <w:szCs w:val="21"/>
          <w:highlight w:val="none"/>
          <w:lang w:val="en-US" w:eastAsia="zh-CN"/>
        </w:rPr>
        <w:t>在广东省招标投标监管网和</w:t>
      </w:r>
      <w:r>
        <w:rPr>
          <w:rFonts w:hint="eastAsia" w:ascii="宋体" w:hAnsi="宋体" w:eastAsia="宋体" w:cs="宋体"/>
          <w:snapToGrid w:val="0"/>
          <w:color w:val="auto"/>
          <w:kern w:val="0"/>
          <w:sz w:val="21"/>
          <w:szCs w:val="21"/>
          <w:highlight w:val="none"/>
        </w:rPr>
        <w:t>韶关市公共资源交易中心</w:t>
      </w:r>
      <w:r>
        <w:rPr>
          <w:rFonts w:hint="eastAsia" w:ascii="宋体" w:hAnsi="宋体" w:eastAsia="宋体" w:cs="宋体"/>
          <w:snapToGrid w:val="0"/>
          <w:color w:val="auto"/>
          <w:kern w:val="0"/>
          <w:sz w:val="21"/>
          <w:szCs w:val="21"/>
          <w:highlight w:val="none"/>
          <w:lang w:eastAsia="zh-CN"/>
        </w:rPr>
        <w:t>建设工程交易系统</w:t>
      </w:r>
      <w:r>
        <w:rPr>
          <w:rFonts w:hint="eastAsia" w:ascii="宋体" w:hAnsi="宋体" w:eastAsia="宋体" w:cs="宋体"/>
          <w:snapToGrid w:val="0"/>
          <w:color w:val="auto"/>
          <w:kern w:val="0"/>
          <w:sz w:val="21"/>
          <w:szCs w:val="21"/>
          <w:highlight w:val="none"/>
          <w:lang w:val="en-US" w:eastAsia="zh-CN"/>
        </w:rPr>
        <w:t>上</w:t>
      </w:r>
      <w:r>
        <w:rPr>
          <w:rFonts w:hint="eastAsia" w:ascii="宋体" w:hAnsi="宋体" w:eastAsia="宋体" w:cs="宋体"/>
          <w:snapToGrid w:val="0"/>
          <w:color w:val="auto"/>
          <w:kern w:val="0"/>
          <w:sz w:val="21"/>
          <w:szCs w:val="21"/>
          <w:highlight w:val="none"/>
        </w:rPr>
        <w:t>公示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公示时间不少于3日。</w:t>
      </w:r>
      <w:r>
        <w:rPr>
          <w:rFonts w:hint="eastAsia" w:ascii="宋体" w:hAnsi="宋体" w:eastAsia="宋体" w:cs="宋体"/>
          <w:snapToGrid w:val="0"/>
          <w:color w:val="auto"/>
          <w:kern w:val="0"/>
          <w:sz w:val="21"/>
          <w:szCs w:val="21"/>
          <w:highlight w:val="none"/>
          <w:lang w:eastAsia="zh-CN"/>
        </w:rPr>
        <w:t>公示主要内容包括：（</w:t>
      </w:r>
      <w:r>
        <w:rPr>
          <w:rFonts w:hint="eastAsia" w:ascii="宋体" w:hAnsi="宋体" w:eastAsia="宋体" w:cs="宋体"/>
          <w:snapToGrid w:val="0"/>
          <w:color w:val="auto"/>
          <w:kern w:val="0"/>
          <w:sz w:val="21"/>
          <w:szCs w:val="21"/>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pPr>
        <w:tabs>
          <w:tab w:val="left" w:pos="885"/>
        </w:tabs>
        <w:snapToGrid w:val="0"/>
        <w:outlineLvl w:val="1"/>
        <w:rPr>
          <w:rStyle w:val="25"/>
          <w:rFonts w:hint="eastAsia" w:hAnsi="宋体"/>
          <w:b/>
          <w:bCs/>
          <w:color w:val="auto"/>
          <w:highlight w:val="none"/>
        </w:rPr>
      </w:pPr>
      <w:bookmarkStart w:id="173" w:name="_Toc18634"/>
      <w:bookmarkStart w:id="174" w:name="_Toc9616"/>
      <w:bookmarkStart w:id="175" w:name="_Toc7139"/>
      <w:bookmarkStart w:id="176" w:name="_Toc11724"/>
      <w:bookmarkStart w:id="177" w:name="_Toc32101"/>
      <w:bookmarkStart w:id="178" w:name="_Toc26670"/>
      <w:bookmarkStart w:id="179" w:name="_Toc19086"/>
      <w:bookmarkStart w:id="180" w:name="_Toc21572"/>
      <w:bookmarkStart w:id="181" w:name="_Toc14558"/>
      <w:bookmarkStart w:id="182" w:name="_Toc611"/>
      <w:bookmarkStart w:id="183" w:name="_Toc1623"/>
    </w:p>
    <w:p>
      <w:pPr>
        <w:tabs>
          <w:tab w:val="left" w:pos="885"/>
        </w:tabs>
        <w:snapToGrid w:val="0"/>
        <w:outlineLvl w:val="1"/>
        <w:rPr>
          <w:rStyle w:val="25"/>
          <w:rFonts w:hint="eastAsia" w:hAnsi="宋体"/>
          <w:b/>
          <w:bCs/>
          <w:color w:val="auto"/>
          <w:highlight w:val="none"/>
        </w:rPr>
      </w:pPr>
      <w:bookmarkStart w:id="184" w:name="_Toc30294"/>
      <w:bookmarkStart w:id="185" w:name="_Toc3934"/>
      <w:bookmarkStart w:id="186" w:name="_Toc16633"/>
      <w:r>
        <w:rPr>
          <w:rStyle w:val="25"/>
          <w:rFonts w:hint="eastAsia" w:hAnsi="宋体"/>
          <w:b/>
          <w:bCs/>
          <w:color w:val="auto"/>
          <w:highlight w:val="none"/>
        </w:rPr>
        <w:t>第四节 否决投标条件</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1"/>
          <w:szCs w:val="21"/>
          <w:highlight w:val="none"/>
        </w:rPr>
        <w:t>投标人未有列入本节情形的，评标时一律不得否决其投标。</w:t>
      </w:r>
      <w:r>
        <w:rPr>
          <w:rFonts w:hint="eastAsia" w:ascii="宋体" w:hAnsi="宋体" w:eastAsia="宋体" w:cs="宋体"/>
          <w:snapToGrid w:val="0"/>
          <w:color w:val="auto"/>
          <w:kern w:val="0"/>
          <w:sz w:val="21"/>
          <w:szCs w:val="21"/>
          <w:highlight w:val="none"/>
        </w:rPr>
        <w:t>本节所称“规定”均指招标文件的规定。</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outlineLvl w:val="1"/>
        <w:rPr>
          <w:rFonts w:hint="eastAsia" w:ascii="宋体" w:hAnsi="宋体" w:eastAsia="宋体" w:cs="宋体"/>
          <w:snapToGrid w:val="0"/>
          <w:color w:val="auto"/>
          <w:kern w:val="0"/>
          <w:sz w:val="21"/>
          <w:szCs w:val="21"/>
          <w:highlight w:val="none"/>
        </w:rPr>
      </w:pPr>
      <w:bookmarkStart w:id="187" w:name="_Toc4003"/>
      <w:bookmarkStart w:id="188" w:name="_Toc25423"/>
      <w:bookmarkStart w:id="189" w:name="_Toc27760"/>
      <w:bookmarkStart w:id="190" w:name="_Toc4922"/>
      <w:r>
        <w:rPr>
          <w:rFonts w:hint="eastAsia" w:ascii="宋体" w:hAnsi="宋体" w:eastAsia="宋体" w:cs="宋体"/>
          <w:b/>
          <w:bCs/>
          <w:snapToGrid w:val="0"/>
          <w:color w:val="auto"/>
          <w:kern w:val="0"/>
          <w:sz w:val="21"/>
          <w:szCs w:val="21"/>
          <w:highlight w:val="none"/>
        </w:rPr>
        <w:t>1．资格评审环节</w:t>
      </w:r>
      <w:bookmarkEnd w:id="187"/>
      <w:bookmarkEnd w:id="188"/>
      <w:bookmarkEnd w:id="189"/>
      <w:bookmarkEnd w:id="190"/>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投标人有下列情形之一的，评标委员会应否决其投标。被否决的投标人，不进入形式评审环节。</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（1）有本章第三节第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（2）投标人资质不符合规定的；</w:t>
      </w:r>
    </w:p>
    <w:p>
      <w:pPr>
        <w:keepNext w:val="0"/>
        <w:keepLines w:val="0"/>
        <w:pageBreakBefore w:val="0"/>
        <w:widowControl w:val="0"/>
        <w:suppressLineNumbers w:val="0"/>
        <w:kinsoku/>
        <w:wordWrap w:val="0"/>
        <w:overflowPunct/>
        <w:topLinePunct/>
        <w:autoSpaceDE/>
        <w:autoSpaceDN/>
        <w:bidi w:val="0"/>
        <w:adjustRightInd/>
        <w:snapToGrid/>
        <w:spacing w:line="440" w:lineRule="exact"/>
        <w:ind w:firstLine="420" w:firstLineChars="200"/>
        <w:jc w:val="left"/>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（3）投标人名称与营业执照、资质证书、安全生产许可证上的企业名称相互不一致的；其资质证书、安全生产许可证不是由住房城乡建设主管部门颁发的；营业执照、资质证书、</w:t>
      </w:r>
      <w:r>
        <w:rPr>
          <w:rFonts w:hint="eastAsia" w:ascii="宋体" w:hAnsi="宋体" w:eastAsia="宋体" w:cs="宋体"/>
          <w:b/>
          <w:bCs/>
          <w:snapToGrid w:val="0"/>
          <w:color w:val="auto"/>
          <w:kern w:val="0"/>
          <w:sz w:val="21"/>
          <w:szCs w:val="21"/>
          <w:highlight w:val="none"/>
        </w:rPr>
        <w:t>安全生产许可证</w:t>
      </w:r>
      <w:r>
        <w:rPr>
          <w:rFonts w:hint="eastAsia" w:ascii="宋体" w:hAnsi="宋体" w:eastAsia="宋体" w:cs="宋体"/>
          <w:b/>
          <w:bCs/>
          <w:color w:val="auto"/>
          <w:kern w:val="0"/>
          <w:sz w:val="21"/>
          <w:szCs w:val="21"/>
          <w:highlight w:val="none"/>
          <w:lang w:val="en-US" w:eastAsia="zh-CN" w:bidi="ar"/>
        </w:rPr>
        <w:t>证（含实时网页查询页，可参考网址 https：//zlaq.mohurd.gov.cn/fwmh/bjxcjgl/fwmh/pages/construction_safety/qyaqscxkz/qyaqscxk）被</w:t>
      </w:r>
      <w:r>
        <w:rPr>
          <w:rFonts w:hint="eastAsia" w:ascii="宋体" w:hAnsi="宋体" w:eastAsia="宋体" w:cs="宋体"/>
          <w:b/>
          <w:bCs/>
          <w:snapToGrid w:val="0"/>
          <w:color w:val="auto"/>
          <w:kern w:val="0"/>
          <w:sz w:val="21"/>
          <w:szCs w:val="21"/>
          <w:highlight w:val="none"/>
        </w:rPr>
        <w:t>被吊销、暂扣或不在有效期内的；</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（4）拟派项目经理、项目技术负责人、专职安全员的条件不符合规定的；拟派专职安全员数量不符合规定的；技术负责人未在投标文件《项目技术负责人简历表》中签字确认；</w:t>
      </w:r>
    </w:p>
    <w:p>
      <w:pPr>
        <w:pStyle w:val="12"/>
        <w:keepNext w:val="0"/>
        <w:keepLines w:val="0"/>
        <w:pageBreakBefore w:val="0"/>
        <w:widowControl w:val="0"/>
        <w:kinsoku/>
        <w:overflowPunct/>
        <w:topLinePunct w:val="0"/>
        <w:autoSpaceDE/>
        <w:autoSpaceDN/>
        <w:bidi w:val="0"/>
        <w:adjustRightInd/>
        <w:snapToGrid/>
        <w:spacing w:line="440" w:lineRule="exact"/>
        <w:ind w:firstLine="421"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温馨提示：建造师打印电子证书后，应在个人签名处手写本人签名，未手写签名或与签名图像笔迹不一致的，该电子证书无效。</w:t>
      </w:r>
    </w:p>
    <w:p>
      <w:pPr>
        <w:keepNext w:val="0"/>
        <w:keepLines w:val="0"/>
        <w:pageBreakBefore w:val="0"/>
        <w:widowControl w:val="0"/>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r>
        <w:rPr>
          <w:rFonts w:hint="eastAsia" w:ascii="宋体" w:hAnsi="宋体" w:eastAsia="宋体" w:cs="宋体"/>
          <w:color w:val="auto"/>
          <w:sz w:val="21"/>
          <w:szCs w:val="21"/>
          <w:highlight w:val="none"/>
        </w:rPr>
        <w:t>《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r>
        <w:rPr>
          <w:rFonts w:hint="eastAsia" w:ascii="宋体" w:hAnsi="宋体" w:eastAsia="宋体" w:cs="宋体"/>
          <w:b w:val="0"/>
          <w:bCs w:val="0"/>
          <w:caps w:val="0"/>
          <w:smallCaps w:val="0"/>
          <w:snapToGrid w:val="0"/>
          <w:color w:val="auto"/>
          <w:spacing w:val="0"/>
          <w:kern w:val="0"/>
          <w:sz w:val="21"/>
          <w:szCs w:val="21"/>
          <w:highlight w:val="none"/>
          <w:lang w:val="en-US" w:eastAsia="zh-CN"/>
        </w:rPr>
        <w:t>；</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注：投标人已经工商变更，但其员工执业资格注册证书的注册单位名称未完成变更的，不得否决其投标。</w:t>
      </w:r>
    </w:p>
    <w:p>
      <w:pPr>
        <w:keepNext w:val="0"/>
        <w:keepLines w:val="0"/>
        <w:pageBreakBefore w:val="0"/>
        <w:widowControl w:val="0"/>
        <w:suppressLineNumbers w:val="0"/>
        <w:kinsoku/>
        <w:overflowPunct/>
        <w:topLinePunct w:val="0"/>
        <w:autoSpaceDE/>
        <w:autoSpaceDN/>
        <w:bidi w:val="0"/>
        <w:adjustRightInd/>
        <w:snapToGrid/>
        <w:spacing w:line="440" w:lineRule="exact"/>
        <w:ind w:firstLine="421"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鉴于目前继续教育开展的实际情况，建筑和市政工程施工现场专业人员（例如：施工员、质量员、材料员、资料员）的岗位证书或培训证书不审查其证书的有效期。</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（6）招标文件规定不接受联合体投标，但以联合体投标的；</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（7）联合体投标，未提交《联合体协议书》的；擅自修改、遗漏《联合体协议书》实质性内容的；联合体成员的数量、资质不符合规定的；联合体成员同时以自己名义单独投标或者参加其他联合体投标的；</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（8）投标人为外省建筑企业，但未提供“进粤企业和人员诚信信息登记平台”企业和拟派人员信息情况打印页或网页截图的</w:t>
      </w:r>
      <w:r>
        <w:rPr>
          <w:rStyle w:val="25"/>
          <w:rFonts w:hint="eastAsia" w:ascii="宋体" w:hAnsi="宋体" w:eastAsia="宋体" w:cs="宋体"/>
          <w:color w:val="auto"/>
          <w:kern w:val="0"/>
          <w:sz w:val="21"/>
          <w:szCs w:val="21"/>
          <w:highlight w:val="none"/>
        </w:rPr>
        <w:t>。</w:t>
      </w:r>
    </w:p>
    <w:p>
      <w:pPr>
        <w:keepNext w:val="0"/>
        <w:keepLines w:val="0"/>
        <w:pageBreakBefore w:val="0"/>
        <w:widowControl w:val="0"/>
        <w:kinsoku/>
        <w:overflowPunct/>
        <w:topLinePunct w:val="0"/>
        <w:autoSpaceDE/>
        <w:autoSpaceDN/>
        <w:bidi w:val="0"/>
        <w:adjustRightInd/>
        <w:snapToGrid/>
        <w:spacing w:line="440" w:lineRule="exact"/>
        <w:ind w:firstLine="421" w:firstLineChars="200"/>
        <w:outlineLvl w:val="1"/>
        <w:rPr>
          <w:rStyle w:val="25"/>
          <w:rFonts w:hint="eastAsia" w:ascii="宋体" w:hAnsi="宋体" w:eastAsia="宋体" w:cs="宋体"/>
          <w:color w:val="auto"/>
          <w:kern w:val="0"/>
          <w:sz w:val="21"/>
          <w:szCs w:val="21"/>
          <w:highlight w:val="none"/>
        </w:rPr>
      </w:pPr>
      <w:bookmarkStart w:id="191" w:name="_Toc3313"/>
      <w:bookmarkStart w:id="192" w:name="_Toc9043"/>
      <w:bookmarkStart w:id="193" w:name="_Toc22340"/>
      <w:r>
        <w:rPr>
          <w:rStyle w:val="25"/>
          <w:rFonts w:hint="eastAsia" w:ascii="宋体" w:hAnsi="宋体" w:eastAsia="宋体" w:cs="宋体"/>
          <w:b/>
          <w:bCs/>
          <w:color w:val="auto"/>
          <w:kern w:val="0"/>
          <w:sz w:val="21"/>
          <w:szCs w:val="21"/>
          <w:highlight w:val="none"/>
        </w:rPr>
        <w:t>2．形式评审环节</w:t>
      </w:r>
      <w:bookmarkEnd w:id="191"/>
      <w:bookmarkEnd w:id="192"/>
      <w:bookmarkEnd w:id="193"/>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投标人有下列情形之一的，评标委员会应否决其投标。被否决的投标人，不进入响应性评审环节。</w:t>
      </w:r>
    </w:p>
    <w:p>
      <w:pPr>
        <w:keepNext w:val="0"/>
        <w:keepLines w:val="0"/>
        <w:pageBreakBefore w:val="0"/>
        <w:widowControl w:val="0"/>
        <w:kinsoku/>
        <w:wordWrap w:val="0"/>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（1）各分册没按招标文件规定加盖电子印章；</w:t>
      </w:r>
    </w:p>
    <w:p>
      <w:pPr>
        <w:keepNext w:val="0"/>
        <w:keepLines w:val="0"/>
        <w:pageBreakBefore w:val="0"/>
        <w:widowControl w:val="0"/>
        <w:kinsoku/>
        <w:wordWrap w:val="0"/>
        <w:overflowPunct/>
        <w:topLinePunct w:val="0"/>
        <w:autoSpaceDE/>
        <w:autoSpaceDN/>
        <w:bidi w:val="0"/>
        <w:adjustRightInd/>
        <w:snapToGrid/>
        <w:spacing w:line="440" w:lineRule="exact"/>
        <w:ind w:firstLine="207" w:firstLineChars="100"/>
        <w:textAlignment w:val="auto"/>
        <w:rPr>
          <w:rFonts w:hint="eastAsia" w:ascii="宋体" w:hAnsi="宋体" w:eastAsia="宋体" w:cs="宋体"/>
          <w:color w:val="auto"/>
          <w:w w:val="99"/>
          <w:sz w:val="21"/>
          <w:szCs w:val="21"/>
          <w:highlight w:val="none"/>
        </w:rPr>
      </w:pPr>
      <w:r>
        <w:rPr>
          <w:rFonts w:hint="eastAsia" w:ascii="宋体" w:hAnsi="宋体" w:eastAsia="宋体" w:cs="宋体"/>
          <w:color w:val="auto"/>
          <w:w w:val="99"/>
          <w:sz w:val="21"/>
          <w:szCs w:val="21"/>
          <w:highlight w:val="none"/>
        </w:rPr>
        <w:t>（2）本章第三节第</w:t>
      </w:r>
      <w:r>
        <w:rPr>
          <w:rFonts w:hint="eastAsia" w:ascii="宋体" w:hAnsi="宋体" w:eastAsia="宋体" w:cs="宋体"/>
          <w:b/>
          <w:bCs/>
          <w:color w:val="auto"/>
          <w:w w:val="99"/>
          <w:sz w:val="21"/>
          <w:szCs w:val="21"/>
          <w:highlight w:val="none"/>
        </w:rPr>
        <w:t>10.2.2</w:t>
      </w:r>
      <w:r>
        <w:rPr>
          <w:rFonts w:hint="eastAsia" w:ascii="宋体" w:hAnsi="宋体" w:eastAsia="宋体" w:cs="宋体"/>
          <w:color w:val="auto"/>
          <w:w w:val="99"/>
          <w:sz w:val="21"/>
          <w:szCs w:val="21"/>
          <w:highlight w:val="none"/>
        </w:rPr>
        <w:t>目、第</w:t>
      </w:r>
      <w:r>
        <w:rPr>
          <w:rFonts w:hint="eastAsia" w:ascii="宋体" w:hAnsi="宋体" w:eastAsia="宋体" w:cs="宋体"/>
          <w:b/>
          <w:bCs/>
          <w:color w:val="auto"/>
          <w:w w:val="99"/>
          <w:sz w:val="21"/>
          <w:szCs w:val="21"/>
          <w:highlight w:val="none"/>
        </w:rPr>
        <w:t>10.3.2</w:t>
      </w:r>
      <w:r>
        <w:rPr>
          <w:rFonts w:hint="eastAsia" w:ascii="宋体" w:hAnsi="宋体" w:eastAsia="宋体" w:cs="宋体"/>
          <w:color w:val="auto"/>
          <w:w w:val="99"/>
          <w:sz w:val="21"/>
          <w:szCs w:val="21"/>
          <w:highlight w:val="none"/>
        </w:rPr>
        <w:t>目、第</w:t>
      </w:r>
      <w:r>
        <w:rPr>
          <w:rFonts w:hint="eastAsia" w:ascii="宋体" w:hAnsi="宋体" w:eastAsia="宋体" w:cs="宋体"/>
          <w:b/>
          <w:bCs/>
          <w:color w:val="auto"/>
          <w:w w:val="99"/>
          <w:sz w:val="21"/>
          <w:szCs w:val="21"/>
          <w:highlight w:val="none"/>
        </w:rPr>
        <w:t>10.4.3</w:t>
      </w:r>
      <w:r>
        <w:rPr>
          <w:rFonts w:hint="eastAsia" w:ascii="宋体" w:hAnsi="宋体" w:eastAsia="宋体" w:cs="宋体"/>
          <w:color w:val="auto"/>
          <w:w w:val="99"/>
          <w:sz w:val="21"/>
          <w:szCs w:val="21"/>
          <w:highlight w:val="none"/>
        </w:rPr>
        <w:t>目中规定的“所有投标人均应提供”的组成内容（包括该组成内容的所附资料）中，任何一项有缺漏的；</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（4）投标文件未按规定签字、盖章的。</w:t>
      </w:r>
    </w:p>
    <w:p>
      <w:pPr>
        <w:keepNext w:val="0"/>
        <w:keepLines w:val="0"/>
        <w:pageBreakBefore w:val="0"/>
        <w:widowControl w:val="0"/>
        <w:kinsoku/>
        <w:overflowPunct/>
        <w:topLinePunct w:val="0"/>
        <w:autoSpaceDE/>
        <w:autoSpaceDN/>
        <w:bidi w:val="0"/>
        <w:adjustRightInd/>
        <w:snapToGrid/>
        <w:spacing w:line="440" w:lineRule="exact"/>
        <w:ind w:firstLine="421" w:firstLineChars="200"/>
        <w:outlineLvl w:val="1"/>
        <w:rPr>
          <w:rStyle w:val="25"/>
          <w:rFonts w:hint="eastAsia" w:ascii="宋体" w:hAnsi="宋体" w:eastAsia="宋体" w:cs="宋体"/>
          <w:b/>
          <w:bCs/>
          <w:color w:val="auto"/>
          <w:kern w:val="0"/>
          <w:sz w:val="21"/>
          <w:szCs w:val="21"/>
          <w:highlight w:val="none"/>
        </w:rPr>
      </w:pPr>
      <w:bookmarkStart w:id="194" w:name="_Toc6552"/>
      <w:bookmarkStart w:id="195" w:name="_Toc5236"/>
      <w:bookmarkStart w:id="196" w:name="_Toc32137"/>
      <w:r>
        <w:rPr>
          <w:rStyle w:val="25"/>
          <w:rFonts w:hint="eastAsia" w:ascii="宋体" w:hAnsi="宋体" w:eastAsia="宋体" w:cs="宋体"/>
          <w:b/>
          <w:bCs/>
          <w:color w:val="auto"/>
          <w:kern w:val="0"/>
          <w:sz w:val="21"/>
          <w:szCs w:val="21"/>
          <w:highlight w:val="none"/>
        </w:rPr>
        <w:t>3．响应性评审环节</w:t>
      </w:r>
      <w:bookmarkEnd w:id="194"/>
      <w:bookmarkEnd w:id="195"/>
      <w:bookmarkEnd w:id="196"/>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投标人有下列情形之一的，评标委员会应否决其投标。被否决的投标人，不进入详细评审阶段。</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（1）承诺的投标有效期短于规定的；质量标准低于规定的；工期超出规定的；擅自修改、遗漏《投标函》《各项承诺一览表》实质性内容的；</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w:t>
      </w:r>
      <w:r>
        <w:rPr>
          <w:rFonts w:hint="eastAsia" w:ascii="Times New Roman"/>
          <w:snapToGrid w:val="0"/>
          <w:color w:val="auto"/>
          <w:kern w:val="0"/>
          <w:sz w:val="21"/>
          <w:szCs w:val="21"/>
          <w:highlight w:val="none"/>
        </w:rPr>
        <w:t>编制《投标总价》的造价工程师，其注册证书不是</w:t>
      </w:r>
      <w:r>
        <w:rPr>
          <w:rFonts w:hint="eastAsia" w:ascii="Times New Roman"/>
          <w:b/>
          <w:bCs/>
          <w:snapToGrid w:val="0"/>
          <w:color w:val="auto"/>
          <w:kern w:val="0"/>
          <w:sz w:val="21"/>
          <w:szCs w:val="21"/>
          <w:highlight w:val="none"/>
        </w:rPr>
        <w:t>住建部门</w:t>
      </w:r>
      <w:r>
        <w:rPr>
          <w:rFonts w:hint="eastAsia" w:ascii="Times New Roman"/>
          <w:snapToGrid w:val="0"/>
          <w:color w:val="auto"/>
          <w:kern w:val="0"/>
          <w:sz w:val="21"/>
          <w:szCs w:val="21"/>
          <w:highlight w:val="none"/>
        </w:rPr>
        <w:t>颁发的；其注册单位与投标人（或造价咨询人）不一致的；其注册证书不在有效期内的</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ascii="宋体" w:hAnsi="宋体" w:eastAsia="宋体" w:cs="宋体"/>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注：投标人（或造价咨询人）已经工商变更，但其员工的执业资格注册证书的注册单位名称未完成变更的，不得否决其投标。</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（3）投标人委托造价咨询单位编制《投标总价》，但未在《投标总价扉页》“投标人”栏目加盖造价咨询人公章的；未提供造价咨询人的营业执照彩色扫描件的；</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（4）出现两个或两个以上投标总价的（同一个投标总价大、小写不一致的除外）；投标总价超出</w:t>
      </w:r>
      <w:r>
        <w:rPr>
          <w:rStyle w:val="25"/>
          <w:rFonts w:hint="eastAsia" w:hAnsi="宋体" w:eastAsia="宋体" w:cs="宋体"/>
          <w:b/>
          <w:bCs/>
          <w:color w:val="auto"/>
          <w:kern w:val="0"/>
          <w:sz w:val="21"/>
          <w:szCs w:val="21"/>
          <w:highlight w:val="none"/>
          <w:lang w:val="en-US" w:eastAsia="zh-CN"/>
        </w:rPr>
        <w:t>最高投标限价（</w:t>
      </w:r>
      <w:r>
        <w:rPr>
          <w:rStyle w:val="25"/>
          <w:rFonts w:hint="eastAsia" w:ascii="宋体" w:hAnsi="宋体" w:eastAsia="宋体" w:cs="宋体"/>
          <w:b/>
          <w:bCs/>
          <w:color w:val="auto"/>
          <w:kern w:val="0"/>
          <w:sz w:val="21"/>
          <w:szCs w:val="21"/>
          <w:highlight w:val="none"/>
        </w:rPr>
        <w:t>招标控制价</w:t>
      </w:r>
      <w:r>
        <w:rPr>
          <w:rStyle w:val="25"/>
          <w:rFonts w:hint="eastAsia" w:hAnsi="宋体" w:eastAsia="宋体" w:cs="宋体"/>
          <w:b/>
          <w:bCs/>
          <w:color w:val="auto"/>
          <w:kern w:val="0"/>
          <w:sz w:val="21"/>
          <w:szCs w:val="21"/>
          <w:highlight w:val="none"/>
          <w:lang w:eastAsia="zh-CN"/>
        </w:rPr>
        <w:t>）</w:t>
      </w:r>
      <w:r>
        <w:rPr>
          <w:rStyle w:val="25"/>
          <w:rFonts w:hint="eastAsia" w:ascii="宋体" w:hAnsi="宋体" w:eastAsia="宋体" w:cs="宋体"/>
          <w:color w:val="auto"/>
          <w:kern w:val="0"/>
          <w:sz w:val="21"/>
          <w:szCs w:val="21"/>
          <w:highlight w:val="none"/>
        </w:rPr>
        <w:t>的；</w:t>
      </w:r>
      <w:r>
        <w:rPr>
          <w:rFonts w:hint="eastAsia" w:ascii="宋体" w:hAnsi="宋体" w:eastAsia="宋体" w:cs="宋体"/>
          <w:snapToGrid w:val="0"/>
          <w:color w:val="auto"/>
          <w:kern w:val="0"/>
          <w:sz w:val="21"/>
          <w:szCs w:val="21"/>
          <w:highlight w:val="none"/>
          <w:lang w:eastAsia="zh-CN"/>
        </w:rPr>
        <w:t>安全生产措施费</w:t>
      </w:r>
      <w:r>
        <w:rPr>
          <w:rStyle w:val="25"/>
          <w:rFonts w:hint="eastAsia" w:ascii="宋体" w:hAnsi="宋体" w:eastAsia="宋体" w:cs="宋体"/>
          <w:color w:val="auto"/>
          <w:kern w:val="0"/>
          <w:sz w:val="21"/>
          <w:szCs w:val="21"/>
          <w:highlight w:val="none"/>
        </w:rPr>
        <w:t>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（5）在施工组织设计评审中，评标委员会认定质量、进度保障措施与国家和省市现行有关规范、规定、标准有重大偏差，</w:t>
      </w:r>
      <w:r>
        <w:rPr>
          <w:rStyle w:val="25"/>
          <w:rFonts w:hint="eastAsia" w:ascii="宋体" w:hAnsi="宋体" w:eastAsia="宋体" w:cs="宋体"/>
          <w:b/>
          <w:bCs/>
          <w:color w:val="auto"/>
          <w:kern w:val="0"/>
          <w:sz w:val="21"/>
          <w:szCs w:val="21"/>
          <w:highlight w:val="none"/>
        </w:rPr>
        <w:t>且该种过错将导致工程质量、进度管理目标无法实现的</w:t>
      </w:r>
      <w:r>
        <w:rPr>
          <w:rStyle w:val="25"/>
          <w:rFonts w:hint="eastAsia" w:ascii="宋体" w:hAnsi="宋体" w:eastAsia="宋体" w:cs="宋体"/>
          <w:color w:val="auto"/>
          <w:kern w:val="0"/>
          <w:sz w:val="21"/>
          <w:szCs w:val="21"/>
          <w:highlight w:val="none"/>
        </w:rPr>
        <w:t>。</w:t>
      </w:r>
    </w:p>
    <w:p>
      <w:pPr>
        <w:keepNext w:val="0"/>
        <w:keepLines w:val="0"/>
        <w:pageBreakBefore w:val="0"/>
        <w:widowControl w:val="0"/>
        <w:kinsoku/>
        <w:overflowPunct/>
        <w:topLinePunct w:val="0"/>
        <w:autoSpaceDE/>
        <w:autoSpaceDN/>
        <w:bidi w:val="0"/>
        <w:adjustRightInd/>
        <w:snapToGrid/>
        <w:spacing w:line="440" w:lineRule="exact"/>
        <w:ind w:firstLine="421" w:firstLineChars="200"/>
        <w:outlineLvl w:val="1"/>
        <w:rPr>
          <w:rStyle w:val="25"/>
          <w:rFonts w:hint="eastAsia" w:ascii="宋体" w:hAnsi="宋体" w:eastAsia="宋体" w:cs="宋体"/>
          <w:b/>
          <w:bCs/>
          <w:color w:val="auto"/>
          <w:kern w:val="0"/>
          <w:sz w:val="21"/>
          <w:szCs w:val="21"/>
          <w:highlight w:val="none"/>
        </w:rPr>
      </w:pPr>
      <w:bookmarkStart w:id="197" w:name="_Toc10535"/>
      <w:bookmarkStart w:id="198" w:name="_Toc21238"/>
      <w:bookmarkStart w:id="199" w:name="_Toc21466"/>
      <w:r>
        <w:rPr>
          <w:rStyle w:val="25"/>
          <w:rFonts w:hint="eastAsia" w:ascii="宋体" w:hAnsi="宋体" w:eastAsia="宋体" w:cs="宋体"/>
          <w:b/>
          <w:bCs/>
          <w:color w:val="auto"/>
          <w:kern w:val="0"/>
          <w:sz w:val="21"/>
          <w:szCs w:val="21"/>
          <w:highlight w:val="none"/>
        </w:rPr>
        <w:t>4．其他</w:t>
      </w:r>
      <w:bookmarkEnd w:id="197"/>
      <w:bookmarkEnd w:id="198"/>
      <w:bookmarkEnd w:id="199"/>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在任何评标环节（或阶段），投标人有下列情形之一的，评标委员会应否决其投标。被否决的投标人，不进入下一环节（或阶段）。</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rPr>
        <w:t>（</w:t>
      </w:r>
      <w:r>
        <w:rPr>
          <w:rStyle w:val="25"/>
          <w:rFonts w:hint="eastAsia" w:ascii="宋体" w:hAnsi="宋体" w:eastAsia="宋体" w:cs="宋体"/>
          <w:color w:val="auto"/>
          <w:kern w:val="0"/>
          <w:sz w:val="21"/>
          <w:szCs w:val="21"/>
          <w:highlight w:val="none"/>
          <w:lang w:val="en-US" w:eastAsia="zh-CN"/>
        </w:rPr>
        <w:t>（1）不按评标委员会要求澄清、说明或补正的；</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（2）有下列情形之一，被评标委员会认定属于串通投标的：</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 xml:space="preserve">    ①不同投标人的投标文件两处以上（含两处）错、漏一致；</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 xml:space="preserve">    ②不同投标人的投标总价相近且各分项报价、综合单价分析表内容混乱不能相互对应、乱调乱压或乱抬的，而在询标时没有合理的解释或者不能提供计算依据和报价依据；</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③不同投标人的投标各项报价存在异常一致或者呈规律性变化；</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④不同投标人的投标文件由同一单位或者同一个人编制</w:t>
      </w:r>
      <w:r>
        <w:rPr>
          <w:rStyle w:val="25"/>
          <w:rFonts w:hint="eastAsia" w:hAnsi="宋体" w:cs="宋体"/>
          <w:color w:val="auto"/>
          <w:kern w:val="0"/>
          <w:sz w:val="21"/>
          <w:szCs w:val="21"/>
          <w:highlight w:val="none"/>
          <w:lang w:val="en-US" w:eastAsia="zh-CN"/>
        </w:rPr>
        <w:t>或</w:t>
      </w:r>
      <w:r>
        <w:rPr>
          <w:rStyle w:val="25"/>
          <w:rFonts w:hint="eastAsia" w:ascii="宋体" w:hAnsi="宋体" w:eastAsia="宋体" w:cs="宋体"/>
          <w:color w:val="auto"/>
          <w:kern w:val="0"/>
          <w:sz w:val="21"/>
          <w:szCs w:val="21"/>
          <w:highlight w:val="none"/>
          <w:lang w:val="en-US" w:eastAsia="zh-CN"/>
        </w:rPr>
        <w:t>不同投标人通过同一IP地址上传投标文件的；</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⑤不同投标人的投标文件中投标资料（包括电子资料）相互混装或项目班子成员出现同一人；</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⑥不同投标人的投标文件由同一电脑编制或同一台附属设备打印，或投标报价用同一个预算编制软件密码锁制作或出自同一电子文档；</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⑦不同投标人的投标保证由同一企业或同一账户资金缴纳；</w:t>
      </w:r>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lang w:val="en-US" w:eastAsia="zh-CN"/>
        </w:rPr>
        <w:t>⑧不同投标人委托同一个人或注册在同一家企业的注册人员或同一家企业为其投标提供投标咨询、商务报价、技术咨询（招标项目本身要求采用专有技术的除外）等服务</w:t>
      </w:r>
      <w:r>
        <w:rPr>
          <w:rStyle w:val="25"/>
          <w:rFonts w:hint="eastAsia" w:ascii="宋体" w:hAnsi="宋体" w:eastAsia="宋体" w:cs="宋体"/>
          <w:color w:val="auto"/>
          <w:kern w:val="0"/>
          <w:sz w:val="21"/>
          <w:szCs w:val="21"/>
          <w:highlight w:val="none"/>
        </w:rPr>
        <w:t>。</w:t>
      </w:r>
    </w:p>
    <w:p>
      <w:pPr>
        <w:rPr>
          <w:rStyle w:val="25"/>
          <w:rFonts w:hint="eastAsia" w:ascii="Times New Roman" w:hAnsi="宋体" w:eastAsia="宋体" w:cs="Times New Roman"/>
          <w:b/>
          <w:bCs/>
          <w:color w:val="auto"/>
          <w:highlight w:val="none"/>
        </w:rPr>
      </w:pPr>
    </w:p>
    <w:p>
      <w:pPr>
        <w:tabs>
          <w:tab w:val="left" w:pos="885"/>
        </w:tabs>
        <w:snapToGrid w:val="0"/>
        <w:outlineLvl w:val="1"/>
        <w:rPr>
          <w:rStyle w:val="25"/>
          <w:rFonts w:hint="default" w:ascii="Times New Roman" w:hAnsi="宋体" w:eastAsia="宋体" w:cs="Times New Roman"/>
          <w:b/>
          <w:bCs/>
          <w:color w:val="auto"/>
          <w:highlight w:val="none"/>
          <w:lang w:val="en-US"/>
        </w:rPr>
      </w:pPr>
      <w:bookmarkStart w:id="200" w:name="_Toc9056"/>
      <w:bookmarkStart w:id="201" w:name="_Toc17522"/>
      <w:bookmarkStart w:id="202" w:name="_Toc22323"/>
      <w:r>
        <w:rPr>
          <w:rStyle w:val="25"/>
          <w:rFonts w:hint="eastAsia" w:ascii="Times New Roman" w:hAnsi="宋体" w:eastAsia="宋体" w:cs="Times New Roman"/>
          <w:b/>
          <w:bCs/>
          <w:color w:val="auto"/>
          <w:highlight w:val="none"/>
        </w:rPr>
        <w:t>第</w:t>
      </w:r>
      <w:r>
        <w:rPr>
          <w:rStyle w:val="25"/>
          <w:rFonts w:hint="eastAsia" w:ascii="Times New Roman" w:hAnsi="宋体" w:eastAsia="宋体" w:cs="Times New Roman"/>
          <w:b/>
          <w:bCs/>
          <w:color w:val="auto"/>
          <w:highlight w:val="none"/>
          <w:lang w:val="en-US" w:eastAsia="zh-CN"/>
        </w:rPr>
        <w:t>五</w:t>
      </w:r>
      <w:r>
        <w:rPr>
          <w:rStyle w:val="25"/>
          <w:rFonts w:hint="eastAsia" w:ascii="Times New Roman" w:hAnsi="宋体" w:eastAsia="宋体" w:cs="Times New Roman"/>
          <w:b/>
          <w:bCs/>
          <w:color w:val="auto"/>
          <w:highlight w:val="none"/>
        </w:rPr>
        <w:t>节 定标</w:t>
      </w:r>
      <w:r>
        <w:rPr>
          <w:rStyle w:val="25"/>
          <w:rFonts w:hint="eastAsia" w:ascii="Times New Roman" w:hAnsi="宋体" w:eastAsia="宋体" w:cs="Times New Roman"/>
          <w:b/>
          <w:bCs/>
          <w:color w:val="auto"/>
          <w:highlight w:val="none"/>
          <w:lang w:eastAsia="zh-CN"/>
        </w:rPr>
        <w:t>规定</w:t>
      </w:r>
      <w:r>
        <w:rPr>
          <w:rStyle w:val="25"/>
          <w:rFonts w:hint="eastAsia" w:ascii="Times New Roman" w:hAnsi="宋体" w:eastAsia="宋体" w:cs="Times New Roman"/>
          <w:b/>
          <w:bCs/>
          <w:color w:val="auto"/>
          <w:highlight w:val="none"/>
          <w:lang w:val="en-US" w:eastAsia="zh-CN"/>
        </w:rPr>
        <w:t>及细则（本项目采用票决数量法定标）</w:t>
      </w:r>
      <w:bookmarkEnd w:id="200"/>
      <w:bookmarkEnd w:id="201"/>
      <w:bookmarkEnd w:id="202"/>
    </w:p>
    <w:p>
      <w:pPr>
        <w:spacing w:line="440" w:lineRule="exact"/>
        <w:ind w:firstLine="421" w:firstLineChars="200"/>
        <w:rPr>
          <w:rStyle w:val="25"/>
          <w:rFonts w:hint="eastAsia" w:ascii="宋体" w:hAnsi="宋体" w:eastAsia="宋体" w:cs="宋体"/>
          <w:b/>
          <w:bCs/>
          <w:color w:val="auto"/>
          <w:kern w:val="0"/>
          <w:sz w:val="21"/>
          <w:szCs w:val="21"/>
          <w:highlight w:val="none"/>
        </w:rPr>
      </w:pPr>
      <w:r>
        <w:rPr>
          <w:rStyle w:val="25"/>
          <w:rFonts w:hint="eastAsia" w:hAnsi="宋体" w:eastAsia="宋体" w:cs="宋体"/>
          <w:b/>
          <w:bCs/>
          <w:color w:val="auto"/>
          <w:kern w:val="0"/>
          <w:sz w:val="21"/>
          <w:szCs w:val="21"/>
          <w:highlight w:val="none"/>
          <w:lang w:val="en-US" w:eastAsia="zh-CN"/>
        </w:rPr>
        <w:t>1.</w:t>
      </w:r>
      <w:r>
        <w:rPr>
          <w:rStyle w:val="25"/>
          <w:rFonts w:hint="eastAsia" w:ascii="宋体" w:hAnsi="宋体" w:eastAsia="宋体" w:cs="宋体"/>
          <w:b/>
          <w:bCs/>
          <w:color w:val="auto"/>
          <w:kern w:val="0"/>
          <w:sz w:val="21"/>
          <w:szCs w:val="21"/>
          <w:highlight w:val="none"/>
          <w:lang w:eastAsia="zh-CN"/>
        </w:rPr>
        <w:t>确定</w:t>
      </w:r>
      <w:r>
        <w:rPr>
          <w:rStyle w:val="25"/>
          <w:rFonts w:hint="eastAsia" w:ascii="宋体" w:hAnsi="宋体" w:eastAsia="宋体" w:cs="宋体"/>
          <w:b/>
          <w:bCs/>
          <w:color w:val="auto"/>
          <w:kern w:val="0"/>
          <w:sz w:val="21"/>
          <w:szCs w:val="21"/>
          <w:highlight w:val="none"/>
        </w:rPr>
        <w:t>定标时间</w:t>
      </w:r>
    </w:p>
    <w:p>
      <w:pPr>
        <w:spacing w:line="44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招标人</w:t>
      </w:r>
      <w:r>
        <w:rPr>
          <w:rStyle w:val="25"/>
          <w:rFonts w:hint="eastAsia" w:ascii="宋体" w:hAnsi="宋体" w:eastAsia="宋体" w:cs="宋体"/>
          <w:color w:val="auto"/>
          <w:kern w:val="0"/>
          <w:sz w:val="21"/>
          <w:szCs w:val="21"/>
          <w:highlight w:val="none"/>
          <w:lang w:eastAsia="zh-CN"/>
        </w:rPr>
        <w:t>应</w:t>
      </w:r>
      <w:r>
        <w:rPr>
          <w:rStyle w:val="25"/>
          <w:rFonts w:hint="eastAsia" w:ascii="宋体" w:hAnsi="宋体" w:eastAsia="宋体" w:cs="宋体"/>
          <w:color w:val="auto"/>
          <w:kern w:val="0"/>
          <w:sz w:val="21"/>
          <w:szCs w:val="21"/>
          <w:highlight w:val="none"/>
        </w:rPr>
        <w:t>自</w:t>
      </w:r>
      <w:r>
        <w:rPr>
          <w:rStyle w:val="25"/>
          <w:rFonts w:hint="eastAsia" w:ascii="宋体" w:hAnsi="宋体" w:eastAsia="宋体" w:cs="宋体"/>
          <w:color w:val="auto"/>
          <w:kern w:val="0"/>
          <w:sz w:val="21"/>
          <w:szCs w:val="21"/>
          <w:highlight w:val="none"/>
          <w:lang w:val="en-US" w:eastAsia="zh-CN"/>
        </w:rPr>
        <w:t>定标候选人</w:t>
      </w:r>
      <w:r>
        <w:rPr>
          <w:rStyle w:val="25"/>
          <w:rFonts w:hint="eastAsia" w:ascii="宋体" w:hAnsi="宋体" w:eastAsia="宋体" w:cs="宋体"/>
          <w:color w:val="auto"/>
          <w:kern w:val="0"/>
          <w:sz w:val="21"/>
          <w:szCs w:val="21"/>
          <w:highlight w:val="none"/>
        </w:rPr>
        <w:t>公示期满后</w:t>
      </w:r>
      <w:r>
        <w:rPr>
          <w:rStyle w:val="25"/>
          <w:rFonts w:hint="eastAsia" w:ascii="宋体" w:hAnsi="宋体" w:eastAsia="宋体" w:cs="宋体"/>
          <w:color w:val="auto"/>
          <w:kern w:val="0"/>
          <w:sz w:val="21"/>
          <w:szCs w:val="21"/>
          <w:highlight w:val="none"/>
          <w:lang w:val="en-US" w:eastAsia="zh-CN"/>
        </w:rPr>
        <w:t>5</w:t>
      </w:r>
      <w:r>
        <w:rPr>
          <w:rStyle w:val="25"/>
          <w:rFonts w:hint="eastAsia" w:ascii="宋体" w:hAnsi="宋体" w:eastAsia="宋体" w:cs="宋体"/>
          <w:color w:val="auto"/>
          <w:kern w:val="0"/>
          <w:sz w:val="21"/>
          <w:szCs w:val="21"/>
          <w:highlight w:val="none"/>
        </w:rPr>
        <w:t>个工作日内进入公共资源交易平台（与评标阶段公共资源交易平台相同）进行定标。定标会议全过程录音录像。招标人需要延期定标的，</w:t>
      </w:r>
      <w:r>
        <w:rPr>
          <w:rStyle w:val="25"/>
          <w:rFonts w:hint="eastAsia" w:ascii="宋体" w:hAnsi="宋体" w:eastAsia="宋体" w:cs="宋体"/>
          <w:color w:val="auto"/>
          <w:kern w:val="0"/>
          <w:sz w:val="21"/>
          <w:szCs w:val="21"/>
          <w:highlight w:val="none"/>
          <w:lang w:eastAsia="zh-CN"/>
        </w:rPr>
        <w:t>应</w:t>
      </w:r>
      <w:r>
        <w:rPr>
          <w:rStyle w:val="25"/>
          <w:rFonts w:hint="eastAsia" w:ascii="宋体" w:hAnsi="宋体" w:eastAsia="宋体" w:cs="宋体"/>
          <w:color w:val="auto"/>
          <w:kern w:val="0"/>
          <w:sz w:val="21"/>
          <w:szCs w:val="21"/>
          <w:highlight w:val="none"/>
        </w:rPr>
        <w:t>通过公共资源交易平台公布延期原因和定标时间。</w:t>
      </w:r>
    </w:p>
    <w:p>
      <w:pPr>
        <w:spacing w:line="440" w:lineRule="exact"/>
        <w:ind w:firstLine="421" w:firstLineChars="200"/>
        <w:rPr>
          <w:rStyle w:val="25"/>
          <w:rFonts w:hint="eastAsia" w:ascii="宋体" w:hAnsi="宋体" w:eastAsia="宋体" w:cs="宋体"/>
          <w:b/>
          <w:bCs/>
          <w:color w:val="auto"/>
          <w:kern w:val="0"/>
          <w:sz w:val="21"/>
          <w:szCs w:val="21"/>
          <w:highlight w:val="none"/>
          <w:lang w:eastAsia="zh-CN"/>
        </w:rPr>
      </w:pPr>
      <w:r>
        <w:rPr>
          <w:rStyle w:val="25"/>
          <w:rFonts w:hint="eastAsia" w:hAnsi="宋体" w:eastAsia="宋体" w:cs="宋体"/>
          <w:b/>
          <w:bCs/>
          <w:color w:val="auto"/>
          <w:kern w:val="0"/>
          <w:sz w:val="21"/>
          <w:szCs w:val="21"/>
          <w:highlight w:val="none"/>
          <w:lang w:val="en-US" w:eastAsia="zh-CN"/>
        </w:rPr>
        <w:t>2</w:t>
      </w:r>
      <w:r>
        <w:rPr>
          <w:rStyle w:val="25"/>
          <w:rFonts w:hint="eastAsia" w:ascii="宋体" w:hAnsi="宋体" w:eastAsia="宋体" w:cs="宋体"/>
          <w:b/>
          <w:bCs/>
          <w:color w:val="auto"/>
          <w:kern w:val="0"/>
          <w:sz w:val="21"/>
          <w:szCs w:val="21"/>
          <w:highlight w:val="none"/>
        </w:rPr>
        <w:t>.</w:t>
      </w:r>
      <w:r>
        <w:rPr>
          <w:rStyle w:val="25"/>
          <w:rFonts w:hint="eastAsia" w:ascii="宋体" w:hAnsi="宋体" w:eastAsia="宋体" w:cs="宋体"/>
          <w:b/>
          <w:bCs/>
          <w:color w:val="auto"/>
          <w:kern w:val="0"/>
          <w:sz w:val="21"/>
          <w:szCs w:val="21"/>
          <w:highlight w:val="none"/>
          <w:lang w:eastAsia="zh-CN"/>
        </w:rPr>
        <w:t>定标委员会</w:t>
      </w:r>
    </w:p>
    <w:p>
      <w:pPr>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hAnsi="宋体" w:eastAsia="宋体" w:cs="宋体"/>
          <w:color w:val="auto"/>
          <w:kern w:val="0"/>
          <w:sz w:val="21"/>
          <w:szCs w:val="21"/>
          <w:highlight w:val="none"/>
          <w:lang w:val="en-US" w:eastAsia="zh-CN"/>
        </w:rPr>
        <w:t>2.1</w:t>
      </w:r>
      <w:r>
        <w:rPr>
          <w:rStyle w:val="25"/>
          <w:rFonts w:hint="eastAsia" w:ascii="宋体" w:hAnsi="宋体" w:eastAsia="宋体" w:cs="宋体"/>
          <w:color w:val="auto"/>
          <w:kern w:val="0"/>
          <w:sz w:val="21"/>
          <w:szCs w:val="21"/>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pPr>
        <w:spacing w:line="440" w:lineRule="exact"/>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pPr>
        <w:spacing w:line="440" w:lineRule="exact"/>
        <w:ind w:firstLine="420" w:firstLineChars="200"/>
        <w:rPr>
          <w:rFonts w:hint="eastAsia"/>
          <w:color w:val="auto"/>
          <w:highlight w:val="none"/>
          <w:lang w:val="en-US" w:eastAsia="zh-CN"/>
        </w:rPr>
      </w:pPr>
      <w:r>
        <w:rPr>
          <w:rStyle w:val="25"/>
          <w:rFonts w:hint="eastAsia" w:hAnsi="宋体" w:eastAsia="宋体" w:cs="宋体"/>
          <w:color w:val="auto"/>
          <w:kern w:val="0"/>
          <w:sz w:val="21"/>
          <w:szCs w:val="21"/>
          <w:highlight w:val="none"/>
          <w:lang w:val="en-US" w:eastAsia="zh-CN"/>
        </w:rPr>
        <w:t>2</w:t>
      </w:r>
      <w:r>
        <w:rPr>
          <w:rStyle w:val="25"/>
          <w:rFonts w:hint="eastAsia" w:ascii="宋体" w:hAnsi="宋体" w:eastAsia="宋体" w:cs="宋体"/>
          <w:color w:val="auto"/>
          <w:kern w:val="0"/>
          <w:sz w:val="21"/>
          <w:szCs w:val="21"/>
          <w:highlight w:val="none"/>
        </w:rPr>
        <w:t>.</w:t>
      </w:r>
      <w:r>
        <w:rPr>
          <w:rStyle w:val="25"/>
          <w:rFonts w:hint="eastAsia" w:hAnsi="宋体" w:eastAsia="宋体" w:cs="宋体"/>
          <w:color w:val="auto"/>
          <w:kern w:val="0"/>
          <w:sz w:val="21"/>
          <w:szCs w:val="21"/>
          <w:highlight w:val="none"/>
          <w:lang w:val="en-US" w:eastAsia="zh-CN"/>
        </w:rPr>
        <w:t>3</w:t>
      </w:r>
      <w:r>
        <w:rPr>
          <w:rStyle w:val="25"/>
          <w:rFonts w:hint="eastAsia" w:ascii="宋体" w:hAnsi="宋体" w:eastAsia="宋体" w:cs="宋体"/>
          <w:color w:val="auto"/>
          <w:kern w:val="0"/>
          <w:sz w:val="21"/>
          <w:szCs w:val="21"/>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pPr>
        <w:spacing w:line="440" w:lineRule="exact"/>
        <w:ind w:firstLine="421" w:firstLineChars="200"/>
        <w:rPr>
          <w:rStyle w:val="25"/>
          <w:rFonts w:hint="eastAsia" w:ascii="宋体" w:hAnsi="宋体" w:eastAsia="宋体" w:cs="宋体"/>
          <w:b/>
          <w:bCs/>
          <w:color w:val="auto"/>
          <w:kern w:val="0"/>
          <w:sz w:val="21"/>
          <w:szCs w:val="21"/>
          <w:highlight w:val="none"/>
          <w:lang w:val="en-US" w:eastAsia="zh-CN"/>
        </w:rPr>
      </w:pPr>
      <w:r>
        <w:rPr>
          <w:rStyle w:val="25"/>
          <w:rFonts w:hint="eastAsia" w:hAnsi="宋体" w:eastAsia="宋体" w:cs="宋体"/>
          <w:b/>
          <w:bCs/>
          <w:color w:val="auto"/>
          <w:kern w:val="0"/>
          <w:sz w:val="21"/>
          <w:szCs w:val="21"/>
          <w:highlight w:val="none"/>
          <w:lang w:val="en-US" w:eastAsia="zh-CN"/>
        </w:rPr>
        <w:t>3</w:t>
      </w:r>
      <w:r>
        <w:rPr>
          <w:rStyle w:val="25"/>
          <w:rFonts w:hint="eastAsia" w:ascii="宋体" w:hAnsi="宋体" w:eastAsia="宋体" w:cs="宋体"/>
          <w:b/>
          <w:bCs/>
          <w:color w:val="auto"/>
          <w:kern w:val="0"/>
          <w:sz w:val="21"/>
          <w:szCs w:val="21"/>
          <w:highlight w:val="none"/>
        </w:rPr>
        <w:t>.</w:t>
      </w:r>
      <w:r>
        <w:rPr>
          <w:rStyle w:val="25"/>
          <w:rFonts w:hint="eastAsia" w:ascii="宋体" w:hAnsi="宋体" w:eastAsia="宋体" w:cs="宋体"/>
          <w:b/>
          <w:bCs/>
          <w:color w:val="auto"/>
          <w:kern w:val="0"/>
          <w:sz w:val="21"/>
          <w:szCs w:val="21"/>
          <w:highlight w:val="none"/>
          <w:lang w:val="en-US" w:eastAsia="zh-CN"/>
        </w:rPr>
        <w:t>组建招标监督小组</w:t>
      </w:r>
    </w:p>
    <w:p>
      <w:pPr>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pPr>
        <w:spacing w:line="440" w:lineRule="exact"/>
        <w:ind w:firstLine="421" w:firstLineChars="200"/>
        <w:jc w:val="left"/>
        <w:rPr>
          <w:rStyle w:val="25"/>
          <w:rFonts w:hint="eastAsia" w:ascii="宋体" w:hAnsi="宋体" w:eastAsia="宋体" w:cs="宋体"/>
          <w:b/>
          <w:bCs/>
          <w:color w:val="auto"/>
          <w:kern w:val="0"/>
          <w:sz w:val="21"/>
          <w:szCs w:val="21"/>
          <w:highlight w:val="none"/>
          <w:lang w:eastAsia="zh-CN"/>
        </w:rPr>
      </w:pPr>
      <w:r>
        <w:rPr>
          <w:rStyle w:val="25"/>
          <w:rFonts w:hint="eastAsia" w:hAnsi="宋体" w:eastAsia="宋体" w:cs="宋体"/>
          <w:b/>
          <w:bCs/>
          <w:color w:val="auto"/>
          <w:kern w:val="0"/>
          <w:sz w:val="21"/>
          <w:szCs w:val="21"/>
          <w:highlight w:val="none"/>
          <w:lang w:val="en-US" w:eastAsia="zh-CN"/>
        </w:rPr>
        <w:t>4</w:t>
      </w:r>
      <w:r>
        <w:rPr>
          <w:rStyle w:val="25"/>
          <w:rFonts w:hint="eastAsia" w:ascii="宋体" w:hAnsi="宋体" w:eastAsia="宋体" w:cs="宋体"/>
          <w:b/>
          <w:bCs/>
          <w:color w:val="auto"/>
          <w:kern w:val="0"/>
          <w:sz w:val="21"/>
          <w:szCs w:val="21"/>
          <w:highlight w:val="none"/>
        </w:rPr>
        <w:t>.</w:t>
      </w:r>
      <w:r>
        <w:rPr>
          <w:rStyle w:val="25"/>
          <w:rFonts w:hint="eastAsia" w:ascii="宋体" w:hAnsi="宋体" w:eastAsia="宋体" w:cs="宋体"/>
          <w:b/>
          <w:bCs/>
          <w:color w:val="auto"/>
          <w:kern w:val="0"/>
          <w:sz w:val="21"/>
          <w:szCs w:val="21"/>
          <w:highlight w:val="none"/>
          <w:lang w:eastAsia="zh-CN"/>
        </w:rPr>
        <w:t>定标办法</w:t>
      </w:r>
    </w:p>
    <w:p>
      <w:pPr>
        <w:spacing w:line="440" w:lineRule="exact"/>
        <w:ind w:firstLine="420" w:firstLineChars="200"/>
        <w:rPr>
          <w:rStyle w:val="25"/>
          <w:rFonts w:hint="eastAsia" w:ascii="宋体" w:hAnsi="宋体" w:eastAsia="宋体" w:cs="宋体"/>
          <w:color w:val="auto"/>
          <w:kern w:val="0"/>
          <w:sz w:val="21"/>
          <w:szCs w:val="21"/>
          <w:highlight w:val="none"/>
          <w:lang w:val="en-US" w:eastAsia="zh-CN"/>
        </w:rPr>
      </w:pPr>
      <w:r>
        <w:rPr>
          <w:rStyle w:val="25"/>
          <w:rFonts w:hint="eastAsia" w:ascii="宋体" w:hAnsi="宋体" w:eastAsia="宋体" w:cs="宋体"/>
          <w:color w:val="auto"/>
          <w:kern w:val="0"/>
          <w:sz w:val="21"/>
          <w:szCs w:val="21"/>
          <w:highlight w:val="none"/>
          <w:lang w:val="en-US" w:eastAsia="zh-CN"/>
        </w:rPr>
        <w:t>定标办法由招标人按本投标人须知前附表的规定确定（只能选定其中一种定标办法）。</w:t>
      </w:r>
    </w:p>
    <w:p>
      <w:pPr>
        <w:spacing w:line="440" w:lineRule="exact"/>
        <w:ind w:firstLine="421" w:firstLineChars="200"/>
        <w:rPr>
          <w:rFonts w:hint="eastAsia"/>
          <w:color w:val="auto"/>
          <w:highlight w:val="none"/>
        </w:rPr>
      </w:pPr>
      <w:bookmarkStart w:id="203" w:name="OLE_LINK3"/>
      <w:r>
        <w:rPr>
          <w:rFonts w:hint="eastAsia"/>
          <w:b/>
          <w:bCs/>
          <w:color w:val="auto"/>
          <w:sz w:val="21"/>
          <w:szCs w:val="21"/>
          <w:highlight w:val="none"/>
          <w:lang w:val="en-US" w:eastAsia="zh-CN"/>
        </w:rPr>
        <w:t>本项目</w:t>
      </w:r>
      <w:bookmarkEnd w:id="203"/>
      <w:r>
        <w:rPr>
          <w:rFonts w:hint="eastAsia"/>
          <w:b/>
          <w:bCs/>
          <w:color w:val="auto"/>
          <w:sz w:val="21"/>
          <w:szCs w:val="21"/>
          <w:highlight w:val="none"/>
          <w:lang w:val="en-US" w:eastAsia="zh-CN"/>
        </w:rPr>
        <w:t>采用票决数量法定标。</w:t>
      </w:r>
    </w:p>
    <w:p>
      <w:pPr>
        <w:ind w:firstLine="421" w:firstLineChars="200"/>
        <w:rPr>
          <w:rStyle w:val="25"/>
          <w:rFonts w:hint="eastAsia" w:hAnsi="宋体" w:eastAsia="宋体" w:cs="宋体"/>
          <w:b/>
          <w:bCs/>
          <w:color w:val="auto"/>
          <w:kern w:val="0"/>
          <w:sz w:val="21"/>
          <w:szCs w:val="21"/>
          <w:highlight w:val="none"/>
          <w:lang w:val="en-US" w:eastAsia="zh-CN"/>
        </w:rPr>
      </w:pPr>
      <w:r>
        <w:rPr>
          <w:rStyle w:val="25"/>
          <w:rFonts w:hint="eastAsia" w:hAnsi="宋体" w:eastAsia="宋体" w:cs="宋体"/>
          <w:b/>
          <w:bCs/>
          <w:color w:val="auto"/>
          <w:kern w:val="0"/>
          <w:sz w:val="21"/>
          <w:szCs w:val="21"/>
          <w:highlight w:val="none"/>
          <w:lang w:val="en-US" w:eastAsia="zh-CN"/>
        </w:rPr>
        <w:t>5.定标细则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eastAsia="zh-CN"/>
        </w:rPr>
      </w:pPr>
      <w:r>
        <w:rPr>
          <w:rFonts w:hint="eastAsia" w:ascii="宋体" w:hAnsi="宋体" w:eastAsia="宋体" w:cs="宋体"/>
          <w:b/>
          <w:bCs/>
          <w:color w:val="auto"/>
          <w:spacing w:val="0"/>
          <w:position w:val="0"/>
          <w:sz w:val="21"/>
          <w:szCs w:val="21"/>
          <w:highlight w:val="none"/>
          <w:u w:val="none" w:color="auto"/>
          <w:lang w:val="en-US" w:eastAsia="zh-CN"/>
        </w:rPr>
        <w:t>5.1票决数量法程序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i w:val="0"/>
          <w:snapToGrid/>
          <w:color w:val="auto"/>
          <w:sz w:val="21"/>
          <w:szCs w:val="21"/>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1"/>
          <w:szCs w:val="21"/>
          <w:highlight w:val="none"/>
          <w:u w:val="none"/>
          <w:lang w:val="en-US" w:eastAsia="zh-CN"/>
        </w:rPr>
        <w:t>有且仅有投出1票的权利，1票只能投1名定标候选人，</w:t>
      </w:r>
      <w:r>
        <w:rPr>
          <w:rFonts w:hint="eastAsia" w:ascii="宋体" w:hAnsi="宋体" w:eastAsia="宋体" w:cs="宋体"/>
          <w:b w:val="0"/>
          <w:i w:val="0"/>
          <w:snapToGrid/>
          <w:color w:val="auto"/>
          <w:sz w:val="21"/>
          <w:szCs w:val="21"/>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1"/>
          <w:szCs w:val="21"/>
          <w:highlight w:val="none"/>
          <w:u w:val="none"/>
          <w:lang w:val="en-US" w:eastAsia="zh-CN"/>
        </w:rPr>
        <w:t>若第一轮投票中前三名中标候选人有</w:t>
      </w:r>
      <w:r>
        <w:rPr>
          <w:rFonts w:hint="eastAsia" w:ascii="宋体" w:hAnsi="宋体" w:eastAsia="宋体" w:cs="宋体"/>
          <w:color w:val="auto"/>
          <w:sz w:val="21"/>
          <w:szCs w:val="21"/>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1"/>
          <w:szCs w:val="21"/>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1"/>
          <w:szCs w:val="21"/>
          <w:highlight w:val="none"/>
          <w:u w:val="none"/>
          <w:shd w:val="clear" w:color="auto" w:fill="FFFFFF"/>
          <w:lang w:eastAsia="zh-CN"/>
        </w:rPr>
        <w:t>票决采用记名方式并注明投票理由。</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5.1.1.</w:t>
      </w:r>
      <w:r>
        <w:rPr>
          <w:rFonts w:hint="eastAsia" w:ascii="宋体" w:hAnsi="宋体" w:eastAsia="宋体" w:cs="宋体"/>
          <w:b/>
          <w:bCs/>
          <w:color w:val="auto"/>
          <w:sz w:val="21"/>
          <w:szCs w:val="21"/>
          <w:highlight w:val="none"/>
          <w:u w:val="none"/>
          <w:shd w:val="clear" w:color="auto" w:fill="FFFFFF"/>
        </w:rPr>
        <w:t>项目情况介绍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eastAsia="zh-CN"/>
        </w:rPr>
      </w:pPr>
      <w:r>
        <w:rPr>
          <w:rFonts w:hint="eastAsia" w:ascii="宋体" w:hAnsi="宋体" w:eastAsia="宋体" w:cs="宋体"/>
          <w:b w:val="0"/>
          <w:bCs w:val="0"/>
          <w:color w:val="auto"/>
          <w:spacing w:val="0"/>
          <w:position w:val="0"/>
          <w:sz w:val="21"/>
          <w:szCs w:val="21"/>
          <w:highlight w:val="none"/>
          <w:u w:val="none" w:color="auto"/>
          <w:lang w:eastAsia="zh-CN"/>
        </w:rPr>
        <w:t>招标人代表介绍项目的概况及招标要求，以及定标方法与定标工作规则，不得发表具有倾向性的言论。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val="en-US" w:eastAsia="zh-CN"/>
        </w:rPr>
      </w:pPr>
      <w:r>
        <w:rPr>
          <w:rFonts w:hint="eastAsia" w:ascii="宋体" w:hAnsi="宋体" w:eastAsia="宋体" w:cs="宋体"/>
          <w:b/>
          <w:bCs/>
          <w:color w:val="auto"/>
          <w:spacing w:val="0"/>
          <w:position w:val="0"/>
          <w:sz w:val="21"/>
          <w:szCs w:val="21"/>
          <w:highlight w:val="none"/>
          <w:u w:val="none" w:color="auto"/>
          <w:lang w:val="en-US" w:eastAsia="zh-CN"/>
        </w:rPr>
        <w:t>5.1.2.</w:t>
      </w:r>
      <w:r>
        <w:rPr>
          <w:rFonts w:hint="eastAsia" w:ascii="宋体" w:hAnsi="宋体" w:eastAsia="宋体" w:cs="宋体"/>
          <w:b/>
          <w:bCs/>
          <w:color w:val="auto"/>
          <w:sz w:val="21"/>
          <w:szCs w:val="21"/>
          <w:highlight w:val="none"/>
          <w:u w:val="none"/>
          <w:shd w:val="clear" w:color="auto" w:fill="FFFFFF"/>
        </w:rPr>
        <w:t>审阅定标资料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eastAsia="zh-CN"/>
        </w:rPr>
      </w:pPr>
      <w:r>
        <w:rPr>
          <w:rFonts w:hint="eastAsia" w:ascii="宋体" w:hAnsi="宋体" w:eastAsia="宋体" w:cs="宋体"/>
          <w:b w:val="0"/>
          <w:bCs w:val="0"/>
          <w:color w:val="auto"/>
          <w:spacing w:val="0"/>
          <w:position w:val="0"/>
          <w:sz w:val="21"/>
          <w:szCs w:val="21"/>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1"/>
          <w:szCs w:val="21"/>
          <w:highlight w:val="none"/>
          <w:u w:val="none" w:color="auto"/>
          <w:lang w:val="en-US" w:eastAsia="zh-CN"/>
        </w:rPr>
        <w:t>聚焦于项目需求与候选人能力的匹配度</w:t>
      </w:r>
      <w:r>
        <w:rPr>
          <w:rFonts w:hint="eastAsia" w:ascii="宋体" w:hAnsi="宋体" w:eastAsia="宋体" w:cs="宋体"/>
          <w:color w:val="auto"/>
          <w:sz w:val="21"/>
          <w:szCs w:val="21"/>
          <w:highlight w:val="none"/>
          <w:u w:val="none"/>
          <w:shd w:val="clear" w:color="auto" w:fill="FFFFFF"/>
          <w:lang w:eastAsia="zh-CN"/>
        </w:rPr>
        <w:t>。</w:t>
      </w:r>
    </w:p>
    <w:p>
      <w:pPr>
        <w:pStyle w:val="1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firstLine="421" w:firstLine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5.1.3.</w:t>
      </w:r>
      <w:r>
        <w:rPr>
          <w:rFonts w:hint="eastAsia" w:ascii="宋体" w:hAnsi="宋体" w:eastAsia="宋体" w:cs="宋体"/>
          <w:b/>
          <w:bCs/>
          <w:color w:val="auto"/>
          <w:sz w:val="21"/>
          <w:szCs w:val="21"/>
          <w:highlight w:val="none"/>
          <w:u w:val="none"/>
          <w:shd w:val="clear" w:color="auto" w:fill="FFFFFF"/>
        </w:rPr>
        <w:t>疑问澄清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color w:val="auto"/>
          <w:sz w:val="21"/>
          <w:szCs w:val="21"/>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5.1.4.投票，收票，点票和汇总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bCs/>
          <w:color w:val="auto"/>
          <w:kern w:val="0"/>
          <w:sz w:val="21"/>
          <w:szCs w:val="21"/>
          <w:highlight w:val="none"/>
          <w:u w:val="none"/>
          <w:shd w:val="clear" w:color="auto" w:fill="FFFFFF"/>
          <w:lang w:val="en-US" w:eastAsia="zh-CN" w:bidi="ar-SA"/>
        </w:rPr>
        <w:t>5.1.5.公布结果和出具定标报告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color w:val="auto"/>
          <w:sz w:val="21"/>
          <w:szCs w:val="21"/>
          <w:highlight w:val="none"/>
          <w:lang w:eastAsia="zh-CN"/>
        </w:rPr>
        <w:t>点票工作完成后，定标委员会组长汇总定标结果，编制定标报告，确定中标候选人，全体成员签名。</w:t>
      </w:r>
    </w:p>
    <w:p>
      <w:pPr>
        <w:pStyle w:val="1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5.1.6.</w:t>
      </w:r>
      <w:r>
        <w:rPr>
          <w:rFonts w:hint="eastAsia" w:ascii="宋体" w:hAnsi="宋体" w:eastAsia="宋体" w:cs="宋体"/>
          <w:b/>
          <w:bCs/>
          <w:color w:val="auto"/>
          <w:sz w:val="21"/>
          <w:szCs w:val="21"/>
          <w:highlight w:val="none"/>
          <w:u w:val="none"/>
          <w:shd w:val="clear" w:color="auto" w:fill="FFFFFF"/>
        </w:rPr>
        <w:t>全程监督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招标监督小组对集体议定的全过程进行监督，确保程序合规、讨论充分、记录完整，结论形成过程公正、透明。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val="en-US" w:eastAsia="zh-CN"/>
        </w:rPr>
      </w:pPr>
      <w:r>
        <w:rPr>
          <w:rFonts w:hint="eastAsia" w:ascii="宋体" w:hAnsi="宋体" w:eastAsia="宋体" w:cs="宋体"/>
          <w:b/>
          <w:bCs/>
          <w:color w:val="auto"/>
          <w:spacing w:val="0"/>
          <w:position w:val="0"/>
          <w:sz w:val="21"/>
          <w:szCs w:val="21"/>
          <w:highlight w:val="none"/>
          <w:u w:val="none" w:color="auto"/>
          <w:lang w:val="en-US" w:eastAsia="zh-CN"/>
        </w:rPr>
        <w:t>5.2定标因素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i/>
          <w:iCs/>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在同等条件下，择优的定标因素和相对标准有以下几个方面：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(1)拟派团队管理能力与水平(履约能力)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相对标准:拟派团队管理能力与水平(履约能力)强的定标候选人优于拟派团队管理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能力与水平(履约能力)一般的定标候选人。</w:t>
      </w:r>
    </w:p>
    <w:p>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企业信誉</w:t>
      </w:r>
    </w:p>
    <w:p>
      <w:pPr>
        <w:keepNext w:val="0"/>
        <w:keepLines w:val="0"/>
        <w:widowControl w:val="0"/>
        <w:spacing w:line="400" w:lineRule="exact"/>
        <w:ind w:firstLine="420" w:firstLineChars="200"/>
        <w:textAlignment w:val="auto"/>
        <w:outlineLvl w:val="9"/>
        <w:rPr>
          <w:rFonts w:hint="default"/>
          <w:color w:val="auto"/>
          <w:highlight w:val="none"/>
        </w:rPr>
      </w:pPr>
      <w:r>
        <w:rPr>
          <w:rFonts w:hint="eastAsia" w:hAnsi="宋体"/>
          <w:b w:val="0"/>
          <w:bCs w:val="0"/>
          <w:color w:val="auto"/>
          <w:kern w:val="0"/>
          <w:sz w:val="21"/>
          <w:szCs w:val="21"/>
          <w:highlight w:val="none"/>
          <w:u w:val="none"/>
          <w:shd w:val="clear" w:color="auto" w:fill="FFFFFF"/>
        </w:rPr>
        <w:t>相对标准:企业信誉评价好的定标候选人优于企业信誉评价一般的定标候选人。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(3)服务响应能力及保障措施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相对标准:比较定标候选人提供的服务响应方案及保障措施，现场服务响应能力适应项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目实际需求、合理可行性强的定标候选人优于响应能力一般的定标候选人。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(4)评标报告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hAnsi="宋体"/>
          <w:b w:val="0"/>
          <w:bCs w:val="0"/>
          <w:color w:val="auto"/>
          <w:kern w:val="0"/>
          <w:sz w:val="21"/>
          <w:szCs w:val="21"/>
          <w:highlight w:val="none"/>
          <w:u w:val="none"/>
          <w:shd w:val="clear" w:color="auto" w:fill="FFFFFF"/>
        </w:rPr>
      </w:pPr>
      <w:r>
        <w:rPr>
          <w:rFonts w:hint="eastAsia" w:hAnsi="宋体"/>
          <w:b w:val="0"/>
          <w:bCs w:val="0"/>
          <w:color w:val="auto"/>
          <w:kern w:val="0"/>
          <w:sz w:val="21"/>
          <w:szCs w:val="21"/>
          <w:highlight w:val="none"/>
          <w:u w:val="none"/>
          <w:shd w:val="clear" w:color="auto" w:fill="FFFFFF"/>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hAnsi="宋体"/>
          <w:b/>
          <w:bCs/>
          <w:color w:val="auto"/>
          <w:kern w:val="0"/>
          <w:sz w:val="21"/>
          <w:szCs w:val="21"/>
          <w:highlight w:val="none"/>
          <w:u w:val="none"/>
          <w:shd w:val="clear" w:color="auto" w:fill="FFFFFF"/>
        </w:rPr>
      </w:pPr>
      <w:r>
        <w:rPr>
          <w:rFonts w:hint="eastAsia" w:hAnsi="宋体"/>
          <w:b/>
          <w:bCs/>
          <w:color w:val="auto"/>
          <w:kern w:val="0"/>
          <w:sz w:val="21"/>
          <w:szCs w:val="21"/>
          <w:highlight w:val="none"/>
          <w:u w:val="none"/>
          <w:shd w:val="clear" w:color="auto" w:fill="FFFFFF"/>
        </w:rPr>
        <w:t>(5)农民工工资保障情况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hAnsi="宋体"/>
          <w:b w:val="0"/>
          <w:bCs w:val="0"/>
          <w:color w:val="auto"/>
          <w:kern w:val="0"/>
          <w:sz w:val="21"/>
          <w:szCs w:val="21"/>
          <w:highlight w:val="none"/>
          <w:u w:val="none"/>
          <w:shd w:val="clear" w:color="auto" w:fill="FFFFFF"/>
        </w:rPr>
        <w:t>相对标准:农民工工资保障情况好的定标候选人优于农民工工资保障情况差的定标候选人(结合定标候选人提交的证明材料和招标人查询的材料进行评审)。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6.定标结果公示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25"/>
          <w:rFonts w:hint="eastAsia" w:ascii="宋体" w:hAnsi="宋体" w:eastAsia="宋体" w:cs="宋体"/>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定标委员会完成定标</w:t>
      </w:r>
      <w:r>
        <w:rPr>
          <w:rStyle w:val="25"/>
          <w:rFonts w:hint="eastAsia" w:ascii="宋体" w:hAnsi="宋体" w:eastAsia="宋体" w:cs="宋体"/>
          <w:b w:val="0"/>
          <w:bCs w:val="0"/>
          <w:color w:val="auto"/>
          <w:kern w:val="0"/>
          <w:sz w:val="21"/>
          <w:szCs w:val="21"/>
          <w:highlight w:val="none"/>
          <w:lang w:val="en-US" w:eastAsia="zh-CN"/>
        </w:rPr>
        <w:t>后</w:t>
      </w:r>
      <w:r>
        <w:rPr>
          <w:rStyle w:val="25"/>
          <w:rFonts w:hint="eastAsia" w:ascii="宋体" w:hAnsi="宋体" w:eastAsia="宋体" w:cs="宋体"/>
          <w:color w:val="auto"/>
          <w:kern w:val="0"/>
          <w:sz w:val="21"/>
          <w:szCs w:val="21"/>
          <w:highlight w:val="none"/>
          <w:lang w:val="en-US" w:eastAsia="zh-CN"/>
        </w:rPr>
        <w:t>，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pPr>
        <w:rPr>
          <w:rFonts w:hint="eastAsia"/>
          <w:color w:val="auto"/>
          <w:highlight w:val="none"/>
          <w:lang w:val="en-US" w:eastAsia="zh-CN"/>
        </w:rPr>
      </w:pPr>
    </w:p>
    <w:p>
      <w:pPr>
        <w:tabs>
          <w:tab w:val="left" w:pos="885"/>
        </w:tabs>
        <w:snapToGrid w:val="0"/>
        <w:outlineLvl w:val="1"/>
        <w:rPr>
          <w:rStyle w:val="25"/>
          <w:rFonts w:hint="eastAsia" w:ascii="Times New Roman" w:hAnsi="宋体" w:eastAsia="宋体" w:cs="Times New Roman"/>
          <w:b/>
          <w:bCs/>
          <w:color w:val="auto"/>
          <w:highlight w:val="none"/>
          <w:lang w:val="en-US" w:eastAsia="zh-CN"/>
        </w:rPr>
      </w:pPr>
      <w:bookmarkStart w:id="204" w:name="_Toc226"/>
      <w:bookmarkStart w:id="205" w:name="_Toc7606"/>
      <w:bookmarkStart w:id="206" w:name="_Toc21815"/>
      <w:r>
        <w:rPr>
          <w:rStyle w:val="25"/>
          <w:rFonts w:hint="eastAsia" w:ascii="Times New Roman" w:hAnsi="宋体" w:eastAsia="宋体" w:cs="Times New Roman"/>
          <w:b/>
          <w:bCs/>
          <w:color w:val="auto"/>
          <w:highlight w:val="none"/>
        </w:rPr>
        <w:t>第</w:t>
      </w:r>
      <w:r>
        <w:rPr>
          <w:rStyle w:val="25"/>
          <w:rFonts w:hint="eastAsia" w:ascii="Times New Roman" w:hAnsi="宋体" w:eastAsia="宋体" w:cs="Times New Roman"/>
          <w:b/>
          <w:bCs/>
          <w:color w:val="auto"/>
          <w:highlight w:val="none"/>
          <w:lang w:val="en-US" w:eastAsia="zh-CN"/>
        </w:rPr>
        <w:t>六</w:t>
      </w:r>
      <w:r>
        <w:rPr>
          <w:rStyle w:val="25"/>
          <w:rFonts w:hint="eastAsia" w:ascii="Times New Roman" w:hAnsi="宋体" w:eastAsia="宋体" w:cs="Times New Roman"/>
          <w:b/>
          <w:bCs/>
          <w:color w:val="auto"/>
          <w:highlight w:val="none"/>
        </w:rPr>
        <w:t>节 中标确认</w:t>
      </w:r>
      <w:bookmarkEnd w:id="204"/>
      <w:bookmarkEnd w:id="205"/>
      <w:bookmarkEnd w:id="206"/>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1.中标人确定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1.1 中标人确定。</w:t>
      </w:r>
      <w:r>
        <w:rPr>
          <w:rFonts w:hint="default" w:ascii="宋体" w:hAnsi="宋体" w:eastAsia="宋体" w:cs="宋体"/>
          <w:b w:val="0"/>
          <w:bCs w:val="0"/>
          <w:color w:val="auto"/>
          <w:kern w:val="0"/>
          <w:sz w:val="21"/>
          <w:szCs w:val="21"/>
          <w:highlight w:val="none"/>
          <w:u w:val="none"/>
          <w:shd w:val="clear" w:color="auto" w:fill="FFFFFF"/>
          <w:lang w:val="en-US" w:eastAsia="zh-CN" w:bidi="ar-SA"/>
        </w:rPr>
        <w:t>中</w:t>
      </w:r>
      <w:r>
        <w:rPr>
          <w:rFonts w:hint="eastAsia" w:ascii="宋体" w:hAnsi="宋体" w:eastAsia="宋体" w:cs="宋体"/>
          <w:b w:val="0"/>
          <w:bCs w:val="0"/>
          <w:color w:val="auto"/>
          <w:kern w:val="0"/>
          <w:sz w:val="21"/>
          <w:szCs w:val="21"/>
          <w:highlight w:val="none"/>
          <w:u w:val="none"/>
          <w:shd w:val="clear" w:color="auto" w:fill="FFFFFF"/>
          <w:lang w:val="en-US" w:eastAsia="zh-CN" w:bidi="ar-SA"/>
        </w:rPr>
        <w:t>标结果公示期满无异议的，招标人确认排名第一的中标候选人为中标人。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1"/>
          <w:szCs w:val="21"/>
          <w:highlight w:val="none"/>
        </w:rPr>
        <w:t>在中标通知书发出后5个工作日内，韶关市公共资源交易中心将投标保证金（或银行保函）退还给中标候选人以外的投标人。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21"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异议和投诉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2.1 投标人或者其他利害关系人对招标项目的评标和</w:t>
      </w:r>
      <w:r>
        <w:rPr>
          <w:rFonts w:hint="default" w:ascii="宋体" w:hAnsi="宋体" w:eastAsia="宋体" w:cs="宋体"/>
          <w:b w:val="0"/>
          <w:bCs w:val="0"/>
          <w:color w:val="auto"/>
          <w:kern w:val="0"/>
          <w:sz w:val="21"/>
          <w:szCs w:val="21"/>
          <w:highlight w:val="none"/>
          <w:u w:val="none"/>
          <w:shd w:val="clear" w:color="auto" w:fill="FFFFFF"/>
          <w:lang w:val="en-US" w:eastAsia="zh-CN" w:bidi="ar-SA"/>
        </w:rPr>
        <w:t>中</w:t>
      </w:r>
      <w:r>
        <w:rPr>
          <w:rFonts w:hint="eastAsia" w:ascii="宋体" w:hAnsi="宋体" w:eastAsia="宋体" w:cs="宋体"/>
          <w:b w:val="0"/>
          <w:bCs w:val="0"/>
          <w:color w:val="auto"/>
          <w:kern w:val="0"/>
          <w:sz w:val="21"/>
          <w:szCs w:val="21"/>
          <w:highlight w:val="none"/>
          <w:u w:val="none"/>
          <w:shd w:val="clear" w:color="auto" w:fill="FFFFFF"/>
          <w:lang w:val="en-US" w:eastAsia="zh-CN" w:bidi="ar-SA"/>
        </w:rPr>
        <w:t>标结果有异议的，应当在定标候选人和</w:t>
      </w:r>
      <w:r>
        <w:rPr>
          <w:rFonts w:hint="default" w:ascii="宋体" w:hAnsi="宋体" w:eastAsia="宋体" w:cs="宋体"/>
          <w:b w:val="0"/>
          <w:bCs w:val="0"/>
          <w:color w:val="auto"/>
          <w:kern w:val="0"/>
          <w:sz w:val="21"/>
          <w:szCs w:val="21"/>
          <w:highlight w:val="none"/>
          <w:u w:val="none"/>
          <w:shd w:val="clear" w:color="auto" w:fill="FFFFFF"/>
          <w:lang w:val="en-US" w:eastAsia="zh-CN" w:bidi="ar-SA"/>
        </w:rPr>
        <w:t>中</w:t>
      </w:r>
      <w:r>
        <w:rPr>
          <w:rFonts w:hint="eastAsia" w:ascii="宋体" w:hAnsi="宋体" w:eastAsia="宋体" w:cs="宋体"/>
          <w:b w:val="0"/>
          <w:bCs w:val="0"/>
          <w:color w:val="auto"/>
          <w:kern w:val="0"/>
          <w:sz w:val="21"/>
          <w:szCs w:val="21"/>
          <w:highlight w:val="none"/>
          <w:u w:val="none"/>
          <w:shd w:val="clear" w:color="auto" w:fill="FFFFFF"/>
          <w:lang w:val="en-US" w:eastAsia="zh-CN" w:bidi="ar-SA"/>
        </w:rPr>
        <w:t>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pPr>
        <w:pStyle w:val="17"/>
        <w:keepNext w:val="0"/>
        <w:keepLines w:val="0"/>
        <w:pageBreakBefore w:val="0"/>
        <w:widowControl w:val="0"/>
        <w:shd w:val="clear" w:color="auto" w:fill="auto"/>
        <w:kinsoku/>
        <w:wordWrap/>
        <w:overflowPunct/>
        <w:topLinePunct w:val="0"/>
        <w:bidi w:val="0"/>
        <w:adjustRightInd/>
        <w:snapToGrid/>
        <w:spacing w:before="0" w:beforeLines="0" w:after="0" w:afterLines="0" w:line="340" w:lineRule="exact"/>
        <w:ind w:left="0" w:leftChars="0" w:firstLine="421" w:firstLineChars="200"/>
        <w:jc w:val="both"/>
        <w:textAlignment w:val="auto"/>
        <w:outlineLvl w:val="9"/>
        <w:rPr>
          <w:rFonts w:hint="eastAsia" w:ascii="宋体" w:hAnsi="宋体" w:eastAsia="宋体" w:cs="宋体"/>
          <w:b/>
          <w:bCs/>
          <w:i/>
          <w:color w:val="auto"/>
          <w:sz w:val="21"/>
          <w:szCs w:val="21"/>
          <w:highlight w:val="none"/>
        </w:rPr>
      </w:pPr>
      <w:bookmarkStart w:id="207" w:name="_Toc236550039"/>
      <w:r>
        <w:rPr>
          <w:rStyle w:val="23"/>
          <w:rFonts w:hint="eastAsia" w:ascii="宋体" w:hAnsi="宋体" w:eastAsia="宋体" w:cs="宋体"/>
          <w:b/>
          <w:bCs/>
          <w:i w:val="0"/>
          <w:color w:val="auto"/>
          <w:sz w:val="21"/>
          <w:szCs w:val="21"/>
          <w:highlight w:val="none"/>
          <w:lang w:val="en-US" w:eastAsia="zh-CN"/>
        </w:rPr>
        <w:t>3</w:t>
      </w:r>
      <w:r>
        <w:rPr>
          <w:rStyle w:val="23"/>
          <w:rFonts w:hint="eastAsia" w:ascii="宋体" w:hAnsi="宋体" w:eastAsia="宋体" w:cs="宋体"/>
          <w:b/>
          <w:bCs/>
          <w:i w:val="0"/>
          <w:color w:val="auto"/>
          <w:sz w:val="21"/>
          <w:szCs w:val="21"/>
          <w:highlight w:val="none"/>
        </w:rPr>
        <w:t>．废除授标</w:t>
      </w:r>
      <w:bookmarkEnd w:id="207"/>
      <w:r>
        <w:rPr>
          <w:rStyle w:val="23"/>
          <w:rFonts w:hint="eastAsia" w:ascii="宋体" w:hAnsi="宋体" w:eastAsia="宋体" w:cs="宋体"/>
          <w:b/>
          <w:bCs/>
          <w:i w:val="0"/>
          <w:color w:val="auto"/>
          <w:sz w:val="21"/>
          <w:szCs w:val="21"/>
          <w:highlight w:val="none"/>
        </w:rPr>
        <w:t>及授标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3.1评定标完成后，中标候选人有下列情形之一的，招标人应按规定取消中标候选人资格或废除授标：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（1）以他人名义投标或者以其他方式弄虚作假骗取中标的；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（2）与其他投标人串通投标或以行贿的手段谋取中标的；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（3）不是从本投标企业基本账户提交投标担保或以虚假方式提交投标保证金保函（保单）的；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（4）中标人于投标有效期终止之前撤回投标文件，或者排名第一的中标候选人放弃中标资格的；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（5）因中标人过错而未能按照规定与招标人签订工程总承包合同或中标人因不可抗力提出不能履行合同的；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（6）因中标人过错而未能按照招标文件要求向招标人提交履约担保的；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（7）中标单位拟派的项目负责人从投标截止时间起在其他建设工程担任项目负责人；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（8）中标人被有关部门查实存在影响中标结果的违法行为，不符合中标条件的；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（9）中标人在参加本项目投标时有本企业投标承诺书所列被依法限制或暂停承揽业务或停业的处罚的；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（10）招标文件明确规定可以废除授标的其他情形。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3.3 招标人有下列情形之一的，应依法承担相应的责任：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（1）无正当理由不发出中标通知书的；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（2）招标人不按照规定确定中标人的；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（3）中标通知书发出后无正当理由改变中标结果的；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（4）无正当理由不与中标人签订工程总承包合同的；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25"/>
          <w:rFonts w:hint="eastAsia" w:ascii="宋体" w:hAnsi="宋体" w:eastAsia="宋体" w:cs="宋体"/>
          <w:color w:val="auto"/>
          <w:kern w:val="0"/>
          <w:sz w:val="21"/>
          <w:szCs w:val="21"/>
          <w:highlight w:val="none"/>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（5）在签订工程总承包合同时向中标人提出附加条件或者更改合同实质性内容的。</w:t>
      </w:r>
    </w:p>
    <w:p>
      <w:pPr>
        <w:rPr>
          <w:rFonts w:hint="eastAsia"/>
          <w:color w:val="auto"/>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pPr>
        <w:keepNext w:val="0"/>
        <w:keepLines w:val="0"/>
        <w:pageBreakBefore w:val="0"/>
        <w:kinsoku/>
        <w:overflowPunct/>
        <w:topLinePunct w:val="0"/>
        <w:autoSpaceDE/>
        <w:autoSpaceDN/>
        <w:bidi w:val="0"/>
        <w:adjustRightInd/>
        <w:snapToGrid w:val="0"/>
        <w:spacing w:line="440" w:lineRule="exact"/>
        <w:ind w:left="-240" w:leftChars="-100" w:firstLine="720"/>
        <w:jc w:val="center"/>
        <w:outlineLvl w:val="0"/>
        <w:rPr>
          <w:rStyle w:val="25"/>
          <w:rFonts w:hint="eastAsia" w:hAnsi="宋体"/>
          <w:b/>
          <w:bCs/>
          <w:color w:val="auto"/>
          <w:kern w:val="0"/>
          <w:sz w:val="21"/>
          <w:szCs w:val="21"/>
          <w:highlight w:val="none"/>
        </w:rPr>
      </w:pPr>
      <w:bookmarkStart w:id="208" w:name="_Toc4077"/>
      <w:bookmarkStart w:id="209" w:name="_Toc9813"/>
      <w:bookmarkStart w:id="210" w:name="_Toc3347"/>
      <w:bookmarkStart w:id="211" w:name="_Toc2386"/>
      <w:bookmarkStart w:id="212" w:name="_Toc15462"/>
      <w:bookmarkStart w:id="213" w:name="_Toc10927"/>
      <w:bookmarkStart w:id="214" w:name="_Toc27143"/>
      <w:bookmarkStart w:id="215" w:name="_Toc28709"/>
      <w:bookmarkStart w:id="216" w:name="_Toc7411"/>
      <w:bookmarkStart w:id="217" w:name="_Toc2211"/>
      <w:bookmarkStart w:id="218" w:name="_Toc28953"/>
      <w:bookmarkStart w:id="219" w:name="_Toc30480"/>
      <w:bookmarkStart w:id="220" w:name="_Toc6867"/>
      <w:bookmarkStart w:id="221" w:name="_Toc28787"/>
      <w:r>
        <w:rPr>
          <w:rStyle w:val="25"/>
          <w:rFonts w:hint="eastAsia" w:hAnsi="宋体"/>
          <w:b/>
          <w:bCs/>
          <w:color w:val="auto"/>
          <w:kern w:val="0"/>
          <w:sz w:val="28"/>
          <w:szCs w:val="28"/>
          <w:highlight w:val="none"/>
        </w:rPr>
        <w:t>第二章 中标人须知</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Start w:id="222" w:name="_Toc17046"/>
      <w:bookmarkStart w:id="223" w:name="_Toc14325"/>
      <w:bookmarkStart w:id="224" w:name="_Toc19623"/>
      <w:bookmarkStart w:id="225" w:name="_Toc10923"/>
      <w:bookmarkStart w:id="226" w:name="_Toc22972"/>
      <w:bookmarkStart w:id="227" w:name="_Toc61"/>
      <w:bookmarkStart w:id="228" w:name="_Toc29237"/>
      <w:bookmarkStart w:id="229" w:name="_Toc4987"/>
      <w:bookmarkStart w:id="230" w:name="_Toc16222"/>
      <w:bookmarkStart w:id="231" w:name="_Toc6149"/>
      <w:bookmarkStart w:id="232" w:name="_Toc12261"/>
    </w:p>
    <w:p>
      <w:pPr>
        <w:keepNext w:val="0"/>
        <w:keepLines w:val="0"/>
        <w:pageBreakBefore w:val="0"/>
        <w:kinsoku/>
        <w:overflowPunct/>
        <w:topLinePunct w:val="0"/>
        <w:autoSpaceDE/>
        <w:autoSpaceDN/>
        <w:bidi w:val="0"/>
        <w:adjustRightInd/>
        <w:snapToGrid/>
        <w:spacing w:line="440" w:lineRule="exact"/>
        <w:ind w:firstLine="421" w:firstLineChars="200"/>
        <w:outlineLvl w:val="1"/>
        <w:rPr>
          <w:rStyle w:val="25"/>
          <w:rFonts w:hint="eastAsia" w:hAnsi="宋体"/>
          <w:color w:val="auto"/>
          <w:kern w:val="0"/>
          <w:sz w:val="21"/>
          <w:szCs w:val="21"/>
          <w:highlight w:val="none"/>
        </w:rPr>
      </w:pPr>
      <w:bookmarkStart w:id="233" w:name="_Toc15167"/>
      <w:bookmarkStart w:id="234" w:name="_Toc12952"/>
      <w:bookmarkStart w:id="235" w:name="_Toc15717"/>
      <w:r>
        <w:rPr>
          <w:rStyle w:val="25"/>
          <w:rFonts w:hint="eastAsia" w:hAnsi="宋体"/>
          <w:b/>
          <w:bCs/>
          <w:color w:val="auto"/>
          <w:kern w:val="0"/>
          <w:sz w:val="21"/>
          <w:szCs w:val="21"/>
          <w:highlight w:val="none"/>
        </w:rPr>
        <w:t>1．中标通知书</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hAnsi="宋体"/>
          <w:color w:val="auto"/>
          <w:kern w:val="0"/>
          <w:sz w:val="21"/>
          <w:szCs w:val="21"/>
          <w:highlight w:val="none"/>
        </w:rPr>
      </w:pPr>
      <w:r>
        <w:rPr>
          <w:rStyle w:val="25"/>
          <w:rFonts w:hint="eastAsia" w:hAnsi="宋体"/>
          <w:color w:val="auto"/>
          <w:kern w:val="0"/>
          <w:sz w:val="21"/>
          <w:szCs w:val="21"/>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pPr>
        <w:keepNext w:val="0"/>
        <w:keepLines w:val="0"/>
        <w:pageBreakBefore w:val="0"/>
        <w:widowControl w:val="0"/>
        <w:kinsoku/>
        <w:overflowPunct/>
        <w:topLinePunct w:val="0"/>
        <w:autoSpaceDE/>
        <w:autoSpaceDN/>
        <w:bidi w:val="0"/>
        <w:adjustRightInd/>
        <w:snapToGrid/>
        <w:spacing w:line="240" w:lineRule="auto"/>
        <w:ind w:firstLine="420" w:firstLineChars="200"/>
        <w:rPr>
          <w:rStyle w:val="25"/>
          <w:rFonts w:hint="eastAsia" w:hAnsi="宋体"/>
          <w:color w:val="auto"/>
          <w:kern w:val="0"/>
          <w:sz w:val="21"/>
          <w:szCs w:val="21"/>
          <w:highlight w:val="none"/>
        </w:rPr>
      </w:pPr>
    </w:p>
    <w:p>
      <w:pPr>
        <w:keepNext w:val="0"/>
        <w:keepLines w:val="0"/>
        <w:pageBreakBefore w:val="0"/>
        <w:widowControl w:val="0"/>
        <w:kinsoku/>
        <w:overflowPunct/>
        <w:topLinePunct w:val="0"/>
        <w:autoSpaceDE/>
        <w:autoSpaceDN/>
        <w:bidi w:val="0"/>
        <w:adjustRightInd/>
        <w:snapToGrid/>
        <w:spacing w:line="440" w:lineRule="exact"/>
        <w:ind w:firstLine="421" w:firstLineChars="200"/>
        <w:outlineLvl w:val="1"/>
        <w:rPr>
          <w:rStyle w:val="25"/>
          <w:rFonts w:hint="eastAsia" w:hAnsi="宋体"/>
          <w:color w:val="auto"/>
          <w:kern w:val="0"/>
          <w:sz w:val="21"/>
          <w:szCs w:val="21"/>
          <w:highlight w:val="none"/>
        </w:rPr>
      </w:pPr>
      <w:bookmarkStart w:id="236" w:name="_Toc1454"/>
      <w:bookmarkStart w:id="237" w:name="_Toc26333"/>
      <w:bookmarkStart w:id="238" w:name="_Toc23103"/>
      <w:bookmarkStart w:id="239" w:name="_Toc1504"/>
      <w:bookmarkStart w:id="240" w:name="_Toc9352"/>
      <w:bookmarkStart w:id="241" w:name="_Toc23275"/>
      <w:bookmarkStart w:id="242" w:name="_Toc13183"/>
      <w:bookmarkStart w:id="243" w:name="_Toc10346"/>
      <w:bookmarkStart w:id="244" w:name="_Toc18834"/>
      <w:bookmarkStart w:id="245" w:name="_Toc11550"/>
      <w:bookmarkStart w:id="246" w:name="_Toc21639"/>
      <w:bookmarkStart w:id="247" w:name="_Toc32016"/>
      <w:bookmarkStart w:id="248" w:name="_Toc7495"/>
      <w:bookmarkStart w:id="249" w:name="_Toc250"/>
      <w:r>
        <w:rPr>
          <w:rStyle w:val="25"/>
          <w:rFonts w:hint="eastAsia" w:hAnsi="宋体"/>
          <w:b/>
          <w:bCs/>
          <w:color w:val="auto"/>
          <w:kern w:val="0"/>
          <w:sz w:val="21"/>
          <w:szCs w:val="21"/>
          <w:highlight w:val="none"/>
        </w:rPr>
        <w:t>2．中标结果公示</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5"/>
          <w:rFonts w:hint="eastAsia" w:hAnsi="宋体"/>
          <w:color w:val="auto"/>
          <w:kern w:val="0"/>
          <w:sz w:val="21"/>
          <w:szCs w:val="21"/>
          <w:highlight w:val="none"/>
        </w:rPr>
      </w:pPr>
      <w:r>
        <w:rPr>
          <w:rStyle w:val="25"/>
          <w:rFonts w:hint="eastAsia" w:hAnsi="宋体"/>
          <w:color w:val="auto"/>
          <w:kern w:val="0"/>
          <w:sz w:val="21"/>
          <w:szCs w:val="21"/>
          <w:highlight w:val="none"/>
        </w:rPr>
        <w:t>中标通知书发出后15日内，招标人应将中标结果</w:t>
      </w:r>
      <w:r>
        <w:rPr>
          <w:rFonts w:hint="eastAsia" w:hAnsi="宋体"/>
          <w:snapToGrid w:val="0"/>
          <w:color w:val="auto"/>
          <w:kern w:val="0"/>
          <w:sz w:val="21"/>
          <w:szCs w:val="21"/>
          <w:highlight w:val="none"/>
        </w:rPr>
        <w:t>在广东省招标投标监管网（</w:t>
      </w:r>
      <w:r>
        <w:rPr>
          <w:rFonts w:hint="eastAsia" w:ascii="宋体" w:hAnsi="宋体" w:eastAsia="宋体" w:cs="宋体"/>
          <w:snapToGrid w:val="0"/>
          <w:color w:val="auto"/>
          <w:kern w:val="0"/>
          <w:sz w:val="21"/>
          <w:szCs w:val="21"/>
          <w:highlight w:val="none"/>
          <w:lang w:val="en-US" w:eastAsia="zh-CN" w:bidi="ar-SA"/>
        </w:rPr>
        <w:t>http：//zbtb.gd.gov.cn</w:t>
      </w:r>
      <w:r>
        <w:rPr>
          <w:rFonts w:hint="eastAsia" w:hAnsi="宋体"/>
          <w:snapToGrid w:val="0"/>
          <w:color w:val="auto"/>
          <w:kern w:val="0"/>
          <w:sz w:val="21"/>
          <w:szCs w:val="21"/>
          <w:highlight w:val="none"/>
        </w:rPr>
        <w:t>）、全国公共资源交易平台（广东省·韶关市）（https://ygp.gdzwfw.gov.cn/ggzy-portal/#/440200/index）进行公示。</w:t>
      </w:r>
    </w:p>
    <w:p>
      <w:pPr>
        <w:keepNext w:val="0"/>
        <w:keepLines w:val="0"/>
        <w:pageBreakBefore w:val="0"/>
        <w:widowControl w:val="0"/>
        <w:kinsoku/>
        <w:overflowPunct/>
        <w:topLinePunct w:val="0"/>
        <w:autoSpaceDE/>
        <w:autoSpaceDN/>
        <w:bidi w:val="0"/>
        <w:adjustRightInd/>
        <w:snapToGrid/>
        <w:spacing w:line="240" w:lineRule="auto"/>
        <w:ind w:firstLine="420" w:firstLineChars="200"/>
        <w:rPr>
          <w:rStyle w:val="25"/>
          <w:rFonts w:hint="eastAsia" w:hAnsi="宋体"/>
          <w:color w:val="auto"/>
          <w:kern w:val="0"/>
          <w:sz w:val="21"/>
          <w:szCs w:val="21"/>
          <w:highlight w:val="none"/>
        </w:rPr>
      </w:pPr>
    </w:p>
    <w:p>
      <w:pPr>
        <w:keepNext w:val="0"/>
        <w:keepLines w:val="0"/>
        <w:pageBreakBefore w:val="0"/>
        <w:widowControl w:val="0"/>
        <w:kinsoku/>
        <w:overflowPunct/>
        <w:topLinePunct w:val="0"/>
        <w:autoSpaceDE/>
        <w:autoSpaceDN/>
        <w:bidi w:val="0"/>
        <w:adjustRightInd/>
        <w:snapToGrid/>
        <w:spacing w:line="440" w:lineRule="exact"/>
        <w:ind w:firstLine="421" w:firstLineChars="200"/>
        <w:outlineLvl w:val="1"/>
        <w:rPr>
          <w:rStyle w:val="25"/>
          <w:rFonts w:hint="eastAsia" w:hAnsi="宋体"/>
          <w:color w:val="auto"/>
          <w:kern w:val="0"/>
          <w:sz w:val="21"/>
          <w:szCs w:val="21"/>
          <w:highlight w:val="none"/>
        </w:rPr>
      </w:pPr>
      <w:bookmarkStart w:id="250" w:name="_Toc11324"/>
      <w:bookmarkStart w:id="251" w:name="_Toc12142"/>
      <w:bookmarkStart w:id="252" w:name="_Toc18175"/>
      <w:bookmarkStart w:id="253" w:name="_Toc7791"/>
      <w:bookmarkStart w:id="254" w:name="_Toc4720"/>
      <w:bookmarkStart w:id="255" w:name="_Toc23213"/>
      <w:bookmarkStart w:id="256" w:name="_Toc9163"/>
      <w:bookmarkStart w:id="257" w:name="_Toc5175"/>
      <w:bookmarkStart w:id="258" w:name="_Toc2516"/>
      <w:bookmarkStart w:id="259" w:name="_Toc3103"/>
      <w:bookmarkStart w:id="260" w:name="_Toc8887"/>
      <w:bookmarkStart w:id="261" w:name="_Toc28852"/>
      <w:bookmarkStart w:id="262" w:name="_Toc2148"/>
      <w:bookmarkStart w:id="263" w:name="_Toc6985"/>
      <w:r>
        <w:rPr>
          <w:rStyle w:val="25"/>
          <w:rFonts w:hint="eastAsia" w:hAnsi="宋体"/>
          <w:b/>
          <w:bCs/>
          <w:color w:val="auto"/>
          <w:kern w:val="0"/>
          <w:sz w:val="21"/>
          <w:szCs w:val="21"/>
          <w:highlight w:val="none"/>
        </w:rPr>
        <w:t>3．履约保证</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中标人须在领取中标通知书之日起</w:t>
      </w:r>
      <w:r>
        <w:rPr>
          <w:rFonts w:hint="eastAsia" w:ascii="宋体" w:hAnsi="宋体" w:eastAsia="宋体" w:cs="宋体"/>
          <w:snapToGrid w:val="0"/>
          <w:color w:val="auto"/>
          <w:kern w:val="0"/>
          <w:sz w:val="21"/>
          <w:szCs w:val="21"/>
          <w:highlight w:val="none"/>
          <w:u w:val="single"/>
          <w:lang w:val="en-US" w:eastAsia="zh-CN"/>
        </w:rPr>
        <w:t xml:space="preserve"> </w:t>
      </w:r>
      <w:r>
        <w:rPr>
          <w:rFonts w:hint="default" w:ascii="宋体" w:hAnsi="宋体" w:eastAsia="宋体" w:cs="宋体"/>
          <w:snapToGrid w:val="0"/>
          <w:color w:val="auto"/>
          <w:kern w:val="0"/>
          <w:sz w:val="21"/>
          <w:szCs w:val="21"/>
          <w:highlight w:val="none"/>
          <w:u w:val="single"/>
          <w:lang w:val="en-US" w:eastAsia="zh-CN"/>
        </w:rPr>
        <w:t>10</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个工作日内、签订合同前向招标人提交金额为中标价</w:t>
      </w:r>
      <w:r>
        <w:rPr>
          <w:rFonts w:hint="eastAsia" w:ascii="宋体" w:hAnsi="宋体" w:eastAsia="宋体" w:cs="宋体"/>
          <w:b/>
          <w:bCs/>
          <w:snapToGrid w:val="0"/>
          <w:color w:val="auto"/>
          <w:kern w:val="0"/>
          <w:sz w:val="21"/>
          <w:szCs w:val="21"/>
          <w:highlight w:val="none"/>
          <w:u w:val="single"/>
          <w:lang w:val="en-US" w:eastAsia="zh-CN"/>
        </w:rPr>
        <w:t xml:space="preserve"> 5 </w:t>
      </w:r>
      <w:r>
        <w:rPr>
          <w:rFonts w:hint="eastAsia" w:ascii="宋体" w:hAnsi="宋体" w:eastAsia="宋体" w:cs="宋体"/>
          <w:b/>
          <w:bCs/>
          <w:snapToGrid w:val="0"/>
          <w:color w:val="auto"/>
          <w:kern w:val="0"/>
          <w:sz w:val="21"/>
          <w:szCs w:val="21"/>
          <w:highlight w:val="none"/>
        </w:rPr>
        <w:t>%</w:t>
      </w:r>
      <w:r>
        <w:rPr>
          <w:rFonts w:hint="eastAsia" w:ascii="宋体" w:hAnsi="宋体" w:eastAsia="宋体" w:cs="宋体"/>
          <w:snapToGrid w:val="0"/>
          <w:color w:val="auto"/>
          <w:kern w:val="0"/>
          <w:sz w:val="21"/>
          <w:szCs w:val="21"/>
          <w:highlight w:val="none"/>
        </w:rPr>
        <w:t>的履约保证。</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snapToGrid w:val="0"/>
          <w:color w:val="auto"/>
          <w:kern w:val="0"/>
          <w:sz w:val="21"/>
          <w:szCs w:val="21"/>
          <w:highlight w:val="none"/>
          <w:lang w:val="en-US" w:eastAsia="zh-CN"/>
        </w:rPr>
        <w:t>商业保函、银行保函或保险合同（或保险单）的有效期应当自合同生效之日起至项目通过竣工验收之日后 28 天止。</w:t>
      </w:r>
      <w:r>
        <w:rPr>
          <w:rFonts w:hint="eastAsia" w:ascii="宋体" w:hAnsi="宋体" w:eastAsia="宋体" w:cs="宋体"/>
          <w:snapToGrid w:val="0"/>
          <w:color w:val="auto"/>
          <w:kern w:val="0"/>
          <w:sz w:val="21"/>
          <w:szCs w:val="21"/>
          <w:highlight w:val="none"/>
        </w:rPr>
        <w:t>项目竣工后，由招标人发起退保。</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r>
        <w:rPr>
          <w:rFonts w:hint="eastAsia" w:ascii="宋体" w:hAnsi="宋体" w:eastAsia="宋体" w:cs="宋体"/>
          <w:snapToGrid w:val="0"/>
          <w:color w:val="auto"/>
          <w:kern w:val="0"/>
          <w:sz w:val="21"/>
          <w:szCs w:val="21"/>
          <w:highlight w:val="none"/>
        </w:rPr>
        <w:t>并由招标人通报建设行政管理部门。如采用</w:t>
      </w:r>
      <w:r>
        <w:rPr>
          <w:rFonts w:hint="eastAsia" w:ascii="宋体" w:hAnsi="宋体" w:eastAsia="宋体" w:cs="宋体"/>
          <w:snapToGrid w:val="0"/>
          <w:color w:val="auto"/>
          <w:kern w:val="0"/>
          <w:sz w:val="21"/>
          <w:szCs w:val="21"/>
          <w:highlight w:val="none"/>
          <w:lang w:eastAsia="zh-CN"/>
        </w:rPr>
        <w:t>商业保函、银行保函或保险合同</w:t>
      </w:r>
      <w:r>
        <w:rPr>
          <w:rFonts w:hint="eastAsia" w:ascii="宋体" w:hAnsi="宋体" w:eastAsia="宋体" w:cs="宋体"/>
          <w:snapToGrid w:val="0"/>
          <w:color w:val="auto"/>
          <w:kern w:val="0"/>
          <w:sz w:val="21"/>
          <w:szCs w:val="21"/>
          <w:highlight w:val="none"/>
        </w:rPr>
        <w:t>方式缴纳履约保证金，在保函或保险合同到期前一个月，中标人须主动办理续期手续或提交新的</w:t>
      </w:r>
      <w:r>
        <w:rPr>
          <w:rFonts w:hint="eastAsia" w:ascii="宋体" w:hAnsi="宋体" w:eastAsia="宋体" w:cs="宋体"/>
          <w:snapToGrid w:val="0"/>
          <w:color w:val="auto"/>
          <w:kern w:val="0"/>
          <w:sz w:val="21"/>
          <w:szCs w:val="21"/>
          <w:highlight w:val="none"/>
          <w:lang w:eastAsia="zh-CN"/>
        </w:rPr>
        <w:t>商业保函、银行保函或保险合同。</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在工程实施过程中，如果承包人（即招标阶段的中标人，下同）由于自身的资金、技术、质量、非不可抗力等原因给发包人（即招标阶段的招标人，下同）造成经济损失，发包人有权扣划相应金额的履约保证。</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color w:val="auto"/>
          <w:kern w:val="0"/>
          <w:sz w:val="21"/>
          <w:szCs w:val="21"/>
          <w:highlight w:val="none"/>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项目通过竣工验收之日后28天内，发包人将履约保证</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不计息）</w:t>
      </w:r>
      <w:r>
        <w:rPr>
          <w:rFonts w:hint="eastAsia" w:ascii="宋体" w:hAnsi="宋体" w:eastAsia="宋体" w:cs="宋体"/>
          <w:snapToGrid w:val="0"/>
          <w:color w:val="auto"/>
          <w:kern w:val="0"/>
          <w:sz w:val="21"/>
          <w:szCs w:val="21"/>
          <w:highlight w:val="none"/>
        </w:rPr>
        <w:t>退还给承包人</w:t>
      </w:r>
      <w:r>
        <w:rPr>
          <w:rStyle w:val="25"/>
          <w:rFonts w:hint="eastAsia" w:hAnsi="宋体"/>
          <w:color w:val="auto"/>
          <w:kern w:val="0"/>
          <w:sz w:val="21"/>
          <w:szCs w:val="21"/>
          <w:highlight w:val="none"/>
        </w:rPr>
        <w:t>。</w:t>
      </w:r>
    </w:p>
    <w:p>
      <w:pPr>
        <w:keepNext w:val="0"/>
        <w:keepLines w:val="0"/>
        <w:pageBreakBefore w:val="0"/>
        <w:widowControl w:val="0"/>
        <w:kinsoku/>
        <w:overflowPunct/>
        <w:topLinePunct w:val="0"/>
        <w:autoSpaceDE/>
        <w:autoSpaceDN/>
        <w:bidi w:val="0"/>
        <w:adjustRightInd/>
        <w:snapToGrid/>
        <w:spacing w:line="240" w:lineRule="auto"/>
        <w:ind w:firstLine="421" w:firstLineChars="200"/>
        <w:rPr>
          <w:rStyle w:val="25"/>
          <w:rFonts w:hint="eastAsia" w:hAnsi="宋体"/>
          <w:b/>
          <w:bCs/>
          <w:color w:val="auto"/>
          <w:kern w:val="0"/>
          <w:sz w:val="21"/>
          <w:szCs w:val="21"/>
          <w:highlight w:val="none"/>
        </w:rPr>
      </w:pPr>
    </w:p>
    <w:p>
      <w:pPr>
        <w:keepNext w:val="0"/>
        <w:keepLines w:val="0"/>
        <w:pageBreakBefore w:val="0"/>
        <w:widowControl w:val="0"/>
        <w:kinsoku/>
        <w:overflowPunct/>
        <w:topLinePunct w:val="0"/>
        <w:autoSpaceDE/>
        <w:autoSpaceDN/>
        <w:bidi w:val="0"/>
        <w:adjustRightInd/>
        <w:snapToGrid/>
        <w:spacing w:line="440" w:lineRule="exact"/>
        <w:ind w:firstLine="421" w:firstLineChars="200"/>
        <w:outlineLvl w:val="1"/>
        <w:rPr>
          <w:rStyle w:val="25"/>
          <w:rFonts w:hint="eastAsia" w:hAnsi="宋体"/>
          <w:b/>
          <w:bCs/>
          <w:color w:val="auto"/>
          <w:kern w:val="0"/>
          <w:sz w:val="21"/>
          <w:szCs w:val="21"/>
          <w:highlight w:val="none"/>
        </w:rPr>
      </w:pPr>
      <w:bookmarkStart w:id="264" w:name="_Toc27654"/>
      <w:bookmarkStart w:id="265" w:name="_Toc23036"/>
      <w:bookmarkStart w:id="266" w:name="_Toc16627"/>
      <w:bookmarkStart w:id="267" w:name="_Toc24211"/>
      <w:bookmarkStart w:id="268" w:name="_Toc14440"/>
      <w:bookmarkStart w:id="269" w:name="_Toc27814"/>
      <w:bookmarkStart w:id="270" w:name="_Toc3476"/>
      <w:bookmarkStart w:id="271" w:name="_Toc27413"/>
      <w:bookmarkStart w:id="272" w:name="_Toc17066"/>
      <w:bookmarkStart w:id="273" w:name="_Toc8187"/>
      <w:bookmarkStart w:id="274" w:name="_Toc31886"/>
      <w:bookmarkStart w:id="275" w:name="_Toc31219"/>
      <w:bookmarkStart w:id="276" w:name="_Toc26477"/>
      <w:bookmarkStart w:id="277" w:name="_Toc15062"/>
      <w:r>
        <w:rPr>
          <w:rStyle w:val="25"/>
          <w:rFonts w:hint="eastAsia" w:hAnsi="宋体"/>
          <w:b/>
          <w:bCs/>
          <w:color w:val="auto"/>
          <w:kern w:val="0"/>
          <w:sz w:val="21"/>
          <w:szCs w:val="21"/>
          <w:highlight w:val="none"/>
        </w:rPr>
        <w:t>4．合同订立</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color w:val="auto"/>
          <w:kern w:val="0"/>
          <w:sz w:val="21"/>
          <w:szCs w:val="21"/>
          <w:highlight w:val="none"/>
        </w:rPr>
      </w:pPr>
      <w:r>
        <w:rPr>
          <w:rStyle w:val="25"/>
          <w:rFonts w:hint="eastAsia" w:hAnsi="宋体"/>
          <w:b/>
          <w:bCs/>
          <w:color w:val="auto"/>
          <w:kern w:val="0"/>
          <w:sz w:val="21"/>
          <w:szCs w:val="21"/>
          <w:highlight w:val="none"/>
        </w:rPr>
        <w:t>4.1</w:t>
      </w:r>
      <w:r>
        <w:rPr>
          <w:rStyle w:val="25"/>
          <w:rFonts w:hint="eastAsia" w:hAnsi="宋体"/>
          <w:color w:val="auto"/>
          <w:kern w:val="0"/>
          <w:sz w:val="21"/>
          <w:szCs w:val="21"/>
          <w:highlight w:val="none"/>
        </w:rPr>
        <w:t xml:space="preserve"> 招标人应当自中标通知书发出之日起</w:t>
      </w:r>
      <w:r>
        <w:rPr>
          <w:rStyle w:val="25"/>
          <w:rFonts w:hint="eastAsia" w:hAnsi="宋体"/>
          <w:color w:val="auto"/>
          <w:kern w:val="0"/>
          <w:sz w:val="21"/>
          <w:szCs w:val="21"/>
          <w:highlight w:val="none"/>
          <w:u w:val="single"/>
        </w:rPr>
        <w:t>30</w:t>
      </w:r>
      <w:r>
        <w:rPr>
          <w:rStyle w:val="25"/>
          <w:rFonts w:hint="eastAsia" w:hAnsi="宋体"/>
          <w:color w:val="auto"/>
          <w:kern w:val="0"/>
          <w:sz w:val="21"/>
          <w:szCs w:val="21"/>
          <w:highlight w:val="none"/>
        </w:rPr>
        <w:t>日内，按照招标文件、中标人的投标文件与中标人订立书面合同。</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color w:val="auto"/>
          <w:kern w:val="0"/>
          <w:sz w:val="21"/>
          <w:szCs w:val="21"/>
          <w:highlight w:val="none"/>
        </w:rPr>
      </w:pPr>
      <w:r>
        <w:rPr>
          <w:rStyle w:val="25"/>
          <w:rFonts w:hint="eastAsia" w:hAnsi="宋体"/>
          <w:b/>
          <w:bCs/>
          <w:color w:val="auto"/>
          <w:kern w:val="0"/>
          <w:sz w:val="21"/>
          <w:szCs w:val="21"/>
          <w:highlight w:val="none"/>
        </w:rPr>
        <w:t>4.2</w:t>
      </w:r>
      <w:r>
        <w:rPr>
          <w:rStyle w:val="25"/>
          <w:rFonts w:hint="eastAsia" w:hAnsi="宋体"/>
          <w:color w:val="auto"/>
          <w:kern w:val="0"/>
          <w:sz w:val="21"/>
          <w:szCs w:val="21"/>
          <w:highlight w:val="none"/>
        </w:rPr>
        <w:t xml:space="preserve"> 不正常报价的梳理和确认</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color w:val="auto"/>
          <w:kern w:val="0"/>
          <w:sz w:val="21"/>
          <w:szCs w:val="21"/>
          <w:highlight w:val="none"/>
        </w:rPr>
      </w:pPr>
      <w:r>
        <w:rPr>
          <w:rStyle w:val="25"/>
          <w:rFonts w:hint="eastAsia" w:hAnsi="宋体"/>
          <w:b/>
          <w:bCs/>
          <w:color w:val="auto"/>
          <w:kern w:val="0"/>
          <w:sz w:val="21"/>
          <w:szCs w:val="21"/>
          <w:highlight w:val="none"/>
        </w:rPr>
        <w:t>4.2.1</w:t>
      </w:r>
      <w:r>
        <w:rPr>
          <w:rStyle w:val="25"/>
          <w:rFonts w:hint="eastAsia" w:hAnsi="宋体"/>
          <w:color w:val="auto"/>
          <w:kern w:val="0"/>
          <w:sz w:val="21"/>
          <w:szCs w:val="21"/>
          <w:highlight w:val="none"/>
        </w:rPr>
        <w:t xml:space="preserve"> </w:t>
      </w:r>
      <w:r>
        <w:rPr>
          <w:rStyle w:val="25"/>
          <w:rFonts w:hint="eastAsia" w:hAnsi="宋体"/>
          <w:b/>
          <w:bCs/>
          <w:color w:val="auto"/>
          <w:kern w:val="0"/>
          <w:sz w:val="21"/>
          <w:szCs w:val="21"/>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Style w:val="25"/>
          <w:rFonts w:hint="eastAsia" w:hAnsi="宋体"/>
          <w:color w:val="auto"/>
          <w:kern w:val="0"/>
          <w:sz w:val="21"/>
          <w:szCs w:val="21"/>
          <w:highlight w:val="none"/>
        </w:rPr>
        <w:t>招标人不具备以上能力的，可授权编制本项目招标控制价的造价咨询单位实施。</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color w:val="auto"/>
          <w:kern w:val="0"/>
          <w:sz w:val="21"/>
          <w:szCs w:val="21"/>
          <w:highlight w:val="none"/>
        </w:rPr>
      </w:pPr>
      <w:r>
        <w:rPr>
          <w:rStyle w:val="25"/>
          <w:rFonts w:hint="eastAsia" w:hAnsi="宋体"/>
          <w:b/>
          <w:bCs/>
          <w:color w:val="auto"/>
          <w:kern w:val="0"/>
          <w:sz w:val="21"/>
          <w:szCs w:val="21"/>
          <w:highlight w:val="none"/>
        </w:rPr>
        <w:t>4.2.2</w:t>
      </w:r>
      <w:r>
        <w:rPr>
          <w:rStyle w:val="25"/>
          <w:rFonts w:hint="eastAsia" w:hAnsi="宋体"/>
          <w:color w:val="auto"/>
          <w:kern w:val="0"/>
          <w:sz w:val="21"/>
          <w:szCs w:val="21"/>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color w:val="auto"/>
          <w:kern w:val="0"/>
          <w:sz w:val="21"/>
          <w:szCs w:val="21"/>
          <w:highlight w:val="none"/>
        </w:rPr>
      </w:pPr>
      <w:r>
        <w:rPr>
          <w:rStyle w:val="25"/>
          <w:rFonts w:hint="eastAsia" w:hAnsi="宋体"/>
          <w:b/>
          <w:bCs/>
          <w:color w:val="auto"/>
          <w:kern w:val="0"/>
          <w:sz w:val="21"/>
          <w:szCs w:val="21"/>
          <w:highlight w:val="none"/>
        </w:rPr>
        <w:t>4.2.3</w:t>
      </w:r>
      <w:r>
        <w:rPr>
          <w:rStyle w:val="25"/>
          <w:rFonts w:hint="eastAsia" w:hAnsi="宋体"/>
          <w:color w:val="auto"/>
          <w:kern w:val="0"/>
          <w:sz w:val="21"/>
          <w:szCs w:val="21"/>
          <w:highlight w:val="none"/>
        </w:rPr>
        <w:t xml:space="preserve"> </w:t>
      </w:r>
      <w:r>
        <w:rPr>
          <w:rFonts w:hint="eastAsia" w:ascii="Times New Roman"/>
          <w:snapToGrid w:val="0"/>
          <w:color w:val="auto"/>
          <w:kern w:val="0"/>
          <w:sz w:val="21"/>
          <w:szCs w:val="21"/>
          <w:highlight w:val="none"/>
        </w:rPr>
        <w:t>错漏项的认定。中标人已标价工程量清单中，任一清单项目未填报价格或价格为零的，视为错漏项</w:t>
      </w:r>
      <w:r>
        <w:rPr>
          <w:rStyle w:val="25"/>
          <w:rFonts w:hint="eastAsia" w:hAnsi="宋体"/>
          <w:color w:val="auto"/>
          <w:kern w:val="0"/>
          <w:sz w:val="21"/>
          <w:szCs w:val="21"/>
          <w:highlight w:val="none"/>
        </w:rPr>
        <w:t>。</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color w:val="auto"/>
          <w:kern w:val="0"/>
          <w:sz w:val="21"/>
          <w:szCs w:val="21"/>
          <w:highlight w:val="none"/>
          <w:u w:val="single"/>
        </w:rPr>
      </w:pPr>
      <w:r>
        <w:rPr>
          <w:rStyle w:val="25"/>
          <w:rFonts w:hint="eastAsia" w:hAnsi="宋体"/>
          <w:b/>
          <w:bCs/>
          <w:color w:val="auto"/>
          <w:kern w:val="0"/>
          <w:sz w:val="21"/>
          <w:szCs w:val="21"/>
          <w:highlight w:val="none"/>
        </w:rPr>
        <w:t>4.2.4</w:t>
      </w:r>
      <w:r>
        <w:rPr>
          <w:rStyle w:val="25"/>
          <w:rFonts w:hint="eastAsia" w:hAnsi="宋体"/>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不平衡报价的认定。经修正算术性错误后的中标人已标价工程量清单中，</w:t>
      </w:r>
      <w:r>
        <w:rPr>
          <w:rFonts w:hint="eastAsia" w:ascii="宋体" w:hAnsi="宋体" w:eastAsia="宋体" w:cs="宋体"/>
          <w:snapToGrid w:val="0"/>
          <w:color w:val="auto"/>
          <w:kern w:val="0"/>
          <w:sz w:val="21"/>
          <w:szCs w:val="21"/>
          <w:highlight w:val="none"/>
          <w:u w:val="single"/>
        </w:rPr>
        <w:t>对于投标报价中综合单价相对招标控制价《分部分项工程和单价措施项目清单与计价表》中对应综合单价的偏差大于±15%的</w:t>
      </w:r>
      <w:r>
        <w:rPr>
          <w:rFonts w:hint="eastAsia" w:ascii="宋体" w:hAnsi="宋体" w:eastAsia="宋体" w:cs="宋体"/>
          <w:snapToGrid w:val="0"/>
          <w:color w:val="auto"/>
          <w:kern w:val="0"/>
          <w:sz w:val="21"/>
          <w:szCs w:val="21"/>
          <w:highlight w:val="none"/>
        </w:rPr>
        <w:t>清单项目，视为不平衡报价项目</w:t>
      </w:r>
      <w:r>
        <w:rPr>
          <w:rStyle w:val="25"/>
          <w:rFonts w:hint="eastAsia" w:hAnsi="宋体"/>
          <w:color w:val="auto"/>
          <w:kern w:val="0"/>
          <w:sz w:val="21"/>
          <w:szCs w:val="21"/>
          <w:highlight w:val="none"/>
        </w:rPr>
        <w:t>。</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color w:val="auto"/>
          <w:kern w:val="0"/>
          <w:sz w:val="21"/>
          <w:szCs w:val="21"/>
          <w:highlight w:val="none"/>
        </w:rPr>
      </w:pPr>
      <w:r>
        <w:rPr>
          <w:rStyle w:val="25"/>
          <w:rFonts w:hint="eastAsia" w:hAnsi="宋体"/>
          <w:b/>
          <w:bCs/>
          <w:color w:val="auto"/>
          <w:kern w:val="0"/>
          <w:sz w:val="21"/>
          <w:szCs w:val="21"/>
          <w:highlight w:val="none"/>
        </w:rPr>
        <w:t>4.2.5</w:t>
      </w:r>
      <w:r>
        <w:rPr>
          <w:rStyle w:val="25"/>
          <w:rFonts w:hint="eastAsia" w:hAnsi="宋体"/>
          <w:color w:val="auto"/>
          <w:kern w:val="0"/>
          <w:sz w:val="21"/>
          <w:szCs w:val="21"/>
          <w:highlight w:val="none"/>
        </w:rPr>
        <w:t xml:space="preserve"> </w:t>
      </w:r>
      <w:r>
        <w:rPr>
          <w:rFonts w:hint="eastAsia" w:ascii="宋体" w:hAnsi="宋体" w:eastAsia="宋体" w:cs="宋体"/>
          <w:color w:val="auto"/>
          <w:spacing w:val="2"/>
          <w:sz w:val="21"/>
          <w:szCs w:val="21"/>
          <w:highlight w:val="none"/>
        </w:rPr>
        <w:t>招标人或其授权的造价咨询单位应就发现的以上所有不正常报价分类整理、汇总，形成《不正常报价清单》，并交中标人复核和确认。经招标人和中标人共同签字、盖章确认的《不正常报价清单》，构成施工合同的组成部分。</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b/>
          <w:bCs/>
          <w:color w:val="auto"/>
          <w:kern w:val="0"/>
          <w:sz w:val="21"/>
          <w:szCs w:val="21"/>
          <w:highlight w:val="none"/>
        </w:rPr>
      </w:pPr>
      <w:r>
        <w:rPr>
          <w:rStyle w:val="25"/>
          <w:rFonts w:hint="eastAsia" w:hAnsi="宋体"/>
          <w:b/>
          <w:bCs/>
          <w:color w:val="auto"/>
          <w:kern w:val="0"/>
          <w:sz w:val="21"/>
          <w:szCs w:val="21"/>
          <w:highlight w:val="none"/>
        </w:rPr>
        <w:t>4.2.6 合同履行过程中，被认定为错漏项的清单项目，结算时按照第三章“拟签订合同的主要条款”规定处理。</w:t>
      </w:r>
    </w:p>
    <w:p>
      <w:pPr>
        <w:keepNext w:val="0"/>
        <w:keepLines w:val="0"/>
        <w:pageBreakBefore w:val="0"/>
        <w:widowControl w:val="0"/>
        <w:kinsoku/>
        <w:overflowPunct/>
        <w:topLinePunct w:val="0"/>
        <w:autoSpaceDE/>
        <w:autoSpaceDN/>
        <w:bidi w:val="0"/>
        <w:adjustRightInd/>
        <w:snapToGrid/>
        <w:spacing w:line="440" w:lineRule="exact"/>
        <w:ind w:firstLine="421" w:firstLineChars="200"/>
        <w:rPr>
          <w:rStyle w:val="25"/>
          <w:rFonts w:hint="eastAsia" w:hAnsi="宋体"/>
          <w:b/>
          <w:bCs/>
          <w:color w:val="auto"/>
          <w:kern w:val="0"/>
          <w:sz w:val="21"/>
          <w:szCs w:val="21"/>
          <w:highlight w:val="none"/>
        </w:rPr>
      </w:pPr>
      <w:r>
        <w:rPr>
          <w:rStyle w:val="25"/>
          <w:rFonts w:hint="eastAsia" w:hAnsi="宋体"/>
          <w:b/>
          <w:bCs/>
          <w:color w:val="auto"/>
          <w:kern w:val="0"/>
          <w:sz w:val="21"/>
          <w:szCs w:val="21"/>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4.3 </w:t>
      </w:r>
      <w:r>
        <w:rPr>
          <w:rFonts w:hint="eastAsia" w:ascii="宋体" w:hAnsi="宋体" w:eastAsia="宋体" w:cs="宋体"/>
          <w:snapToGrid w:val="0"/>
          <w:color w:val="auto"/>
          <w:kern w:val="0"/>
          <w:sz w:val="21"/>
          <w:szCs w:val="21"/>
          <w:highlight w:val="none"/>
        </w:rPr>
        <w:t>本招标项目合同计价方式为：</w:t>
      </w:r>
      <w:r>
        <w:rPr>
          <w:rFonts w:hint="eastAsia" w:ascii="宋体" w:hAnsi="宋体" w:eastAsia="宋体" w:cs="宋体"/>
          <w:b/>
          <w:bCs/>
          <w:snapToGrid w:val="0"/>
          <w:color w:val="auto"/>
          <w:kern w:val="0"/>
          <w:sz w:val="21"/>
          <w:szCs w:val="21"/>
          <w:highlight w:val="none"/>
          <w:u w:val="single"/>
        </w:rPr>
        <w:t xml:space="preserve"> 单价 </w:t>
      </w:r>
      <w:r>
        <w:rPr>
          <w:rFonts w:hint="eastAsia" w:ascii="宋体" w:hAnsi="宋体" w:eastAsia="宋体" w:cs="宋体"/>
          <w:b/>
          <w:bCs/>
          <w:snapToGrid w:val="0"/>
          <w:color w:val="auto"/>
          <w:kern w:val="0"/>
          <w:sz w:val="21"/>
          <w:szCs w:val="21"/>
          <w:highlight w:val="none"/>
        </w:rPr>
        <w:t>合同</w:t>
      </w:r>
      <w:r>
        <w:rPr>
          <w:rFonts w:hint="eastAsia" w:ascii="宋体" w:hAnsi="宋体" w:eastAsia="宋体" w:cs="宋体"/>
          <w:snapToGrid w:val="0"/>
          <w:color w:val="auto"/>
          <w:kern w:val="0"/>
          <w:sz w:val="21"/>
          <w:szCs w:val="21"/>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4.4</w:t>
      </w:r>
      <w:r>
        <w:rPr>
          <w:rFonts w:hint="eastAsia" w:ascii="宋体" w:hAnsi="宋体" w:eastAsia="宋体" w:cs="宋体"/>
          <w:snapToGrid w:val="0"/>
          <w:color w:val="auto"/>
          <w:kern w:val="0"/>
          <w:sz w:val="21"/>
          <w:szCs w:val="21"/>
          <w:highlight w:val="none"/>
        </w:rPr>
        <w:t xml:space="preserve"> 合同的标的、质量、履行期限条款和合同的价款、单价、比例条款等主要条款，应当与招标文件、中标人的投标文件的内容一致。中标人在签订合同时不得向招标人提出附加条件。</w:t>
      </w:r>
    </w:p>
    <w:p>
      <w:pPr>
        <w:keepNext w:val="0"/>
        <w:keepLines w:val="0"/>
        <w:pageBreakBefore w:val="0"/>
        <w:widowControl w:val="0"/>
        <w:kinsoku/>
        <w:wordWrap w:val="0"/>
        <w:overflowPunct/>
        <w:topLinePunct w:val="0"/>
        <w:autoSpaceDE/>
        <w:autoSpaceDN/>
        <w:bidi w:val="0"/>
        <w:adjustRightInd/>
        <w:snapToGrid/>
        <w:spacing w:line="42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4.5</w:t>
      </w:r>
      <w:r>
        <w:rPr>
          <w:rFonts w:hint="eastAsia" w:ascii="宋体" w:hAnsi="宋体" w:eastAsia="宋体" w:cs="宋体"/>
          <w:snapToGrid w:val="0"/>
          <w:color w:val="auto"/>
          <w:kern w:val="0"/>
          <w:sz w:val="21"/>
          <w:szCs w:val="21"/>
          <w:highlight w:val="none"/>
        </w:rPr>
        <w:t xml:space="preserve">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pPr>
        <w:keepNext w:val="0"/>
        <w:keepLines w:val="0"/>
        <w:pageBreakBefore w:val="0"/>
        <w:widowControl w:val="0"/>
        <w:kinsoku/>
        <w:overflowPunct/>
        <w:topLinePunct w:val="0"/>
        <w:autoSpaceDE/>
        <w:autoSpaceDN/>
        <w:bidi w:val="0"/>
        <w:adjustRightInd/>
        <w:snapToGrid/>
        <w:spacing w:line="420" w:lineRule="exact"/>
        <w:ind w:firstLine="421" w:firstLineChars="200"/>
        <w:rPr>
          <w:rStyle w:val="25"/>
          <w:rFonts w:hint="eastAsia" w:hAnsi="宋体"/>
          <w:color w:val="auto"/>
          <w:kern w:val="0"/>
          <w:sz w:val="21"/>
          <w:szCs w:val="21"/>
          <w:highlight w:val="none"/>
        </w:rPr>
      </w:pPr>
      <w:r>
        <w:rPr>
          <w:rFonts w:hint="eastAsia" w:ascii="宋体" w:hAnsi="宋体" w:eastAsia="宋体" w:cs="宋体"/>
          <w:b/>
          <w:bCs/>
          <w:snapToGrid w:val="0"/>
          <w:color w:val="auto"/>
          <w:kern w:val="0"/>
          <w:sz w:val="21"/>
          <w:szCs w:val="21"/>
          <w:highlight w:val="none"/>
        </w:rPr>
        <w:t>4.6</w:t>
      </w:r>
      <w:r>
        <w:rPr>
          <w:rFonts w:hint="eastAsia" w:ascii="宋体" w:hAnsi="宋体" w:eastAsia="宋体" w:cs="宋体"/>
          <w:snapToGrid w:val="0"/>
          <w:color w:val="auto"/>
          <w:kern w:val="0"/>
          <w:sz w:val="21"/>
          <w:szCs w:val="21"/>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r>
        <w:rPr>
          <w:rStyle w:val="25"/>
          <w:rFonts w:hint="eastAsia" w:hAnsi="宋体"/>
          <w:color w:val="auto"/>
          <w:kern w:val="0"/>
          <w:sz w:val="21"/>
          <w:szCs w:val="21"/>
          <w:highlight w:val="none"/>
        </w:rPr>
        <w:t>。</w:t>
      </w:r>
    </w:p>
    <w:p>
      <w:pPr>
        <w:pStyle w:val="6"/>
        <w:spacing w:line="240" w:lineRule="auto"/>
        <w:rPr>
          <w:rFonts w:hint="eastAsia"/>
          <w:color w:val="auto"/>
          <w:highlight w:val="none"/>
        </w:rPr>
      </w:pPr>
    </w:p>
    <w:p>
      <w:pPr>
        <w:keepNext w:val="0"/>
        <w:keepLines w:val="0"/>
        <w:pageBreakBefore w:val="0"/>
        <w:widowControl w:val="0"/>
        <w:kinsoku/>
        <w:overflowPunct/>
        <w:topLinePunct w:val="0"/>
        <w:autoSpaceDE/>
        <w:autoSpaceDN/>
        <w:bidi w:val="0"/>
        <w:adjustRightInd/>
        <w:snapToGrid/>
        <w:spacing w:line="420" w:lineRule="exact"/>
        <w:ind w:firstLine="421" w:firstLineChars="200"/>
        <w:outlineLvl w:val="1"/>
        <w:rPr>
          <w:rStyle w:val="25"/>
          <w:rFonts w:hint="eastAsia" w:ascii="宋体" w:hAnsi="宋体" w:eastAsia="宋体" w:cs="宋体"/>
          <w:color w:val="auto"/>
          <w:kern w:val="0"/>
          <w:sz w:val="21"/>
          <w:szCs w:val="21"/>
          <w:highlight w:val="none"/>
        </w:rPr>
      </w:pPr>
      <w:bookmarkStart w:id="278" w:name="_Toc22104"/>
      <w:bookmarkStart w:id="279" w:name="_Toc25158"/>
      <w:bookmarkStart w:id="280" w:name="_Toc26892"/>
      <w:bookmarkStart w:id="281" w:name="_Toc29872"/>
      <w:bookmarkStart w:id="282" w:name="_Toc30863"/>
      <w:bookmarkStart w:id="283" w:name="_Toc24531"/>
      <w:bookmarkStart w:id="284" w:name="_Toc2054"/>
      <w:bookmarkStart w:id="285" w:name="_Toc19819"/>
      <w:bookmarkStart w:id="286" w:name="_Toc25890"/>
      <w:bookmarkStart w:id="287" w:name="_Toc1442"/>
      <w:bookmarkStart w:id="288" w:name="_Toc20690"/>
      <w:bookmarkStart w:id="289" w:name="_Toc12295"/>
      <w:bookmarkStart w:id="290" w:name="_Toc2879"/>
      <w:bookmarkStart w:id="291" w:name="_Toc31754"/>
      <w:r>
        <w:rPr>
          <w:rStyle w:val="25"/>
          <w:rFonts w:hint="eastAsia" w:hAnsi="宋体"/>
          <w:b/>
          <w:bCs/>
          <w:color w:val="auto"/>
          <w:kern w:val="0"/>
          <w:sz w:val="21"/>
          <w:szCs w:val="21"/>
          <w:highlight w:val="none"/>
        </w:rPr>
        <w:t>5．</w:t>
      </w:r>
      <w:r>
        <w:rPr>
          <w:rStyle w:val="25"/>
          <w:rFonts w:hint="eastAsia" w:ascii="宋体" w:hAnsi="宋体" w:eastAsia="宋体" w:cs="宋体"/>
          <w:b/>
          <w:bCs/>
          <w:color w:val="auto"/>
          <w:kern w:val="0"/>
          <w:sz w:val="21"/>
          <w:szCs w:val="21"/>
          <w:highlight w:val="none"/>
        </w:rPr>
        <w:t>放弃中标的处理</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keepNext w:val="0"/>
        <w:keepLines w:val="0"/>
        <w:pageBreakBefore w:val="0"/>
        <w:widowControl w:val="0"/>
        <w:kinsoku/>
        <w:wordWrap w:val="0"/>
        <w:overflowPunct/>
        <w:topLinePunct w:val="0"/>
        <w:autoSpaceDE/>
        <w:autoSpaceDN/>
        <w:bidi w:val="0"/>
        <w:adjustRightInd/>
        <w:snapToGrid/>
        <w:spacing w:line="42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5.1</w:t>
      </w:r>
      <w:r>
        <w:rPr>
          <w:rFonts w:hint="eastAsia" w:ascii="宋体" w:hAnsi="宋体" w:eastAsia="宋体" w:cs="宋体"/>
          <w:snapToGrid w:val="0"/>
          <w:color w:val="auto"/>
          <w:kern w:val="0"/>
          <w:sz w:val="21"/>
          <w:szCs w:val="21"/>
          <w:highlight w:val="none"/>
        </w:rPr>
        <w:t xml:space="preserve"> 中标人</w:t>
      </w:r>
      <w:r>
        <w:rPr>
          <w:rFonts w:hint="eastAsia" w:ascii="宋体" w:hAnsi="宋体" w:eastAsia="宋体" w:cs="宋体"/>
          <w:snapToGrid w:val="0"/>
          <w:color w:val="auto"/>
          <w:sz w:val="21"/>
          <w:szCs w:val="21"/>
          <w:highlight w:val="none"/>
        </w:rPr>
        <w:t>无正当理由放弃中标的，</w:t>
      </w:r>
      <w:r>
        <w:rPr>
          <w:rFonts w:hint="eastAsia" w:ascii="宋体" w:hAnsi="宋体" w:eastAsia="宋体" w:cs="宋体"/>
          <w:snapToGrid w:val="0"/>
          <w:color w:val="auto"/>
          <w:kern w:val="0"/>
          <w:sz w:val="21"/>
          <w:szCs w:val="21"/>
          <w:highlight w:val="none"/>
        </w:rPr>
        <w:t>取消其中标资格，其投标保证不予退还，给招标人造成的损失超过投标保证金额的，弃标人还应当对超过部分予以赔偿。招标人可以按照定标委员会提出的中标候选人名单排序按规定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1"/>
          <w:szCs w:val="21"/>
          <w:highlight w:val="none"/>
        </w:rPr>
        <w:t>因此种情况造成招标人重新招标的</w:t>
      </w:r>
      <w:r>
        <w:rPr>
          <w:rFonts w:hint="eastAsia" w:ascii="宋体" w:hAnsi="宋体" w:eastAsia="宋体" w:cs="宋体"/>
          <w:snapToGrid w:val="0"/>
          <w:color w:val="auto"/>
          <w:kern w:val="0"/>
          <w:sz w:val="21"/>
          <w:szCs w:val="21"/>
          <w:highlight w:val="none"/>
        </w:rPr>
        <w:t>，招标人可不接受该弃标人再次投标。同时，招标人应将该弃标人的失信行为向行政监督部门报告。</w:t>
      </w:r>
    </w:p>
    <w:p>
      <w:pPr>
        <w:keepNext w:val="0"/>
        <w:keepLines w:val="0"/>
        <w:pageBreakBefore w:val="0"/>
        <w:widowControl w:val="0"/>
        <w:kinsoku/>
        <w:overflowPunct/>
        <w:topLinePunct w:val="0"/>
        <w:autoSpaceDE/>
        <w:autoSpaceDN/>
        <w:bidi w:val="0"/>
        <w:adjustRightInd/>
        <w:snapToGrid/>
        <w:spacing w:line="420" w:lineRule="exact"/>
        <w:ind w:firstLine="421" w:firstLineChars="200"/>
        <w:rPr>
          <w:rStyle w:val="25"/>
          <w:rFonts w:hint="eastAsia" w:ascii="宋体" w:hAnsi="宋体" w:eastAsia="宋体" w:cs="宋体"/>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因不可抗力提出不能履行合同的，须在领取中标通知书之日起10天内提供有关证明文件或资料，其投标保证予以退还，招标人可以按照定标委员会提出的中标候选人名单排序按规定依次确定其他中标候选人为中标人，并按规定实行中标结果公示；也可以按规定重新组织招标</w:t>
      </w:r>
      <w:r>
        <w:rPr>
          <w:rStyle w:val="25"/>
          <w:rFonts w:hint="eastAsia" w:ascii="宋体" w:hAnsi="宋体" w:eastAsia="宋体" w:cs="宋体"/>
          <w:color w:val="auto"/>
          <w:kern w:val="0"/>
          <w:sz w:val="21"/>
          <w:szCs w:val="21"/>
          <w:highlight w:val="none"/>
        </w:rPr>
        <w:t>。</w:t>
      </w:r>
    </w:p>
    <w:p>
      <w:pPr>
        <w:keepNext w:val="0"/>
        <w:keepLines w:val="0"/>
        <w:pageBreakBefore w:val="0"/>
        <w:widowControl w:val="0"/>
        <w:kinsoku/>
        <w:overflowPunct/>
        <w:topLinePunct w:val="0"/>
        <w:autoSpaceDE/>
        <w:autoSpaceDN/>
        <w:bidi w:val="0"/>
        <w:adjustRightInd/>
        <w:snapToGrid/>
        <w:spacing w:line="240" w:lineRule="auto"/>
        <w:ind w:firstLine="421" w:firstLineChars="200"/>
        <w:rPr>
          <w:rStyle w:val="25"/>
          <w:rFonts w:hint="eastAsia" w:ascii="宋体" w:hAnsi="宋体" w:eastAsia="宋体" w:cs="宋体"/>
          <w:b/>
          <w:bCs/>
          <w:color w:val="auto"/>
          <w:kern w:val="0"/>
          <w:sz w:val="21"/>
          <w:szCs w:val="21"/>
          <w:highlight w:val="none"/>
        </w:rPr>
      </w:pPr>
      <w:bookmarkStart w:id="292" w:name="_Toc3499"/>
    </w:p>
    <w:bookmarkEnd w:id="292"/>
    <w:p>
      <w:pPr>
        <w:pStyle w:val="27"/>
        <w:tabs>
          <w:tab w:val="left" w:pos="885"/>
        </w:tabs>
        <w:snapToGrid w:val="0"/>
        <w:ind w:left="885" w:hanging="885"/>
        <w:jc w:val="center"/>
        <w:outlineLvl w:val="0"/>
        <w:rPr>
          <w:rStyle w:val="25"/>
          <w:rFonts w:hint="eastAsia" w:hAnsi="宋体"/>
          <w:b/>
          <w:bCs/>
          <w:color w:val="auto"/>
          <w:sz w:val="24"/>
          <w:szCs w:val="24"/>
          <w:highlight w:val="none"/>
        </w:rPr>
      </w:pPr>
      <w:r>
        <w:rPr>
          <w:rStyle w:val="25"/>
          <w:rFonts w:hint="eastAsia" w:hAnsi="宋体"/>
          <w:b/>
          <w:bCs/>
          <w:color w:val="auto"/>
          <w:sz w:val="24"/>
          <w:szCs w:val="24"/>
          <w:highlight w:val="none"/>
        </w:rPr>
        <w:br w:type="page"/>
      </w:r>
      <w:r>
        <w:rPr>
          <w:rStyle w:val="25"/>
          <w:rFonts w:hint="eastAsia" w:hAnsi="宋体"/>
          <w:b/>
          <w:bCs/>
          <w:color w:val="auto"/>
          <w:sz w:val="28"/>
          <w:szCs w:val="28"/>
          <w:highlight w:val="none"/>
        </w:rPr>
        <w:t>　</w:t>
      </w:r>
      <w:bookmarkStart w:id="293" w:name="_Toc30033"/>
      <w:bookmarkStart w:id="294" w:name="_Toc3266"/>
      <w:bookmarkStart w:id="295" w:name="_Toc31277"/>
      <w:bookmarkStart w:id="296" w:name="_Toc3494"/>
      <w:bookmarkStart w:id="297" w:name="_Toc21448"/>
      <w:bookmarkStart w:id="298" w:name="_Toc15516"/>
      <w:bookmarkStart w:id="299" w:name="_Toc190"/>
      <w:bookmarkStart w:id="300" w:name="_Toc25452"/>
      <w:bookmarkStart w:id="301" w:name="_Toc32600"/>
      <w:bookmarkStart w:id="302" w:name="_Toc4926"/>
      <w:bookmarkStart w:id="303" w:name="_Toc17840"/>
      <w:bookmarkStart w:id="304" w:name="_Toc7038"/>
      <w:bookmarkStart w:id="305" w:name="_Toc1283"/>
      <w:bookmarkStart w:id="306" w:name="_Toc29016"/>
      <w:r>
        <w:rPr>
          <w:rStyle w:val="25"/>
          <w:rFonts w:hint="eastAsia" w:hAnsi="宋体"/>
          <w:b/>
          <w:bCs/>
          <w:color w:val="auto"/>
          <w:sz w:val="28"/>
          <w:szCs w:val="28"/>
          <w:highlight w:val="none"/>
        </w:rPr>
        <w:t>第三章 拟签订合同的主要条款</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4"/>
        <w:keepNext w:val="0"/>
        <w:keepLines w:val="0"/>
        <w:pageBreakBefore w:val="0"/>
        <w:kinsoku/>
        <w:wordWrap w:val="0"/>
        <w:overflowPunct/>
        <w:topLinePunct w:val="0"/>
        <w:autoSpaceDE/>
        <w:autoSpaceDN/>
        <w:bidi w:val="0"/>
        <w:adjustRightInd/>
        <w:snapToGrid/>
        <w:spacing w:before="0" w:beforeLines="0" w:after="0" w:afterLines="0" w:line="240" w:lineRule="auto"/>
        <w:ind w:left="0" w:right="0" w:firstLine="421" w:firstLineChars="200"/>
        <w:jc w:val="both"/>
        <w:rPr>
          <w:rFonts w:hint="eastAsia" w:ascii="宋体" w:hAnsi="宋体" w:eastAsia="宋体" w:cs="宋体"/>
          <w:b/>
          <w:snapToGrid w:val="0"/>
          <w:color w:val="auto"/>
          <w:sz w:val="21"/>
          <w:szCs w:val="21"/>
          <w:highlight w:val="none"/>
        </w:rPr>
      </w:pPr>
      <w:bookmarkStart w:id="307" w:name="_Toc31151"/>
    </w:p>
    <w:p>
      <w:pPr>
        <w:pStyle w:val="4"/>
        <w:keepNext w:val="0"/>
        <w:keepLines w:val="0"/>
        <w:pageBreakBefore w:val="0"/>
        <w:kinsoku/>
        <w:wordWrap w:val="0"/>
        <w:overflowPunct/>
        <w:topLinePunct w:val="0"/>
        <w:autoSpaceDE/>
        <w:autoSpaceDN/>
        <w:bidi w:val="0"/>
        <w:adjustRightInd/>
        <w:snapToGrid/>
        <w:spacing w:before="0" w:beforeLines="0" w:after="0" w:afterLines="0" w:line="420" w:lineRule="exact"/>
        <w:ind w:left="0" w:right="0" w:firstLine="421" w:firstLineChars="200"/>
        <w:jc w:val="both"/>
        <w:rPr>
          <w:rFonts w:hint="eastAsia" w:ascii="宋体" w:hAnsi="宋体" w:eastAsia="宋体" w:cs="宋体"/>
          <w:b/>
          <w:snapToGrid w:val="0"/>
          <w:color w:val="auto"/>
          <w:sz w:val="21"/>
          <w:szCs w:val="21"/>
          <w:highlight w:val="none"/>
        </w:rPr>
      </w:pPr>
      <w:bookmarkStart w:id="308" w:name="_Toc19358"/>
      <w:bookmarkStart w:id="309" w:name="_Toc10909"/>
      <w:bookmarkStart w:id="310" w:name="_Toc17534"/>
      <w:r>
        <w:rPr>
          <w:rFonts w:hint="eastAsia" w:ascii="宋体" w:hAnsi="宋体" w:eastAsia="宋体" w:cs="宋体"/>
          <w:b/>
          <w:snapToGrid w:val="0"/>
          <w:color w:val="auto"/>
          <w:sz w:val="21"/>
          <w:szCs w:val="21"/>
          <w:highlight w:val="none"/>
        </w:rPr>
        <w:t>1．工程承包方式</w:t>
      </w:r>
      <w:bookmarkEnd w:id="307"/>
      <w:bookmarkEnd w:id="308"/>
      <w:bookmarkEnd w:id="309"/>
      <w:bookmarkEnd w:id="310"/>
    </w:p>
    <w:p>
      <w:pPr>
        <w:keepNext w:val="0"/>
        <w:keepLines w:val="0"/>
        <w:pageBreakBefore w:val="0"/>
        <w:kinsoku/>
        <w:wordWrap w:val="0"/>
        <w:overflowPunct/>
        <w:topLinePunct w:val="0"/>
        <w:autoSpaceDE/>
        <w:autoSpaceDN/>
        <w:bidi w:val="0"/>
        <w:adjustRightInd/>
        <w:snapToGrid/>
        <w:spacing w:line="420" w:lineRule="exact"/>
        <w:ind w:left="0" w:right="0"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r>
        <w:rPr>
          <w:rFonts w:hint="eastAsia" w:ascii="宋体" w:hAnsi="宋体" w:eastAsia="宋体" w:cs="宋体"/>
          <w:snapToGrid w:val="0"/>
          <w:color w:val="auto"/>
          <w:kern w:val="0"/>
          <w:sz w:val="21"/>
          <w:szCs w:val="21"/>
          <w:highlight w:val="none"/>
        </w:rPr>
        <w:t xml:space="preserve"> 承包人以中标价按包工</w:t>
      </w:r>
      <w:bookmarkStart w:id="311" w:name="_Hlt87948212"/>
      <w:bookmarkEnd w:id="311"/>
      <w:r>
        <w:rPr>
          <w:rFonts w:hint="eastAsia" w:ascii="宋体" w:hAnsi="宋体" w:eastAsia="宋体" w:cs="宋体"/>
          <w:snapToGrid w:val="0"/>
          <w:color w:val="auto"/>
          <w:kern w:val="0"/>
          <w:sz w:val="21"/>
          <w:szCs w:val="21"/>
          <w:highlight w:val="none"/>
        </w:rPr>
        <w:t>包料、包质量、包安全包文明施工、包工期方式总承包施工，不允许转包和违法分包，如果确需分包须与发包人协商，在得到发包人和监理单位同意后报建设行政主管部门备案。</w:t>
      </w:r>
    </w:p>
    <w:p>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1.1.1</w:t>
      </w:r>
      <w:r>
        <w:rPr>
          <w:rFonts w:hint="eastAsia" w:ascii="宋体" w:hAnsi="宋体" w:eastAsia="宋体" w:cs="宋体"/>
          <w:snapToGrid w:val="0"/>
          <w:color w:val="auto"/>
          <w:kern w:val="0"/>
          <w:sz w:val="21"/>
          <w:szCs w:val="21"/>
          <w:highlight w:val="none"/>
        </w:rPr>
        <w:t xml:space="preserve"> 包工包料：材料符合招标文件要求并报验使用；办理用工保险。</w:t>
      </w:r>
    </w:p>
    <w:p>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1.1.2</w:t>
      </w:r>
      <w:r>
        <w:rPr>
          <w:rFonts w:hint="eastAsia" w:ascii="宋体" w:hAnsi="宋体" w:eastAsia="宋体" w:cs="宋体"/>
          <w:snapToGrid w:val="0"/>
          <w:color w:val="auto"/>
          <w:kern w:val="0"/>
          <w:sz w:val="21"/>
          <w:szCs w:val="21"/>
          <w:highlight w:val="none"/>
        </w:rPr>
        <w:t xml:space="preserve"> 包质量：符合招标文件要求。</w:t>
      </w:r>
    </w:p>
    <w:p>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1.1.3</w:t>
      </w:r>
      <w:r>
        <w:rPr>
          <w:rFonts w:hint="eastAsia" w:ascii="宋体" w:hAnsi="宋体" w:eastAsia="宋体" w:cs="宋体"/>
          <w:snapToGrid w:val="0"/>
          <w:color w:val="auto"/>
          <w:kern w:val="0"/>
          <w:sz w:val="21"/>
          <w:szCs w:val="21"/>
          <w:highlight w:val="none"/>
        </w:rPr>
        <w:t xml:space="preserve"> 包安全包文明施工：符合招标文件要求。</w:t>
      </w:r>
    </w:p>
    <w:p>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1.1.4 </w:t>
      </w:r>
      <w:r>
        <w:rPr>
          <w:rFonts w:hint="eastAsia" w:ascii="宋体" w:hAnsi="宋体" w:eastAsia="宋体" w:cs="宋体"/>
          <w:snapToGrid w:val="0"/>
          <w:color w:val="auto"/>
          <w:kern w:val="0"/>
          <w:sz w:val="21"/>
          <w:szCs w:val="21"/>
          <w:highlight w:val="none"/>
        </w:rPr>
        <w:t>包工期：本招标项目施工必须在招标工期内完成。</w:t>
      </w:r>
    </w:p>
    <w:p>
      <w:pPr>
        <w:keepNext w:val="0"/>
        <w:keepLines w:val="0"/>
        <w:pageBreakBefore w:val="0"/>
        <w:kinsoku/>
        <w:wordWrap w:val="0"/>
        <w:overflowPunct/>
        <w:topLinePunct w:val="0"/>
        <w:autoSpaceDE/>
        <w:autoSpaceDN/>
        <w:bidi w:val="0"/>
        <w:adjustRightInd/>
        <w:snapToGrid/>
        <w:spacing w:line="240" w:lineRule="auto"/>
        <w:ind w:left="0" w:right="0" w:firstLine="560"/>
        <w:rPr>
          <w:rFonts w:hint="eastAsia"/>
          <w:color w:val="auto"/>
          <w:highlight w:val="none"/>
        </w:rPr>
      </w:pPr>
    </w:p>
    <w:p>
      <w:pPr>
        <w:pStyle w:val="4"/>
        <w:keepNext w:val="0"/>
        <w:keepLines w:val="0"/>
        <w:pageBreakBefore w:val="0"/>
        <w:widowControl w:val="0"/>
        <w:kinsoku/>
        <w:wordWrap w:val="0"/>
        <w:overflowPunct/>
        <w:topLinePunct w:val="0"/>
        <w:autoSpaceDE/>
        <w:autoSpaceDN/>
        <w:bidi w:val="0"/>
        <w:adjustRightInd/>
        <w:snapToGrid/>
        <w:spacing w:before="0" w:beforeLines="0" w:after="0" w:afterLines="0" w:line="420" w:lineRule="exact"/>
        <w:ind w:left="0" w:right="0" w:firstLine="480"/>
        <w:jc w:val="both"/>
        <w:rPr>
          <w:rFonts w:hint="eastAsia" w:ascii="宋体" w:hAnsi="宋体" w:eastAsia="宋体" w:cs="宋体"/>
          <w:b/>
          <w:snapToGrid w:val="0"/>
          <w:color w:val="auto"/>
          <w:sz w:val="21"/>
          <w:szCs w:val="21"/>
          <w:highlight w:val="none"/>
        </w:rPr>
      </w:pPr>
      <w:bookmarkStart w:id="312" w:name="_2、工程结算原则"/>
      <w:bookmarkEnd w:id="312"/>
      <w:bookmarkStart w:id="313" w:name="_Toc322793289"/>
      <w:bookmarkStart w:id="314" w:name="_Toc21980"/>
      <w:bookmarkStart w:id="315" w:name="_Toc27189"/>
      <w:bookmarkStart w:id="316" w:name="_Toc326916630"/>
      <w:bookmarkStart w:id="317" w:name="_Toc28320"/>
      <w:bookmarkStart w:id="318" w:name="_Toc4735"/>
      <w:bookmarkStart w:id="319" w:name="_Hlt87948447"/>
      <w:bookmarkStart w:id="320" w:name="_Hlt87948449"/>
      <w:r>
        <w:rPr>
          <w:rFonts w:hint="eastAsia" w:ascii="宋体" w:hAnsi="宋体" w:eastAsia="宋体" w:cs="宋体"/>
          <w:b/>
          <w:snapToGrid w:val="0"/>
          <w:color w:val="auto"/>
          <w:sz w:val="21"/>
          <w:szCs w:val="21"/>
          <w:highlight w:val="none"/>
        </w:rPr>
        <w:t>2．工程结算原则</w:t>
      </w:r>
      <w:bookmarkEnd w:id="313"/>
      <w:bookmarkEnd w:id="314"/>
      <w:bookmarkEnd w:id="315"/>
      <w:bookmarkEnd w:id="316"/>
      <w:bookmarkEnd w:id="317"/>
      <w:bookmarkEnd w:id="318"/>
    </w:p>
    <w:bookmarkEnd w:id="319"/>
    <w:bookmarkEnd w:id="320"/>
    <w:p>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bookmarkStart w:id="321" w:name="_Hlt88974053"/>
      <w:bookmarkEnd w:id="321"/>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承包人的投标总价为中标价，即为签约合同价。</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招标工程量清单标明的工程量是投标人投标报价的共同基础，竣工结算的工程量按《建设工程工程量清单计价规范》（</w:t>
      </w:r>
      <w:r>
        <w:rPr>
          <w:rFonts w:hint="eastAsia" w:ascii="宋体" w:hAnsi="宋体" w:eastAsia="宋体" w:cs="宋体"/>
          <w:snapToGrid w:val="0"/>
          <w:color w:val="auto"/>
          <w:kern w:val="0"/>
          <w:sz w:val="21"/>
          <w:szCs w:val="21"/>
          <w:highlight w:val="none"/>
          <w:lang w:eastAsia="zh-CN"/>
        </w:rPr>
        <w:t>GB</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w:t>
      </w:r>
      <w:r>
        <w:rPr>
          <w:rFonts w:hint="eastAsia" w:ascii="宋体" w:hAnsi="宋体" w:eastAsia="宋体" w:cs="宋体"/>
          <w:snapToGrid w:val="0"/>
          <w:color w:val="auto"/>
          <w:kern w:val="0"/>
          <w:sz w:val="21"/>
          <w:szCs w:val="21"/>
          <w:highlight w:val="none"/>
        </w:rPr>
        <w:t xml:space="preserve"> 施工合同履行期间，若出现下列情形的，发、承包双方应当按照以下规定调整合同价款：</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w:t>
      </w:r>
      <w:r>
        <w:rPr>
          <w:rFonts w:hint="eastAsia" w:ascii="宋体" w:hAnsi="宋体" w:eastAsia="宋体" w:cs="宋体"/>
          <w:snapToGrid w:val="0"/>
          <w:color w:val="auto"/>
          <w:kern w:val="0"/>
          <w:sz w:val="21"/>
          <w:szCs w:val="21"/>
          <w:highlight w:val="none"/>
        </w:rPr>
        <w:t xml:space="preserve"> 法律法规变化</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注：本招标文件所称“基准日”，均指投标文件递交截止时间（见第一章第二节“重要事项时间地点一览表”）前28天。</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2.3.1.2</w:t>
      </w:r>
      <w:r>
        <w:rPr>
          <w:rFonts w:hint="eastAsia" w:ascii="宋体" w:hAnsi="宋体" w:eastAsia="宋体" w:cs="宋体"/>
          <w:snapToGrid w:val="0"/>
          <w:color w:val="auto"/>
          <w:kern w:val="0"/>
          <w:sz w:val="21"/>
          <w:szCs w:val="21"/>
          <w:highlight w:val="none"/>
        </w:rPr>
        <w:t xml:space="preserve"> 因承包人原因导致工程延误，本章第</w:t>
      </w: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子目中的法定机构根据国家法律法规变化发布新规的时间在合同工程原定竣工时间之后的，合同价款调增的不予调整，合同价款调减的予以调整。</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w:t>
      </w:r>
      <w:r>
        <w:rPr>
          <w:rFonts w:hint="eastAsia" w:ascii="宋体" w:hAnsi="宋体" w:eastAsia="宋体" w:cs="宋体"/>
          <w:snapToGrid w:val="0"/>
          <w:color w:val="auto"/>
          <w:kern w:val="0"/>
          <w:sz w:val="21"/>
          <w:szCs w:val="21"/>
          <w:highlight w:val="none"/>
        </w:rPr>
        <w:t xml:space="preserve"> 工程量偏差或变化</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对于合理报价的清单项目，当工程量增加超过15%时，增加部分的工程量的综合单价以投标报价《分部分项工程和单价措施项目清单与计价表》中综合单价为基价调低 3%；当工程量减少超过 15%</w:t>
      </w:r>
      <w:r>
        <w:rPr>
          <w:rFonts w:hint="eastAsia" w:hAnsi="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时，减少后剩余部分的工程量的综合单价以投标报价《分部分项工程和单价措施项目清单与计价表》中综合单价为基价调高 3%</w:t>
      </w:r>
      <w:r>
        <w:rPr>
          <w:rFonts w:hint="eastAsia" w:ascii="宋体" w:hAnsi="宋体" w:eastAsia="宋体" w:cs="宋体"/>
          <w:snapToGrid w:val="0"/>
          <w:color w:val="auto"/>
          <w:kern w:val="0"/>
          <w:sz w:val="21"/>
          <w:szCs w:val="21"/>
          <w:highlight w:val="none"/>
          <w:lang w:eastAsia="zh-CN"/>
        </w:rPr>
        <w:t>。</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1"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对于按照第二章“中标人须知”第4.2条被认定为不平衡报价的清单项目，其综合单价按照以下方法调整：</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1" w:firstLineChars="200"/>
        <w:rPr>
          <w:rFonts w:hint="eastAsia" w:ascii="宋体" w:hAnsi="宋体" w:eastAsia="宋体" w:cs="宋体"/>
          <w:b/>
          <w:bCs/>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u w:val="single"/>
        </w:rPr>
        <w:t>以招标控制价中的《分部分项工程和单价措施项目清单与计价表》子目相对应综合单价×（1-中标下浮率）。</w:t>
      </w:r>
    </w:p>
    <w:p>
      <w:pPr>
        <w:keepNext w:val="0"/>
        <w:keepLines w:val="0"/>
        <w:pageBreakBefore w:val="0"/>
        <w:widowControl w:val="0"/>
        <w:kinsoku/>
        <w:overflowPunct/>
        <w:topLinePunct w:val="0"/>
        <w:autoSpaceDE/>
        <w:autoSpaceDN/>
        <w:bidi w:val="0"/>
        <w:adjustRightInd/>
        <w:snapToGrid/>
        <w:spacing w:line="420" w:lineRule="exact"/>
        <w:ind w:left="0" w:right="0" w:firstLine="477"/>
        <w:textAlignment w:val="auto"/>
        <w:rPr>
          <w:rFonts w:hint="eastAsia" w:ascii="宋体" w:hAnsi="宋体" w:eastAsia="宋体" w:cs="宋体"/>
          <w:b/>
          <w:bCs/>
          <w:color w:val="auto"/>
          <w:spacing w:val="-4"/>
          <w:sz w:val="21"/>
          <w:szCs w:val="21"/>
          <w:highlight w:val="none"/>
          <w:u w:val="single"/>
        </w:rPr>
      </w:pPr>
      <w:r>
        <w:rPr>
          <w:rFonts w:hint="eastAsia" w:ascii="宋体" w:hAnsi="宋体" w:eastAsia="宋体" w:cs="宋体"/>
          <w:b/>
          <w:bCs/>
          <w:color w:val="auto"/>
          <w:spacing w:val="-4"/>
          <w:sz w:val="21"/>
          <w:szCs w:val="21"/>
          <w:highlight w:val="none"/>
          <w:u w:val="single"/>
        </w:rPr>
        <w:t>中标下浮率=[1-（中标价-中标安全</w:t>
      </w:r>
      <w:r>
        <w:rPr>
          <w:rFonts w:hint="eastAsia" w:hAnsi="宋体" w:cs="宋体"/>
          <w:b/>
          <w:bCs/>
          <w:color w:val="auto"/>
          <w:spacing w:val="-4"/>
          <w:sz w:val="21"/>
          <w:szCs w:val="21"/>
          <w:highlight w:val="none"/>
          <w:u w:val="single"/>
          <w:lang w:val="en-US" w:eastAsia="zh-CN"/>
        </w:rPr>
        <w:t>生产</w:t>
      </w:r>
      <w:r>
        <w:rPr>
          <w:rFonts w:hint="eastAsia" w:ascii="宋体" w:hAnsi="宋体" w:eastAsia="宋体" w:cs="宋体"/>
          <w:b/>
          <w:bCs/>
          <w:color w:val="auto"/>
          <w:spacing w:val="-4"/>
          <w:sz w:val="21"/>
          <w:szCs w:val="21"/>
          <w:highlight w:val="none"/>
          <w:u w:val="single"/>
        </w:rPr>
        <w:t>措施费-暂列金额-暂估价）/ （招标控制价-控制价中标安全</w:t>
      </w:r>
      <w:r>
        <w:rPr>
          <w:rFonts w:hint="eastAsia" w:hAnsi="宋体" w:cs="宋体"/>
          <w:b/>
          <w:bCs/>
          <w:color w:val="auto"/>
          <w:spacing w:val="-4"/>
          <w:sz w:val="21"/>
          <w:szCs w:val="21"/>
          <w:highlight w:val="none"/>
          <w:u w:val="single"/>
          <w:lang w:val="en-US" w:eastAsia="zh-CN"/>
        </w:rPr>
        <w:t>生产</w:t>
      </w:r>
      <w:r>
        <w:rPr>
          <w:rFonts w:hint="eastAsia" w:ascii="宋体" w:hAnsi="宋体" w:eastAsia="宋体" w:cs="宋体"/>
          <w:b/>
          <w:bCs/>
          <w:color w:val="auto"/>
          <w:spacing w:val="-4"/>
          <w:sz w:val="21"/>
          <w:szCs w:val="21"/>
          <w:highlight w:val="none"/>
          <w:u w:val="single"/>
        </w:rPr>
        <w:t>措施费-暂列金额-暂估价）] ×100%</w:t>
      </w:r>
    </w:p>
    <w:p>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2.3.2.2</w:t>
      </w:r>
      <w:r>
        <w:rPr>
          <w:rFonts w:hint="eastAsia" w:ascii="宋体" w:hAnsi="宋体" w:eastAsia="宋体" w:cs="宋体"/>
          <w:snapToGrid w:val="0"/>
          <w:color w:val="auto"/>
          <w:kern w:val="0"/>
          <w:sz w:val="21"/>
          <w:szCs w:val="21"/>
          <w:highlight w:val="none"/>
        </w:rPr>
        <w:t xml:space="preserve"> 如果工程量出现本章第</w:t>
      </w: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子目的变化，且该变化引起相关措施项目相应发生变化时，按系数或单一总价方式计价的，工程量增加的措施项目费调增，工程量减少的措施项目费调减。</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工程变更</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 xml:space="preserve"> 合同履行期间，因工程变更引起已标价工程量清单项目发生变化时，按照以下规定调整：</w:t>
      </w:r>
    </w:p>
    <w:p>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（1）已标价工程量清单中有适用于变更工程项目的，采用该项目的单价。</w:t>
      </w:r>
      <w:r>
        <w:rPr>
          <w:rFonts w:hint="eastAsia" w:ascii="宋体" w:hAnsi="宋体" w:eastAsia="宋体" w:cs="宋体"/>
          <w:b/>
          <w:bCs/>
          <w:snapToGrid w:val="0"/>
          <w:color w:val="auto"/>
          <w:kern w:val="0"/>
          <w:sz w:val="21"/>
          <w:szCs w:val="21"/>
          <w:highlight w:val="none"/>
        </w:rPr>
        <w:t>但如果被采用的项目属于按照第二章“中标人须知”第4.2条被认定为不平衡报价的清单项目，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（2）已标价工程量清单中没有适用但有类似于变更工程项目的，可在合理范围内参照类似项目的单价。</w:t>
      </w:r>
      <w:r>
        <w:rPr>
          <w:rFonts w:hint="eastAsia" w:ascii="宋体" w:hAnsi="宋体" w:eastAsia="宋体" w:cs="宋体"/>
          <w:b/>
          <w:bCs/>
          <w:snapToGrid w:val="0"/>
          <w:color w:val="auto"/>
          <w:kern w:val="0"/>
          <w:sz w:val="21"/>
          <w:szCs w:val="21"/>
          <w:highlight w:val="none"/>
        </w:rPr>
        <w:t>但如果被参考的类似项目属于按照第二章“中标人须知”第4.2条被认定为不平衡报价的清单项目，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1"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中标下浮率=[1-（中标价-中标安全生产措施费-暂列金额-暂估价）/（招标 控制价-控制价安全生产措施费-暂列金额-暂估价）]×100%</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已标价工程量清单中没有适用也没有类似于变更工程项目，且施工当月项目所在地工程造价管理机构发布的价格信息缺项的，由承包人根据变更工程资料、计量规则、计价办法和通过依次参考韶关、佛山、清远、河源、肇庆、东莞等广东省内地区信息价、厂商询价、市场调查等取得有合法依据的市场价格提出变更工程项目的单价，报发包人确认后调整（采用同等四类地区信息价的不下浮，若同等四类城市均没有信息价需采用其他城市信息价、厂商询价或市场调查的则按80%执行）。</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应按照实际发生变化的措施项目计算。</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（2）采用单价计算的措施项目费，应按照实际发生变化的措施项目，按本章第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（3）按总价或系数计算的措施项目费，应按照实际发生变化的措施项目费调整并考虑中标下浮率因素，即调整金额＝按照实际变化调整后的金额×（1-中标下浮率）。</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如果承包人未事先将拟实施的方案提交发包人确认，视为工程变更不引起措施项目费的调整或承包人放弃调整措施项目费的权利。</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2.3.3.3</w:t>
      </w:r>
      <w:r>
        <w:rPr>
          <w:rFonts w:hint="eastAsia" w:ascii="宋体" w:hAnsi="宋体" w:eastAsia="宋体" w:cs="宋体"/>
          <w:snapToGrid w:val="0"/>
          <w:color w:val="auto"/>
          <w:kern w:val="0"/>
          <w:sz w:val="21"/>
          <w:szCs w:val="21"/>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2.3.4</w:t>
      </w:r>
      <w:r>
        <w:rPr>
          <w:rFonts w:hint="eastAsia" w:ascii="宋体" w:hAnsi="宋体" w:eastAsia="宋体" w:cs="宋体"/>
          <w:snapToGrid w:val="0"/>
          <w:color w:val="auto"/>
          <w:kern w:val="0"/>
          <w:sz w:val="21"/>
          <w:szCs w:val="21"/>
          <w:highlight w:val="none"/>
        </w:rPr>
        <w:t xml:space="preserve"> 项目特征不符</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目相关条款的规定重新确定相应工程量清单项目的综合单价，并调整合同价款。</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w:t>
      </w:r>
      <w:r>
        <w:rPr>
          <w:rFonts w:hint="eastAsia" w:ascii="宋体" w:hAnsi="宋体" w:eastAsia="宋体" w:cs="宋体"/>
          <w:snapToGrid w:val="0"/>
          <w:color w:val="auto"/>
          <w:kern w:val="0"/>
          <w:sz w:val="21"/>
          <w:szCs w:val="21"/>
          <w:highlight w:val="none"/>
        </w:rPr>
        <w:t xml:space="preserve"> 招标工程量清单缺项</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2.3.5.1</w:t>
      </w:r>
      <w:r>
        <w:rPr>
          <w:rFonts w:hint="eastAsia" w:ascii="宋体" w:hAnsi="宋体" w:eastAsia="宋体" w:cs="宋体"/>
          <w:snapToGrid w:val="0"/>
          <w:color w:val="auto"/>
          <w:kern w:val="0"/>
          <w:sz w:val="21"/>
          <w:szCs w:val="21"/>
          <w:highlight w:val="none"/>
        </w:rPr>
        <w:t xml:space="preserve"> 合同履行期间，由于招标工程量清单中缺项，新增分部分项工程清单项目，应按照本章第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子目的规定确定单价，并调整合同价款。</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2.3.5.2</w:t>
      </w:r>
      <w:r>
        <w:rPr>
          <w:rFonts w:hint="eastAsia" w:ascii="宋体" w:hAnsi="宋体" w:eastAsia="宋体" w:cs="宋体"/>
          <w:snapToGrid w:val="0"/>
          <w:color w:val="auto"/>
          <w:kern w:val="0"/>
          <w:sz w:val="21"/>
          <w:szCs w:val="21"/>
          <w:highlight w:val="none"/>
        </w:rPr>
        <w:t xml:space="preserve"> 新增分部分项工程清单项目后，引起措施项目发生变化的，应按照本章第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子目的规定，在承包人提交的实施方案被发包人批准后调整合同价款。</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2.3.5.3</w:t>
      </w:r>
      <w:r>
        <w:rPr>
          <w:rFonts w:hint="eastAsia" w:ascii="宋体" w:hAnsi="宋体" w:eastAsia="宋体" w:cs="宋体"/>
          <w:snapToGrid w:val="0"/>
          <w:color w:val="auto"/>
          <w:kern w:val="0"/>
          <w:sz w:val="21"/>
          <w:szCs w:val="21"/>
          <w:highlight w:val="none"/>
        </w:rPr>
        <w:t xml:space="preserve"> 由于招标工程量清单中措施项目缺项，承包人应将新增措施项目实施方案提交发包人批准后，按照本章第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子目的规定调整合同价款。</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1"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w:t>
      </w:r>
      <w:r>
        <w:rPr>
          <w:rFonts w:hint="eastAsia" w:ascii="宋体" w:hAnsi="宋体" w:eastAsia="宋体" w:cs="宋体"/>
          <w:bCs/>
          <w:snapToGrid w:val="0"/>
          <w:color w:val="auto"/>
          <w:kern w:val="0"/>
          <w:sz w:val="21"/>
          <w:szCs w:val="21"/>
          <w:highlight w:val="none"/>
        </w:rPr>
        <w:t xml:space="preserve"> 物价变化</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1"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2.3.6.1</w:t>
      </w:r>
      <w:r>
        <w:rPr>
          <w:rFonts w:hint="eastAsia" w:ascii="宋体" w:hAnsi="宋体" w:eastAsia="宋体" w:cs="宋体"/>
          <w:bCs/>
          <w:snapToGrid w:val="0"/>
          <w:color w:val="auto"/>
          <w:kern w:val="0"/>
          <w:sz w:val="21"/>
          <w:szCs w:val="21"/>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1"/>
          <w:szCs w:val="21"/>
          <w:highlight w:val="none"/>
        </w:rPr>
        <w:t>以下简称“中标人工费”</w:t>
      </w:r>
      <w:r>
        <w:rPr>
          <w:rFonts w:hint="eastAsia" w:ascii="宋体" w:hAnsi="宋体" w:eastAsia="宋体" w:cs="宋体"/>
          <w:bCs/>
          <w:snapToGrid w:val="0"/>
          <w:color w:val="auto"/>
          <w:kern w:val="0"/>
          <w:sz w:val="21"/>
          <w:szCs w:val="21"/>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结算人工费＝中标人工费×F</w:t>
      </w:r>
      <w:r>
        <w:rPr>
          <w:rFonts w:hint="eastAsia" w:ascii="宋体" w:hAnsi="宋体" w:eastAsia="宋体" w:cs="宋体"/>
          <w:bCs/>
          <w:snapToGrid w:val="0"/>
          <w:color w:val="auto"/>
          <w:kern w:val="0"/>
          <w:sz w:val="21"/>
          <w:szCs w:val="21"/>
          <w:highlight w:val="none"/>
          <w:vertAlign w:val="subscript"/>
        </w:rPr>
        <w:t>1</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式中，F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为施工当月项目所在地工程造价管理机构发布的动态人工调整系数。</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2.3.6.2</w:t>
      </w:r>
      <w:r>
        <w:rPr>
          <w:rFonts w:hint="eastAsia" w:ascii="宋体" w:hAnsi="宋体" w:eastAsia="宋体" w:cs="宋体"/>
          <w:snapToGrid w:val="0"/>
          <w:color w:val="auto"/>
          <w:kern w:val="0"/>
          <w:sz w:val="21"/>
          <w:szCs w:val="21"/>
          <w:highlight w:val="none"/>
        </w:rPr>
        <w:t xml:space="preserve"> 本招标项目约定，材料、工程设备单价涨跌风险幅度值A为</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pPr>
        <w:keepNext w:val="0"/>
        <w:keepLines w:val="0"/>
        <w:pageBreakBefore w:val="0"/>
        <w:widowControl w:val="0"/>
        <w:kinsoku/>
        <w:wordWrap w:val="0"/>
        <w:overflowPunct/>
        <w:topLinePunct w:val="0"/>
        <w:autoSpaceDE/>
        <w:autoSpaceDN/>
        <w:bidi w:val="0"/>
        <w:adjustRightInd/>
        <w:snapToGrid/>
        <w:spacing w:line="420" w:lineRule="exact"/>
        <w:ind w:left="0" w:right="0" w:firstLine="421"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5" o:spt="75" type="#_x0000_t75" style="height:33.95pt;width:200.95pt;" o:ole="t" filled="f" stroked="f" coordsize="21600,21600">
            <v:path/>
            <v:fill on="f" focussize="0,0"/>
            <v:stroke on="f"/>
            <v:imagedata r:id="rId11" o:title=""/>
            <o:lock v:ext="edit" grouping="f" rotation="f" text="f" aspectratio="t"/>
            <w10:wrap type="none"/>
            <w10:anchorlock/>
          </v:shape>
          <o:OLEObject Type="Embed" ProgID="Equation.KSEE3" ShapeID="_x0000_i1025" DrawAspect="Content" ObjectID="_1468075725" r:id="rId10">
            <o:LockedField>false</o:LockedField>
          </o:OLEObject>
        </w:object>
      </w:r>
    </w:p>
    <w:p>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6" o:spt="75" type="#_x0000_t75" style="height:33.95pt;width:198.95pt;" o:ole="t" filled="f" stroked="f" coordsize="21600,21600">
            <v:path/>
            <v:fill on="f" focussize="0,0"/>
            <v:stroke on="f"/>
            <v:imagedata r:id="rId13" o:title=""/>
            <o:lock v:ext="edit" grouping="f" rotation="f" text="f" aspectratio="t"/>
            <w10:wrap type="none"/>
            <w10:anchorlock/>
          </v:shape>
          <o:OLEObject Type="Embed" ProgID="Equation.KSEE3" ShapeID="_x0000_i1026" DrawAspect="Content" ObjectID="_1468075726" r:id="rId12">
            <o:LockedField>false</o:LockedField>
          </o:OLEObject>
        </w:object>
      </w:r>
    </w:p>
    <w:p>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7" o:spt="75" type="#_x0000_t75" style="height:33.95pt;width:198.95pt;" o:ole="t" filled="f" stroked="f" coordsize="21600,21600">
            <v:path/>
            <v:fill on="f" focussize="0,0"/>
            <v:stroke on="f"/>
            <v:imagedata r:id="rId15" o:title=""/>
            <o:lock v:ext="edit" grouping="f" rotation="f" text="f" aspectratio="t"/>
            <w10:wrap type="none"/>
            <w10:anchorlock/>
          </v:shape>
          <o:OLEObject Type="Embed" ProgID="Equation.KSEE3" ShapeID="_x0000_i1027" DrawAspect="Content" ObjectID="_1468075727" r:id="rId14">
            <o:LockedField>false</o:LockedField>
          </o:OLEObject>
        </w:object>
      </w:r>
    </w:p>
    <w:p>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8" o:spt="75" type="#_x0000_t75" style="height:33.95pt;width:200.95pt;" o:ole="t" filled="f" stroked="f" coordsize="21600,21600">
            <v:path/>
            <v:fill on="f" focussize="0,0"/>
            <v:stroke on="f"/>
            <v:imagedata r:id="rId17" o:title=""/>
            <o:lock v:ext="edit" grouping="f" rotation="f" text="f" aspectratio="t"/>
            <w10:wrap type="none"/>
            <w10:anchorlock/>
          </v:shape>
          <o:OLEObject Type="Embed" ProgID="Equation.KSEE3" ShapeID="_x0000_i1028" DrawAspect="Content" ObjectID="_1468075728" r:id="rId16">
            <o:LockedField>false</o:LockedField>
          </o:OLEObject>
        </w:object>
      </w:r>
    </w:p>
    <w:p>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9" o:spt="75" type="#_x0000_t75" style="height:33.95pt;width:200.95pt;" o:ole="t" filled="f" stroked="f" coordsize="21600,21600">
            <v:path/>
            <v:fill on="f" focussize="0,0"/>
            <v:stroke on="f"/>
            <v:imagedata r:id="rId19" o:title=""/>
            <o:lock v:ext="edit" grouping="f" rotation="f" text="f" aspectratio="t"/>
            <w10:wrap type="none"/>
            <w10:anchorlock/>
          </v:shape>
          <o:OLEObject Type="Embed" ProgID="Equation.KSEE3" ShapeID="_x0000_i1029" DrawAspect="Content" ObjectID="_1468075729" r:id="rId18">
            <o:LockedField>false</o:LockedField>
          </o:OLEObject>
        </w:object>
      </w:r>
    </w:p>
    <w:p>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0" o:spt="75" type="#_x0000_t75" style="height:33.95pt;width:200.95pt;" o:ole="t" filled="f" o:preferrelative="t" stroked="f" coordsize="21600,21600">
            <v:path/>
            <v:fill on="f" focussize="0,0"/>
            <v:stroke on="f"/>
            <v:imagedata r:id="rId21" o:title=""/>
            <o:lock v:ext="edit" grouping="f" rotation="f" text="f" aspectratio="t"/>
            <w10:wrap type="none"/>
            <w10:anchorlock/>
          </v:shape>
          <o:OLEObject Type="Embed" ProgID="Equation.KSEE3" ShapeID="_x0000_i1030" DrawAspect="Content" ObjectID="_1468075730" r:id="rId20">
            <o:LockedField>false</o:LockedField>
          </o:OLEObject>
        </w:object>
      </w:r>
    </w:p>
    <w:p>
      <w:pPr>
        <w:keepNext w:val="0"/>
        <w:keepLines w:val="0"/>
        <w:pageBreakBefore w:val="0"/>
        <w:widowControl/>
        <w:kinsoku/>
        <w:wordWrap w:val="0"/>
        <w:overflowPunct/>
        <w:topLinePunct w:val="0"/>
        <w:autoSpaceDE/>
        <w:autoSpaceDN/>
        <w:bidi w:val="0"/>
        <w:adjustRightInd/>
        <w:snapToGrid/>
        <w:spacing w:line="42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F2为施工当月项目所在地工程造价管理机构发布的材料、工程设备单价；A 为合同约定的材料、工程设备单价涨跌风险幅度值。</w:t>
      </w:r>
    </w:p>
    <w:p>
      <w:pPr>
        <w:keepNext w:val="0"/>
        <w:keepLines w:val="0"/>
        <w:pageBreakBefore w:val="0"/>
        <w:widowControl/>
        <w:kinsoku/>
        <w:wordWrap w:val="0"/>
        <w:overflowPunct/>
        <w:topLinePunct w:val="0"/>
        <w:autoSpaceDE/>
        <w:autoSpaceDN/>
        <w:bidi w:val="0"/>
        <w:adjustRightInd/>
        <w:snapToGrid/>
        <w:spacing w:line="420" w:lineRule="exact"/>
        <w:ind w:firstLine="421"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2.3.6.3</w:t>
      </w:r>
      <w:r>
        <w:rPr>
          <w:rFonts w:hint="eastAsia" w:ascii="宋体" w:hAnsi="宋体" w:eastAsia="宋体" w:cs="宋体"/>
          <w:snapToGrid w:val="0"/>
          <w:color w:val="auto"/>
          <w:kern w:val="0"/>
          <w:sz w:val="21"/>
          <w:szCs w:val="21"/>
          <w:highlight w:val="none"/>
        </w:rPr>
        <w:t xml:space="preserve"> 合同履行期间，当《发包人提供材料和工程设备一览表》（详见招标工程量清单）中的材料、工程设备单价发生变化时，由发包人按照实际变化调整，并列入合同价款。</w:t>
      </w:r>
    </w:p>
    <w:p>
      <w:pPr>
        <w:keepNext w:val="0"/>
        <w:keepLines w:val="0"/>
        <w:pageBreakBefore w:val="0"/>
        <w:widowControl/>
        <w:kinsoku/>
        <w:wordWrap w:val="0"/>
        <w:overflowPunct/>
        <w:topLinePunct w:val="0"/>
        <w:autoSpaceDE/>
        <w:autoSpaceDN/>
        <w:bidi w:val="0"/>
        <w:adjustRightInd/>
        <w:snapToGrid/>
        <w:spacing w:line="42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2.3.6.4</w:t>
      </w:r>
      <w:r>
        <w:rPr>
          <w:rFonts w:hint="eastAsia" w:ascii="宋体" w:hAnsi="宋体" w:eastAsia="宋体" w:cs="宋体"/>
          <w:snapToGrid w:val="0"/>
          <w:color w:val="auto"/>
          <w:kern w:val="0"/>
          <w:sz w:val="21"/>
          <w:szCs w:val="21"/>
          <w:highlight w:val="none"/>
        </w:rPr>
        <w:t xml:space="preserve"> 本招标项目约定，施工机具台班单价涨跌风险幅度值B为</w:t>
      </w:r>
      <w:r>
        <w:rPr>
          <w:rFonts w:hint="eastAsia" w:ascii="宋体" w:hAnsi="宋体" w:eastAsia="宋体" w:cs="宋体"/>
          <w:snapToGrid w:val="0"/>
          <w:color w:val="auto"/>
          <w:kern w:val="0"/>
          <w:sz w:val="21"/>
          <w:szCs w:val="21"/>
          <w:highlight w:val="none"/>
          <w:u w:val="single"/>
        </w:rPr>
        <w:t xml:space="preserve"> 10% </w:t>
      </w:r>
      <w:r>
        <w:rPr>
          <w:rFonts w:hint="eastAsia" w:ascii="宋体" w:hAnsi="宋体" w:eastAsia="宋体" w:cs="宋体"/>
          <w:snapToGrid w:val="0"/>
          <w:color w:val="auto"/>
          <w:kern w:val="0"/>
          <w:sz w:val="21"/>
          <w:szCs w:val="21"/>
          <w:highlight w:val="none"/>
        </w:rPr>
        <w:t>。合同履行期间，当施工机具台班单价涨跌幅度等于或低于B值时，该施工机具台班单价不予调整；超过B值时，其超过部分可以调整。相关费用按有关规定进行相应调整。</w:t>
      </w:r>
    </w:p>
    <w:p>
      <w:pPr>
        <w:keepNext w:val="0"/>
        <w:keepLines w:val="0"/>
        <w:pageBreakBefore w:val="0"/>
        <w:widowControl/>
        <w:kinsoku/>
        <w:wordWrap w:val="0"/>
        <w:overflowPunct/>
        <w:topLinePunct w:val="0"/>
        <w:autoSpaceDE/>
        <w:autoSpaceDN/>
        <w:bidi w:val="0"/>
        <w:adjustRightInd/>
        <w:snapToGrid/>
        <w:spacing w:line="42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1" o:spt="75" type="#_x0000_t75" style="height:33.95pt;width:200.95pt;" o:ole="t" filled="f" o:preferrelative="t" stroked="f" coordsize="21600,21600">
            <v:path/>
            <v:fill on="f" focussize="0,0"/>
            <v:stroke on="f"/>
            <v:imagedata r:id="rId23" o:title=""/>
            <o:lock v:ext="edit" grouping="f" rotation="f" text="f" aspectratio="t"/>
            <w10:wrap type="none"/>
            <w10:anchorlock/>
          </v:shape>
          <o:OLEObject Type="Embed" ProgID="Equation.KSEE3" ShapeID="_x0000_i1031" DrawAspect="Content" ObjectID="_1468075731" r:id="rId22">
            <o:LockedField>false</o:LockedField>
          </o:OLEObject>
        </w:object>
      </w:r>
    </w:p>
    <w:p>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2" o:spt="75" type="#_x0000_t75" style="height:33.95pt;width:198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2" DrawAspect="Content" ObjectID="_1468075732" r:id="rId24">
            <o:LockedField>false</o:LockedField>
          </o:OLEObject>
        </w:object>
      </w:r>
    </w:p>
    <w:p>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．如果中标单价高于基准单价，该施工机具台班的结算单价调整公式为：</w:t>
      </w:r>
    </w:p>
    <w:p>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3" o:spt="75" type="#_x0000_t75" style="height:33.95pt;width:198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3" DrawAspect="Content" ObjectID="_1468075733" r:id="rId26">
            <o:LockedField>false</o:LockedField>
          </o:OLEObject>
        </w:object>
      </w:r>
    </w:p>
    <w:p>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4" o:spt="75" type="#_x0000_t75" style="height:33.95pt;width:200.95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4" DrawAspect="Content" ObjectID="_1468075734" r:id="rId28">
            <o:LockedField>false</o:LockedField>
          </o:OLEObject>
        </w:object>
      </w:r>
    </w:p>
    <w:p>
      <w:pPr>
        <w:keepNext w:val="0"/>
        <w:keepLines w:val="0"/>
        <w:pageBreakBefore w:val="0"/>
        <w:widowControl/>
        <w:kinsoku/>
        <w:wordWrap w:val="0"/>
        <w:overflowPunct/>
        <w:topLinePunct w:val="0"/>
        <w:autoSpaceDE/>
        <w:autoSpaceDN/>
        <w:bidi w:val="0"/>
        <w:adjustRightInd/>
        <w:snapToGrid/>
        <w:spacing w:line="440" w:lineRule="exact"/>
        <w:ind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．如果中标单价等于基准单价，该施工机具台班的结算单价调整公式为：</w:t>
      </w:r>
    </w:p>
    <w:p>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5" o:spt="75" type="#_x0000_t75" style="height:33.95pt;width:200.95pt;" o:ole="t" filled="f" o:preferrelative="t" stroked="f" coordsize="21600,21600">
            <v:path/>
            <v:fill on="f" focussize="0,0"/>
            <v:stroke on="f"/>
            <v:imagedata r:id="rId31" o:title=""/>
            <o:lock v:ext="edit" grouping="f" rotation="f" text="f" aspectratio="t"/>
            <w10:wrap type="none"/>
            <w10:anchorlock/>
          </v:shape>
          <o:OLEObject Type="Embed" ProgID="Equation.KSEE3" ShapeID="_x0000_i1035" DrawAspect="Content" ObjectID="_1468075735" r:id="rId30">
            <o:LockedField>false</o:LockedField>
          </o:OLEObject>
        </w:object>
      </w:r>
    </w:p>
    <w:p>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6" o:spt="75" type="#_x0000_t75" style="height:33.95pt;width:200.95pt;" o:ole="t" filled="f" o:preferrelative="t" stroked="f" coordsize="21600,21600">
            <v:path/>
            <v:fill on="f" focussize="0,0"/>
            <v:stroke on="f"/>
            <v:imagedata r:id="rId33" o:title=""/>
            <o:lock v:ext="edit" grouping="f" rotation="f" text="f" aspectratio="t"/>
            <w10:wrap type="none"/>
            <w10:anchorlock/>
          </v:shape>
          <o:OLEObject Type="Embed" ProgID="Equation.KSEE3" ShapeID="_x0000_i1036" DrawAspect="Content" ObjectID="_1468075736" r:id="rId32">
            <o:LockedField>false</o:LockedField>
          </o:OLEObject>
        </w:object>
      </w:r>
    </w:p>
    <w:p>
      <w:pPr>
        <w:keepNext w:val="0"/>
        <w:keepLines w:val="0"/>
        <w:pageBreakBefore w:val="0"/>
        <w:widowControl/>
        <w:suppressLineNumbers w:val="0"/>
        <w:kinsoku/>
        <w:overflowPunct/>
        <w:topLinePunct w:val="0"/>
        <w:autoSpaceDE/>
        <w:autoSpaceDN/>
        <w:bidi w:val="0"/>
        <w:adjustRightInd/>
        <w:snapToGrid/>
        <w:spacing w:line="440" w:lineRule="exact"/>
        <w:ind w:left="0" w:leftChars="0"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bidi="ar"/>
        </w:rPr>
        <w:t>F2为施工当月项目所在地工程造价管理机构发布的施工机具台班单价；B 为合同约定的施工机具台班单价涨跌风险幅度值。</w:t>
      </w:r>
    </w:p>
    <w:p>
      <w:pPr>
        <w:keepNext w:val="0"/>
        <w:keepLines w:val="0"/>
        <w:pageBreakBefore w:val="0"/>
        <w:widowControl/>
        <w:kinsoku/>
        <w:wordWrap w:val="0"/>
        <w:overflowPunct/>
        <w:topLinePunct w:val="0"/>
        <w:autoSpaceDE/>
        <w:autoSpaceDN/>
        <w:bidi w:val="0"/>
        <w:adjustRightInd/>
        <w:snapToGrid/>
        <w:spacing w:line="440" w:lineRule="exact"/>
        <w:ind w:left="0" w:leftChars="0" w:firstLine="421"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w:t>
      </w:r>
      <w:r>
        <w:rPr>
          <w:rFonts w:hint="eastAsia" w:ascii="宋体" w:hAnsi="宋体" w:eastAsia="宋体" w:cs="宋体"/>
          <w:bCs/>
          <w:snapToGrid w:val="0"/>
          <w:color w:val="auto"/>
          <w:kern w:val="0"/>
          <w:sz w:val="21"/>
          <w:szCs w:val="21"/>
          <w:highlight w:val="none"/>
        </w:rPr>
        <w:t xml:space="preserve"> 暂估价和暂列金额</w:t>
      </w:r>
    </w:p>
    <w:p>
      <w:pPr>
        <w:keepNext w:val="0"/>
        <w:keepLines w:val="0"/>
        <w:pageBreakBefore w:val="0"/>
        <w:widowControl/>
        <w:kinsoku/>
        <w:wordWrap w:val="0"/>
        <w:overflowPunct/>
        <w:topLinePunct w:val="0"/>
        <w:autoSpaceDE/>
        <w:autoSpaceDN/>
        <w:bidi w:val="0"/>
        <w:adjustRightInd/>
        <w:snapToGrid/>
        <w:spacing w:line="440" w:lineRule="exact"/>
        <w:ind w:left="0" w:leftChars="0" w:firstLine="421"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2.3.7.1</w:t>
      </w:r>
      <w:r>
        <w:rPr>
          <w:rFonts w:hint="eastAsia" w:ascii="宋体" w:hAnsi="宋体" w:eastAsia="宋体" w:cs="宋体"/>
          <w:bCs/>
          <w:snapToGrid w:val="0"/>
          <w:color w:val="auto"/>
          <w:kern w:val="0"/>
          <w:sz w:val="21"/>
          <w:szCs w:val="21"/>
          <w:highlight w:val="none"/>
        </w:rPr>
        <w:t>暂估价项目按第一章第三节“投标人须知正文”第8.5条的规定确定专业工程承包人（或材料供应商、工程设备供应商）后，将专业工程合同价款（或材料单价、工程设备单价）取代相应暂估价，并调整合同价款。材料暂估价结算时提供购买发票、转账凭证、合同等佐证资料，其结算原则按本章“2.工程结算原则”有关条款进行结算。各部分暂估价的结算价不得超过预算暂估价。</w:t>
      </w:r>
    </w:p>
    <w:p>
      <w:pPr>
        <w:keepNext w:val="0"/>
        <w:keepLines w:val="0"/>
        <w:pageBreakBefore w:val="0"/>
        <w:widowControl/>
        <w:kinsoku/>
        <w:wordWrap w:val="0"/>
        <w:overflowPunct/>
        <w:topLinePunct w:val="0"/>
        <w:autoSpaceDE/>
        <w:autoSpaceDN/>
        <w:bidi w:val="0"/>
        <w:adjustRightInd/>
        <w:snapToGrid/>
        <w:spacing w:line="420" w:lineRule="exact"/>
        <w:ind w:left="0" w:leftChars="0" w:firstLine="421"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2.3.7.2</w:t>
      </w:r>
      <w:r>
        <w:rPr>
          <w:rFonts w:hint="eastAsia" w:ascii="宋体" w:hAnsi="宋体" w:eastAsia="宋体" w:cs="宋体"/>
          <w:bCs/>
          <w:snapToGrid w:val="0"/>
          <w:color w:val="auto"/>
          <w:kern w:val="0"/>
          <w:sz w:val="21"/>
          <w:szCs w:val="21"/>
          <w:highlight w:val="none"/>
        </w:rPr>
        <w:t xml:space="preserve"> 暂列金额由发包人掌握和使用。暂列金额项目若有发生，按第一章第三节“投标人须知正文”第</w:t>
      </w:r>
      <w:r>
        <w:rPr>
          <w:rFonts w:hint="eastAsia" w:ascii="宋体" w:hAnsi="宋体" w:eastAsia="宋体" w:cs="宋体"/>
          <w:b/>
          <w:snapToGrid w:val="0"/>
          <w:color w:val="auto"/>
          <w:kern w:val="0"/>
          <w:sz w:val="21"/>
          <w:szCs w:val="21"/>
          <w:highlight w:val="none"/>
        </w:rPr>
        <w:t>8.6</w:t>
      </w:r>
      <w:r>
        <w:rPr>
          <w:rFonts w:hint="eastAsia" w:ascii="宋体" w:hAnsi="宋体" w:eastAsia="宋体" w:cs="宋体"/>
          <w:bCs/>
          <w:snapToGrid w:val="0"/>
          <w:color w:val="auto"/>
          <w:kern w:val="0"/>
          <w:sz w:val="21"/>
          <w:szCs w:val="21"/>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pPr>
        <w:keepNext w:val="0"/>
        <w:keepLines w:val="0"/>
        <w:pageBreakBefore w:val="0"/>
        <w:widowControl w:val="0"/>
        <w:suppressLineNumbers w:val="0"/>
        <w:kinsoku/>
        <w:overflowPunct/>
        <w:topLinePunct w:val="0"/>
        <w:autoSpaceDE/>
        <w:autoSpaceDN/>
        <w:bidi w:val="0"/>
        <w:adjustRightInd/>
        <w:snapToGrid/>
        <w:spacing w:line="420" w:lineRule="exact"/>
        <w:ind w:left="0" w:leftChars="0" w:firstLine="421"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2.3.8 </w:t>
      </w:r>
      <w:r>
        <w:rPr>
          <w:rFonts w:hint="eastAsia" w:ascii="宋体" w:hAnsi="宋体" w:eastAsia="宋体" w:cs="宋体"/>
          <w:b/>
          <w:snapToGrid w:val="0"/>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bidi="ar"/>
        </w:rPr>
        <w:t>预算包干费按照分部分项的人工费与施工机具费之和的7%计算。本招标项目的预算包干内容包括：施工雨水、污水的排除；因地形影响造成的场内料具二次运输；20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pPr>
        <w:keepNext w:val="0"/>
        <w:keepLines w:val="0"/>
        <w:pageBreakBefore w:val="0"/>
        <w:widowControl w:val="0"/>
        <w:kinsoku/>
        <w:wordWrap w:val="0"/>
        <w:overflowPunct/>
        <w:topLinePunct w:val="0"/>
        <w:autoSpaceDE/>
        <w:autoSpaceDN/>
        <w:bidi w:val="0"/>
        <w:adjustRightInd/>
        <w:snapToGrid/>
        <w:spacing w:line="420" w:lineRule="exact"/>
        <w:ind w:left="0" w:leftChars="0" w:firstLine="421" w:firstLineChars="200"/>
        <w:textAlignment w:val="baseline"/>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2.3.9</w:t>
      </w:r>
      <w:r>
        <w:rPr>
          <w:rFonts w:hint="eastAsia" w:ascii="宋体" w:hAnsi="宋体" w:eastAsia="宋体" w:cs="宋体"/>
          <w:snapToGrid w:val="0"/>
          <w:color w:val="auto"/>
          <w:kern w:val="0"/>
          <w:sz w:val="21"/>
          <w:szCs w:val="21"/>
          <w:highlight w:val="none"/>
        </w:rPr>
        <w:t>其余事项（如不可抗力、索赔、现场签证等）的调整原则按照《建设工程工程量清单计价规范》（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）有关规定执行。</w:t>
      </w:r>
    </w:p>
    <w:p>
      <w:pPr>
        <w:keepNext w:val="0"/>
        <w:keepLines w:val="0"/>
        <w:pageBreakBefore w:val="0"/>
        <w:widowControl w:val="0"/>
        <w:kinsoku/>
        <w:wordWrap w:val="0"/>
        <w:overflowPunct/>
        <w:topLinePunct w:val="0"/>
        <w:autoSpaceDE/>
        <w:autoSpaceDN/>
        <w:bidi w:val="0"/>
        <w:adjustRightInd/>
        <w:snapToGrid/>
        <w:spacing w:line="420" w:lineRule="exact"/>
        <w:ind w:left="0" w:leftChars="0" w:firstLine="421" w:firstLineChars="200"/>
        <w:textAlignment w:val="baseline"/>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 </w:t>
      </w:r>
      <w:bookmarkStart w:id="322" w:name="_Hlt112206782"/>
      <w:bookmarkEnd w:id="322"/>
      <w:r>
        <w:rPr>
          <w:rFonts w:hint="eastAsia" w:ascii="宋体" w:hAnsi="宋体" w:eastAsia="宋体" w:cs="宋体"/>
          <w:snapToGrid w:val="0"/>
          <w:color w:val="auto"/>
          <w:kern w:val="0"/>
          <w:sz w:val="21"/>
          <w:szCs w:val="21"/>
          <w:highlight w:val="none"/>
        </w:rPr>
        <w:t>凡将引起合同价款调增的事项，承包人必须于拟实施14天前，将详细的报价书（含拟实施项目名称、变更部位、理由、预计造价等）报监理单位审核和发包人批准后方可实施。</w:t>
      </w:r>
    </w:p>
    <w:p>
      <w:pPr>
        <w:keepNext w:val="0"/>
        <w:keepLines w:val="0"/>
        <w:pageBreakBefore w:val="0"/>
        <w:widowControl w:val="0"/>
        <w:kinsoku/>
        <w:wordWrap w:val="0"/>
        <w:overflowPunct/>
        <w:topLinePunct w:val="0"/>
        <w:autoSpaceDE/>
        <w:autoSpaceDN/>
        <w:bidi w:val="0"/>
        <w:adjustRightInd/>
        <w:snapToGrid/>
        <w:spacing w:line="42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2.5</w:t>
      </w:r>
      <w:r>
        <w:rPr>
          <w:rFonts w:hint="eastAsia" w:ascii="宋体" w:hAnsi="宋体" w:eastAsia="宋体" w:cs="宋体"/>
          <w:snapToGrid w:val="0"/>
          <w:color w:val="auto"/>
          <w:kern w:val="0"/>
          <w:sz w:val="21"/>
          <w:szCs w:val="21"/>
          <w:highlight w:val="none"/>
        </w:rPr>
        <w:t xml:space="preserve"> 承包人不得以不完全了解现场情况为理由，提出额外付款或延长工期等要求。对此类要求，发包人不作任何考虑及答复。</w:t>
      </w:r>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2.6</w:t>
      </w:r>
      <w:r>
        <w:rPr>
          <w:rFonts w:hint="eastAsia" w:ascii="宋体" w:hAnsi="宋体" w:eastAsia="宋体" w:cs="宋体"/>
          <w:snapToGrid w:val="0"/>
          <w:color w:val="auto"/>
          <w:kern w:val="0"/>
          <w:sz w:val="21"/>
          <w:szCs w:val="21"/>
          <w:highlight w:val="none"/>
        </w:rPr>
        <w:t xml:space="preserve"> 承包人已标价工程量清单中漏报、错报或少报的清单项目，其价格均视为已经包含在其它清单项目中，竣工结算时不得重新组价和调整。</w:t>
      </w:r>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2.7</w:t>
      </w:r>
      <w:r>
        <w:rPr>
          <w:rFonts w:hint="eastAsia" w:ascii="宋体" w:hAnsi="宋体" w:eastAsia="宋体" w:cs="宋体"/>
          <w:snapToGrid w:val="0"/>
          <w:color w:val="auto"/>
          <w:kern w:val="0"/>
          <w:sz w:val="21"/>
          <w:szCs w:val="21"/>
          <w:highlight w:val="none"/>
        </w:rPr>
        <w:t xml:space="preserve"> 工程完工后，发、承包双方和受其委托具备相应资质的工程造价咨询单位必须按照《建设工程工程量清单计价规范》（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）和国家、省、市的有关规定办理竣工结算。</w:t>
      </w:r>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2.8</w:t>
      </w:r>
      <w:r>
        <w:rPr>
          <w:rFonts w:hint="eastAsia" w:ascii="宋体" w:hAnsi="宋体" w:eastAsia="宋体" w:cs="宋体"/>
          <w:snapToGrid w:val="0"/>
          <w:color w:val="auto"/>
          <w:kern w:val="0"/>
          <w:sz w:val="21"/>
          <w:szCs w:val="21"/>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421" w:firstLineChars="200"/>
        <w:textAlignment w:val="baseline"/>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2.9 </w:t>
      </w:r>
      <w:r>
        <w:rPr>
          <w:rFonts w:hint="eastAsia" w:ascii="宋体" w:hAnsi="宋体" w:eastAsia="宋体" w:cs="宋体"/>
          <w:color w:val="auto"/>
          <w:kern w:val="0"/>
          <w:sz w:val="21"/>
          <w:szCs w:val="21"/>
          <w:highlight w:val="none"/>
          <w:lang w:val="en-US" w:eastAsia="zh-CN" w:bidi="ar"/>
        </w:rPr>
        <w:t>承包人已标价工程量清单中没有的材料（或工程设备）结算价格确定原则：本工程暂估价为招标人在工程量清单中提供的用于支付必然发生但暂时不能确定价格的材料、工程设备的单价以及专业工程的金额。材料暂估价结算时通过询价后、由招标人、业主、中标人、监理人确认后，作为结算依据，其结算原则按本章“2.工程结算原则”有关条款进行结算。各部分暂估价的结算价不得超过暂估价。</w:t>
      </w:r>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420" w:firstLineChars="200"/>
        <w:textAlignment w:val="baseline"/>
        <w:rPr>
          <w:rFonts w:hint="eastAsia" w:ascii="宋体" w:hAnsi="宋体" w:eastAsia="宋体" w:cs="宋体"/>
          <w:b w:val="0"/>
          <w:snapToGrid/>
          <w:color w:val="auto"/>
          <w:kern w:val="0"/>
          <w:sz w:val="21"/>
          <w:szCs w:val="21"/>
          <w:highlight w:val="none"/>
          <w:lang w:val="en-US" w:eastAsia="zh-CN" w:bidi="ar"/>
        </w:rPr>
      </w:pPr>
      <w:r>
        <w:rPr>
          <w:rFonts w:hint="eastAsia" w:ascii="宋体" w:hAnsi="宋体" w:eastAsia="宋体" w:cs="宋体"/>
          <w:b w:val="0"/>
          <w:snapToGrid/>
          <w:color w:val="auto"/>
          <w:kern w:val="0"/>
          <w:sz w:val="21"/>
          <w:szCs w:val="21"/>
          <w:highlight w:val="none"/>
          <w:lang w:val="en-US" w:eastAsia="zh-CN" w:bidi="ar"/>
        </w:rPr>
        <w:t>2.10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pPr>
        <w:spacing w:line="460" w:lineRule="exact"/>
        <w:ind w:firstLine="420" w:firstLineChars="200"/>
        <w:rPr>
          <w:rFonts w:hint="eastAsia" w:ascii="宋体" w:hAnsi="宋体" w:eastAsia="宋体" w:cs="宋体"/>
          <w:b/>
          <w:snapToGrid w:val="0"/>
          <w:color w:val="auto"/>
          <w:sz w:val="21"/>
          <w:szCs w:val="21"/>
          <w:highlight w:val="none"/>
        </w:rPr>
      </w:pPr>
      <w:r>
        <w:rPr>
          <w:rFonts w:hint="eastAsia" w:ascii="宋体" w:hAnsi="宋体" w:eastAsia="宋体" w:cs="宋体"/>
          <w:b w:val="0"/>
          <w:snapToGrid/>
          <w:color w:val="auto"/>
          <w:kern w:val="0"/>
          <w:sz w:val="21"/>
          <w:szCs w:val="21"/>
          <w:highlight w:val="none"/>
          <w:lang w:val="en-US" w:eastAsia="zh-CN" w:bidi="ar"/>
        </w:rPr>
        <w:t>2.11 项目实施过程中涉及工程造价控制、计量、价差调整等事项，最终以财政局投资评审中心的审定意见为准。</w:t>
      </w:r>
      <w:bookmarkStart w:id="323" w:name="_Toc27842"/>
    </w:p>
    <w:p>
      <w:pPr>
        <w:pStyle w:val="4"/>
        <w:keepNext w:val="0"/>
        <w:keepLines w:val="0"/>
        <w:pageBreakBefore w:val="0"/>
        <w:widowControl w:val="0"/>
        <w:kinsoku/>
        <w:wordWrap w:val="0"/>
        <w:overflowPunct/>
        <w:topLinePunct w:val="0"/>
        <w:autoSpaceDE/>
        <w:autoSpaceDN/>
        <w:bidi w:val="0"/>
        <w:adjustRightInd/>
        <w:snapToGrid/>
        <w:spacing w:before="0" w:beforeLines="0" w:after="0" w:afterLines="0" w:line="460" w:lineRule="exact"/>
        <w:ind w:left="0" w:leftChars="0" w:firstLine="421" w:firstLineChars="200"/>
        <w:jc w:val="both"/>
        <w:textAlignment w:val="baseline"/>
        <w:rPr>
          <w:rFonts w:hint="eastAsia" w:ascii="宋体" w:hAnsi="宋体" w:eastAsia="宋体" w:cs="宋体"/>
          <w:b/>
          <w:snapToGrid w:val="0"/>
          <w:color w:val="auto"/>
          <w:sz w:val="21"/>
          <w:szCs w:val="21"/>
          <w:highlight w:val="none"/>
        </w:rPr>
      </w:pPr>
      <w:bookmarkStart w:id="324" w:name="_Toc4693"/>
      <w:bookmarkStart w:id="325" w:name="_Toc15553"/>
      <w:bookmarkStart w:id="326" w:name="_Toc10637"/>
      <w:r>
        <w:rPr>
          <w:rFonts w:hint="eastAsia" w:ascii="宋体" w:hAnsi="宋体" w:eastAsia="宋体" w:cs="宋体"/>
          <w:b/>
          <w:snapToGrid w:val="0"/>
          <w:color w:val="auto"/>
          <w:sz w:val="21"/>
          <w:szCs w:val="21"/>
          <w:highlight w:val="none"/>
        </w:rPr>
        <w:t>3．工程付款办法</w:t>
      </w:r>
      <w:bookmarkEnd w:id="323"/>
      <w:bookmarkEnd w:id="324"/>
      <w:bookmarkEnd w:id="325"/>
      <w:bookmarkEnd w:id="326"/>
      <w:bookmarkStart w:id="327" w:name="_Hlt69669774"/>
      <w:bookmarkEnd w:id="327"/>
      <w:bookmarkStart w:id="328" w:name="_Hlt70150985"/>
      <w:bookmarkEnd w:id="328"/>
      <w:bookmarkStart w:id="329" w:name="_Hlt66593437"/>
      <w:bookmarkEnd w:id="329"/>
      <w:bookmarkStart w:id="330" w:name="_Hlt66591689"/>
      <w:bookmarkEnd w:id="330"/>
      <w:bookmarkStart w:id="331" w:name="_Hlt69700007"/>
      <w:bookmarkEnd w:id="331"/>
      <w:bookmarkStart w:id="332" w:name="_Hlt88976467"/>
      <w:bookmarkEnd w:id="332"/>
      <w:bookmarkStart w:id="333" w:name="_Hlt69114106"/>
      <w:bookmarkEnd w:id="333"/>
      <w:bookmarkStart w:id="334" w:name="_Hlt66608388"/>
      <w:bookmarkEnd w:id="334"/>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本招标项目</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rPr>
        <w:t xml:space="preserve">支付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施工预付款。</w:t>
      </w:r>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施工预付款必须专用于合同工程，并按以下原则支付和抵扣：</w:t>
      </w:r>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421" w:firstLineChars="200"/>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3.2.1</w:t>
      </w:r>
      <w:r>
        <w:rPr>
          <w:rFonts w:hint="eastAsia" w:ascii="宋体" w:hAnsi="宋体" w:eastAsia="宋体" w:cs="宋体"/>
          <w:snapToGrid w:val="0"/>
          <w:color w:val="auto"/>
          <w:kern w:val="0"/>
          <w:sz w:val="21"/>
          <w:szCs w:val="21"/>
          <w:highlight w:val="none"/>
        </w:rPr>
        <w:t xml:space="preserve"> 施工预付款支付比例为：按施工合同价（暂列金额</w:t>
      </w:r>
      <w:r>
        <w:rPr>
          <w:rFonts w:hint="eastAsia" w:hAnsi="宋体" w:cs="宋体"/>
          <w:snapToGrid w:val="0"/>
          <w:color w:val="auto"/>
          <w:kern w:val="0"/>
          <w:sz w:val="21"/>
          <w:szCs w:val="21"/>
          <w:highlight w:val="none"/>
          <w:lang w:eastAsia="zh-CN"/>
        </w:rPr>
        <w:t>、</w:t>
      </w:r>
      <w:r>
        <w:rPr>
          <w:rFonts w:hint="eastAsia" w:hAnsi="宋体"/>
          <w:snapToGrid w:val="0"/>
          <w:color w:val="auto"/>
          <w:kern w:val="0"/>
          <w:sz w:val="21"/>
          <w:szCs w:val="21"/>
          <w:highlight w:val="none"/>
        </w:rPr>
        <w:t>暂估价</w:t>
      </w:r>
      <w:r>
        <w:rPr>
          <w:rFonts w:hint="eastAsia" w:ascii="宋体" w:hAnsi="宋体" w:eastAsia="宋体" w:cs="宋体"/>
          <w:snapToGrid w:val="0"/>
          <w:color w:val="auto"/>
          <w:kern w:val="0"/>
          <w:sz w:val="21"/>
          <w:szCs w:val="21"/>
          <w:highlight w:val="none"/>
        </w:rPr>
        <w:t>除外）的</w:t>
      </w:r>
      <w:r>
        <w:rPr>
          <w:rFonts w:hint="eastAsia" w:ascii="宋体" w:hAnsi="宋体" w:eastAsia="宋体" w:cs="宋体"/>
          <w:b/>
          <w:bCs/>
          <w:snapToGrid w:val="0"/>
          <w:color w:val="auto"/>
          <w:kern w:val="0"/>
          <w:sz w:val="21"/>
          <w:szCs w:val="21"/>
          <w:highlight w:val="none"/>
          <w:u w:val="single"/>
        </w:rPr>
        <w:t xml:space="preserve"> </w:t>
      </w:r>
      <w:r>
        <w:rPr>
          <w:rFonts w:hint="eastAsia" w:hAnsi="宋体" w:cs="宋体"/>
          <w:b/>
          <w:bCs/>
          <w:snapToGrid w:val="0"/>
          <w:color w:val="auto"/>
          <w:kern w:val="0"/>
          <w:sz w:val="21"/>
          <w:szCs w:val="21"/>
          <w:highlight w:val="none"/>
          <w:u w:val="single"/>
          <w:lang w:val="en-US" w:eastAsia="zh-CN"/>
        </w:rPr>
        <w:t>3</w:t>
      </w:r>
      <w:r>
        <w:rPr>
          <w:rFonts w:hint="eastAsia" w:ascii="宋体" w:hAnsi="宋体" w:eastAsia="宋体" w:cs="宋体"/>
          <w:b/>
          <w:bCs/>
          <w:snapToGrid w:val="0"/>
          <w:color w:val="auto"/>
          <w:kern w:val="0"/>
          <w:sz w:val="21"/>
          <w:szCs w:val="21"/>
          <w:highlight w:val="none"/>
          <w:u w:val="single"/>
        </w:rPr>
        <w:t xml:space="preserve">0% </w:t>
      </w:r>
      <w:r>
        <w:rPr>
          <w:rFonts w:hint="eastAsia" w:ascii="宋体" w:hAnsi="宋体" w:eastAsia="宋体" w:cs="宋体"/>
          <w:snapToGrid w:val="0"/>
          <w:color w:val="auto"/>
          <w:kern w:val="0"/>
          <w:sz w:val="21"/>
          <w:szCs w:val="21"/>
          <w:highlight w:val="none"/>
        </w:rPr>
        <w:t>支付。</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视业主资金到位情况安排</w:t>
      </w:r>
      <w:r>
        <w:rPr>
          <w:rFonts w:hint="eastAsia" w:hAnsi="宋体" w:cs="宋体"/>
          <w:snapToGrid w:val="0"/>
          <w:color w:val="auto"/>
          <w:kern w:val="0"/>
          <w:sz w:val="21"/>
          <w:szCs w:val="21"/>
          <w:highlight w:val="none"/>
          <w:lang w:eastAsia="zh-CN"/>
        </w:rPr>
        <w:t>）。</w:t>
      </w:r>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421" w:firstLineChars="200"/>
        <w:textAlignment w:val="baseline"/>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3.2.2 </w:t>
      </w:r>
      <w:r>
        <w:rPr>
          <w:rFonts w:hint="eastAsia" w:ascii="宋体" w:hAnsi="宋体" w:eastAsia="宋体" w:cs="宋体"/>
          <w:snapToGrid w:val="0"/>
          <w:color w:val="auto"/>
          <w:kern w:val="0"/>
          <w:sz w:val="21"/>
          <w:szCs w:val="21"/>
          <w:highlight w:val="none"/>
        </w:rPr>
        <w:t>本招标项目</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rPr>
        <w:t>要求</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承包人提供与预付款等额的预付款保函。</w:t>
      </w:r>
    </w:p>
    <w:p>
      <w:pPr>
        <w:pStyle w:val="17"/>
        <w:keepNext w:val="0"/>
        <w:keepLines w:val="0"/>
        <w:pageBreakBefore w:val="0"/>
        <w:widowControl w:val="0"/>
        <w:kinsoku/>
        <w:overflowPunct/>
        <w:topLinePunct w:val="0"/>
        <w:autoSpaceDE/>
        <w:autoSpaceDN/>
        <w:bidi w:val="0"/>
        <w:adjustRightInd/>
        <w:snapToGrid/>
        <w:spacing w:before="0" w:beforeAutospacing="0" w:after="0" w:afterAutospacing="0" w:line="460" w:lineRule="exact"/>
        <w:ind w:left="0" w:leftChars="0" w:firstLine="421" w:firstLineChars="200"/>
        <w:textAlignment w:val="baseline"/>
        <w:rPr>
          <w:rFonts w:hint="eastAsia" w:ascii="宋体" w:hAnsi="宋体" w:eastAsia="宋体" w:cs="宋体"/>
          <w:b/>
          <w:snapToGrid w:val="0"/>
          <w:color w:val="auto"/>
          <w:sz w:val="21"/>
          <w:szCs w:val="21"/>
          <w:highlight w:val="none"/>
        </w:rPr>
      </w:pPr>
      <w:r>
        <w:rPr>
          <w:rFonts w:hint="eastAsia" w:ascii="宋体" w:hAnsi="宋体" w:eastAsia="宋体" w:cs="宋体"/>
          <w:b/>
          <w:bCs/>
          <w:snapToGrid w:val="0"/>
          <w:color w:val="auto"/>
          <w:sz w:val="21"/>
          <w:szCs w:val="21"/>
          <w:highlight w:val="none"/>
        </w:rPr>
        <w:t>3.2.3</w:t>
      </w:r>
      <w:r>
        <w:rPr>
          <w:rFonts w:hint="eastAsia" w:hAnsi="宋体" w:eastAsia="宋体" w:cs="宋体"/>
          <w:b/>
          <w:bCs/>
          <w:snapToGrid w:val="0"/>
          <w:color w:val="auto"/>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承包人应在签订合同后，</w:t>
      </w:r>
      <w:r>
        <w:rPr>
          <w:rFonts w:hint="eastAsia" w:ascii="宋体" w:hAnsi="宋体" w:eastAsia="宋体" w:cs="宋体"/>
          <w:b/>
          <w:bCs/>
          <w:snapToGrid w:val="0"/>
          <w:color w:val="auto"/>
          <w:kern w:val="0"/>
          <w:sz w:val="21"/>
          <w:szCs w:val="21"/>
          <w:highlight w:val="none"/>
        </w:rPr>
        <w:t>在提供符合要求的预付款保函或预付款保险及</w:t>
      </w:r>
      <w:r>
        <w:rPr>
          <w:rFonts w:hint="eastAsia" w:ascii="宋体" w:hAnsi="宋体" w:eastAsia="宋体" w:cs="宋体"/>
          <w:snapToGrid w:val="0"/>
          <w:color w:val="auto"/>
          <w:kern w:val="0"/>
          <w:sz w:val="21"/>
          <w:szCs w:val="21"/>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pPr>
        <w:keepNext w:val="0"/>
        <w:keepLines w:val="0"/>
        <w:pageBreakBefore w:val="0"/>
        <w:widowControl w:val="0"/>
        <w:kinsoku/>
        <w:wordWrap w:val="0"/>
        <w:overflowPunct/>
        <w:topLinePunct w:val="0"/>
        <w:autoSpaceDE/>
        <w:autoSpaceDN/>
        <w:bidi w:val="0"/>
        <w:adjustRightInd/>
        <w:snapToGrid/>
        <w:spacing w:line="460" w:lineRule="exact"/>
        <w:ind w:left="0" w:leftChars="0" w:firstLine="210" w:firstLineChars="1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 并承担违约责任。</w:t>
      </w:r>
    </w:p>
    <w:p>
      <w:pPr>
        <w:keepNext w:val="0"/>
        <w:keepLines w:val="0"/>
        <w:pageBreakBefore w:val="0"/>
        <w:widowControl w:val="0"/>
        <w:kinsoku/>
        <w:wordWrap w:val="0"/>
        <w:overflowPunct/>
        <w:topLinePunct w:val="0"/>
        <w:autoSpaceDE/>
        <w:autoSpaceDN/>
        <w:bidi w:val="0"/>
        <w:adjustRightInd/>
        <w:snapToGrid/>
        <w:spacing w:line="45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b/>
          <w:bCs/>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 xml:space="preserve"> 预付款应从每支付期应支付给承包人的工程进度款中扣回，每次扣回比例为应付进度款的</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0%。在工程款支付至80%时全部扣回预付款。</w:t>
      </w:r>
    </w:p>
    <w:p>
      <w:pPr>
        <w:keepNext w:val="0"/>
        <w:keepLines w:val="0"/>
        <w:pageBreakBefore w:val="0"/>
        <w:widowControl w:val="0"/>
        <w:kinsoku/>
        <w:wordWrap w:val="0"/>
        <w:overflowPunct/>
        <w:topLinePunct w:val="0"/>
        <w:autoSpaceDE/>
        <w:autoSpaceDN/>
        <w:bidi w:val="0"/>
        <w:adjustRightInd/>
        <w:snapToGrid/>
        <w:spacing w:line="45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施工过程中按</w:t>
      </w:r>
      <w:r>
        <w:rPr>
          <w:rFonts w:hint="eastAsia" w:hAnsi="宋体"/>
          <w:snapToGrid w:val="0"/>
          <w:color w:val="auto"/>
          <w:kern w:val="0"/>
          <w:sz w:val="21"/>
          <w:szCs w:val="21"/>
          <w:highlight w:val="none"/>
          <w:lang w:val="en-US" w:eastAsia="zh-CN"/>
        </w:rPr>
        <w:t>月</w:t>
      </w:r>
      <w:r>
        <w:rPr>
          <w:rFonts w:hint="eastAsia" w:ascii="宋体" w:hAnsi="宋体" w:eastAsia="宋体" w:cs="宋体"/>
          <w:snapToGrid w:val="0"/>
          <w:color w:val="auto"/>
          <w:kern w:val="0"/>
          <w:sz w:val="21"/>
          <w:szCs w:val="21"/>
          <w:highlight w:val="none"/>
        </w:rPr>
        <w:t>支付工程进度款：承包人每</w:t>
      </w:r>
      <w:r>
        <w:rPr>
          <w:rFonts w:hint="eastAsia" w:hAnsi="宋体" w:cs="宋体"/>
          <w:snapToGrid w:val="0"/>
          <w:color w:val="auto"/>
          <w:kern w:val="0"/>
          <w:sz w:val="21"/>
          <w:szCs w:val="21"/>
          <w:highlight w:val="none"/>
          <w:lang w:val="en-US" w:eastAsia="zh-CN"/>
        </w:rPr>
        <w:t>月</w:t>
      </w:r>
      <w:r>
        <w:rPr>
          <w:rFonts w:hint="eastAsia" w:ascii="宋体" w:hAnsi="宋体" w:eastAsia="宋体" w:cs="宋体"/>
          <w:snapToGrid w:val="0"/>
          <w:color w:val="auto"/>
          <w:kern w:val="0"/>
          <w:sz w:val="21"/>
          <w:szCs w:val="21"/>
          <w:highlight w:val="none"/>
        </w:rPr>
        <w:t>按工程实际完成工程量（含变更及增加工程</w:t>
      </w:r>
      <w:r>
        <w:rPr>
          <w:rFonts w:hint="eastAsia" w:hAnsi="宋体" w:eastAsia="宋体" w:cs="宋体"/>
          <w:snapToGrid w:val="0"/>
          <w:color w:val="auto"/>
          <w:kern w:val="0"/>
          <w:sz w:val="21"/>
          <w:szCs w:val="21"/>
          <w:highlight w:val="none"/>
          <w:lang w:val="en-US" w:eastAsia="zh-CN"/>
        </w:rPr>
        <w:t>量除外</w:t>
      </w:r>
      <w:r>
        <w:rPr>
          <w:rFonts w:hint="eastAsia" w:ascii="宋体" w:hAnsi="宋体" w:eastAsia="宋体" w:cs="宋体"/>
          <w:snapToGrid w:val="0"/>
          <w:color w:val="auto"/>
          <w:kern w:val="0"/>
          <w:sz w:val="21"/>
          <w:szCs w:val="21"/>
          <w:highlight w:val="none"/>
        </w:rPr>
        <w:t>）申报，承包人必须将《已完成工程量报表》和《工程付款申请书》于当月26日前报监理单位核</w:t>
      </w:r>
      <w:bookmarkStart w:id="335" w:name="_Hlt127094354"/>
      <w:bookmarkEnd w:id="335"/>
      <w:r>
        <w:rPr>
          <w:rFonts w:hint="eastAsia" w:ascii="宋体" w:hAnsi="宋体" w:eastAsia="宋体" w:cs="宋体"/>
          <w:snapToGrid w:val="0"/>
          <w:color w:val="auto"/>
          <w:kern w:val="0"/>
          <w:sz w:val="21"/>
          <w:szCs w:val="21"/>
          <w:highlight w:val="none"/>
        </w:rPr>
        <w:t>实。经监理单位审核、发包人审定后的工程进度款（指已经按照合同约定，扣除该支付期内因承包人违约而应扣除的管理费），于申报次月支付。</w:t>
      </w:r>
    </w:p>
    <w:p>
      <w:pPr>
        <w:keepNext w:val="0"/>
        <w:keepLines w:val="0"/>
        <w:pageBreakBefore w:val="0"/>
        <w:widowControl w:val="0"/>
        <w:kinsoku/>
        <w:wordWrap w:val="0"/>
        <w:overflowPunct/>
        <w:topLinePunct w:val="0"/>
        <w:autoSpaceDE/>
        <w:autoSpaceDN/>
        <w:bidi w:val="0"/>
        <w:adjustRightInd/>
        <w:snapToGrid/>
        <w:spacing w:line="450" w:lineRule="exact"/>
        <w:ind w:left="0" w:leftChars="0" w:firstLine="421" w:firstLineChars="200"/>
        <w:textAlignment w:val="baseline"/>
        <w:rPr>
          <w:rFonts w:hint="eastAsia"/>
          <w:b/>
          <w:bCs/>
          <w:color w:val="auto"/>
          <w:sz w:val="21"/>
          <w:szCs w:val="21"/>
          <w:highlight w:val="none"/>
          <w:lang w:val="en-US" w:eastAsia="zh-CN"/>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每月的工程进度款按工程实际完成工程量的 80% 申请支付，工程进度款中的作业工人工资款项由发包人单独足额拨付到承包人的工资专户。</w:t>
      </w:r>
      <w:r>
        <w:rPr>
          <w:rFonts w:hint="eastAsia"/>
          <w:b/>
          <w:bCs/>
          <w:color w:val="auto"/>
          <w:sz w:val="21"/>
          <w:szCs w:val="21"/>
          <w:highlight w:val="none"/>
          <w:lang w:val="en-US" w:eastAsia="zh-CN"/>
        </w:rPr>
        <w:t>支付总进度款不超合同总价的80%。</w:t>
      </w:r>
    </w:p>
    <w:p>
      <w:pPr>
        <w:keepNext w:val="0"/>
        <w:keepLines w:val="0"/>
        <w:pageBreakBefore w:val="0"/>
        <w:widowControl w:val="0"/>
        <w:kinsoku/>
        <w:wordWrap w:val="0"/>
        <w:overflowPunct/>
        <w:topLinePunct w:val="0"/>
        <w:autoSpaceDE/>
        <w:autoSpaceDN/>
        <w:bidi w:val="0"/>
        <w:adjustRightInd/>
        <w:snapToGrid/>
        <w:spacing w:line="450" w:lineRule="exact"/>
        <w:ind w:left="0" w:leftChars="0" w:firstLine="421" w:firstLineChars="200"/>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措施项目费中的“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”拨付按照</w:t>
      </w:r>
      <w:r>
        <w:rPr>
          <w:rFonts w:hint="eastAsia" w:ascii="宋体" w:hAnsi="宋体" w:eastAsia="宋体" w:cs="宋体"/>
          <w:snapToGrid w:val="0"/>
          <w:color w:val="auto"/>
          <w:kern w:val="0"/>
          <w:sz w:val="21"/>
          <w:szCs w:val="21"/>
          <w:highlight w:val="none"/>
          <w:lang w:eastAsia="zh-CN"/>
        </w:rPr>
        <w:t>《建设工程工程量清单计价规范》（GB</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T50500-2024）执行，按照项目所在地的建设行政主管部门有关规定支付。发生一般事故及以上等级重大安全事故的，发包人可扣除承包人金额相当于所有“安全生产措施费”的工程管理费。</w:t>
      </w:r>
    </w:p>
    <w:p>
      <w:pPr>
        <w:keepNext w:val="0"/>
        <w:keepLines w:val="0"/>
        <w:pageBreakBefore w:val="0"/>
        <w:widowControl w:val="0"/>
        <w:kinsoku/>
        <w:wordWrap w:val="0"/>
        <w:overflowPunct/>
        <w:topLinePunct w:val="0"/>
        <w:autoSpaceDE/>
        <w:autoSpaceDN/>
        <w:bidi w:val="0"/>
        <w:adjustRightInd/>
        <w:snapToGrid/>
        <w:spacing w:line="45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3.6</w:t>
      </w:r>
      <w:r>
        <w:rPr>
          <w:rFonts w:hint="eastAsia" w:ascii="宋体" w:hAnsi="宋体" w:eastAsia="宋体" w:cs="宋体"/>
          <w:snapToGrid w:val="0"/>
          <w:color w:val="auto"/>
          <w:kern w:val="0"/>
          <w:sz w:val="21"/>
          <w:szCs w:val="21"/>
          <w:highlight w:val="none"/>
        </w:rPr>
        <w:t xml:space="preserve"> 变更工程造价必须经监理单位核实，并经发包人核定后方可支付。</w:t>
      </w:r>
    </w:p>
    <w:p>
      <w:pPr>
        <w:keepNext w:val="0"/>
        <w:keepLines w:val="0"/>
        <w:pageBreakBefore w:val="0"/>
        <w:widowControl w:val="0"/>
        <w:kinsoku/>
        <w:wordWrap w:val="0"/>
        <w:overflowPunct/>
        <w:topLinePunct w:val="0"/>
        <w:autoSpaceDE/>
        <w:autoSpaceDN/>
        <w:bidi w:val="0"/>
        <w:adjustRightInd/>
        <w:snapToGrid/>
        <w:spacing w:line="450" w:lineRule="exact"/>
        <w:ind w:left="0" w:leftChars="0" w:firstLine="421" w:firstLineChars="200"/>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 xml:space="preserve">3.7 </w:t>
      </w:r>
      <w:r>
        <w:rPr>
          <w:rFonts w:hint="eastAsia" w:ascii="宋体" w:hAnsi="宋体" w:eastAsia="宋体" w:cs="宋体"/>
          <w:snapToGrid w:val="0"/>
          <w:color w:val="auto"/>
          <w:kern w:val="0"/>
          <w:sz w:val="21"/>
          <w:szCs w:val="21"/>
          <w:highlight w:val="none"/>
          <w:lang w:val="en-US" w:eastAsia="zh-CN"/>
        </w:rPr>
        <w:t>结算审核完成后，于次月支付至合同价格的97%，剩余3%转为质量保证金；承包人提交了等额质量保证担保或质量保证保险的，于次月一次性结清</w:t>
      </w:r>
      <w:r>
        <w:rPr>
          <w:rFonts w:hint="eastAsia" w:hAnsi="宋体" w:cs="宋体"/>
          <w:snapToGrid w:val="0"/>
          <w:color w:val="auto"/>
          <w:kern w:val="0"/>
          <w:sz w:val="21"/>
          <w:szCs w:val="21"/>
          <w:highlight w:val="none"/>
          <w:lang w:val="en-US" w:eastAsia="zh-CN"/>
        </w:rPr>
        <w:t>审定总造价</w:t>
      </w:r>
      <w:r>
        <w:rPr>
          <w:rFonts w:hint="eastAsia" w:ascii="宋体" w:hAnsi="宋体" w:eastAsia="宋体" w:cs="宋体"/>
          <w:snapToGrid w:val="0"/>
          <w:color w:val="auto"/>
          <w:kern w:val="0"/>
          <w:sz w:val="21"/>
          <w:szCs w:val="21"/>
          <w:highlight w:val="none"/>
          <w:lang w:val="en-US" w:eastAsia="zh-CN"/>
        </w:rPr>
        <w:t>。</w:t>
      </w:r>
    </w:p>
    <w:p>
      <w:pPr>
        <w:keepNext w:val="0"/>
        <w:keepLines w:val="0"/>
        <w:pageBreakBefore w:val="0"/>
        <w:widowControl w:val="0"/>
        <w:kinsoku/>
        <w:wordWrap w:val="0"/>
        <w:overflowPunct/>
        <w:topLinePunct w:val="0"/>
        <w:autoSpaceDE/>
        <w:autoSpaceDN/>
        <w:bidi w:val="0"/>
        <w:adjustRightInd/>
        <w:snapToGrid/>
        <w:spacing w:line="45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3.8</w:t>
      </w:r>
      <w:r>
        <w:rPr>
          <w:rFonts w:hint="eastAsia" w:ascii="宋体" w:hAnsi="宋体" w:eastAsia="宋体" w:cs="宋体"/>
          <w:snapToGrid w:val="0"/>
          <w:color w:val="auto"/>
          <w:kern w:val="0"/>
          <w:sz w:val="21"/>
          <w:szCs w:val="21"/>
          <w:highlight w:val="none"/>
        </w:rPr>
        <w:t xml:space="preserve"> 本招标项目缺陷责任</w:t>
      </w:r>
      <w:r>
        <w:rPr>
          <w:rFonts w:hint="eastAsia" w:ascii="宋体" w:hAnsi="宋体" w:eastAsia="宋体" w:cs="宋体"/>
          <w:b/>
          <w:bCs/>
          <w:snapToGrid w:val="0"/>
          <w:color w:val="auto"/>
          <w:kern w:val="0"/>
          <w:sz w:val="21"/>
          <w:szCs w:val="21"/>
          <w:highlight w:val="none"/>
        </w:rPr>
        <w:t>期为</w:t>
      </w:r>
      <w:r>
        <w:rPr>
          <w:rFonts w:hint="eastAsia" w:ascii="宋体" w:hAnsi="宋体" w:eastAsia="宋体" w:cs="宋体"/>
          <w:b/>
          <w:bCs/>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lang w:val="en-US" w:eastAsia="zh-CN"/>
        </w:rPr>
        <w:t>2</w:t>
      </w:r>
      <w:r>
        <w:rPr>
          <w:rFonts w:hint="eastAsia" w:ascii="宋体" w:hAnsi="宋体" w:eastAsia="宋体" w:cs="宋体"/>
          <w:b/>
          <w:bCs/>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rPr>
        <w:t>自通过竣工验收之日起计）。缺陷责任期到期后，承包人向发包人申请退还质量保证。发包人收到退还申请后，于14天内会同承包人进行核实。经双方核实且均无异议后，发包人在核实之日起 14 天内将应返保证金（或银行保函）</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不计息）</w:t>
      </w:r>
      <w:r>
        <w:rPr>
          <w:rFonts w:hint="eastAsia" w:ascii="宋体" w:hAnsi="宋体" w:eastAsia="宋体" w:cs="宋体"/>
          <w:snapToGrid w:val="0"/>
          <w:color w:val="auto"/>
          <w:kern w:val="0"/>
          <w:sz w:val="21"/>
          <w:szCs w:val="21"/>
          <w:highlight w:val="none"/>
        </w:rPr>
        <w:t>退还承包人。</w:t>
      </w:r>
    </w:p>
    <w:p>
      <w:pPr>
        <w:keepNext w:val="0"/>
        <w:keepLines w:val="0"/>
        <w:pageBreakBefore w:val="0"/>
        <w:widowControl w:val="0"/>
        <w:kinsoku/>
        <w:wordWrap w:val="0"/>
        <w:overflowPunct/>
        <w:topLinePunct w:val="0"/>
        <w:autoSpaceDE/>
        <w:autoSpaceDN/>
        <w:bidi w:val="0"/>
        <w:adjustRightInd/>
        <w:snapToGrid/>
        <w:spacing w:line="450" w:lineRule="exact"/>
        <w:ind w:left="0" w:leftChars="0" w:firstLine="421"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3.9</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发包人每次支付工程款前，承包人均应提供有效的增值税专用发票。如果承包人无法提供符合要求的发票，由此造成的相应损失由承包人承担。</w:t>
      </w:r>
    </w:p>
    <w:p>
      <w:pPr>
        <w:keepNext w:val="0"/>
        <w:keepLines w:val="0"/>
        <w:pageBreakBefore w:val="0"/>
        <w:widowControl w:val="0"/>
        <w:kinsoku/>
        <w:wordWrap w:val="0"/>
        <w:overflowPunct/>
        <w:topLinePunct w:val="0"/>
        <w:autoSpaceDE/>
        <w:autoSpaceDN/>
        <w:bidi w:val="0"/>
        <w:adjustRightInd/>
        <w:snapToGrid/>
        <w:spacing w:line="450" w:lineRule="exact"/>
        <w:ind w:left="0" w:leftChars="0" w:firstLine="421" w:firstLineChars="200"/>
        <w:textAlignment w:val="baseline"/>
        <w:rPr>
          <w:rFonts w:hint="eastAsia" w:ascii="宋体" w:hAnsi="宋体" w:eastAsia="宋体" w:cs="宋体"/>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rPr>
        <w:t>3.10</w:t>
      </w:r>
      <w:r>
        <w:rPr>
          <w:rFonts w:hint="eastAsia" w:ascii="宋体" w:hAnsi="宋体" w:eastAsia="宋体" w:cs="宋体"/>
          <w:snapToGrid w:val="0"/>
          <w:color w:val="auto"/>
          <w:kern w:val="0"/>
          <w:sz w:val="21"/>
          <w:szCs w:val="21"/>
          <w:highlight w:val="none"/>
        </w:rPr>
        <w:t xml:space="preserve"> 暂列金额支付方式：</w:t>
      </w:r>
      <w:r>
        <w:rPr>
          <w:rFonts w:hint="eastAsia" w:ascii="宋体" w:hAnsi="宋体" w:eastAsia="宋体" w:cs="宋体"/>
          <w:snapToGrid w:val="0"/>
          <w:color w:val="auto"/>
          <w:kern w:val="0"/>
          <w:sz w:val="21"/>
          <w:szCs w:val="21"/>
          <w:highlight w:val="none"/>
          <w:u w:val="single"/>
        </w:rPr>
        <w:t>暂列金额按实际发生</w:t>
      </w:r>
      <w:r>
        <w:rPr>
          <w:rFonts w:hint="eastAsia" w:hAnsi="宋体" w:cs="宋体"/>
          <w:snapToGrid w:val="0"/>
          <w:color w:val="auto"/>
          <w:kern w:val="0"/>
          <w:sz w:val="21"/>
          <w:szCs w:val="21"/>
          <w:highlight w:val="none"/>
          <w:u w:val="single"/>
          <w:lang w:val="en-US" w:eastAsia="zh-CN"/>
        </w:rPr>
        <w:t>经</w:t>
      </w:r>
      <w:r>
        <w:rPr>
          <w:rFonts w:hint="eastAsia" w:hAnsi="宋体" w:cs="宋体"/>
          <w:snapToGrid w:val="0"/>
          <w:color w:val="auto"/>
          <w:kern w:val="0"/>
          <w:sz w:val="21"/>
          <w:szCs w:val="21"/>
          <w:highlight w:val="none"/>
          <w:u w:val="single"/>
          <w:lang w:eastAsia="zh-CN"/>
        </w:rPr>
        <w:t>韶关市始兴县</w:t>
      </w:r>
      <w:r>
        <w:rPr>
          <w:rFonts w:hint="eastAsia" w:ascii="宋体" w:hAnsi="宋体" w:eastAsia="宋体" w:cs="宋体"/>
          <w:snapToGrid w:val="0"/>
          <w:color w:val="auto"/>
          <w:kern w:val="0"/>
          <w:sz w:val="21"/>
          <w:szCs w:val="21"/>
          <w:highlight w:val="none"/>
          <w:u w:val="single"/>
        </w:rPr>
        <w:t>财政投资评审中心完成结算审核后支付至审定造价的97%，剩余3%为工程质量保修金。</w:t>
      </w:r>
    </w:p>
    <w:p>
      <w:pPr>
        <w:wordWrap w:val="0"/>
        <w:spacing w:line="450" w:lineRule="exact"/>
        <w:ind w:firstLine="421" w:firstLineChars="200"/>
        <w:rPr>
          <w:rStyle w:val="25"/>
          <w:rFonts w:hint="eastAsia" w:ascii="宋体" w:hAnsi="宋体" w:eastAsia="宋体" w:cs="宋体"/>
          <w:b/>
          <w:bCs/>
          <w:color w:val="auto"/>
          <w:sz w:val="21"/>
          <w:szCs w:val="21"/>
          <w:highlight w:val="none"/>
        </w:rPr>
      </w:pPr>
      <w:bookmarkStart w:id="336" w:name="_Toc2676"/>
      <w:bookmarkStart w:id="337" w:name="_Toc9925"/>
      <w:r>
        <w:rPr>
          <w:rFonts w:hint="eastAsia" w:ascii="宋体" w:hAnsi="宋体" w:eastAsia="宋体" w:cs="宋体"/>
          <w:b/>
          <w:snapToGrid w:val="0"/>
          <w:color w:val="auto"/>
          <w:kern w:val="0"/>
          <w:sz w:val="21"/>
          <w:szCs w:val="21"/>
          <w:highlight w:val="none"/>
        </w:rPr>
        <w:t xml:space="preserve">3.11 </w:t>
      </w:r>
      <w:r>
        <w:rPr>
          <w:rFonts w:hint="eastAsia" w:ascii="宋体" w:hAnsi="宋体" w:eastAsia="宋体" w:cs="宋体"/>
          <w:snapToGrid w:val="0"/>
          <w:color w:val="auto"/>
          <w:kern w:val="0"/>
          <w:sz w:val="21"/>
          <w:szCs w:val="21"/>
          <w:highlight w:val="none"/>
        </w:rPr>
        <w:t>材料暂估价、专业工程暂估价支付方式：</w:t>
      </w:r>
      <w:bookmarkEnd w:id="336"/>
      <w:bookmarkEnd w:id="337"/>
      <w:r>
        <w:rPr>
          <w:rFonts w:hint="eastAsia" w:hAnsi="宋体"/>
          <w:snapToGrid w:val="0"/>
          <w:color w:val="auto"/>
          <w:sz w:val="21"/>
          <w:szCs w:val="21"/>
          <w:highlight w:val="none"/>
          <w:u w:val="single"/>
        </w:rPr>
        <w:t>材料暂估价、专业工程暂估价</w:t>
      </w:r>
      <w:r>
        <w:rPr>
          <w:rFonts w:hint="eastAsia" w:ascii="宋体" w:hAnsi="宋体" w:eastAsia="宋体" w:cs="宋体"/>
          <w:snapToGrid w:val="0"/>
          <w:color w:val="auto"/>
          <w:kern w:val="0"/>
          <w:sz w:val="21"/>
          <w:szCs w:val="21"/>
          <w:highlight w:val="none"/>
          <w:u w:val="single"/>
        </w:rPr>
        <w:t>按实际发生</w:t>
      </w:r>
      <w:r>
        <w:rPr>
          <w:rFonts w:hint="eastAsia" w:hAnsi="宋体" w:cs="宋体"/>
          <w:snapToGrid w:val="0"/>
          <w:color w:val="auto"/>
          <w:kern w:val="0"/>
          <w:sz w:val="21"/>
          <w:szCs w:val="21"/>
          <w:highlight w:val="none"/>
          <w:u w:val="single"/>
          <w:lang w:val="en-US" w:eastAsia="zh-CN"/>
        </w:rPr>
        <w:t>经</w:t>
      </w:r>
      <w:r>
        <w:rPr>
          <w:rFonts w:hint="eastAsia" w:hAnsi="宋体" w:cs="宋体"/>
          <w:snapToGrid w:val="0"/>
          <w:color w:val="auto"/>
          <w:kern w:val="0"/>
          <w:sz w:val="21"/>
          <w:szCs w:val="21"/>
          <w:highlight w:val="none"/>
          <w:u w:val="single"/>
          <w:lang w:eastAsia="zh-CN"/>
        </w:rPr>
        <w:t>韶关市始兴县</w:t>
      </w:r>
      <w:r>
        <w:rPr>
          <w:rFonts w:hint="eastAsia" w:ascii="宋体" w:hAnsi="宋体" w:eastAsia="宋体" w:cs="宋体"/>
          <w:snapToGrid w:val="0"/>
          <w:color w:val="auto"/>
          <w:kern w:val="0"/>
          <w:sz w:val="21"/>
          <w:szCs w:val="21"/>
          <w:highlight w:val="none"/>
          <w:u w:val="single"/>
        </w:rPr>
        <w:t>财政投资评审中心完成结算审核后支付至审定造价的97%，剩余3%为工程质量保修金。</w:t>
      </w:r>
      <w:bookmarkStart w:id="338" w:name="_Toc21828"/>
      <w:bookmarkStart w:id="339" w:name="_Toc18877"/>
    </w:p>
    <w:p>
      <w:pPr>
        <w:pStyle w:val="28"/>
        <w:keepNext w:val="0"/>
        <w:keepLines w:val="0"/>
        <w:pageBreakBefore w:val="0"/>
        <w:widowControl w:val="0"/>
        <w:kinsoku/>
        <w:overflowPunct/>
        <w:topLinePunct w:val="0"/>
        <w:autoSpaceDE/>
        <w:autoSpaceDN/>
        <w:bidi w:val="0"/>
        <w:adjustRightInd/>
        <w:snapToGrid/>
        <w:spacing w:line="450" w:lineRule="exact"/>
        <w:ind w:left="0" w:leftChars="0" w:firstLine="421" w:firstLineChars="200"/>
        <w:jc w:val="both"/>
        <w:textAlignment w:val="baseline"/>
        <w:outlineLvl w:val="1"/>
        <w:rPr>
          <w:rFonts w:hint="eastAsia" w:ascii="宋体" w:hAnsi="宋体" w:eastAsia="宋体" w:cs="宋体"/>
          <w:b/>
          <w:snapToGrid w:val="0"/>
          <w:color w:val="auto"/>
          <w:sz w:val="21"/>
          <w:szCs w:val="21"/>
          <w:highlight w:val="none"/>
        </w:rPr>
      </w:pPr>
      <w:bookmarkStart w:id="340" w:name="_Toc21687"/>
      <w:bookmarkStart w:id="341" w:name="_Toc14042"/>
      <w:bookmarkStart w:id="342" w:name="_Toc3037"/>
      <w:r>
        <w:rPr>
          <w:rStyle w:val="25"/>
          <w:rFonts w:hint="eastAsia" w:ascii="宋体" w:hAnsi="宋体" w:eastAsia="宋体" w:cs="宋体"/>
          <w:b/>
          <w:bCs/>
          <w:color w:val="auto"/>
          <w:sz w:val="21"/>
          <w:szCs w:val="21"/>
          <w:highlight w:val="none"/>
        </w:rPr>
        <w:t>4．</w:t>
      </w:r>
      <w:r>
        <w:rPr>
          <w:rStyle w:val="25"/>
          <w:rFonts w:hint="eastAsia" w:hAnsi="宋体" w:eastAsia="宋体" w:cs="宋体"/>
          <w:b/>
          <w:bCs/>
          <w:color w:val="auto"/>
          <w:sz w:val="21"/>
          <w:szCs w:val="21"/>
          <w:highlight w:val="none"/>
          <w:lang w:val="en-US" w:eastAsia="zh-CN"/>
        </w:rPr>
        <w:t>其他</w:t>
      </w:r>
      <w:r>
        <w:rPr>
          <w:rStyle w:val="25"/>
          <w:rFonts w:hint="eastAsia" w:ascii="宋体" w:hAnsi="宋体" w:eastAsia="宋体" w:cs="宋体"/>
          <w:b/>
          <w:bCs/>
          <w:color w:val="auto"/>
          <w:sz w:val="21"/>
          <w:szCs w:val="21"/>
          <w:highlight w:val="none"/>
        </w:rPr>
        <w:t>专用合同条款</w:t>
      </w:r>
      <w:bookmarkEnd w:id="338"/>
      <w:r>
        <w:rPr>
          <w:rStyle w:val="25"/>
          <w:rFonts w:hint="eastAsia" w:hAnsi="宋体" w:cs="宋体"/>
          <w:b/>
          <w:bCs/>
          <w:color w:val="auto"/>
          <w:sz w:val="21"/>
          <w:szCs w:val="21"/>
          <w:highlight w:val="none"/>
          <w:lang w:eastAsia="zh-CN"/>
        </w:rPr>
        <w:t>：由招标人根据本工程实际情况和地方政策与中标人自行协商签定相关专用合同条款。</w:t>
      </w:r>
      <w:bookmarkEnd w:id="340"/>
      <w:bookmarkEnd w:id="341"/>
      <w:bookmarkEnd w:id="342"/>
      <w:bookmarkStart w:id="343" w:name="_Toc8254"/>
      <w:bookmarkStart w:id="344" w:name="_Toc16839"/>
    </w:p>
    <w:p>
      <w:pPr>
        <w:keepNext w:val="0"/>
        <w:keepLines w:val="0"/>
        <w:pageBreakBefore w:val="0"/>
        <w:widowControl w:val="0"/>
        <w:kinsoku/>
        <w:overflowPunct/>
        <w:topLinePunct w:val="0"/>
        <w:autoSpaceDE/>
        <w:autoSpaceDN/>
        <w:bidi w:val="0"/>
        <w:adjustRightInd/>
        <w:snapToGrid/>
        <w:spacing w:line="450" w:lineRule="exact"/>
        <w:ind w:firstLine="421" w:firstLineChars="200"/>
        <w:outlineLvl w:val="1"/>
        <w:rPr>
          <w:rStyle w:val="25"/>
          <w:rFonts w:hint="eastAsia" w:ascii="宋体" w:hAnsi="宋体" w:eastAsia="宋体" w:cs="宋体"/>
          <w:color w:val="auto"/>
          <w:kern w:val="0"/>
          <w:sz w:val="21"/>
          <w:szCs w:val="21"/>
          <w:highlight w:val="none"/>
        </w:rPr>
      </w:pPr>
      <w:bookmarkStart w:id="345" w:name="_Toc28375"/>
      <w:bookmarkStart w:id="346" w:name="_Toc16933"/>
      <w:bookmarkStart w:id="347" w:name="_Toc2449"/>
      <w:r>
        <w:rPr>
          <w:rStyle w:val="25"/>
          <w:rFonts w:hint="eastAsia" w:ascii="宋体" w:hAnsi="宋体" w:eastAsia="宋体" w:cs="宋体"/>
          <w:b/>
          <w:bCs/>
          <w:color w:val="auto"/>
          <w:kern w:val="0"/>
          <w:sz w:val="21"/>
          <w:szCs w:val="21"/>
          <w:highlight w:val="none"/>
          <w:lang w:val="en-US" w:eastAsia="zh-CN"/>
        </w:rPr>
        <w:t>5</w:t>
      </w:r>
      <w:r>
        <w:rPr>
          <w:rStyle w:val="25"/>
          <w:rFonts w:hint="eastAsia" w:ascii="宋体" w:hAnsi="宋体" w:eastAsia="宋体" w:cs="宋体"/>
          <w:b/>
          <w:bCs/>
          <w:color w:val="auto"/>
          <w:kern w:val="0"/>
          <w:sz w:val="21"/>
          <w:szCs w:val="21"/>
          <w:highlight w:val="none"/>
        </w:rPr>
        <w:t>．专业工程分包</w:t>
      </w:r>
      <w:bookmarkEnd w:id="345"/>
      <w:bookmarkEnd w:id="346"/>
      <w:bookmarkEnd w:id="347"/>
    </w:p>
    <w:p>
      <w:pPr>
        <w:keepNext w:val="0"/>
        <w:keepLines w:val="0"/>
        <w:pageBreakBefore w:val="0"/>
        <w:widowControl w:val="0"/>
        <w:kinsoku/>
        <w:overflowPunct/>
        <w:topLinePunct w:val="0"/>
        <w:autoSpaceDE/>
        <w:autoSpaceDN/>
        <w:bidi w:val="0"/>
        <w:adjustRightInd/>
        <w:snapToGrid/>
        <w:spacing w:line="45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pPr>
        <w:keepNext w:val="0"/>
        <w:keepLines w:val="0"/>
        <w:pageBreakBefore w:val="0"/>
        <w:widowControl w:val="0"/>
        <w:kinsoku/>
        <w:overflowPunct/>
        <w:topLinePunct w:val="0"/>
        <w:autoSpaceDE/>
        <w:autoSpaceDN/>
        <w:bidi w:val="0"/>
        <w:adjustRightInd/>
        <w:snapToGrid/>
        <w:spacing w:line="430" w:lineRule="exact"/>
        <w:ind w:firstLine="420" w:firstLineChars="200"/>
        <w:rPr>
          <w:rStyle w:val="25"/>
          <w:rFonts w:hint="eastAsia" w:ascii="宋体" w:hAnsi="宋体" w:eastAsia="宋体" w:cs="宋体"/>
          <w:color w:val="auto"/>
          <w:sz w:val="21"/>
          <w:szCs w:val="21"/>
          <w:highlight w:val="none"/>
        </w:rPr>
      </w:pPr>
    </w:p>
    <w:p>
      <w:pPr>
        <w:keepNext w:val="0"/>
        <w:keepLines w:val="0"/>
        <w:pageBreakBefore w:val="0"/>
        <w:widowControl w:val="0"/>
        <w:kinsoku/>
        <w:overflowPunct/>
        <w:topLinePunct w:val="0"/>
        <w:autoSpaceDE/>
        <w:autoSpaceDN/>
        <w:bidi w:val="0"/>
        <w:adjustRightInd/>
        <w:snapToGrid/>
        <w:spacing w:line="430" w:lineRule="exact"/>
        <w:ind w:firstLine="421" w:firstLineChars="200"/>
        <w:outlineLvl w:val="1"/>
        <w:rPr>
          <w:rStyle w:val="25"/>
          <w:rFonts w:hint="eastAsia" w:ascii="宋体" w:hAnsi="宋体" w:eastAsia="宋体" w:cs="宋体"/>
          <w:b/>
          <w:bCs/>
          <w:color w:val="auto"/>
          <w:kern w:val="0"/>
          <w:sz w:val="21"/>
          <w:szCs w:val="21"/>
          <w:highlight w:val="none"/>
        </w:rPr>
      </w:pPr>
      <w:bookmarkStart w:id="348" w:name="_Toc29166"/>
      <w:bookmarkStart w:id="349" w:name="_Toc25011"/>
      <w:bookmarkStart w:id="350" w:name="_Toc7833"/>
      <w:bookmarkStart w:id="351" w:name="_Toc8492"/>
      <w:r>
        <w:rPr>
          <w:rStyle w:val="25"/>
          <w:rFonts w:hint="eastAsia" w:ascii="宋体" w:hAnsi="宋体" w:eastAsia="宋体" w:cs="宋体"/>
          <w:b/>
          <w:bCs/>
          <w:color w:val="auto"/>
          <w:kern w:val="0"/>
          <w:sz w:val="21"/>
          <w:szCs w:val="21"/>
          <w:highlight w:val="none"/>
          <w:lang w:val="en-US" w:eastAsia="zh-CN"/>
        </w:rPr>
        <w:t>6</w:t>
      </w:r>
      <w:r>
        <w:rPr>
          <w:rStyle w:val="25"/>
          <w:rFonts w:hint="eastAsia" w:ascii="宋体" w:hAnsi="宋体" w:eastAsia="宋体" w:cs="宋体"/>
          <w:b/>
          <w:bCs/>
          <w:color w:val="auto"/>
          <w:kern w:val="0"/>
          <w:sz w:val="21"/>
          <w:szCs w:val="21"/>
          <w:highlight w:val="none"/>
        </w:rPr>
        <w:t>．工人工资</w:t>
      </w:r>
      <w:bookmarkEnd w:id="348"/>
      <w:bookmarkEnd w:id="349"/>
      <w:bookmarkEnd w:id="350"/>
      <w:bookmarkEnd w:id="351"/>
    </w:p>
    <w:p>
      <w:pPr>
        <w:keepNext w:val="0"/>
        <w:keepLines w:val="0"/>
        <w:pageBreakBefore w:val="0"/>
        <w:widowControl w:val="0"/>
        <w:kinsoku/>
        <w:wordWrap w:val="0"/>
        <w:overflowPunct/>
        <w:topLinePunct w:val="0"/>
        <w:autoSpaceDE/>
        <w:autoSpaceDN/>
        <w:bidi w:val="0"/>
        <w:adjustRightInd/>
        <w:snapToGrid/>
        <w:spacing w:line="430" w:lineRule="exact"/>
        <w:ind w:firstLine="421" w:firstLineChars="200"/>
        <w:jc w:val="left"/>
        <w:rPr>
          <w:rStyle w:val="25"/>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shd w:val="clear" w:color="auto" w:fill="FFFFFF"/>
          <w:lang w:val="en-US" w:eastAsia="zh-CN"/>
        </w:rPr>
        <w:t>6</w:t>
      </w:r>
      <w:r>
        <w:rPr>
          <w:rStyle w:val="25"/>
          <w:rFonts w:hint="eastAsia" w:ascii="宋体" w:hAnsi="宋体" w:eastAsia="宋体" w:cs="宋体"/>
          <w:b/>
          <w:bCs/>
          <w:color w:val="auto"/>
          <w:sz w:val="21"/>
          <w:szCs w:val="21"/>
          <w:highlight w:val="none"/>
        </w:rPr>
        <w:t>.1</w:t>
      </w:r>
      <w:r>
        <w:rPr>
          <w:rStyle w:val="25"/>
          <w:rFonts w:hint="eastAsia" w:hAnsi="宋体" w:cs="宋体"/>
          <w:b/>
          <w:bCs/>
          <w:color w:val="auto"/>
          <w:sz w:val="21"/>
          <w:szCs w:val="21"/>
          <w:highlight w:val="none"/>
          <w:lang w:val="en-US" w:eastAsia="zh-CN"/>
        </w:rPr>
        <w:t xml:space="preserve"> </w:t>
      </w:r>
      <w:r>
        <w:rPr>
          <w:rStyle w:val="25"/>
          <w:rFonts w:hAnsi="宋体"/>
          <w:b/>
          <w:bCs/>
          <w:color w:val="auto"/>
          <w:sz w:val="21"/>
          <w:szCs w:val="21"/>
          <w:highlight w:val="none"/>
        </w:rPr>
        <w:t>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pPr>
        <w:keepNext w:val="0"/>
        <w:keepLines w:val="0"/>
        <w:pageBreakBefore w:val="0"/>
        <w:widowControl w:val="0"/>
        <w:kinsoku/>
        <w:wordWrap w:val="0"/>
        <w:overflowPunct/>
        <w:topLinePunct w:val="0"/>
        <w:autoSpaceDE/>
        <w:autoSpaceDN/>
        <w:bidi w:val="0"/>
        <w:adjustRightInd/>
        <w:snapToGrid/>
        <w:spacing w:line="430" w:lineRule="exact"/>
        <w:ind w:firstLine="420" w:firstLineChars="200"/>
        <w:jc w:val="left"/>
        <w:rPr>
          <w:rStyle w:val="25"/>
          <w:rFonts w:hint="eastAsia" w:ascii="宋体" w:hAnsi="宋体" w:eastAsia="宋体" w:cs="宋体"/>
          <w:b w:val="0"/>
          <w:bCs w:val="0"/>
          <w:color w:val="auto"/>
          <w:kern w:val="0"/>
          <w:sz w:val="21"/>
          <w:szCs w:val="21"/>
          <w:highlight w:val="none"/>
          <w:lang w:val="en-US" w:eastAsia="zh-CN" w:bidi="ar-SA"/>
        </w:rPr>
      </w:pPr>
      <w:r>
        <w:rPr>
          <w:rStyle w:val="25"/>
          <w:rFonts w:hint="eastAsia" w:hAnsi="宋体" w:cs="宋体"/>
          <w:b w:val="0"/>
          <w:bCs w:val="0"/>
          <w:color w:val="auto"/>
          <w:kern w:val="0"/>
          <w:sz w:val="21"/>
          <w:szCs w:val="21"/>
          <w:highlight w:val="none"/>
          <w:lang w:val="en-US" w:eastAsia="zh-CN" w:bidi="ar-SA"/>
        </w:rPr>
        <w:t xml:space="preserve">6.2 </w:t>
      </w:r>
      <w:r>
        <w:rPr>
          <w:rStyle w:val="25"/>
          <w:rFonts w:hint="eastAsia" w:ascii="宋体" w:hAnsi="宋体" w:eastAsia="宋体" w:cs="宋体"/>
          <w:b w:val="0"/>
          <w:bCs w:val="0"/>
          <w:color w:val="auto"/>
          <w:kern w:val="0"/>
          <w:sz w:val="21"/>
          <w:szCs w:val="21"/>
          <w:highlight w:val="none"/>
          <w:lang w:val="en-US" w:eastAsia="zh-CN" w:bidi="ar-SA"/>
        </w:rPr>
        <w:t>依据人力资源社会保障部等十部门印发的《工程建设领域农民工工资专用账户管理暂行办法》（韶人社规【2023】2号）文件规定，中标人中标后，须到银行设立工人工资支付专用账户，用于支付工人工资。发包人支付工程款时，将按工程款（不含工人工资）和工人工资两部分分开支付，工人工资支付至专用账户。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pPr>
        <w:pStyle w:val="39"/>
        <w:keepNext w:val="0"/>
        <w:keepLines w:val="0"/>
        <w:pageBreakBefore w:val="0"/>
        <w:widowControl w:val="0"/>
        <w:kinsoku/>
        <w:overflowPunct/>
        <w:topLinePunct w:val="0"/>
        <w:autoSpaceDE/>
        <w:autoSpaceDN/>
        <w:bidi w:val="0"/>
        <w:adjustRightInd/>
        <w:snapToGrid/>
        <w:spacing w:line="430" w:lineRule="exact"/>
        <w:ind w:firstLine="420" w:firstLineChars="200"/>
        <w:rPr>
          <w:rStyle w:val="25"/>
          <w:rFonts w:hint="eastAsia" w:ascii="宋体" w:hAnsi="Times New Roman" w:eastAsia="宋体" w:cs="宋体"/>
          <w:b w:val="0"/>
          <w:bCs w:val="0"/>
          <w:color w:val="auto"/>
          <w:kern w:val="2"/>
          <w:sz w:val="21"/>
          <w:szCs w:val="24"/>
          <w:highlight w:val="none"/>
          <w:lang w:val="en-US" w:eastAsia="zh-CN" w:bidi="ar-SA"/>
        </w:rPr>
      </w:pPr>
      <w:r>
        <w:rPr>
          <w:rStyle w:val="25"/>
          <w:rFonts w:hint="eastAsia" w:ascii="宋体" w:hAnsi="Times New Roman" w:eastAsia="宋体" w:cs="宋体"/>
          <w:b w:val="0"/>
          <w:bCs w:val="0"/>
          <w:color w:val="auto"/>
          <w:kern w:val="2"/>
          <w:sz w:val="21"/>
          <w:szCs w:val="24"/>
          <w:highlight w:val="none"/>
          <w:lang w:val="en-US" w:eastAsia="zh-CN" w:bidi="ar-SA"/>
        </w:rPr>
        <w:t>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 规定执行。承包人在签订工程施工承包合同后一个月内必须办妥该事项，并将办妥回执交发包人。</w:t>
      </w:r>
    </w:p>
    <w:p>
      <w:pPr>
        <w:pStyle w:val="39"/>
        <w:widowControl w:val="0"/>
        <w:spacing w:line="43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pPr>
        <w:pStyle w:val="39"/>
        <w:widowControl w:val="0"/>
        <w:spacing w:line="430" w:lineRule="exact"/>
        <w:ind w:firstLine="420" w:firstLineChars="200"/>
        <w:rPr>
          <w:rStyle w:val="25"/>
          <w:rFonts w:hint="eastAsia" w:ascii="宋体" w:hAnsi="Times New Roman" w:eastAsia="宋体" w:cs="宋体"/>
          <w:b w:val="0"/>
          <w:bCs w:val="0"/>
          <w:color w:val="auto"/>
          <w:kern w:val="2"/>
          <w:sz w:val="21"/>
          <w:szCs w:val="24"/>
          <w:highlight w:val="none"/>
          <w:lang w:val="en-US" w:eastAsia="zh-CN" w:bidi="ar-SA"/>
        </w:rPr>
      </w:pPr>
      <w:r>
        <w:rPr>
          <w:rStyle w:val="25"/>
          <w:rFonts w:hint="eastAsia" w:ascii="宋体" w:hAnsi="Times New Roman" w:eastAsia="宋体" w:cs="宋体"/>
          <w:b w:val="0"/>
          <w:bCs w:val="0"/>
          <w:color w:val="auto"/>
          <w:kern w:val="2"/>
          <w:sz w:val="21"/>
          <w:szCs w:val="24"/>
          <w:highlight w:val="none"/>
          <w:lang w:val="en-US" w:eastAsia="zh-CN" w:bidi="ar-SA"/>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w:t>
      </w:r>
    </w:p>
    <w:p>
      <w:pPr>
        <w:widowControl/>
        <w:spacing w:line="430" w:lineRule="exact"/>
        <w:ind w:firstLine="420" w:firstLineChars="200"/>
        <w:rPr>
          <w:rStyle w:val="25"/>
          <w:rFonts w:hint="eastAsia" w:ascii="宋体" w:hAnsi="Times New Roman" w:eastAsia="宋体" w:cs="宋体"/>
          <w:b w:val="0"/>
          <w:bCs w:val="0"/>
          <w:color w:val="auto"/>
          <w:kern w:val="2"/>
          <w:sz w:val="21"/>
          <w:szCs w:val="24"/>
          <w:highlight w:val="none"/>
          <w:lang w:val="en-US" w:eastAsia="zh-CN" w:bidi="ar-SA"/>
        </w:rPr>
      </w:pPr>
      <w:r>
        <w:rPr>
          <w:rStyle w:val="25"/>
          <w:rFonts w:hint="eastAsia" w:hAnsi="Times New Roman" w:cs="宋体"/>
          <w:b w:val="0"/>
          <w:bCs w:val="0"/>
          <w:color w:val="auto"/>
          <w:kern w:val="2"/>
          <w:sz w:val="21"/>
          <w:szCs w:val="24"/>
          <w:highlight w:val="none"/>
          <w:lang w:val="en-US" w:eastAsia="zh-CN" w:bidi="ar-SA"/>
        </w:rPr>
        <w:t>6</w:t>
      </w:r>
      <w:r>
        <w:rPr>
          <w:rStyle w:val="25"/>
          <w:rFonts w:hint="eastAsia" w:ascii="宋体" w:hAnsi="Times New Roman" w:eastAsia="宋体" w:cs="宋体"/>
          <w:b w:val="0"/>
          <w:bCs w:val="0"/>
          <w:color w:val="auto"/>
          <w:kern w:val="2"/>
          <w:sz w:val="21"/>
          <w:szCs w:val="24"/>
          <w:highlight w:val="none"/>
          <w:lang w:val="en-US" w:eastAsia="zh-CN" w:bidi="ar-SA"/>
        </w:rPr>
        <w:t xml:space="preserve">.3 承包人应在工资专户开立后 2 个工作日内，将开户银行及其账号、开户协议等资料提交给发包人。 </w:t>
      </w:r>
    </w:p>
    <w:p>
      <w:pPr>
        <w:widowControl/>
        <w:spacing w:line="430" w:lineRule="exact"/>
        <w:ind w:firstLine="420" w:firstLineChars="200"/>
        <w:rPr>
          <w:rStyle w:val="25"/>
          <w:rFonts w:hint="eastAsia" w:ascii="宋体" w:hAnsi="Times New Roman" w:eastAsia="宋体" w:cs="宋体"/>
          <w:b w:val="0"/>
          <w:bCs w:val="0"/>
          <w:color w:val="auto"/>
          <w:kern w:val="2"/>
          <w:sz w:val="21"/>
          <w:szCs w:val="24"/>
          <w:highlight w:val="none"/>
          <w:lang w:val="en-US" w:eastAsia="zh-CN" w:bidi="ar-SA"/>
        </w:rPr>
      </w:pPr>
      <w:r>
        <w:rPr>
          <w:rStyle w:val="25"/>
          <w:rFonts w:hint="eastAsia" w:ascii="宋体" w:hAnsi="Times New Roman" w:eastAsia="宋体" w:cs="宋体"/>
          <w:b w:val="0"/>
          <w:bCs w:val="0"/>
          <w:color w:val="auto"/>
          <w:kern w:val="2"/>
          <w:sz w:val="21"/>
          <w:szCs w:val="24"/>
          <w:highlight w:val="none"/>
          <w:lang w:val="en-US" w:eastAsia="zh-CN" w:bidi="ar-SA"/>
        </w:rPr>
        <w:t xml:space="preserve">（1）用人单位应当在建设项目动工前，在建设项目所在地银行设立工人工资支付专用账户。 </w:t>
      </w:r>
    </w:p>
    <w:p>
      <w:pPr>
        <w:widowControl/>
        <w:spacing w:line="430" w:lineRule="exact"/>
        <w:ind w:firstLine="420" w:firstLineChars="200"/>
        <w:rPr>
          <w:rStyle w:val="25"/>
          <w:rFonts w:hint="eastAsia" w:ascii="宋体" w:hAnsi="Times New Roman" w:eastAsia="宋体" w:cs="宋体"/>
          <w:b w:val="0"/>
          <w:bCs w:val="0"/>
          <w:color w:val="auto"/>
          <w:kern w:val="2"/>
          <w:sz w:val="21"/>
          <w:szCs w:val="24"/>
          <w:highlight w:val="none"/>
          <w:lang w:val="en-US" w:eastAsia="zh-CN" w:bidi="ar-SA"/>
        </w:rPr>
      </w:pPr>
      <w:r>
        <w:rPr>
          <w:rStyle w:val="25"/>
          <w:rFonts w:hint="eastAsia" w:ascii="宋体" w:hAnsi="Times New Roman" w:eastAsia="宋体" w:cs="宋体"/>
          <w:b w:val="0"/>
          <w:bCs w:val="0"/>
          <w:color w:val="auto"/>
          <w:kern w:val="2"/>
          <w:sz w:val="21"/>
          <w:szCs w:val="24"/>
          <w:highlight w:val="none"/>
          <w:lang w:val="en-US" w:eastAsia="zh-CN" w:bidi="ar-SA"/>
        </w:rPr>
        <w:t xml:space="preserve">（2）用人单位应当在用工之日起 15 日内为每一位工人办理个人银行账户。 </w:t>
      </w:r>
    </w:p>
    <w:p>
      <w:pPr>
        <w:widowControl/>
        <w:spacing w:line="430" w:lineRule="exact"/>
        <w:ind w:firstLine="420" w:firstLineChars="200"/>
        <w:rPr>
          <w:rStyle w:val="25"/>
          <w:rFonts w:hint="eastAsia" w:ascii="宋体" w:hAnsi="Times New Roman" w:eastAsia="宋体" w:cs="宋体"/>
          <w:b w:val="0"/>
          <w:bCs w:val="0"/>
          <w:color w:val="auto"/>
          <w:kern w:val="2"/>
          <w:sz w:val="21"/>
          <w:szCs w:val="24"/>
          <w:highlight w:val="none"/>
          <w:lang w:val="en-US" w:eastAsia="zh-CN" w:bidi="ar-SA"/>
        </w:rPr>
      </w:pPr>
      <w:r>
        <w:rPr>
          <w:rStyle w:val="25"/>
          <w:rFonts w:hint="eastAsia" w:ascii="宋体" w:hAnsi="Times New Roman" w:eastAsia="宋体" w:cs="宋体"/>
          <w:b w:val="0"/>
          <w:bCs w:val="0"/>
          <w:color w:val="auto"/>
          <w:kern w:val="2"/>
          <w:sz w:val="21"/>
          <w:szCs w:val="24"/>
          <w:highlight w:val="none"/>
          <w:lang w:val="en-US" w:eastAsia="zh-CN" w:bidi="ar-SA"/>
        </w:rPr>
        <w:t xml:space="preserve">（3）用人单位应当指定专人负责建设项目施工现场台账管理，真实、准确记录工人名册、劳务合同、劳动合同、工程进度、工时台账、劳务承包款和工人工资支付等信息，并保存两年以上备查。 </w:t>
      </w:r>
    </w:p>
    <w:p>
      <w:pPr>
        <w:widowControl/>
        <w:spacing w:line="430" w:lineRule="exact"/>
        <w:ind w:firstLine="420" w:firstLineChars="200"/>
        <w:rPr>
          <w:rStyle w:val="25"/>
          <w:rFonts w:hint="eastAsia" w:ascii="宋体" w:hAnsi="Times New Roman" w:eastAsia="宋体" w:cs="宋体"/>
          <w:b w:val="0"/>
          <w:bCs w:val="0"/>
          <w:color w:val="auto"/>
          <w:kern w:val="2"/>
          <w:sz w:val="21"/>
          <w:szCs w:val="24"/>
          <w:highlight w:val="none"/>
          <w:lang w:val="en-US" w:eastAsia="zh-CN" w:bidi="ar-SA"/>
        </w:rPr>
      </w:pPr>
      <w:r>
        <w:rPr>
          <w:rStyle w:val="25"/>
          <w:rFonts w:hint="eastAsia" w:ascii="宋体" w:hAnsi="Times New Roman" w:eastAsia="宋体" w:cs="宋体"/>
          <w:b w:val="0"/>
          <w:bCs w:val="0"/>
          <w:color w:val="auto"/>
          <w:kern w:val="2"/>
          <w:sz w:val="21"/>
          <w:szCs w:val="24"/>
          <w:highlight w:val="none"/>
          <w:lang w:val="en-US" w:eastAsia="zh-CN" w:bidi="ar-SA"/>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pPr>
        <w:keepNext w:val="0"/>
        <w:keepLines w:val="0"/>
        <w:pageBreakBefore w:val="0"/>
        <w:widowControl/>
        <w:kinsoku/>
        <w:overflowPunct/>
        <w:topLinePunct w:val="0"/>
        <w:autoSpaceDE/>
        <w:autoSpaceDN/>
        <w:bidi w:val="0"/>
        <w:adjustRightInd/>
        <w:snapToGrid/>
        <w:spacing w:line="430" w:lineRule="exact"/>
        <w:ind w:firstLine="420" w:firstLineChars="200"/>
        <w:rPr>
          <w:rFonts w:hint="eastAsia"/>
          <w:color w:val="auto"/>
          <w:sz w:val="21"/>
          <w:szCs w:val="21"/>
          <w:highlight w:val="none"/>
        </w:rPr>
      </w:pPr>
      <w:r>
        <w:rPr>
          <w:rStyle w:val="25"/>
          <w:rFonts w:hint="eastAsia" w:hAnsi="Times New Roman" w:cs="宋体"/>
          <w:b w:val="0"/>
          <w:bCs w:val="0"/>
          <w:color w:val="auto"/>
          <w:kern w:val="2"/>
          <w:sz w:val="21"/>
          <w:szCs w:val="21"/>
          <w:highlight w:val="none"/>
          <w:lang w:val="en-US" w:eastAsia="zh-CN" w:bidi="ar-SA"/>
        </w:rPr>
        <w:t>6</w:t>
      </w:r>
      <w:r>
        <w:rPr>
          <w:rStyle w:val="25"/>
          <w:rFonts w:hint="eastAsia" w:ascii="宋体" w:hAnsi="Times New Roman" w:eastAsia="宋体" w:cs="宋体"/>
          <w:b w:val="0"/>
          <w:bCs w:val="0"/>
          <w:color w:val="auto"/>
          <w:kern w:val="2"/>
          <w:sz w:val="21"/>
          <w:szCs w:val="21"/>
          <w:highlight w:val="none"/>
          <w:lang w:val="en-US" w:eastAsia="zh-CN" w:bidi="ar-SA"/>
        </w:rPr>
        <w:t>.4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pPr>
        <w:widowControl w:val="0"/>
        <w:spacing w:line="430" w:lineRule="exact"/>
        <w:ind w:firstLine="421" w:firstLineChars="200"/>
        <w:outlineLvl w:val="1"/>
        <w:rPr>
          <w:rFonts w:hint="eastAsia" w:hAnsi="Times New Roman"/>
          <w:color w:val="auto"/>
          <w:spacing w:val="0"/>
          <w:kern w:val="2"/>
          <w:sz w:val="21"/>
          <w:szCs w:val="21"/>
          <w:highlight w:val="none"/>
        </w:rPr>
      </w:pPr>
      <w:bookmarkStart w:id="352" w:name="_Toc29513"/>
      <w:bookmarkStart w:id="353" w:name="_Toc29741"/>
      <w:bookmarkStart w:id="354" w:name="_Toc25076"/>
      <w:bookmarkStart w:id="355" w:name="_Toc30642"/>
      <w:bookmarkStart w:id="356" w:name="_Toc23850"/>
      <w:bookmarkStart w:id="357" w:name="_Toc27857"/>
      <w:bookmarkStart w:id="358" w:name="_Toc28934"/>
      <w:bookmarkStart w:id="359" w:name="_Toc22061"/>
      <w:bookmarkStart w:id="360" w:name="_Toc23983"/>
      <w:bookmarkStart w:id="361" w:name="_Toc22751"/>
      <w:bookmarkStart w:id="362" w:name="_Toc26359"/>
      <w:bookmarkStart w:id="363" w:name="_Toc6230"/>
      <w:bookmarkStart w:id="364" w:name="_Toc2257"/>
      <w:bookmarkStart w:id="365" w:name="_Toc30643"/>
      <w:bookmarkStart w:id="366" w:name="_Toc3512"/>
      <w:r>
        <w:rPr>
          <w:rStyle w:val="25"/>
          <w:rFonts w:hint="eastAsia" w:ascii="宋体" w:hAnsi="宋体" w:eastAsia="宋体" w:cs="宋体"/>
          <w:b/>
          <w:bCs/>
          <w:color w:val="auto"/>
          <w:kern w:val="0"/>
          <w:sz w:val="21"/>
          <w:szCs w:val="21"/>
          <w:highlight w:val="none"/>
          <w:lang w:val="en-US" w:eastAsia="zh-CN"/>
        </w:rPr>
        <w:t>7</w:t>
      </w:r>
      <w:r>
        <w:rPr>
          <w:rStyle w:val="25"/>
          <w:rFonts w:hint="eastAsia" w:ascii="宋体" w:hAnsi="宋体" w:eastAsia="宋体" w:cs="宋体"/>
          <w:b/>
          <w:bCs/>
          <w:color w:val="auto"/>
          <w:kern w:val="0"/>
          <w:sz w:val="21"/>
          <w:szCs w:val="21"/>
          <w:highlight w:val="none"/>
        </w:rPr>
        <w:t>．</w:t>
      </w:r>
      <w:r>
        <w:rPr>
          <w:rFonts w:hint="eastAsia" w:hAnsi="Times New Roman"/>
          <w:b/>
          <w:bCs/>
          <w:color w:val="auto"/>
          <w:spacing w:val="0"/>
          <w:kern w:val="2"/>
          <w:sz w:val="21"/>
          <w:szCs w:val="21"/>
          <w:highlight w:val="none"/>
        </w:rPr>
        <w:t>诚信登记</w:t>
      </w:r>
      <w:bookmarkEnd w:id="352"/>
      <w:bookmarkEnd w:id="353"/>
      <w:bookmarkEnd w:id="354"/>
    </w:p>
    <w:p>
      <w:pPr>
        <w:wordWrap w:val="0"/>
        <w:adjustRightInd w:val="0"/>
        <w:snapToGrid w:val="0"/>
        <w:spacing w:line="430" w:lineRule="exact"/>
        <w:ind w:firstLine="420" w:firstLineChars="200"/>
        <w:rPr>
          <w:rFonts w:hint="eastAsia"/>
          <w:bCs/>
          <w:snapToGrid w:val="0"/>
          <w:color w:val="auto"/>
          <w:kern w:val="0"/>
          <w:szCs w:val="24"/>
          <w:highlight w:val="none"/>
        </w:rPr>
      </w:pPr>
      <w:r>
        <w:rPr>
          <w:rFonts w:hint="eastAsia"/>
          <w:bCs/>
          <w:snapToGrid w:val="0"/>
          <w:color w:val="auto"/>
          <w:kern w:val="0"/>
          <w:sz w:val="21"/>
          <w:szCs w:val="21"/>
          <w:highlight w:val="none"/>
        </w:rPr>
        <w:t>根据资质管理规定，许可机关应当建立、健全建筑业企业信用档案管理制度，包括企业基本信息、资质、业绩、工程质量和安全、合同履约、社会投诉和违法行为等情况。</w:t>
      </w:r>
      <w:bookmarkStart w:id="732" w:name="_GoBack"/>
      <w:bookmarkEnd w:id="732"/>
    </w:p>
    <w:p>
      <w:pPr>
        <w:keepNext w:val="0"/>
        <w:keepLines w:val="0"/>
        <w:pageBreakBefore w:val="0"/>
        <w:widowControl w:val="0"/>
        <w:kinsoku/>
        <w:overflowPunct/>
        <w:topLinePunct w:val="0"/>
        <w:autoSpaceDE/>
        <w:autoSpaceDN/>
        <w:bidi w:val="0"/>
        <w:adjustRightInd/>
        <w:snapToGrid/>
        <w:spacing w:line="430" w:lineRule="exact"/>
        <w:ind w:firstLine="421" w:firstLineChars="200"/>
        <w:outlineLvl w:val="1"/>
        <w:rPr>
          <w:rStyle w:val="25"/>
          <w:rFonts w:hint="eastAsia" w:ascii="宋体" w:hAnsi="宋体" w:eastAsia="宋体" w:cs="宋体"/>
          <w:b/>
          <w:bCs/>
          <w:color w:val="auto"/>
          <w:kern w:val="0"/>
          <w:sz w:val="21"/>
          <w:szCs w:val="21"/>
          <w:highlight w:val="none"/>
        </w:rPr>
      </w:pPr>
      <w:bookmarkStart w:id="367" w:name="_Toc18927"/>
      <w:bookmarkStart w:id="368" w:name="_Toc2304"/>
      <w:bookmarkStart w:id="369" w:name="_Toc4690"/>
      <w:r>
        <w:rPr>
          <w:rStyle w:val="25"/>
          <w:rFonts w:hint="eastAsia" w:hAnsi="宋体" w:cs="宋体"/>
          <w:b/>
          <w:bCs/>
          <w:color w:val="auto"/>
          <w:kern w:val="0"/>
          <w:sz w:val="21"/>
          <w:szCs w:val="21"/>
          <w:highlight w:val="none"/>
          <w:lang w:val="en-US" w:eastAsia="zh-CN"/>
        </w:rPr>
        <w:t>8.</w:t>
      </w:r>
      <w:r>
        <w:rPr>
          <w:rStyle w:val="25"/>
          <w:rFonts w:hint="eastAsia" w:ascii="宋体" w:hAnsi="宋体" w:eastAsia="宋体" w:cs="宋体"/>
          <w:b/>
          <w:bCs/>
          <w:color w:val="auto"/>
          <w:kern w:val="0"/>
          <w:sz w:val="21"/>
          <w:szCs w:val="21"/>
          <w:highlight w:val="none"/>
        </w:rPr>
        <w:t>工期进度</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keepNext w:val="0"/>
        <w:keepLines w:val="0"/>
        <w:pageBreakBefore w:val="0"/>
        <w:widowControl w:val="0"/>
        <w:kinsoku/>
        <w:overflowPunct/>
        <w:topLinePunct w:val="0"/>
        <w:autoSpaceDE/>
        <w:autoSpaceDN/>
        <w:bidi w:val="0"/>
        <w:adjustRightInd/>
        <w:snapToGrid/>
        <w:spacing w:line="430" w:lineRule="exact"/>
        <w:ind w:firstLine="421" w:firstLineChars="200"/>
        <w:rPr>
          <w:rStyle w:val="25"/>
          <w:rFonts w:hint="eastAsia" w:ascii="宋体" w:hAnsi="宋体" w:eastAsia="宋体" w:cs="宋体"/>
          <w:b/>
          <w:bCs/>
          <w:color w:val="auto"/>
          <w:kern w:val="0"/>
          <w:sz w:val="21"/>
          <w:szCs w:val="21"/>
          <w:highlight w:val="none"/>
        </w:rPr>
      </w:pPr>
      <w:r>
        <w:rPr>
          <w:rStyle w:val="25"/>
          <w:rFonts w:hint="eastAsia" w:hAnsi="宋体" w:cs="宋体"/>
          <w:b/>
          <w:bCs/>
          <w:color w:val="auto"/>
          <w:kern w:val="0"/>
          <w:sz w:val="21"/>
          <w:szCs w:val="21"/>
          <w:highlight w:val="none"/>
          <w:lang w:val="en-US" w:eastAsia="zh-CN"/>
        </w:rPr>
        <w:t>8</w:t>
      </w:r>
      <w:r>
        <w:rPr>
          <w:rStyle w:val="25"/>
          <w:rFonts w:hint="eastAsia" w:ascii="宋体" w:hAnsi="宋体" w:eastAsia="宋体" w:cs="宋体"/>
          <w:b/>
          <w:bCs/>
          <w:color w:val="auto"/>
          <w:kern w:val="0"/>
          <w:sz w:val="21"/>
          <w:szCs w:val="21"/>
          <w:highlight w:val="none"/>
        </w:rPr>
        <w:t>.1</w:t>
      </w:r>
      <w:r>
        <w:rPr>
          <w:rStyle w:val="25"/>
          <w:rFonts w:hint="eastAsia" w:ascii="宋体" w:hAnsi="宋体" w:eastAsia="宋体" w:cs="宋体"/>
          <w:color w:val="auto"/>
          <w:kern w:val="0"/>
          <w:sz w:val="21"/>
          <w:szCs w:val="21"/>
          <w:highlight w:val="none"/>
        </w:rPr>
        <w:t>本招标项目施工招标工期为</w:t>
      </w:r>
      <w:r>
        <w:rPr>
          <w:rStyle w:val="25"/>
          <w:rFonts w:hint="eastAsia" w:hAnsi="宋体" w:cs="宋体"/>
          <w:color w:val="auto"/>
          <w:kern w:val="0"/>
          <w:sz w:val="21"/>
          <w:szCs w:val="21"/>
          <w:highlight w:val="none"/>
          <w:u w:val="single"/>
          <w:lang w:val="en-US" w:eastAsia="zh-CN"/>
        </w:rPr>
        <w:t>1080个日历天</w:t>
      </w:r>
      <w:r>
        <w:rPr>
          <w:rStyle w:val="25"/>
          <w:rFonts w:hint="eastAsia" w:ascii="宋体" w:hAnsi="宋体" w:eastAsia="宋体" w:cs="宋体"/>
          <w:color w:val="auto"/>
          <w:kern w:val="0"/>
          <w:sz w:val="21"/>
          <w:szCs w:val="21"/>
          <w:highlight w:val="none"/>
        </w:rPr>
        <w:t>，承包人必须在招标工期内完成本工程招标范围内的全部内容</w:t>
      </w:r>
      <w:r>
        <w:rPr>
          <w:rStyle w:val="25"/>
          <w:rFonts w:hint="eastAsia" w:ascii="宋体" w:hAnsi="宋体" w:eastAsia="宋体" w:cs="宋体"/>
          <w:b/>
          <w:bCs/>
          <w:color w:val="auto"/>
          <w:kern w:val="0"/>
          <w:sz w:val="21"/>
          <w:szCs w:val="21"/>
          <w:highlight w:val="none"/>
        </w:rPr>
        <w:t>。</w:t>
      </w:r>
    </w:p>
    <w:p>
      <w:pPr>
        <w:keepNext w:val="0"/>
        <w:keepLines w:val="0"/>
        <w:pageBreakBefore w:val="0"/>
        <w:widowControl w:val="0"/>
        <w:kinsoku/>
        <w:overflowPunct/>
        <w:topLinePunct w:val="0"/>
        <w:autoSpaceDE/>
        <w:autoSpaceDN/>
        <w:bidi w:val="0"/>
        <w:adjustRightInd/>
        <w:snapToGrid/>
        <w:spacing w:line="430" w:lineRule="exact"/>
        <w:ind w:firstLine="421" w:firstLineChars="200"/>
        <w:rPr>
          <w:rStyle w:val="25"/>
          <w:rFonts w:hint="eastAsia" w:ascii="宋体" w:hAnsi="宋体" w:eastAsia="宋体" w:cs="宋体"/>
          <w:color w:val="auto"/>
          <w:kern w:val="0"/>
          <w:sz w:val="21"/>
          <w:szCs w:val="21"/>
          <w:highlight w:val="none"/>
        </w:rPr>
      </w:pPr>
      <w:r>
        <w:rPr>
          <w:rStyle w:val="25"/>
          <w:rFonts w:hint="eastAsia" w:hAnsi="宋体" w:cs="宋体"/>
          <w:b/>
          <w:bCs/>
          <w:color w:val="auto"/>
          <w:kern w:val="0"/>
          <w:sz w:val="21"/>
          <w:szCs w:val="21"/>
          <w:highlight w:val="none"/>
          <w:lang w:val="en-US" w:eastAsia="zh-CN"/>
        </w:rPr>
        <w:t>8</w:t>
      </w:r>
      <w:r>
        <w:rPr>
          <w:rStyle w:val="25"/>
          <w:rFonts w:hint="eastAsia" w:ascii="宋体" w:hAnsi="宋体" w:eastAsia="宋体" w:cs="宋体"/>
          <w:b/>
          <w:bCs/>
          <w:color w:val="auto"/>
          <w:kern w:val="0"/>
          <w:sz w:val="21"/>
          <w:szCs w:val="21"/>
          <w:highlight w:val="none"/>
        </w:rPr>
        <w:t>.2</w:t>
      </w:r>
      <w:r>
        <w:rPr>
          <w:rStyle w:val="25"/>
          <w:rFonts w:hint="eastAsia" w:ascii="宋体" w:hAnsi="宋体" w:eastAsia="宋体" w:cs="宋体"/>
          <w:color w:val="auto"/>
          <w:kern w:val="0"/>
          <w:sz w:val="21"/>
          <w:szCs w:val="21"/>
          <w:highlight w:val="none"/>
        </w:rPr>
        <w:t xml:space="preserve"> 施工工期从承包人收到监理单位签发的开工令之日起计，至竣工验收合格之日止。</w:t>
      </w:r>
    </w:p>
    <w:p>
      <w:pPr>
        <w:spacing w:line="430" w:lineRule="exact"/>
        <w:ind w:firstLine="420" w:firstLineChars="200"/>
        <w:rPr>
          <w:rFonts w:hint="eastAsia" w:ascii="宋体" w:hAnsi="宋体" w:eastAsia="宋体" w:cs="宋体"/>
          <w:b w:val="0"/>
          <w:bCs w:val="0"/>
          <w:strike w:val="0"/>
          <w:dstrike w:val="0"/>
          <w:snapToGrid/>
          <w:color w:val="auto"/>
          <w:kern w:val="2"/>
          <w:sz w:val="21"/>
          <w:szCs w:val="21"/>
          <w:highlight w:val="none"/>
        </w:rPr>
      </w:pPr>
      <w:r>
        <w:rPr>
          <w:rFonts w:hint="eastAsia" w:ascii="宋体" w:hAnsi="宋体" w:eastAsia="宋体" w:cs="宋体"/>
          <w:b w:val="0"/>
          <w:bCs w:val="0"/>
          <w:strike w:val="0"/>
          <w:dstrike w:val="0"/>
          <w:snapToGrid/>
          <w:color w:val="auto"/>
          <w:kern w:val="2"/>
          <w:sz w:val="21"/>
          <w:szCs w:val="21"/>
          <w:highlight w:val="none"/>
          <w:lang w:val="en-US" w:eastAsia="zh-CN"/>
        </w:rPr>
        <w:t>8</w:t>
      </w:r>
      <w:r>
        <w:rPr>
          <w:rFonts w:hint="eastAsia" w:ascii="宋体" w:hAnsi="宋体" w:eastAsia="宋体" w:cs="宋体"/>
          <w:b w:val="0"/>
          <w:bCs w:val="0"/>
          <w:strike w:val="0"/>
          <w:dstrike w:val="0"/>
          <w:snapToGrid/>
          <w:color w:val="auto"/>
          <w:kern w:val="2"/>
          <w:sz w:val="21"/>
          <w:szCs w:val="21"/>
          <w:highlight w:val="none"/>
        </w:rPr>
        <w:t>.3</w:t>
      </w:r>
      <w:r>
        <w:rPr>
          <w:rFonts w:hint="eastAsia" w:ascii="宋体" w:hAnsi="宋体" w:eastAsia="宋体" w:cs="宋体"/>
          <w:b w:val="0"/>
          <w:bCs w:val="0"/>
          <w:strike w:val="0"/>
          <w:dstrike w:val="0"/>
          <w:snapToGrid/>
          <w:color w:val="auto"/>
          <w:kern w:val="2"/>
          <w:sz w:val="21"/>
          <w:szCs w:val="21"/>
          <w:highlight w:val="none"/>
          <w:lang w:val="en-US" w:eastAsia="zh-CN"/>
        </w:rPr>
        <w:t>工期奖罚</w:t>
      </w:r>
    </w:p>
    <w:p>
      <w:pPr>
        <w:keepNext w:val="0"/>
        <w:keepLines w:val="0"/>
        <w:pageBreakBefore w:val="0"/>
        <w:widowControl w:val="0"/>
        <w:kinsoku/>
        <w:overflowPunct/>
        <w:topLinePunct w:val="0"/>
        <w:autoSpaceDE/>
        <w:autoSpaceDN/>
        <w:bidi w:val="0"/>
        <w:adjustRightInd/>
        <w:snapToGrid/>
        <w:spacing w:line="430" w:lineRule="exact"/>
        <w:ind w:firstLine="420" w:firstLineChars="200"/>
        <w:outlineLvl w:val="9"/>
        <w:rPr>
          <w:rStyle w:val="25"/>
          <w:rFonts w:hint="eastAsia" w:ascii="宋体" w:hAnsi="宋体" w:eastAsia="宋体" w:cs="宋体"/>
          <w:b w:val="0"/>
          <w:bCs w:val="0"/>
          <w:color w:val="auto"/>
          <w:kern w:val="0"/>
          <w:sz w:val="21"/>
          <w:szCs w:val="21"/>
          <w:highlight w:val="none"/>
          <w:lang w:val="en-US" w:eastAsia="zh-CN"/>
        </w:rPr>
      </w:pPr>
      <w:r>
        <w:rPr>
          <w:rStyle w:val="25"/>
          <w:rFonts w:hint="eastAsia" w:ascii="宋体" w:eastAsia="宋体" w:cs="宋体"/>
          <w:color w:val="auto"/>
          <w:sz w:val="21"/>
          <w:szCs w:val="21"/>
          <w:highlight w:val="none"/>
        </w:rPr>
        <w:t>由于</w:t>
      </w:r>
      <w:r>
        <w:rPr>
          <w:rStyle w:val="25"/>
          <w:rFonts w:ascii="宋体" w:eastAsia="宋体" w:cs="宋体"/>
          <w:color w:val="auto"/>
          <w:sz w:val="21"/>
          <w:szCs w:val="21"/>
          <w:highlight w:val="none"/>
        </w:rPr>
        <w:t>承包</w:t>
      </w:r>
      <w:r>
        <w:rPr>
          <w:rStyle w:val="25"/>
          <w:rFonts w:hint="eastAsia" w:ascii="宋体" w:eastAsia="宋体" w:cs="宋体"/>
          <w:color w:val="auto"/>
          <w:sz w:val="21"/>
          <w:szCs w:val="21"/>
          <w:highlight w:val="none"/>
        </w:rPr>
        <w:t>人原因造成</w:t>
      </w:r>
      <w:r>
        <w:rPr>
          <w:rStyle w:val="25"/>
          <w:rFonts w:ascii="宋体" w:eastAsia="宋体" w:cs="宋体"/>
          <w:color w:val="auto"/>
          <w:sz w:val="21"/>
          <w:szCs w:val="21"/>
          <w:highlight w:val="none"/>
        </w:rPr>
        <w:t>工期延误的</w:t>
      </w:r>
      <w:r>
        <w:rPr>
          <w:rStyle w:val="25"/>
          <w:rFonts w:hint="eastAsia" w:ascii="宋体" w:eastAsia="宋体" w:cs="宋体"/>
          <w:color w:val="auto"/>
          <w:sz w:val="21"/>
          <w:szCs w:val="21"/>
          <w:highlight w:val="none"/>
        </w:rPr>
        <w:t>，</w:t>
      </w:r>
      <w:r>
        <w:rPr>
          <w:rStyle w:val="25"/>
          <w:rFonts w:ascii="宋体" w:eastAsia="宋体" w:cs="宋体"/>
          <w:color w:val="auto"/>
          <w:sz w:val="21"/>
          <w:szCs w:val="21"/>
          <w:highlight w:val="none"/>
        </w:rPr>
        <w:t>承包人</w:t>
      </w:r>
      <w:r>
        <w:rPr>
          <w:rStyle w:val="25"/>
          <w:rFonts w:hint="eastAsia" w:ascii="宋体" w:eastAsia="宋体" w:cs="宋体"/>
          <w:color w:val="auto"/>
          <w:sz w:val="21"/>
          <w:szCs w:val="21"/>
          <w:highlight w:val="none"/>
        </w:rPr>
        <w:t xml:space="preserve">须在逾期第壹天起每天按合同价的 </w:t>
      </w:r>
      <w:r>
        <w:rPr>
          <w:rStyle w:val="25"/>
          <w:rFonts w:ascii="宋体" w:eastAsia="宋体" w:cs="宋体"/>
          <w:color w:val="auto"/>
          <w:sz w:val="21"/>
          <w:szCs w:val="21"/>
          <w:highlight w:val="none"/>
        </w:rPr>
        <w:t>0.5</w:t>
      </w:r>
      <w:r>
        <w:rPr>
          <w:rStyle w:val="25"/>
          <w:rFonts w:hint="eastAsia" w:ascii="宋体" w:eastAsia="宋体" w:cs="宋体"/>
          <w:color w:val="auto"/>
          <w:sz w:val="21"/>
          <w:szCs w:val="21"/>
          <w:highlight w:val="none"/>
        </w:rPr>
        <w:t xml:space="preserve"> ‰ 向招标人返纳逾期竣工违约金。</w:t>
      </w:r>
      <w:r>
        <w:rPr>
          <w:rStyle w:val="25"/>
          <w:rFonts w:hint="eastAsia" w:ascii="宋体" w:eastAsia="宋体"/>
          <w:color w:val="auto"/>
          <w:sz w:val="21"/>
          <w:szCs w:val="21"/>
          <w:highlight w:val="none"/>
        </w:rPr>
        <w:t>逾期竣工违约金的最高限额为合同价款的</w:t>
      </w:r>
      <w:r>
        <w:rPr>
          <w:rStyle w:val="25"/>
          <w:rFonts w:ascii="宋体" w:eastAsia="宋体"/>
          <w:color w:val="auto"/>
          <w:sz w:val="21"/>
          <w:szCs w:val="21"/>
          <w:highlight w:val="none"/>
        </w:rPr>
        <w:t>3</w:t>
      </w:r>
      <w:r>
        <w:rPr>
          <w:rStyle w:val="25"/>
          <w:rFonts w:hint="eastAsia" w:ascii="宋体" w:eastAsia="宋体"/>
          <w:color w:val="auto"/>
          <w:sz w:val="21"/>
          <w:szCs w:val="21"/>
          <w:highlight w:val="none"/>
        </w:rPr>
        <w:t>%。</w:t>
      </w:r>
      <w:bookmarkStart w:id="370" w:name="_Toc15170"/>
      <w:bookmarkStart w:id="371" w:name="_Toc22031"/>
      <w:bookmarkStart w:id="372" w:name="_Toc15947"/>
      <w:bookmarkStart w:id="373" w:name="_Toc117"/>
      <w:bookmarkStart w:id="374" w:name="_Toc14751"/>
      <w:bookmarkStart w:id="375" w:name="_Toc27918"/>
      <w:bookmarkStart w:id="376" w:name="_Toc29054"/>
      <w:bookmarkStart w:id="377" w:name="_Toc12045"/>
      <w:bookmarkStart w:id="378" w:name="_Toc12031"/>
      <w:bookmarkStart w:id="379" w:name="_Toc5251"/>
      <w:bookmarkStart w:id="380" w:name="_Toc20265"/>
      <w:bookmarkStart w:id="381" w:name="_Toc7123"/>
    </w:p>
    <w:p>
      <w:pPr>
        <w:keepNext w:val="0"/>
        <w:keepLines w:val="0"/>
        <w:pageBreakBefore w:val="0"/>
        <w:widowControl w:val="0"/>
        <w:kinsoku/>
        <w:overflowPunct/>
        <w:topLinePunct w:val="0"/>
        <w:autoSpaceDE/>
        <w:autoSpaceDN/>
        <w:bidi w:val="0"/>
        <w:adjustRightInd/>
        <w:snapToGrid/>
        <w:spacing w:line="430" w:lineRule="exact"/>
        <w:ind w:firstLine="421" w:firstLineChars="200"/>
        <w:outlineLvl w:val="1"/>
        <w:rPr>
          <w:rStyle w:val="25"/>
          <w:rFonts w:hint="eastAsia" w:ascii="宋体" w:hAnsi="宋体" w:eastAsia="宋体" w:cs="宋体"/>
          <w:color w:val="auto"/>
          <w:kern w:val="0"/>
          <w:sz w:val="21"/>
          <w:szCs w:val="21"/>
          <w:highlight w:val="none"/>
        </w:rPr>
      </w:pPr>
      <w:bookmarkStart w:id="382" w:name="_Toc5273"/>
      <w:bookmarkStart w:id="383" w:name="_Toc15885"/>
      <w:bookmarkStart w:id="384" w:name="_Toc18093"/>
      <w:r>
        <w:rPr>
          <w:rStyle w:val="25"/>
          <w:rFonts w:hint="eastAsia" w:hAnsi="宋体" w:cs="宋体"/>
          <w:b/>
          <w:bCs/>
          <w:color w:val="auto"/>
          <w:kern w:val="0"/>
          <w:sz w:val="21"/>
          <w:szCs w:val="21"/>
          <w:highlight w:val="none"/>
          <w:lang w:val="en-US" w:eastAsia="zh-CN"/>
        </w:rPr>
        <w:t>9</w:t>
      </w:r>
      <w:r>
        <w:rPr>
          <w:rStyle w:val="25"/>
          <w:rFonts w:hint="eastAsia" w:ascii="宋体" w:hAnsi="宋体" w:eastAsia="宋体" w:cs="宋体"/>
          <w:b/>
          <w:bCs/>
          <w:color w:val="auto"/>
          <w:kern w:val="0"/>
          <w:sz w:val="21"/>
          <w:szCs w:val="21"/>
          <w:highlight w:val="none"/>
        </w:rPr>
        <w:t>．项目管理机构</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keepNext w:val="0"/>
        <w:keepLines w:val="0"/>
        <w:pageBreakBefore w:val="0"/>
        <w:widowControl w:val="0"/>
        <w:kinsoku/>
        <w:overflowPunct/>
        <w:topLinePunct w:val="0"/>
        <w:autoSpaceDE/>
        <w:autoSpaceDN/>
        <w:bidi w:val="0"/>
        <w:adjustRightInd/>
        <w:snapToGrid/>
        <w:spacing w:line="430" w:lineRule="exact"/>
        <w:ind w:firstLine="421" w:firstLineChars="200"/>
        <w:rPr>
          <w:rStyle w:val="25"/>
          <w:rFonts w:hint="eastAsia" w:ascii="宋体" w:hAnsi="宋体" w:eastAsia="宋体" w:cs="宋体"/>
          <w:color w:val="auto"/>
          <w:kern w:val="0"/>
          <w:sz w:val="21"/>
          <w:szCs w:val="21"/>
          <w:highlight w:val="none"/>
        </w:rPr>
      </w:pPr>
      <w:r>
        <w:rPr>
          <w:rStyle w:val="25"/>
          <w:rFonts w:hint="eastAsia" w:hAnsi="宋体" w:cs="宋体"/>
          <w:b/>
          <w:bCs/>
          <w:color w:val="auto"/>
          <w:kern w:val="0"/>
          <w:sz w:val="21"/>
          <w:szCs w:val="21"/>
          <w:highlight w:val="none"/>
          <w:lang w:val="en-US" w:eastAsia="zh-CN"/>
        </w:rPr>
        <w:t>9</w:t>
      </w:r>
      <w:r>
        <w:rPr>
          <w:rStyle w:val="25"/>
          <w:rFonts w:hint="eastAsia" w:ascii="宋体" w:hAnsi="宋体" w:eastAsia="宋体" w:cs="宋体"/>
          <w:b/>
          <w:bCs/>
          <w:color w:val="auto"/>
          <w:kern w:val="0"/>
          <w:sz w:val="21"/>
          <w:szCs w:val="21"/>
          <w:highlight w:val="none"/>
        </w:rPr>
        <w:t>.1</w:t>
      </w:r>
      <w:r>
        <w:rPr>
          <w:rStyle w:val="25"/>
          <w:rFonts w:hint="eastAsia" w:ascii="宋体" w:hAnsi="宋体" w:eastAsia="宋体" w:cs="宋体"/>
          <w:color w:val="auto"/>
          <w:kern w:val="0"/>
          <w:sz w:val="21"/>
          <w:szCs w:val="21"/>
          <w:highlight w:val="none"/>
        </w:rPr>
        <w:t xml:space="preserve"> 承包人派驻的项目管理班子成员必须为其投标文件确定的人员，否则发包人有权终止合同。</w:t>
      </w:r>
    </w:p>
    <w:p>
      <w:pPr>
        <w:keepNext w:val="0"/>
        <w:keepLines w:val="0"/>
        <w:pageBreakBefore w:val="0"/>
        <w:widowControl w:val="0"/>
        <w:kinsoku/>
        <w:overflowPunct/>
        <w:topLinePunct w:val="0"/>
        <w:autoSpaceDE/>
        <w:autoSpaceDN/>
        <w:bidi w:val="0"/>
        <w:adjustRightInd/>
        <w:snapToGrid/>
        <w:spacing w:line="430" w:lineRule="exact"/>
        <w:ind w:firstLine="421" w:firstLineChars="200"/>
        <w:rPr>
          <w:rStyle w:val="25"/>
          <w:rFonts w:hint="eastAsia" w:ascii="宋体" w:hAnsi="宋体" w:eastAsia="宋体" w:cs="宋体"/>
          <w:color w:val="auto"/>
          <w:kern w:val="0"/>
          <w:sz w:val="21"/>
          <w:szCs w:val="21"/>
          <w:highlight w:val="none"/>
        </w:rPr>
      </w:pPr>
      <w:r>
        <w:rPr>
          <w:rStyle w:val="25"/>
          <w:rFonts w:hint="eastAsia" w:hAnsi="宋体" w:cs="宋体"/>
          <w:b/>
          <w:bCs/>
          <w:color w:val="auto"/>
          <w:kern w:val="0"/>
          <w:sz w:val="21"/>
          <w:szCs w:val="21"/>
          <w:highlight w:val="none"/>
          <w:lang w:val="en-US" w:eastAsia="zh-CN"/>
        </w:rPr>
        <w:t>9</w:t>
      </w:r>
      <w:r>
        <w:rPr>
          <w:rStyle w:val="25"/>
          <w:rFonts w:hint="eastAsia" w:ascii="宋体" w:hAnsi="宋体" w:eastAsia="宋体" w:cs="宋体"/>
          <w:b/>
          <w:bCs/>
          <w:color w:val="auto"/>
          <w:kern w:val="0"/>
          <w:sz w:val="21"/>
          <w:szCs w:val="21"/>
          <w:highlight w:val="none"/>
        </w:rPr>
        <w:t>.2</w:t>
      </w:r>
      <w:r>
        <w:rPr>
          <w:rStyle w:val="25"/>
          <w:rFonts w:hint="eastAsia" w:ascii="宋体" w:hAnsi="宋体" w:eastAsia="宋体" w:cs="宋体"/>
          <w:color w:val="auto"/>
          <w:kern w:val="0"/>
          <w:sz w:val="21"/>
          <w:szCs w:val="21"/>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pPr>
        <w:keepNext w:val="0"/>
        <w:keepLines w:val="0"/>
        <w:pageBreakBefore w:val="0"/>
        <w:widowControl w:val="0"/>
        <w:kinsoku/>
        <w:wordWrap w:val="0"/>
        <w:overflowPunct/>
        <w:topLinePunct w:val="0"/>
        <w:autoSpaceDE/>
        <w:autoSpaceDN/>
        <w:bidi w:val="0"/>
        <w:adjustRightInd/>
        <w:snapToGrid/>
        <w:spacing w:line="430" w:lineRule="exact"/>
        <w:ind w:firstLine="421" w:firstLineChars="200"/>
        <w:rPr>
          <w:rFonts w:hint="eastAsia" w:ascii="宋体" w:hAnsi="宋体" w:eastAsia="宋体" w:cs="宋体"/>
          <w:b/>
          <w:bCs/>
          <w:snapToGrid w:val="0"/>
          <w:color w:val="auto"/>
          <w:kern w:val="0"/>
          <w:sz w:val="21"/>
          <w:szCs w:val="21"/>
          <w:highlight w:val="none"/>
        </w:rPr>
      </w:pPr>
      <w:r>
        <w:rPr>
          <w:rFonts w:hint="eastAsia"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.3</w:t>
      </w:r>
      <w:r>
        <w:rPr>
          <w:rFonts w:hint="eastAsia" w:ascii="宋体" w:hAnsi="宋体" w:eastAsia="宋体" w:cs="宋体"/>
          <w:b/>
          <w:bCs/>
          <w:snapToGrid w:val="0"/>
          <w:color w:val="auto"/>
          <w:kern w:val="0"/>
          <w:sz w:val="21"/>
          <w:szCs w:val="21"/>
          <w:highlight w:val="none"/>
        </w:rPr>
        <w:t>根据项目实施进度情况，招标人有权要求承包人增派项目管理人员，以满足项目的现场管理工作要求。</w:t>
      </w:r>
    </w:p>
    <w:p>
      <w:pPr>
        <w:keepNext w:val="0"/>
        <w:keepLines w:val="0"/>
        <w:pageBreakBefore w:val="0"/>
        <w:widowControl w:val="0"/>
        <w:kinsoku/>
        <w:overflowPunct/>
        <w:topLinePunct w:val="0"/>
        <w:autoSpaceDE/>
        <w:autoSpaceDN/>
        <w:bidi w:val="0"/>
        <w:adjustRightInd/>
        <w:snapToGrid/>
        <w:spacing w:line="400" w:lineRule="exact"/>
        <w:ind w:firstLine="421" w:firstLineChars="200"/>
        <w:outlineLvl w:val="1"/>
        <w:rPr>
          <w:rStyle w:val="25"/>
          <w:rFonts w:hint="eastAsia" w:ascii="宋体" w:hAnsi="宋体" w:eastAsia="宋体" w:cs="宋体"/>
          <w:strike/>
          <w:color w:val="auto"/>
          <w:kern w:val="0"/>
          <w:sz w:val="21"/>
          <w:szCs w:val="21"/>
          <w:highlight w:val="none"/>
        </w:rPr>
      </w:pPr>
      <w:bookmarkStart w:id="385" w:name="_Toc17117"/>
      <w:bookmarkStart w:id="386" w:name="_Toc13925"/>
      <w:bookmarkStart w:id="387" w:name="_Toc21905"/>
      <w:bookmarkStart w:id="388" w:name="_Toc22260"/>
      <w:r>
        <w:rPr>
          <w:rStyle w:val="25"/>
          <w:rFonts w:hint="eastAsia" w:hAnsi="宋体" w:cs="宋体"/>
          <w:b/>
          <w:bCs/>
          <w:color w:val="auto"/>
          <w:kern w:val="0"/>
          <w:sz w:val="21"/>
          <w:szCs w:val="21"/>
          <w:highlight w:val="none"/>
          <w:lang w:val="en-US" w:eastAsia="zh-CN"/>
        </w:rPr>
        <w:t>10</w:t>
      </w:r>
      <w:r>
        <w:rPr>
          <w:rStyle w:val="25"/>
          <w:rFonts w:hint="eastAsia" w:ascii="宋体" w:hAnsi="宋体" w:eastAsia="宋体" w:cs="宋体"/>
          <w:b/>
          <w:bCs/>
          <w:color w:val="auto"/>
          <w:kern w:val="0"/>
          <w:sz w:val="21"/>
          <w:szCs w:val="21"/>
          <w:highlight w:val="none"/>
        </w:rPr>
        <w:t>．现场管理</w:t>
      </w:r>
      <w:bookmarkEnd w:id="385"/>
      <w:bookmarkEnd w:id="386"/>
      <w:bookmarkEnd w:id="387"/>
      <w:bookmarkEnd w:id="388"/>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color w:val="auto"/>
          <w:kern w:val="0"/>
          <w:sz w:val="21"/>
          <w:szCs w:val="21"/>
          <w:highlight w:val="none"/>
        </w:rPr>
      </w:pPr>
      <w:r>
        <w:rPr>
          <w:rStyle w:val="25"/>
          <w:rFonts w:hint="eastAsia" w:hAnsi="宋体" w:cs="宋体"/>
          <w:b/>
          <w:bCs/>
          <w:color w:val="auto"/>
          <w:kern w:val="0"/>
          <w:sz w:val="21"/>
          <w:szCs w:val="21"/>
          <w:highlight w:val="none"/>
          <w:lang w:val="en-US" w:eastAsia="zh-CN"/>
        </w:rPr>
        <w:t>10</w:t>
      </w:r>
      <w:r>
        <w:rPr>
          <w:rStyle w:val="25"/>
          <w:rFonts w:hint="eastAsia" w:ascii="宋体" w:hAnsi="宋体" w:eastAsia="宋体" w:cs="宋体"/>
          <w:b/>
          <w:bCs/>
          <w:color w:val="auto"/>
          <w:kern w:val="0"/>
          <w:sz w:val="21"/>
          <w:szCs w:val="21"/>
          <w:highlight w:val="none"/>
        </w:rPr>
        <w:t>.1</w:t>
      </w:r>
      <w:r>
        <w:rPr>
          <w:rStyle w:val="25"/>
          <w:rFonts w:hint="eastAsia" w:ascii="宋体" w:hAnsi="宋体" w:eastAsia="宋体" w:cs="宋体"/>
          <w:color w:val="auto"/>
          <w:kern w:val="0"/>
          <w:sz w:val="21"/>
          <w:szCs w:val="21"/>
          <w:highlight w:val="none"/>
        </w:rPr>
        <w:t xml:space="preserve"> 承包人在施工期间应严格遵守国家、广东省、韶关市</w:t>
      </w:r>
      <w:r>
        <w:rPr>
          <w:rFonts w:hint="eastAsia" w:ascii="宋体" w:hAnsi="宋体" w:eastAsia="宋体" w:cs="宋体"/>
          <w:snapToGrid w:val="0"/>
          <w:color w:val="auto"/>
          <w:kern w:val="0"/>
          <w:sz w:val="21"/>
          <w:szCs w:val="21"/>
          <w:highlight w:val="none"/>
        </w:rPr>
        <w:t>、南雄市</w:t>
      </w:r>
      <w:r>
        <w:rPr>
          <w:rStyle w:val="25"/>
          <w:rFonts w:hint="eastAsia" w:ascii="宋体" w:hAnsi="宋体" w:eastAsia="宋体" w:cs="宋体"/>
          <w:color w:val="auto"/>
          <w:kern w:val="0"/>
          <w:sz w:val="21"/>
          <w:szCs w:val="21"/>
          <w:highlight w:val="none"/>
        </w:rPr>
        <w:t>有关绿色施工、文明施工、噪音扬尘、消防爆破、环境卫生、渣土清运、防火和治安保卫等方面的规定，并建立相应规章制度和保障措施。否则由此造成的经济损失和法律责任，均由承包人承担。</w:t>
      </w:r>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color w:val="auto"/>
          <w:kern w:val="0"/>
          <w:sz w:val="21"/>
          <w:szCs w:val="21"/>
          <w:highlight w:val="none"/>
        </w:rPr>
      </w:pPr>
      <w:r>
        <w:rPr>
          <w:rStyle w:val="25"/>
          <w:rFonts w:hint="eastAsia" w:hAnsi="宋体" w:cs="宋体"/>
          <w:b/>
          <w:bCs/>
          <w:color w:val="auto"/>
          <w:kern w:val="0"/>
          <w:sz w:val="21"/>
          <w:szCs w:val="21"/>
          <w:highlight w:val="none"/>
          <w:lang w:val="en-US" w:eastAsia="zh-CN"/>
        </w:rPr>
        <w:t>10</w:t>
      </w:r>
      <w:r>
        <w:rPr>
          <w:rStyle w:val="25"/>
          <w:rFonts w:hint="eastAsia" w:ascii="宋体" w:hAnsi="宋体" w:eastAsia="宋体" w:cs="宋体"/>
          <w:b/>
          <w:bCs/>
          <w:color w:val="auto"/>
          <w:kern w:val="0"/>
          <w:sz w:val="21"/>
          <w:szCs w:val="21"/>
          <w:highlight w:val="none"/>
        </w:rPr>
        <w:t>.2</w:t>
      </w:r>
      <w:r>
        <w:rPr>
          <w:rStyle w:val="25"/>
          <w:rFonts w:hint="eastAsia" w:ascii="宋体" w:hAnsi="宋体" w:eastAsia="宋体" w:cs="宋体"/>
          <w:color w:val="auto"/>
          <w:kern w:val="0"/>
          <w:sz w:val="21"/>
          <w:szCs w:val="21"/>
          <w:highlight w:val="none"/>
        </w:rPr>
        <w:t xml:space="preserve"> 承包人应按安全施工有关规定，采取严格、科学的安全防护措施，确保施工和人员（包括第三者）的安全，承担由于自身安全防护措施不力所造成的安全事故责任和发生的费用。</w:t>
      </w:r>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color w:val="auto"/>
          <w:kern w:val="0"/>
          <w:sz w:val="21"/>
          <w:szCs w:val="21"/>
          <w:highlight w:val="none"/>
        </w:rPr>
      </w:pPr>
      <w:r>
        <w:rPr>
          <w:rStyle w:val="25"/>
          <w:rFonts w:hint="eastAsia" w:hAnsi="宋体" w:cs="宋体"/>
          <w:b/>
          <w:bCs/>
          <w:color w:val="auto"/>
          <w:kern w:val="0"/>
          <w:sz w:val="21"/>
          <w:szCs w:val="21"/>
          <w:highlight w:val="none"/>
          <w:lang w:val="en-US" w:eastAsia="zh-CN"/>
        </w:rPr>
        <w:t>10</w:t>
      </w:r>
      <w:r>
        <w:rPr>
          <w:rStyle w:val="25"/>
          <w:rFonts w:hint="eastAsia" w:ascii="宋体" w:hAnsi="宋体" w:eastAsia="宋体" w:cs="宋体"/>
          <w:b/>
          <w:bCs/>
          <w:color w:val="auto"/>
          <w:kern w:val="0"/>
          <w:sz w:val="21"/>
          <w:szCs w:val="21"/>
          <w:highlight w:val="none"/>
        </w:rPr>
        <w:t>.3</w:t>
      </w:r>
      <w:r>
        <w:rPr>
          <w:rStyle w:val="25"/>
          <w:rFonts w:hint="eastAsia" w:ascii="宋体" w:hAnsi="宋体" w:eastAsia="宋体" w:cs="宋体"/>
          <w:color w:val="auto"/>
          <w:kern w:val="0"/>
          <w:sz w:val="21"/>
          <w:szCs w:val="21"/>
          <w:highlight w:val="none"/>
        </w:rPr>
        <w:t xml:space="preserve"> 为保证施工现场的环境卫生，承包人在本工程施工过程中，所有的车辆必须按发包人规定的行车路线行驶。</w:t>
      </w:r>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color w:val="auto"/>
          <w:kern w:val="0"/>
          <w:sz w:val="21"/>
          <w:szCs w:val="21"/>
          <w:highlight w:val="none"/>
        </w:rPr>
      </w:pPr>
      <w:r>
        <w:rPr>
          <w:rFonts w:hint="eastAsia" w:hAnsi="宋体" w:cs="宋体"/>
          <w:b/>
          <w:bCs/>
          <w:snapToGrid w:val="0"/>
          <w:color w:val="auto"/>
          <w:sz w:val="21"/>
          <w:szCs w:val="21"/>
          <w:highlight w:val="none"/>
          <w:lang w:val="en-US" w:eastAsia="zh-CN"/>
        </w:rPr>
        <w:t>10</w:t>
      </w:r>
      <w:r>
        <w:rPr>
          <w:rFonts w:hint="eastAsia" w:ascii="宋体" w:hAnsi="宋体" w:eastAsia="宋体" w:cs="宋体"/>
          <w:b/>
          <w:bCs/>
          <w:snapToGrid w:val="0"/>
          <w:color w:val="auto"/>
          <w:sz w:val="21"/>
          <w:szCs w:val="21"/>
          <w:highlight w:val="none"/>
        </w:rPr>
        <w:t xml:space="preserve">.4 </w:t>
      </w:r>
      <w:r>
        <w:rPr>
          <w:rStyle w:val="25"/>
          <w:rFonts w:hint="eastAsia" w:ascii="宋体" w:hAnsi="宋体" w:eastAsia="宋体" w:cs="宋体"/>
          <w:color w:val="auto"/>
          <w:kern w:val="0"/>
          <w:sz w:val="21"/>
          <w:szCs w:val="21"/>
          <w:highlight w:val="none"/>
        </w:rPr>
        <w:t>承包人必须做好施工场地地下地上管线和邻近建筑物、构筑物（包括文物保护建筑）、名树名木（如有）的保护工作。</w:t>
      </w:r>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b/>
          <w:bCs/>
          <w:color w:val="auto"/>
          <w:kern w:val="0"/>
          <w:sz w:val="21"/>
          <w:szCs w:val="21"/>
          <w:highlight w:val="none"/>
        </w:rPr>
      </w:pPr>
      <w:r>
        <w:rPr>
          <w:rFonts w:hint="eastAsia" w:hAnsi="宋体" w:cs="宋体"/>
          <w:b/>
          <w:bCs/>
          <w:snapToGrid w:val="0"/>
          <w:color w:val="auto"/>
          <w:sz w:val="21"/>
          <w:szCs w:val="21"/>
          <w:highlight w:val="none"/>
          <w:lang w:val="en-US" w:eastAsia="zh-CN"/>
        </w:rPr>
        <w:t>10</w:t>
      </w:r>
      <w:r>
        <w:rPr>
          <w:rFonts w:hint="eastAsia" w:ascii="宋体" w:hAnsi="宋体" w:eastAsia="宋体" w:cs="宋体"/>
          <w:b/>
          <w:bCs/>
          <w:snapToGrid w:val="0"/>
          <w:color w:val="auto"/>
          <w:sz w:val="21"/>
          <w:szCs w:val="21"/>
          <w:highlight w:val="none"/>
        </w:rPr>
        <w:t>.5</w:t>
      </w:r>
      <w:r>
        <w:rPr>
          <w:rFonts w:hint="eastAsia" w:ascii="宋体" w:hAnsi="宋体" w:eastAsia="宋体" w:cs="宋体"/>
          <w:snapToGrid w:val="0"/>
          <w:color w:val="auto"/>
          <w:sz w:val="21"/>
          <w:szCs w:val="21"/>
          <w:highlight w:val="none"/>
        </w:rPr>
        <w:t>承包人应根据施工任务做好工期分析工作，按工期节点要求进行人料机的安排，及时根据计划的实施情况调整人料机的投入。承包人作为总承包单位，应合理安排施工工作，统筹各专业单位（如有）的工作界面，不得影响施工进度。承包人应根据工作面的变化情况及工程进度要求，合理增配人员及施工机械设备。</w:t>
      </w:r>
    </w:p>
    <w:p>
      <w:pPr>
        <w:keepNext w:val="0"/>
        <w:keepLines w:val="0"/>
        <w:pageBreakBefore w:val="0"/>
        <w:widowControl w:val="0"/>
        <w:kinsoku/>
        <w:overflowPunct/>
        <w:topLinePunct w:val="0"/>
        <w:autoSpaceDE/>
        <w:autoSpaceDN/>
        <w:bidi w:val="0"/>
        <w:adjustRightInd/>
        <w:snapToGrid/>
        <w:spacing w:line="400" w:lineRule="exact"/>
        <w:rPr>
          <w:rStyle w:val="25"/>
          <w:rFonts w:hint="eastAsia" w:ascii="宋体" w:hAnsi="宋体" w:eastAsia="宋体" w:cs="宋体"/>
          <w:b/>
          <w:bCs/>
          <w:color w:val="auto"/>
          <w:kern w:val="0"/>
          <w:sz w:val="21"/>
          <w:szCs w:val="21"/>
          <w:highlight w:val="none"/>
        </w:rPr>
      </w:pPr>
    </w:p>
    <w:p>
      <w:pPr>
        <w:keepNext w:val="0"/>
        <w:keepLines w:val="0"/>
        <w:pageBreakBefore w:val="0"/>
        <w:widowControl w:val="0"/>
        <w:kinsoku/>
        <w:overflowPunct/>
        <w:topLinePunct w:val="0"/>
        <w:autoSpaceDE/>
        <w:autoSpaceDN/>
        <w:bidi w:val="0"/>
        <w:adjustRightInd/>
        <w:snapToGrid/>
        <w:spacing w:line="400" w:lineRule="exact"/>
        <w:ind w:firstLine="421" w:firstLineChars="200"/>
        <w:outlineLvl w:val="1"/>
        <w:rPr>
          <w:rStyle w:val="25"/>
          <w:rFonts w:hint="eastAsia" w:ascii="宋体" w:hAnsi="宋体" w:eastAsia="宋体" w:cs="宋体"/>
          <w:strike/>
          <w:color w:val="auto"/>
          <w:kern w:val="0"/>
          <w:sz w:val="21"/>
          <w:szCs w:val="21"/>
          <w:highlight w:val="none"/>
        </w:rPr>
      </w:pPr>
      <w:bookmarkStart w:id="389" w:name="_Toc44"/>
      <w:bookmarkStart w:id="390" w:name="_Toc3860"/>
      <w:bookmarkStart w:id="391" w:name="_Toc18799"/>
      <w:bookmarkStart w:id="392" w:name="_Toc8318"/>
      <w:r>
        <w:rPr>
          <w:rStyle w:val="25"/>
          <w:rFonts w:hint="eastAsia" w:ascii="宋体" w:hAnsi="宋体" w:eastAsia="宋体" w:cs="宋体"/>
          <w:b/>
          <w:bCs/>
          <w:color w:val="auto"/>
          <w:kern w:val="0"/>
          <w:sz w:val="21"/>
          <w:szCs w:val="21"/>
          <w:highlight w:val="none"/>
        </w:rPr>
        <w:t>1</w:t>
      </w:r>
      <w:r>
        <w:rPr>
          <w:rStyle w:val="25"/>
          <w:rFonts w:hint="eastAsia" w:hAnsi="宋体" w:cs="宋体"/>
          <w:b/>
          <w:bCs/>
          <w:color w:val="auto"/>
          <w:kern w:val="0"/>
          <w:sz w:val="21"/>
          <w:szCs w:val="21"/>
          <w:highlight w:val="none"/>
          <w:lang w:val="en-US" w:eastAsia="zh-CN"/>
        </w:rPr>
        <w:t>1</w:t>
      </w:r>
      <w:r>
        <w:rPr>
          <w:rStyle w:val="25"/>
          <w:rFonts w:hint="eastAsia" w:ascii="宋体" w:hAnsi="宋体" w:eastAsia="宋体" w:cs="宋体"/>
          <w:b/>
          <w:bCs/>
          <w:color w:val="auto"/>
          <w:kern w:val="0"/>
          <w:sz w:val="21"/>
          <w:szCs w:val="21"/>
          <w:highlight w:val="none"/>
        </w:rPr>
        <w:t>．监督实施</w:t>
      </w:r>
      <w:bookmarkEnd w:id="389"/>
      <w:bookmarkEnd w:id="390"/>
      <w:bookmarkEnd w:id="391"/>
      <w:bookmarkEnd w:id="392"/>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b/>
          <w:bCs/>
          <w:color w:val="auto"/>
          <w:kern w:val="0"/>
          <w:sz w:val="21"/>
          <w:szCs w:val="21"/>
          <w:highlight w:val="none"/>
        </w:rPr>
      </w:pPr>
    </w:p>
    <w:p>
      <w:pPr>
        <w:keepNext w:val="0"/>
        <w:keepLines w:val="0"/>
        <w:pageBreakBefore w:val="0"/>
        <w:widowControl w:val="0"/>
        <w:kinsoku/>
        <w:overflowPunct/>
        <w:topLinePunct w:val="0"/>
        <w:autoSpaceDE/>
        <w:autoSpaceDN/>
        <w:bidi w:val="0"/>
        <w:adjustRightInd/>
        <w:snapToGrid/>
        <w:spacing w:line="400" w:lineRule="exact"/>
        <w:ind w:firstLine="421" w:firstLineChars="200"/>
        <w:outlineLvl w:val="1"/>
        <w:rPr>
          <w:rStyle w:val="25"/>
          <w:rFonts w:hint="eastAsia" w:ascii="宋体" w:hAnsi="宋体" w:eastAsia="宋体" w:cs="宋体"/>
          <w:b/>
          <w:bCs/>
          <w:color w:val="auto"/>
          <w:kern w:val="0"/>
          <w:sz w:val="21"/>
          <w:szCs w:val="21"/>
          <w:highlight w:val="none"/>
        </w:rPr>
      </w:pPr>
      <w:bookmarkStart w:id="393" w:name="_Toc21610"/>
      <w:bookmarkStart w:id="394" w:name="_Toc28078"/>
      <w:bookmarkStart w:id="395" w:name="_Toc24307"/>
      <w:bookmarkStart w:id="396" w:name="_Toc10302"/>
      <w:r>
        <w:rPr>
          <w:rStyle w:val="25"/>
          <w:rFonts w:hint="eastAsia" w:ascii="宋体" w:hAnsi="宋体" w:eastAsia="宋体" w:cs="宋体"/>
          <w:b/>
          <w:bCs/>
          <w:color w:val="auto"/>
          <w:kern w:val="0"/>
          <w:sz w:val="21"/>
          <w:szCs w:val="21"/>
          <w:highlight w:val="none"/>
        </w:rPr>
        <w:t>1</w:t>
      </w:r>
      <w:r>
        <w:rPr>
          <w:rStyle w:val="25"/>
          <w:rFonts w:hint="eastAsia" w:hAnsi="宋体" w:cs="宋体"/>
          <w:b/>
          <w:bCs/>
          <w:color w:val="auto"/>
          <w:kern w:val="0"/>
          <w:sz w:val="21"/>
          <w:szCs w:val="21"/>
          <w:highlight w:val="none"/>
          <w:lang w:val="en-US" w:eastAsia="zh-CN"/>
        </w:rPr>
        <w:t>2</w:t>
      </w:r>
      <w:r>
        <w:rPr>
          <w:rStyle w:val="25"/>
          <w:rFonts w:hint="eastAsia" w:ascii="宋体" w:hAnsi="宋体" w:eastAsia="宋体" w:cs="宋体"/>
          <w:b/>
          <w:bCs/>
          <w:color w:val="auto"/>
          <w:kern w:val="0"/>
          <w:sz w:val="21"/>
          <w:szCs w:val="21"/>
          <w:highlight w:val="none"/>
        </w:rPr>
        <w:t>．主材的采购和使用</w:t>
      </w:r>
      <w:bookmarkEnd w:id="393"/>
      <w:bookmarkEnd w:id="394"/>
      <w:bookmarkEnd w:id="395"/>
      <w:bookmarkEnd w:id="396"/>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b/>
          <w:bCs/>
          <w:color w:val="auto"/>
          <w:kern w:val="0"/>
          <w:sz w:val="21"/>
          <w:szCs w:val="21"/>
          <w:highlight w:val="none"/>
        </w:rPr>
      </w:pPr>
    </w:p>
    <w:p>
      <w:pPr>
        <w:keepNext w:val="0"/>
        <w:keepLines w:val="0"/>
        <w:pageBreakBefore w:val="0"/>
        <w:widowControl w:val="0"/>
        <w:kinsoku/>
        <w:overflowPunct/>
        <w:topLinePunct w:val="0"/>
        <w:autoSpaceDE/>
        <w:autoSpaceDN/>
        <w:bidi w:val="0"/>
        <w:adjustRightInd/>
        <w:snapToGrid/>
        <w:spacing w:line="400" w:lineRule="exact"/>
        <w:ind w:firstLine="421" w:firstLineChars="200"/>
        <w:outlineLvl w:val="1"/>
        <w:rPr>
          <w:rStyle w:val="25"/>
          <w:rFonts w:hint="eastAsia" w:ascii="宋体" w:hAnsi="宋体" w:eastAsia="宋体" w:cs="宋体"/>
          <w:color w:val="auto"/>
          <w:kern w:val="0"/>
          <w:sz w:val="21"/>
          <w:szCs w:val="21"/>
          <w:highlight w:val="none"/>
        </w:rPr>
      </w:pPr>
      <w:bookmarkStart w:id="397" w:name="_Toc24245"/>
      <w:bookmarkStart w:id="398" w:name="_Toc19138"/>
      <w:bookmarkStart w:id="399" w:name="_Toc22629"/>
      <w:bookmarkStart w:id="400" w:name="_Toc16776"/>
      <w:r>
        <w:rPr>
          <w:rStyle w:val="25"/>
          <w:rFonts w:hint="eastAsia" w:ascii="宋体" w:hAnsi="宋体" w:eastAsia="宋体" w:cs="宋体"/>
          <w:b/>
          <w:bCs/>
          <w:color w:val="auto"/>
          <w:kern w:val="0"/>
          <w:sz w:val="21"/>
          <w:szCs w:val="21"/>
          <w:highlight w:val="none"/>
        </w:rPr>
        <w:t>1</w:t>
      </w:r>
      <w:r>
        <w:rPr>
          <w:rStyle w:val="25"/>
          <w:rFonts w:hint="eastAsia" w:hAnsi="宋体" w:cs="宋体"/>
          <w:b/>
          <w:bCs/>
          <w:color w:val="auto"/>
          <w:kern w:val="0"/>
          <w:sz w:val="21"/>
          <w:szCs w:val="21"/>
          <w:highlight w:val="none"/>
          <w:lang w:val="en-US" w:eastAsia="zh-CN"/>
        </w:rPr>
        <w:t>3</w:t>
      </w:r>
      <w:r>
        <w:rPr>
          <w:rStyle w:val="25"/>
          <w:rFonts w:hint="eastAsia" w:ascii="宋体" w:hAnsi="宋体" w:eastAsia="宋体" w:cs="宋体"/>
          <w:b/>
          <w:bCs/>
          <w:color w:val="auto"/>
          <w:kern w:val="0"/>
          <w:sz w:val="21"/>
          <w:szCs w:val="21"/>
          <w:highlight w:val="none"/>
        </w:rPr>
        <w:t>．竣工资料移交</w:t>
      </w:r>
      <w:bookmarkEnd w:id="397"/>
      <w:bookmarkEnd w:id="398"/>
      <w:bookmarkEnd w:id="399"/>
      <w:bookmarkEnd w:id="400"/>
    </w:p>
    <w:p>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工程竣工验收时，承包人应向监理单位和发包人提供符合国家档案部门备案要求的，编制成册的竣工图及有关的技术档案资料（含纸质、声像及电子等形式的档案）一式</w:t>
      </w:r>
      <w:r>
        <w:rPr>
          <w:rStyle w:val="25"/>
          <w:rFonts w:hint="eastAsia" w:hAnsi="宋体" w:cs="宋体"/>
          <w:color w:val="auto"/>
          <w:kern w:val="0"/>
          <w:sz w:val="21"/>
          <w:szCs w:val="21"/>
          <w:highlight w:val="none"/>
          <w:u w:val="single"/>
          <w:lang w:val="en-US" w:eastAsia="zh-CN"/>
        </w:rPr>
        <w:t>八</w:t>
      </w:r>
      <w:r>
        <w:rPr>
          <w:rStyle w:val="25"/>
          <w:rFonts w:hint="eastAsia" w:ascii="宋体" w:hAnsi="宋体" w:eastAsia="宋体" w:cs="宋体"/>
          <w:color w:val="auto"/>
          <w:kern w:val="0"/>
          <w:sz w:val="21"/>
          <w:szCs w:val="21"/>
          <w:highlight w:val="none"/>
        </w:rPr>
        <w:t>份，制作费用由承包人承担。</w:t>
      </w:r>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b/>
          <w:bCs/>
          <w:color w:val="auto"/>
          <w:kern w:val="0"/>
          <w:sz w:val="21"/>
          <w:szCs w:val="21"/>
          <w:highlight w:val="none"/>
        </w:rPr>
      </w:pPr>
    </w:p>
    <w:p>
      <w:pPr>
        <w:keepNext w:val="0"/>
        <w:keepLines w:val="0"/>
        <w:pageBreakBefore w:val="0"/>
        <w:widowControl w:val="0"/>
        <w:kinsoku/>
        <w:overflowPunct/>
        <w:topLinePunct w:val="0"/>
        <w:autoSpaceDE/>
        <w:autoSpaceDN/>
        <w:bidi w:val="0"/>
        <w:adjustRightInd/>
        <w:snapToGrid/>
        <w:spacing w:line="400" w:lineRule="exact"/>
        <w:ind w:firstLine="421" w:firstLineChars="200"/>
        <w:outlineLvl w:val="1"/>
        <w:rPr>
          <w:rStyle w:val="25"/>
          <w:rFonts w:hint="eastAsia" w:ascii="宋体" w:hAnsi="宋体" w:eastAsia="宋体" w:cs="宋体"/>
          <w:color w:val="auto"/>
          <w:kern w:val="0"/>
          <w:sz w:val="21"/>
          <w:szCs w:val="21"/>
          <w:highlight w:val="none"/>
        </w:rPr>
      </w:pPr>
      <w:bookmarkStart w:id="401" w:name="_Toc27833"/>
      <w:bookmarkStart w:id="402" w:name="_Toc29913"/>
      <w:bookmarkStart w:id="403" w:name="_Toc27572"/>
      <w:bookmarkStart w:id="404" w:name="_Toc17202"/>
      <w:r>
        <w:rPr>
          <w:rStyle w:val="25"/>
          <w:rFonts w:hint="eastAsia" w:ascii="宋体" w:hAnsi="宋体" w:eastAsia="宋体" w:cs="宋体"/>
          <w:b/>
          <w:bCs/>
          <w:color w:val="auto"/>
          <w:kern w:val="0"/>
          <w:sz w:val="21"/>
          <w:szCs w:val="21"/>
          <w:highlight w:val="none"/>
        </w:rPr>
        <w:t>1</w:t>
      </w:r>
      <w:r>
        <w:rPr>
          <w:rStyle w:val="25"/>
          <w:rFonts w:hint="eastAsia" w:hAnsi="宋体" w:cs="宋体"/>
          <w:b/>
          <w:bCs/>
          <w:color w:val="auto"/>
          <w:kern w:val="0"/>
          <w:sz w:val="21"/>
          <w:szCs w:val="21"/>
          <w:highlight w:val="none"/>
          <w:lang w:val="en-US" w:eastAsia="zh-CN"/>
        </w:rPr>
        <w:t>4</w:t>
      </w:r>
      <w:r>
        <w:rPr>
          <w:rStyle w:val="25"/>
          <w:rFonts w:hint="eastAsia" w:ascii="宋体" w:hAnsi="宋体" w:eastAsia="宋体" w:cs="宋体"/>
          <w:b/>
          <w:bCs/>
          <w:color w:val="auto"/>
          <w:kern w:val="0"/>
          <w:sz w:val="21"/>
          <w:szCs w:val="21"/>
          <w:highlight w:val="none"/>
        </w:rPr>
        <w:t>．质量保证</w:t>
      </w:r>
      <w:bookmarkEnd w:id="401"/>
      <w:bookmarkEnd w:id="402"/>
      <w:bookmarkEnd w:id="403"/>
      <w:bookmarkEnd w:id="404"/>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b/>
          <w:bCs/>
          <w:color w:val="auto"/>
          <w:kern w:val="0"/>
          <w:sz w:val="21"/>
          <w:szCs w:val="21"/>
          <w:highlight w:val="none"/>
        </w:rPr>
        <w:t>1</w:t>
      </w:r>
      <w:r>
        <w:rPr>
          <w:rStyle w:val="25"/>
          <w:rFonts w:hint="eastAsia" w:hAnsi="宋体" w:cs="宋体"/>
          <w:b/>
          <w:bCs/>
          <w:color w:val="auto"/>
          <w:kern w:val="0"/>
          <w:sz w:val="21"/>
          <w:szCs w:val="21"/>
          <w:highlight w:val="none"/>
          <w:lang w:val="en-US" w:eastAsia="zh-CN"/>
        </w:rPr>
        <w:t>5</w:t>
      </w:r>
      <w:r>
        <w:rPr>
          <w:rStyle w:val="25"/>
          <w:rFonts w:hint="eastAsia" w:ascii="宋体" w:hAnsi="宋体" w:eastAsia="宋体" w:cs="宋体"/>
          <w:b/>
          <w:bCs/>
          <w:color w:val="auto"/>
          <w:kern w:val="0"/>
          <w:sz w:val="21"/>
          <w:szCs w:val="21"/>
          <w:highlight w:val="none"/>
        </w:rPr>
        <w:t>.1</w:t>
      </w:r>
      <w:r>
        <w:rPr>
          <w:rStyle w:val="25"/>
          <w:rFonts w:hint="eastAsia" w:ascii="宋体" w:hAnsi="宋体" w:eastAsia="宋体" w:cs="宋体"/>
          <w:color w:val="auto"/>
          <w:kern w:val="0"/>
          <w:sz w:val="21"/>
          <w:szCs w:val="21"/>
          <w:highlight w:val="none"/>
        </w:rPr>
        <w:t xml:space="preserve"> 本工程缺陷责任期为</w:t>
      </w:r>
      <w:r>
        <w:rPr>
          <w:rStyle w:val="25"/>
          <w:rFonts w:hint="eastAsia" w:ascii="宋体" w:hAnsi="宋体" w:eastAsia="宋体" w:cs="宋体"/>
          <w:color w:val="auto"/>
          <w:kern w:val="0"/>
          <w:sz w:val="21"/>
          <w:szCs w:val="21"/>
          <w:highlight w:val="none"/>
          <w:u w:val="single"/>
        </w:rPr>
        <w:t>2</w:t>
      </w:r>
      <w:r>
        <w:rPr>
          <w:rStyle w:val="25"/>
          <w:rFonts w:hint="eastAsia" w:ascii="宋体" w:hAnsi="宋体" w:eastAsia="宋体" w:cs="宋体"/>
          <w:color w:val="auto"/>
          <w:kern w:val="0"/>
          <w:sz w:val="21"/>
          <w:szCs w:val="21"/>
          <w:highlight w:val="none"/>
        </w:rPr>
        <w:t>年（自通过竣工验收之日起计），在此期间预留金额为结算价</w:t>
      </w:r>
      <w:r>
        <w:rPr>
          <w:rStyle w:val="25"/>
          <w:rFonts w:hint="eastAsia" w:ascii="宋体" w:hAnsi="宋体" w:eastAsia="宋体" w:cs="宋体"/>
          <w:b/>
          <w:bCs/>
          <w:color w:val="auto"/>
          <w:kern w:val="0"/>
          <w:sz w:val="21"/>
          <w:szCs w:val="21"/>
          <w:highlight w:val="none"/>
          <w:u w:val="single"/>
        </w:rPr>
        <w:t xml:space="preserve">3% </w:t>
      </w:r>
      <w:r>
        <w:rPr>
          <w:rStyle w:val="25"/>
          <w:rFonts w:hint="eastAsia" w:ascii="宋体" w:hAnsi="宋体" w:eastAsia="宋体" w:cs="宋体"/>
          <w:b/>
          <w:bCs/>
          <w:color w:val="auto"/>
          <w:kern w:val="0"/>
          <w:sz w:val="21"/>
          <w:szCs w:val="21"/>
          <w:highlight w:val="none"/>
        </w:rPr>
        <w:t>的</w:t>
      </w:r>
      <w:r>
        <w:rPr>
          <w:rStyle w:val="25"/>
          <w:rFonts w:hint="eastAsia" w:ascii="宋体" w:hAnsi="宋体" w:eastAsia="宋体" w:cs="宋体"/>
          <w:color w:val="auto"/>
          <w:kern w:val="0"/>
          <w:sz w:val="21"/>
          <w:szCs w:val="21"/>
          <w:highlight w:val="none"/>
        </w:rPr>
        <w:t>质量保证。</w:t>
      </w:r>
    </w:p>
    <w:p>
      <w:pPr>
        <w:keepNext w:val="0"/>
        <w:keepLines w:val="0"/>
        <w:pageBreakBefore w:val="0"/>
        <w:widowControl w:val="0"/>
        <w:kinsoku/>
        <w:overflowPunct/>
        <w:topLinePunct w:val="0"/>
        <w:autoSpaceDE/>
        <w:autoSpaceDN/>
        <w:bidi w:val="0"/>
        <w:adjustRightInd/>
        <w:snapToGrid/>
        <w:spacing w:line="400" w:lineRule="exact"/>
        <w:ind w:firstLine="421"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b/>
          <w:bCs/>
          <w:color w:val="auto"/>
          <w:kern w:val="0"/>
          <w:sz w:val="21"/>
          <w:szCs w:val="21"/>
          <w:highlight w:val="none"/>
        </w:rPr>
        <w:t>1</w:t>
      </w:r>
      <w:r>
        <w:rPr>
          <w:rStyle w:val="25"/>
          <w:rFonts w:hint="eastAsia" w:hAnsi="宋体" w:cs="宋体"/>
          <w:b/>
          <w:bCs/>
          <w:color w:val="auto"/>
          <w:kern w:val="0"/>
          <w:sz w:val="21"/>
          <w:szCs w:val="21"/>
          <w:highlight w:val="none"/>
          <w:lang w:val="en-US" w:eastAsia="zh-CN"/>
        </w:rPr>
        <w:t>5</w:t>
      </w:r>
      <w:r>
        <w:rPr>
          <w:rStyle w:val="25"/>
          <w:rFonts w:hint="eastAsia" w:ascii="宋体" w:hAnsi="宋体" w:eastAsia="宋体" w:cs="宋体"/>
          <w:b/>
          <w:bCs/>
          <w:color w:val="auto"/>
          <w:kern w:val="0"/>
          <w:sz w:val="21"/>
          <w:szCs w:val="21"/>
          <w:highlight w:val="none"/>
        </w:rPr>
        <w:t>.2</w:t>
      </w:r>
      <w:r>
        <w:rPr>
          <w:rStyle w:val="25"/>
          <w:rFonts w:hint="eastAsia" w:ascii="宋体" w:hAnsi="宋体" w:eastAsia="宋体" w:cs="宋体"/>
          <w:color w:val="auto"/>
          <w:kern w:val="0"/>
          <w:sz w:val="21"/>
          <w:szCs w:val="21"/>
          <w:highlight w:val="none"/>
        </w:rPr>
        <w:t xml:space="preserve"> 质量保证的形式包括质量保证金、质量保证担保、质量保证保险三种，由承包人自主选择。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baseline"/>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（1）采用质量保证金形式的，在结清审定总造价时一次性扣留相应金额作为质量保证金。</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baseline"/>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（2）</w:t>
      </w:r>
      <w:r>
        <w:rPr>
          <w:rFonts w:hint="eastAsia" w:ascii="宋体" w:hAnsi="宋体" w:eastAsia="宋体" w:cs="宋体"/>
          <w:bCs/>
          <w:snapToGrid w:val="0"/>
          <w:color w:val="auto"/>
          <w:kern w:val="0"/>
          <w:sz w:val="21"/>
          <w:szCs w:val="21"/>
          <w:highlight w:val="none"/>
        </w:rPr>
        <w:t>采用质量保证担保或质量保证保险的，承包人应在竣工验收时向发包人提交有效的银行保函或保险合同（或保险单）原件，银行保函或保险合同（或保险单）的有效期不得短于缺陷责任期。</w:t>
      </w:r>
    </w:p>
    <w:p>
      <w:pPr>
        <w:keepNext w:val="0"/>
        <w:keepLines w:val="0"/>
        <w:pageBreakBefore w:val="0"/>
        <w:widowControl w:val="0"/>
        <w:kinsoku/>
        <w:overflowPunct/>
        <w:topLinePunct w:val="0"/>
        <w:autoSpaceDE/>
        <w:autoSpaceDN/>
        <w:bidi w:val="0"/>
        <w:adjustRightInd/>
        <w:snapToGrid/>
        <w:spacing w:line="420" w:lineRule="exact"/>
        <w:ind w:firstLine="421"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b/>
          <w:bCs/>
          <w:color w:val="auto"/>
          <w:kern w:val="0"/>
          <w:sz w:val="21"/>
          <w:szCs w:val="21"/>
          <w:highlight w:val="none"/>
        </w:rPr>
        <w:t>1</w:t>
      </w:r>
      <w:r>
        <w:rPr>
          <w:rStyle w:val="25"/>
          <w:rFonts w:hint="eastAsia" w:hAnsi="宋体" w:cs="宋体"/>
          <w:b/>
          <w:bCs/>
          <w:color w:val="auto"/>
          <w:kern w:val="0"/>
          <w:sz w:val="21"/>
          <w:szCs w:val="21"/>
          <w:highlight w:val="none"/>
          <w:lang w:val="en-US" w:eastAsia="zh-CN"/>
        </w:rPr>
        <w:t>5</w:t>
      </w:r>
      <w:r>
        <w:rPr>
          <w:rStyle w:val="25"/>
          <w:rFonts w:hint="eastAsia" w:ascii="宋体" w:hAnsi="宋体" w:eastAsia="宋体" w:cs="宋体"/>
          <w:b/>
          <w:bCs/>
          <w:color w:val="auto"/>
          <w:kern w:val="0"/>
          <w:sz w:val="21"/>
          <w:szCs w:val="21"/>
          <w:highlight w:val="none"/>
        </w:rPr>
        <w:t>.3</w:t>
      </w:r>
      <w:r>
        <w:rPr>
          <w:rStyle w:val="25"/>
          <w:rFonts w:hint="eastAsia" w:ascii="宋体" w:hAnsi="宋体" w:eastAsia="宋体" w:cs="宋体"/>
          <w:color w:val="auto"/>
          <w:kern w:val="0"/>
          <w:sz w:val="21"/>
          <w:szCs w:val="21"/>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pPr>
        <w:keepNext w:val="0"/>
        <w:keepLines w:val="0"/>
        <w:pageBreakBefore w:val="0"/>
        <w:widowControl w:val="0"/>
        <w:kinsoku/>
        <w:overflowPunct/>
        <w:topLinePunct w:val="0"/>
        <w:autoSpaceDE/>
        <w:autoSpaceDN/>
        <w:bidi w:val="0"/>
        <w:adjustRightInd/>
        <w:snapToGrid/>
        <w:spacing w:line="42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由他人原因造成的缺陷，发包人负责组织维修，承包人不承担费用，且发包人不得从质量保证中扣除费用。</w:t>
      </w:r>
    </w:p>
    <w:p>
      <w:pPr>
        <w:keepNext w:val="0"/>
        <w:keepLines w:val="0"/>
        <w:pageBreakBefore w:val="0"/>
        <w:widowControl w:val="0"/>
        <w:kinsoku/>
        <w:overflowPunct/>
        <w:topLinePunct w:val="0"/>
        <w:autoSpaceDE/>
        <w:autoSpaceDN/>
        <w:bidi w:val="0"/>
        <w:adjustRightInd/>
        <w:snapToGrid/>
        <w:spacing w:line="420" w:lineRule="exact"/>
        <w:ind w:firstLine="421"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b/>
          <w:bCs/>
          <w:color w:val="auto"/>
          <w:kern w:val="0"/>
          <w:sz w:val="21"/>
          <w:szCs w:val="21"/>
          <w:highlight w:val="none"/>
        </w:rPr>
        <w:t>1</w:t>
      </w:r>
      <w:r>
        <w:rPr>
          <w:rStyle w:val="25"/>
          <w:rFonts w:hint="eastAsia" w:hAnsi="宋体" w:cs="宋体"/>
          <w:b/>
          <w:bCs/>
          <w:color w:val="auto"/>
          <w:kern w:val="0"/>
          <w:sz w:val="21"/>
          <w:szCs w:val="21"/>
          <w:highlight w:val="none"/>
          <w:lang w:val="en-US" w:eastAsia="zh-CN"/>
        </w:rPr>
        <w:t>5</w:t>
      </w:r>
      <w:r>
        <w:rPr>
          <w:rStyle w:val="25"/>
          <w:rFonts w:hint="eastAsia" w:ascii="宋体" w:hAnsi="宋体" w:eastAsia="宋体" w:cs="宋体"/>
          <w:b/>
          <w:bCs/>
          <w:color w:val="auto"/>
          <w:kern w:val="0"/>
          <w:sz w:val="21"/>
          <w:szCs w:val="21"/>
          <w:highlight w:val="none"/>
        </w:rPr>
        <w:t>.4</w:t>
      </w:r>
      <w:r>
        <w:rPr>
          <w:rStyle w:val="25"/>
          <w:rFonts w:hint="eastAsia" w:ascii="宋体" w:hAnsi="宋体" w:eastAsia="宋体" w:cs="宋体"/>
          <w:color w:val="auto"/>
          <w:kern w:val="0"/>
          <w:sz w:val="21"/>
          <w:szCs w:val="21"/>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pPr>
        <w:keepNext w:val="0"/>
        <w:keepLines w:val="0"/>
        <w:pageBreakBefore w:val="0"/>
        <w:widowControl w:val="0"/>
        <w:kinsoku/>
        <w:overflowPunct/>
        <w:topLinePunct w:val="0"/>
        <w:autoSpaceDE/>
        <w:autoSpaceDN/>
        <w:bidi w:val="0"/>
        <w:adjustRightInd/>
        <w:snapToGrid/>
        <w:spacing w:line="420" w:lineRule="exact"/>
        <w:ind w:firstLine="421" w:firstLineChars="200"/>
        <w:rPr>
          <w:rStyle w:val="25"/>
          <w:rFonts w:hint="eastAsia" w:ascii="宋体" w:hAnsi="宋体" w:eastAsia="宋体" w:cs="宋体"/>
          <w:b/>
          <w:bCs/>
          <w:color w:val="auto"/>
          <w:kern w:val="0"/>
          <w:sz w:val="21"/>
          <w:szCs w:val="21"/>
          <w:highlight w:val="none"/>
        </w:rPr>
      </w:pPr>
    </w:p>
    <w:p>
      <w:pPr>
        <w:keepNext w:val="0"/>
        <w:keepLines w:val="0"/>
        <w:pageBreakBefore w:val="0"/>
        <w:widowControl w:val="0"/>
        <w:kinsoku/>
        <w:overflowPunct/>
        <w:topLinePunct w:val="0"/>
        <w:autoSpaceDE/>
        <w:autoSpaceDN/>
        <w:bidi w:val="0"/>
        <w:adjustRightInd/>
        <w:snapToGrid/>
        <w:spacing w:line="420" w:lineRule="exact"/>
        <w:ind w:firstLine="421" w:firstLineChars="200"/>
        <w:outlineLvl w:val="1"/>
        <w:rPr>
          <w:rStyle w:val="25"/>
          <w:rFonts w:hint="eastAsia" w:ascii="宋体" w:hAnsi="宋体" w:eastAsia="宋体" w:cs="宋体"/>
          <w:strike/>
          <w:color w:val="auto"/>
          <w:kern w:val="0"/>
          <w:sz w:val="21"/>
          <w:szCs w:val="21"/>
          <w:highlight w:val="none"/>
        </w:rPr>
      </w:pPr>
      <w:bookmarkStart w:id="405" w:name="_Toc18771"/>
      <w:bookmarkStart w:id="406" w:name="_Toc9083"/>
      <w:bookmarkStart w:id="407" w:name="_Toc19182"/>
      <w:bookmarkStart w:id="408" w:name="_Toc11237"/>
      <w:r>
        <w:rPr>
          <w:rStyle w:val="25"/>
          <w:rFonts w:hint="eastAsia" w:ascii="宋体" w:hAnsi="宋体" w:eastAsia="宋体" w:cs="宋体"/>
          <w:b/>
          <w:bCs/>
          <w:color w:val="auto"/>
          <w:kern w:val="0"/>
          <w:sz w:val="21"/>
          <w:szCs w:val="21"/>
          <w:highlight w:val="none"/>
        </w:rPr>
        <w:t>1</w:t>
      </w:r>
      <w:r>
        <w:rPr>
          <w:rStyle w:val="25"/>
          <w:rFonts w:hint="eastAsia" w:hAnsi="宋体" w:cs="宋体"/>
          <w:b/>
          <w:bCs/>
          <w:color w:val="auto"/>
          <w:kern w:val="0"/>
          <w:sz w:val="21"/>
          <w:szCs w:val="21"/>
          <w:highlight w:val="none"/>
          <w:lang w:val="en-US" w:eastAsia="zh-CN"/>
        </w:rPr>
        <w:t>5</w:t>
      </w:r>
      <w:r>
        <w:rPr>
          <w:rStyle w:val="25"/>
          <w:rFonts w:hint="eastAsia" w:ascii="宋体" w:hAnsi="宋体" w:eastAsia="宋体" w:cs="宋体"/>
          <w:b/>
          <w:bCs/>
          <w:color w:val="auto"/>
          <w:kern w:val="0"/>
          <w:sz w:val="21"/>
          <w:szCs w:val="21"/>
          <w:highlight w:val="none"/>
        </w:rPr>
        <w:t>．不良行为处理</w:t>
      </w:r>
      <w:bookmarkEnd w:id="405"/>
      <w:bookmarkEnd w:id="406"/>
      <w:bookmarkEnd w:id="407"/>
      <w:bookmarkEnd w:id="408"/>
    </w:p>
    <w:p>
      <w:pPr>
        <w:pStyle w:val="40"/>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承包人及其有关人员有下列行为之一的，发包人应及时向建设行政主管部门报告</w:t>
      </w:r>
      <w:r>
        <w:rPr>
          <w:rStyle w:val="25"/>
          <w:rFonts w:hint="eastAsia" w:ascii="宋体" w:hAnsi="宋体" w:cs="宋体"/>
          <w:color w:val="auto"/>
          <w:kern w:val="0"/>
          <w:sz w:val="21"/>
          <w:szCs w:val="21"/>
          <w:highlight w:val="none"/>
          <w:lang w:eastAsia="zh-CN"/>
        </w:rPr>
        <w:t>。</w:t>
      </w:r>
      <w:r>
        <w:rPr>
          <w:rStyle w:val="25"/>
          <w:rFonts w:hint="eastAsia" w:ascii="宋体" w:hAnsi="宋体" w:cs="宋体"/>
          <w:color w:val="auto"/>
          <w:kern w:val="0"/>
          <w:sz w:val="21"/>
          <w:szCs w:val="21"/>
          <w:highlight w:val="none"/>
          <w:lang w:val="en-US" w:eastAsia="zh-CN"/>
        </w:rPr>
        <w:t>除</w:t>
      </w:r>
      <w:r>
        <w:rPr>
          <w:rStyle w:val="25"/>
          <w:rFonts w:hint="eastAsia" w:ascii="宋体" w:hAnsi="宋体" w:eastAsia="宋体" w:cs="宋体"/>
          <w:color w:val="auto"/>
          <w:kern w:val="0"/>
          <w:sz w:val="21"/>
          <w:szCs w:val="21"/>
          <w:highlight w:val="none"/>
        </w:rPr>
        <w:t>按照有关法律、法规进行处罚</w:t>
      </w:r>
      <w:r>
        <w:rPr>
          <w:rFonts w:hint="eastAsia"/>
          <w:strike w:val="0"/>
          <w:dstrike w:val="0"/>
          <w:snapToGrid w:val="0"/>
          <w:color w:val="auto"/>
          <w:kern w:val="0"/>
          <w:sz w:val="21"/>
          <w:szCs w:val="21"/>
          <w:highlight w:val="none"/>
        </w:rPr>
        <w:t>外，不良行为将计入企业及有关个人诚信档案，并在韶关市住房和城乡建设管理局网站公示。</w:t>
      </w:r>
    </w:p>
    <w:p>
      <w:pPr>
        <w:pStyle w:val="40"/>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（1）转包、违法分包或违反投标承诺分包工程的；</w:t>
      </w:r>
    </w:p>
    <w:p>
      <w:pPr>
        <w:pStyle w:val="40"/>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（2）非原参加投标中标的项目经理负责组织施工或在实施过程中擅自更换项目经理的、项目的其他主要管理人员与中标文件确定的人员不相符的；</w:t>
      </w:r>
    </w:p>
    <w:p>
      <w:pPr>
        <w:pStyle w:val="40"/>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（3）投标文件确定的大型机械设备没有进入施工现场的；</w:t>
      </w:r>
    </w:p>
    <w:p>
      <w:pPr>
        <w:pStyle w:val="40"/>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（4）与建设单位、监理单位串通，签认虚假工程量或工程造价的；</w:t>
      </w:r>
    </w:p>
    <w:p>
      <w:pPr>
        <w:pStyle w:val="40"/>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（5）项目经理施工现场管理不到位的；</w:t>
      </w:r>
    </w:p>
    <w:p>
      <w:pPr>
        <w:pStyle w:val="40"/>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（6）项目经理在非本人资格证书注册单位从事工程项目施工管理的；</w:t>
      </w:r>
    </w:p>
    <w:p>
      <w:pPr>
        <w:pStyle w:val="40"/>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（7）项目经理同时承担超过一项工程项目的；</w:t>
      </w:r>
    </w:p>
    <w:p>
      <w:pPr>
        <w:pStyle w:val="40"/>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（8）违反有关法律、法规、规章规定的其它行为。</w:t>
      </w:r>
    </w:p>
    <w:p>
      <w:pPr>
        <w:keepNext w:val="0"/>
        <w:keepLines w:val="0"/>
        <w:pageBreakBefore w:val="0"/>
        <w:widowControl w:val="0"/>
        <w:kinsoku/>
        <w:overflowPunct/>
        <w:topLinePunct w:val="0"/>
        <w:autoSpaceDE/>
        <w:autoSpaceDN/>
        <w:bidi w:val="0"/>
        <w:adjustRightInd/>
        <w:snapToGrid/>
        <w:spacing w:line="420" w:lineRule="exact"/>
        <w:ind w:firstLine="421" w:firstLineChars="200"/>
        <w:rPr>
          <w:rStyle w:val="25"/>
          <w:rFonts w:hint="eastAsia" w:ascii="宋体" w:hAnsi="宋体" w:eastAsia="宋体" w:cs="宋体"/>
          <w:b/>
          <w:bCs/>
          <w:color w:val="auto"/>
          <w:kern w:val="0"/>
          <w:sz w:val="21"/>
          <w:szCs w:val="21"/>
          <w:highlight w:val="none"/>
        </w:rPr>
      </w:pPr>
    </w:p>
    <w:p>
      <w:pPr>
        <w:pStyle w:val="40"/>
        <w:keepNext w:val="0"/>
        <w:keepLines w:val="0"/>
        <w:pageBreakBefore w:val="0"/>
        <w:widowControl w:val="0"/>
        <w:kinsoku/>
        <w:overflowPunct/>
        <w:topLinePunct w:val="0"/>
        <w:autoSpaceDE/>
        <w:autoSpaceDN/>
        <w:bidi w:val="0"/>
        <w:adjustRightInd/>
        <w:snapToGrid/>
        <w:spacing w:line="420" w:lineRule="exact"/>
        <w:ind w:firstLine="421" w:firstLineChars="200"/>
        <w:jc w:val="left"/>
        <w:outlineLvl w:val="1"/>
        <w:rPr>
          <w:rStyle w:val="25"/>
          <w:rFonts w:hint="eastAsia" w:ascii="宋体" w:hAnsi="宋体" w:eastAsia="宋体" w:cs="宋体"/>
          <w:b/>
          <w:bCs/>
          <w:color w:val="auto"/>
          <w:kern w:val="0"/>
          <w:sz w:val="21"/>
          <w:szCs w:val="21"/>
          <w:highlight w:val="none"/>
        </w:rPr>
      </w:pPr>
      <w:bookmarkStart w:id="409" w:name="_Toc27340"/>
      <w:bookmarkStart w:id="410" w:name="_Toc27860"/>
      <w:bookmarkStart w:id="411" w:name="_Toc28233"/>
      <w:bookmarkStart w:id="412" w:name="_Toc31320"/>
      <w:r>
        <w:rPr>
          <w:rStyle w:val="25"/>
          <w:rFonts w:hint="eastAsia" w:ascii="宋体" w:hAnsi="宋体" w:eastAsia="宋体" w:cs="宋体"/>
          <w:b/>
          <w:bCs/>
          <w:color w:val="auto"/>
          <w:kern w:val="0"/>
          <w:sz w:val="21"/>
          <w:szCs w:val="21"/>
          <w:highlight w:val="none"/>
        </w:rPr>
        <w:t>1</w:t>
      </w:r>
      <w:r>
        <w:rPr>
          <w:rStyle w:val="25"/>
          <w:rFonts w:hint="eastAsia" w:ascii="宋体" w:hAnsi="宋体" w:cs="宋体"/>
          <w:b/>
          <w:bCs/>
          <w:color w:val="auto"/>
          <w:kern w:val="0"/>
          <w:sz w:val="21"/>
          <w:szCs w:val="21"/>
          <w:highlight w:val="none"/>
          <w:lang w:val="en-US" w:eastAsia="zh-CN"/>
        </w:rPr>
        <w:t>6</w:t>
      </w:r>
      <w:r>
        <w:rPr>
          <w:rStyle w:val="25"/>
          <w:rFonts w:hint="eastAsia" w:ascii="宋体" w:hAnsi="宋体" w:eastAsia="宋体" w:cs="宋体"/>
          <w:b/>
          <w:bCs/>
          <w:color w:val="auto"/>
          <w:kern w:val="0"/>
          <w:sz w:val="21"/>
          <w:szCs w:val="21"/>
          <w:highlight w:val="none"/>
        </w:rPr>
        <w:t>．信用评价条款内容</w:t>
      </w:r>
      <w:bookmarkEnd w:id="409"/>
      <w:bookmarkEnd w:id="410"/>
      <w:bookmarkEnd w:id="411"/>
      <w:bookmarkEnd w:id="412"/>
    </w:p>
    <w:p>
      <w:pPr>
        <w:pStyle w:val="42"/>
        <w:keepNext w:val="0"/>
        <w:keepLines w:val="0"/>
        <w:pageBreakBefore w:val="0"/>
        <w:widowControl w:val="0"/>
        <w:kinsoku/>
        <w:overflowPunct/>
        <w:topLinePunct w:val="0"/>
        <w:autoSpaceDE/>
        <w:autoSpaceDN/>
        <w:bidi w:val="0"/>
        <w:adjustRightInd/>
        <w:snapToGrid/>
        <w:spacing w:line="420" w:lineRule="exact"/>
        <w:ind w:firstLine="420" w:firstLineChars="200"/>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pPr>
        <w:pStyle w:val="40"/>
        <w:keepNext w:val="0"/>
        <w:keepLines w:val="0"/>
        <w:pageBreakBefore w:val="0"/>
        <w:widowControl w:val="0"/>
        <w:kinsoku/>
        <w:overflowPunct/>
        <w:topLinePunct w:val="0"/>
        <w:autoSpaceDE/>
        <w:autoSpaceDN/>
        <w:bidi w:val="0"/>
        <w:adjustRightInd/>
        <w:snapToGrid/>
        <w:spacing w:line="420" w:lineRule="exact"/>
        <w:ind w:firstLine="421" w:firstLineChars="200"/>
        <w:jc w:val="left"/>
        <w:outlineLvl w:val="1"/>
        <w:rPr>
          <w:rStyle w:val="25"/>
          <w:rFonts w:hint="eastAsia" w:ascii="宋体" w:hAnsi="宋体" w:eastAsia="宋体" w:cs="宋体"/>
          <w:b/>
          <w:bCs/>
          <w:color w:val="auto"/>
          <w:kern w:val="0"/>
          <w:sz w:val="21"/>
          <w:szCs w:val="21"/>
          <w:highlight w:val="none"/>
        </w:rPr>
      </w:pPr>
      <w:bookmarkStart w:id="413" w:name="_Toc8699"/>
      <w:bookmarkStart w:id="414" w:name="_Toc12688"/>
      <w:bookmarkStart w:id="415" w:name="_Toc1069"/>
      <w:r>
        <w:rPr>
          <w:rStyle w:val="25"/>
          <w:rFonts w:hint="eastAsia" w:ascii="宋体" w:hAnsi="宋体" w:eastAsia="宋体" w:cs="宋体"/>
          <w:b/>
          <w:bCs/>
          <w:color w:val="auto"/>
          <w:kern w:val="0"/>
          <w:sz w:val="21"/>
          <w:szCs w:val="21"/>
          <w:highlight w:val="none"/>
          <w:lang w:val="en-US" w:eastAsia="zh-CN"/>
        </w:rPr>
        <w:t>1</w:t>
      </w:r>
      <w:r>
        <w:rPr>
          <w:rStyle w:val="25"/>
          <w:rFonts w:hint="eastAsia" w:ascii="宋体" w:hAnsi="宋体" w:cs="宋体"/>
          <w:b/>
          <w:bCs/>
          <w:color w:val="auto"/>
          <w:kern w:val="0"/>
          <w:sz w:val="21"/>
          <w:szCs w:val="21"/>
          <w:highlight w:val="none"/>
          <w:lang w:val="en-US" w:eastAsia="zh-CN"/>
        </w:rPr>
        <w:t>7</w:t>
      </w:r>
      <w:r>
        <w:rPr>
          <w:rStyle w:val="25"/>
          <w:rFonts w:hint="eastAsia" w:ascii="宋体" w:hAnsi="宋体" w:eastAsia="宋体" w:cs="宋体"/>
          <w:b/>
          <w:bCs/>
          <w:color w:val="auto"/>
          <w:kern w:val="0"/>
          <w:sz w:val="21"/>
          <w:szCs w:val="21"/>
          <w:highlight w:val="none"/>
          <w:lang w:val="en-US" w:eastAsia="zh-CN"/>
        </w:rPr>
        <w:t>.</w:t>
      </w:r>
      <w:r>
        <w:rPr>
          <w:rStyle w:val="25"/>
          <w:rFonts w:hint="eastAsia" w:ascii="宋体" w:hAnsi="宋体" w:eastAsia="宋体" w:cs="宋体"/>
          <w:b/>
          <w:bCs/>
          <w:color w:val="auto"/>
          <w:kern w:val="0"/>
          <w:sz w:val="21"/>
          <w:szCs w:val="21"/>
          <w:highlight w:val="none"/>
        </w:rPr>
        <w:t>危险性较大的分部分项工程安全管理约定。</w:t>
      </w:r>
      <w:r>
        <w:rPr>
          <w:rStyle w:val="25"/>
          <w:rFonts w:hint="eastAsia" w:ascii="宋体" w:hAnsi="宋体" w:eastAsia="宋体" w:cs="宋体"/>
          <w:b/>
          <w:bCs/>
          <w:color w:val="auto"/>
          <w:kern w:val="0"/>
          <w:sz w:val="21"/>
          <w:szCs w:val="21"/>
          <w:highlight w:val="none"/>
          <w:lang w:eastAsia="zh-CN"/>
        </w:rPr>
        <w:t>（</w:t>
      </w:r>
      <w:r>
        <w:rPr>
          <w:rStyle w:val="25"/>
          <w:rFonts w:hint="eastAsia" w:ascii="宋体" w:hAnsi="宋体" w:eastAsia="宋体" w:cs="宋体"/>
          <w:b/>
          <w:bCs/>
          <w:color w:val="auto"/>
          <w:kern w:val="0"/>
          <w:sz w:val="21"/>
          <w:szCs w:val="21"/>
          <w:highlight w:val="none"/>
          <w:lang w:val="en-US" w:eastAsia="zh-CN"/>
        </w:rPr>
        <w:t>如有</w:t>
      </w:r>
      <w:r>
        <w:rPr>
          <w:rStyle w:val="25"/>
          <w:rFonts w:hint="eastAsia" w:ascii="宋体" w:hAnsi="宋体" w:eastAsia="宋体" w:cs="宋体"/>
          <w:b/>
          <w:bCs/>
          <w:color w:val="auto"/>
          <w:kern w:val="0"/>
          <w:sz w:val="21"/>
          <w:szCs w:val="21"/>
          <w:highlight w:val="none"/>
          <w:lang w:eastAsia="zh-CN"/>
        </w:rPr>
        <w:t>）</w:t>
      </w:r>
      <w:bookmarkEnd w:id="413"/>
      <w:bookmarkEnd w:id="414"/>
      <w:bookmarkEnd w:id="415"/>
    </w:p>
    <w:p>
      <w:pPr>
        <w:keepNext w:val="0"/>
        <w:keepLines w:val="0"/>
        <w:pageBreakBefore w:val="0"/>
        <w:widowControl w:val="0"/>
        <w:numPr>
          <w:ilvl w:val="0"/>
          <w:numId w:val="0"/>
        </w:numPr>
        <w:kinsoku/>
        <w:overflowPunct/>
        <w:topLinePunct w:val="0"/>
        <w:autoSpaceDE/>
        <w:autoSpaceDN/>
        <w:bidi w:val="0"/>
        <w:adjustRightInd/>
        <w:snapToGrid/>
        <w:spacing w:line="420" w:lineRule="exact"/>
        <w:ind w:firstLine="420" w:firstLineChars="200"/>
        <w:rPr>
          <w:rStyle w:val="25"/>
          <w:rFonts w:hint="eastAsia" w:ascii="宋体" w:hAnsi="宋体" w:eastAsia="宋体" w:cs="宋体"/>
          <w:b w:val="0"/>
          <w:bCs w:val="0"/>
          <w:color w:val="auto"/>
          <w:sz w:val="21"/>
          <w:szCs w:val="21"/>
          <w:highlight w:val="none"/>
        </w:rPr>
      </w:pPr>
      <w:r>
        <w:rPr>
          <w:rStyle w:val="25"/>
          <w:rFonts w:hint="eastAsia" w:ascii="宋体" w:hAnsi="宋体" w:eastAsia="宋体" w:cs="宋体"/>
          <w:b w:val="0"/>
          <w:bCs w:val="0"/>
          <w:color w:val="auto"/>
          <w:sz w:val="21"/>
          <w:szCs w:val="21"/>
          <w:highlight w:val="none"/>
        </w:rPr>
        <w:t>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p>
    <w:p>
      <w:pPr>
        <w:keepNext w:val="0"/>
        <w:keepLines w:val="0"/>
        <w:pageBreakBefore w:val="0"/>
        <w:widowControl w:val="0"/>
        <w:kinsoku/>
        <w:overflowPunct/>
        <w:topLinePunct w:val="0"/>
        <w:autoSpaceDE/>
        <w:autoSpaceDN/>
        <w:bidi w:val="0"/>
        <w:adjustRightInd/>
        <w:snapToGrid/>
        <w:spacing w:line="430" w:lineRule="exact"/>
        <w:ind w:firstLine="421" w:firstLineChars="200"/>
        <w:rPr>
          <w:rStyle w:val="25"/>
          <w:rFonts w:hint="eastAsia" w:ascii="宋体" w:hAnsi="宋体" w:eastAsia="宋体" w:cs="宋体"/>
          <w:b w:val="0"/>
          <w:bCs w:val="0"/>
          <w:color w:val="auto"/>
          <w:sz w:val="21"/>
          <w:szCs w:val="21"/>
          <w:highlight w:val="none"/>
        </w:rPr>
      </w:pPr>
      <w:r>
        <w:rPr>
          <w:rStyle w:val="25"/>
          <w:rFonts w:hint="eastAsia" w:ascii="宋体" w:hAnsi="宋体" w:eastAsia="宋体" w:cs="宋体"/>
          <w:b/>
          <w:bCs/>
          <w:color w:val="auto"/>
          <w:sz w:val="21"/>
          <w:szCs w:val="21"/>
          <w:highlight w:val="none"/>
          <w:lang w:val="en-US" w:eastAsia="zh-CN"/>
        </w:rPr>
        <w:t>1</w:t>
      </w:r>
      <w:r>
        <w:rPr>
          <w:rStyle w:val="25"/>
          <w:rFonts w:hint="eastAsia" w:hAnsi="宋体" w:cs="宋体"/>
          <w:b/>
          <w:bCs/>
          <w:color w:val="auto"/>
          <w:sz w:val="21"/>
          <w:szCs w:val="21"/>
          <w:highlight w:val="none"/>
          <w:lang w:val="en-US" w:eastAsia="zh-CN"/>
        </w:rPr>
        <w:t>7</w:t>
      </w:r>
      <w:r>
        <w:rPr>
          <w:rStyle w:val="25"/>
          <w:rFonts w:hint="eastAsia" w:ascii="宋体" w:hAnsi="宋体" w:eastAsia="宋体" w:cs="宋体"/>
          <w:b/>
          <w:bCs/>
          <w:color w:val="auto"/>
          <w:sz w:val="21"/>
          <w:szCs w:val="21"/>
          <w:highlight w:val="none"/>
          <w:lang w:val="en-US" w:eastAsia="zh-CN"/>
        </w:rPr>
        <w:t>.1</w:t>
      </w:r>
      <w:r>
        <w:rPr>
          <w:rStyle w:val="25"/>
          <w:rFonts w:hint="eastAsia" w:ascii="宋体" w:hAnsi="宋体" w:eastAsia="宋体" w:cs="宋体"/>
          <w:b w:val="0"/>
          <w:bCs w:val="0"/>
          <w:color w:val="auto"/>
          <w:sz w:val="21"/>
          <w:szCs w:val="21"/>
          <w:highlight w:val="none"/>
        </w:rPr>
        <w:t>承包人应根据《危险性较大的分部分项工程安全管理规定》(住房城乡建设部令第37号)、《住房城乡建设部办公厅关于实施〈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广东省住房和城乡建设厅关于&lt;严格落实危险性较大的分部分项工程“六不施工”要求的通知&gt;》(粤安办(2020)151号)等有关危险性较大的分部分项工程的法规规定通知，履行建设工程安全生产管理职责。</w:t>
      </w:r>
    </w:p>
    <w:p>
      <w:pPr>
        <w:keepNext w:val="0"/>
        <w:keepLines w:val="0"/>
        <w:pageBreakBefore w:val="0"/>
        <w:widowControl w:val="0"/>
        <w:kinsoku/>
        <w:wordWrap w:val="0"/>
        <w:overflowPunct/>
        <w:topLinePunct w:val="0"/>
        <w:autoSpaceDE/>
        <w:autoSpaceDN/>
        <w:bidi w:val="0"/>
        <w:adjustRightInd/>
        <w:snapToGrid/>
        <w:spacing w:line="430" w:lineRule="exact"/>
        <w:ind w:firstLine="421"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1</w:t>
      </w:r>
      <w:r>
        <w:rPr>
          <w:rFonts w:hint="eastAsia" w:hAnsi="宋体" w:cs="宋体"/>
          <w:b/>
          <w:bCs/>
          <w:color w:val="auto"/>
          <w:sz w:val="21"/>
          <w:szCs w:val="21"/>
          <w:highlight w:val="none"/>
          <w:shd w:val="clear" w:color="auto" w:fill="FFFFFF"/>
          <w:lang w:val="en-US" w:eastAsia="zh-CN"/>
        </w:rPr>
        <w:t>7</w:t>
      </w:r>
      <w:r>
        <w:rPr>
          <w:rFonts w:hint="eastAsia" w:ascii="宋体" w:hAnsi="宋体" w:eastAsia="宋体" w:cs="宋体"/>
          <w:b/>
          <w:bCs/>
          <w:color w:val="auto"/>
          <w:sz w:val="21"/>
          <w:szCs w:val="21"/>
          <w:highlight w:val="none"/>
          <w:shd w:val="clear" w:color="auto" w:fill="FFFFFF"/>
          <w:lang w:val="en-US" w:eastAsia="zh-CN"/>
        </w:rPr>
        <w:t>.2</w:t>
      </w:r>
      <w:r>
        <w:rPr>
          <w:rFonts w:hint="eastAsia" w:ascii="宋体" w:hAnsi="宋体" w:eastAsia="宋体" w:cs="宋体"/>
          <w:b w:val="0"/>
          <w:bCs w:val="0"/>
          <w:color w:val="auto"/>
          <w:sz w:val="21"/>
          <w:szCs w:val="21"/>
          <w:highlight w:val="none"/>
          <w:shd w:val="clear" w:color="auto" w:fill="FFFFFF"/>
          <w:lang w:val="en-US" w:eastAsia="zh-CN"/>
        </w:rPr>
        <w:t>承包人在工程实施过程中，按照国家、省、市的相关规定制定相关的专项安全施工方案(如高支模、基坑支护、沉井等)，编制专项施工方案报监理人、发包人审批后方可开展专项工程的施工。</w:t>
      </w:r>
    </w:p>
    <w:p>
      <w:pPr>
        <w:keepNext w:val="0"/>
        <w:keepLines w:val="0"/>
        <w:pageBreakBefore w:val="0"/>
        <w:widowControl w:val="0"/>
        <w:kinsoku/>
        <w:wordWrap w:val="0"/>
        <w:overflowPunct/>
        <w:topLinePunct w:val="0"/>
        <w:autoSpaceDE/>
        <w:autoSpaceDN/>
        <w:bidi w:val="0"/>
        <w:adjustRightInd/>
        <w:snapToGrid/>
        <w:spacing w:line="430" w:lineRule="exact"/>
        <w:ind w:firstLine="421"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hAnsi="宋体" w:cs="宋体"/>
          <w:b/>
          <w:bCs/>
          <w:color w:val="auto"/>
          <w:sz w:val="21"/>
          <w:szCs w:val="21"/>
          <w:highlight w:val="none"/>
          <w:shd w:val="clear" w:color="auto" w:fill="FFFFFF"/>
          <w:lang w:val="en-US" w:eastAsia="zh-CN"/>
        </w:rPr>
        <w:t>18</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承包人须按照《韶关市建筑垃圾管理条例》(2021年5月1日起施行)，将弃土运至发包人指定的场所，否则发包人有权要求承包人无条件将弃土从违约弃土点运至发包人指定的场所并扣除违约金人民1000.00元/次。承包人对建筑垃圾须按《韶关市建筑垃圾管理条例》(2021年5月1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w:t>
      </w:r>
    </w:p>
    <w:p>
      <w:pPr>
        <w:keepNext w:val="0"/>
        <w:keepLines w:val="0"/>
        <w:pageBreakBefore w:val="0"/>
        <w:widowControl w:val="0"/>
        <w:kinsoku/>
        <w:wordWrap w:val="0"/>
        <w:overflowPunct/>
        <w:topLinePunct w:val="0"/>
        <w:autoSpaceDE/>
        <w:autoSpaceDN/>
        <w:bidi w:val="0"/>
        <w:adjustRightInd/>
        <w:snapToGrid/>
        <w:spacing w:line="430" w:lineRule="exact"/>
        <w:ind w:firstLine="421"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hAnsi="宋体" w:cs="宋体"/>
          <w:b/>
          <w:bCs/>
          <w:color w:val="auto"/>
          <w:sz w:val="21"/>
          <w:szCs w:val="21"/>
          <w:highlight w:val="none"/>
          <w:shd w:val="clear" w:color="auto" w:fill="FFFFFF"/>
          <w:lang w:val="en-US" w:eastAsia="zh-CN"/>
        </w:rPr>
        <w:t>19</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工程竣工验收后15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w:t>
      </w:r>
    </w:p>
    <w:p>
      <w:pPr>
        <w:keepNext w:val="0"/>
        <w:keepLines w:val="0"/>
        <w:pageBreakBefore w:val="0"/>
        <w:widowControl w:val="0"/>
        <w:kinsoku/>
        <w:wordWrap w:val="0"/>
        <w:overflowPunct/>
        <w:topLinePunct w:val="0"/>
        <w:autoSpaceDE/>
        <w:autoSpaceDN/>
        <w:bidi w:val="0"/>
        <w:adjustRightInd/>
        <w:snapToGrid/>
        <w:spacing w:line="430" w:lineRule="exact"/>
        <w:ind w:firstLine="421"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hAnsi="宋体" w:cs="宋体"/>
          <w:b/>
          <w:bCs/>
          <w:color w:val="auto"/>
          <w:sz w:val="21"/>
          <w:szCs w:val="21"/>
          <w:highlight w:val="none"/>
          <w:shd w:val="clear" w:color="auto" w:fill="FFFFFF"/>
          <w:lang w:val="en-US" w:eastAsia="zh-CN"/>
        </w:rPr>
        <w:t>20</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pPr>
        <w:keepNext w:val="0"/>
        <w:keepLines w:val="0"/>
        <w:pageBreakBefore w:val="0"/>
        <w:kinsoku/>
        <w:overflowPunct/>
        <w:topLinePunct w:val="0"/>
        <w:autoSpaceDE/>
        <w:autoSpaceDN/>
        <w:bidi w:val="0"/>
        <w:spacing w:line="430" w:lineRule="exact"/>
        <w:ind w:firstLine="421"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21.</w:t>
      </w:r>
      <w:r>
        <w:rPr>
          <w:rFonts w:hint="eastAsia"/>
          <w:color w:val="auto"/>
          <w:sz w:val="21"/>
          <w:szCs w:val="21"/>
          <w:highlight w:val="none"/>
          <w:lang w:val="en-US" w:eastAsia="zh-CN"/>
        </w:rPr>
        <w:t>承包人中标后必须按规定及时缴交工人工资保证金、环保噪声排污费等。</w:t>
      </w:r>
    </w:p>
    <w:p>
      <w:pPr>
        <w:keepNext w:val="0"/>
        <w:keepLines w:val="0"/>
        <w:pageBreakBefore w:val="0"/>
        <w:kinsoku/>
        <w:overflowPunct/>
        <w:topLinePunct w:val="0"/>
        <w:autoSpaceDE/>
        <w:autoSpaceDN/>
        <w:bidi w:val="0"/>
        <w:spacing w:line="430" w:lineRule="exact"/>
        <w:ind w:firstLine="421"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22.</w:t>
      </w:r>
      <w:r>
        <w:rPr>
          <w:rFonts w:hint="eastAsia"/>
          <w:color w:val="auto"/>
          <w:sz w:val="21"/>
          <w:szCs w:val="21"/>
          <w:highlight w:val="none"/>
          <w:lang w:val="en-US" w:eastAsia="zh-CN"/>
        </w:rPr>
        <w:t>工程质量保修期按《中华人民共和国建筑法》、《建设工程质量管理条例》等相关规定实施。</w:t>
      </w:r>
    </w:p>
    <w:p>
      <w:pPr>
        <w:keepNext w:val="0"/>
        <w:keepLines w:val="0"/>
        <w:pageBreakBefore w:val="0"/>
        <w:kinsoku/>
        <w:overflowPunct/>
        <w:topLinePunct w:val="0"/>
        <w:autoSpaceDE/>
        <w:autoSpaceDN/>
        <w:bidi w:val="0"/>
        <w:spacing w:line="430" w:lineRule="exact"/>
        <w:ind w:firstLine="421"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23.</w:t>
      </w:r>
      <w:r>
        <w:rPr>
          <w:rFonts w:hint="eastAsia"/>
          <w:color w:val="auto"/>
          <w:sz w:val="21"/>
          <w:szCs w:val="21"/>
          <w:highlight w:val="none"/>
          <w:lang w:val="en-US" w:eastAsia="zh-CN"/>
        </w:rPr>
        <w:t>如项目实施过程中发生了工程变更及工程签证，承包人需根据发包人发布的《工程变更管理办法》和《工程签证管理办法》完善工程变更签证相关程序。</w:t>
      </w:r>
    </w:p>
    <w:p>
      <w:pPr>
        <w:keepNext w:val="0"/>
        <w:keepLines w:val="0"/>
        <w:pageBreakBefore w:val="0"/>
        <w:kinsoku/>
        <w:overflowPunct/>
        <w:topLinePunct w:val="0"/>
        <w:autoSpaceDE/>
        <w:autoSpaceDN/>
        <w:bidi w:val="0"/>
        <w:spacing w:line="430" w:lineRule="exact"/>
        <w:ind w:firstLine="421"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24.</w:t>
      </w:r>
      <w:r>
        <w:rPr>
          <w:rFonts w:hint="eastAsia"/>
          <w:color w:val="auto"/>
          <w:sz w:val="21"/>
          <w:szCs w:val="21"/>
          <w:highlight w:val="none"/>
          <w:lang w:val="en-US" w:eastAsia="zh-CN"/>
        </w:rPr>
        <w:t>承包人需按相关规定要求，设置本工程符合相关要求的永久性标牌及规划公示牌，投标人在投标报价时综合考虑在报价内，发包人不另行支付该部分费用。</w:t>
      </w:r>
    </w:p>
    <w:p>
      <w:pPr>
        <w:keepNext w:val="0"/>
        <w:keepLines w:val="0"/>
        <w:pageBreakBefore w:val="0"/>
        <w:kinsoku/>
        <w:overflowPunct/>
        <w:topLinePunct w:val="0"/>
        <w:autoSpaceDE/>
        <w:autoSpaceDN/>
        <w:bidi w:val="0"/>
        <w:spacing w:line="430" w:lineRule="exact"/>
        <w:ind w:firstLine="421"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25.</w:t>
      </w:r>
      <w:r>
        <w:rPr>
          <w:rFonts w:hint="eastAsia"/>
          <w:color w:val="auto"/>
          <w:sz w:val="21"/>
          <w:szCs w:val="21"/>
          <w:highlight w:val="none"/>
          <w:lang w:val="en-US" w:eastAsia="zh-CN"/>
        </w:rPr>
        <w:t>承包人应在项目所在地住建管理部门办理诚信登记，发包人将严格按住建管理部门诚信登记管理办法对承包人履约情况进行考核。</w:t>
      </w:r>
    </w:p>
    <w:p>
      <w:pPr>
        <w:keepNext w:val="0"/>
        <w:keepLines w:val="0"/>
        <w:pageBreakBefore w:val="0"/>
        <w:kinsoku/>
        <w:overflowPunct/>
        <w:topLinePunct w:val="0"/>
        <w:autoSpaceDE/>
        <w:autoSpaceDN/>
        <w:bidi w:val="0"/>
        <w:spacing w:line="430" w:lineRule="exact"/>
        <w:ind w:firstLine="421"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26.</w:t>
      </w:r>
      <w:r>
        <w:rPr>
          <w:rFonts w:hint="eastAsia"/>
          <w:color w:val="auto"/>
          <w:sz w:val="21"/>
          <w:szCs w:val="21"/>
          <w:highlight w:val="none"/>
          <w:lang w:val="en-US" w:eastAsia="zh-CN"/>
        </w:rPr>
        <w:t>承包人应按韶关市住房和城乡建设管理局、韶关市人力资源和社会保障局等职能部门对用工实名制的相关规定，落实工人及相关软硬件设施要求。</w:t>
      </w:r>
    </w:p>
    <w:p>
      <w:pPr>
        <w:keepNext w:val="0"/>
        <w:keepLines w:val="0"/>
        <w:pageBreakBefore w:val="0"/>
        <w:widowControl w:val="0"/>
        <w:kinsoku/>
        <w:wordWrap w:val="0"/>
        <w:overflowPunct/>
        <w:topLinePunct w:val="0"/>
        <w:autoSpaceDE/>
        <w:autoSpaceDN/>
        <w:bidi w:val="0"/>
        <w:adjustRightInd/>
        <w:snapToGrid/>
        <w:spacing w:line="430" w:lineRule="exact"/>
        <w:ind w:firstLine="421" w:firstLineChars="200"/>
        <w:jc w:val="left"/>
        <w:rPr>
          <w:rFonts w:hint="eastAsia" w:ascii="宋体" w:hAnsi="宋体" w:eastAsia="宋体" w:cs="宋体"/>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lang w:val="en-US" w:eastAsia="zh-CN"/>
        </w:rPr>
        <w:t>2</w:t>
      </w:r>
      <w:r>
        <w:rPr>
          <w:rFonts w:hint="eastAsia" w:hAnsi="宋体" w:cs="宋体"/>
          <w:b/>
          <w:bCs/>
          <w:color w:val="auto"/>
          <w:sz w:val="21"/>
          <w:szCs w:val="21"/>
          <w:highlight w:val="none"/>
          <w:shd w:val="clear" w:color="auto" w:fill="FFFFFF"/>
          <w:lang w:val="en-US" w:eastAsia="zh-CN"/>
        </w:rPr>
        <w:t>7</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中标单位必须在中标通知书发出之日起一个月内内完成现场临时设施（施工用水用电、围蔽、板房、洗车和临时排水系统、相关公示牌等）施工，因中标人原因导致逾期的，逾期第壹天起每天按2000元作违约处理。</w:t>
      </w:r>
    </w:p>
    <w:p>
      <w:pPr>
        <w:keepNext w:val="0"/>
        <w:keepLines w:val="0"/>
        <w:pageBreakBefore w:val="0"/>
        <w:widowControl w:val="0"/>
        <w:kinsoku/>
        <w:wordWrap w:val="0"/>
        <w:overflowPunct/>
        <w:topLinePunct w:val="0"/>
        <w:autoSpaceDE/>
        <w:autoSpaceDN/>
        <w:bidi w:val="0"/>
        <w:adjustRightInd w:val="0"/>
        <w:snapToGrid w:val="0"/>
        <w:spacing w:line="430" w:lineRule="exact"/>
        <w:ind w:firstLine="421" w:firstLineChars="200"/>
        <w:textAlignment w:val="auto"/>
        <w:rPr>
          <w:rFonts w:hint="eastAsia" w:ascii="宋体" w:hAnsi="宋体" w:eastAsia="宋体" w:cs="宋体"/>
          <w:b w:val="0"/>
          <w:bCs/>
          <w:snapToGrid w:val="0"/>
          <w:color w:val="auto"/>
          <w:kern w:val="0"/>
          <w:sz w:val="21"/>
          <w:szCs w:val="21"/>
          <w:highlight w:val="none"/>
          <w:lang w:val="en-US" w:eastAsia="zh-CN"/>
        </w:rPr>
      </w:pPr>
      <w:r>
        <w:rPr>
          <w:rFonts w:hint="eastAsia" w:ascii="宋体" w:hAnsi="宋体" w:eastAsia="宋体" w:cs="宋体"/>
          <w:b/>
          <w:bCs w:val="0"/>
          <w:snapToGrid w:val="0"/>
          <w:color w:val="auto"/>
          <w:kern w:val="0"/>
          <w:sz w:val="21"/>
          <w:szCs w:val="21"/>
          <w:highlight w:val="none"/>
          <w:lang w:val="en-US" w:eastAsia="zh-CN"/>
        </w:rPr>
        <w:t>28</w:t>
      </w:r>
      <w:r>
        <w:rPr>
          <w:rFonts w:hint="eastAsia" w:hAnsi="宋体" w:cs="宋体"/>
          <w:b/>
          <w:bCs w:val="0"/>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rPr>
        <w:t>承包人应按韶关市安全生产委员会办公室关于印发《韶关市安全生产责任保险实施方案（2024-2026年）》的通知文件办理安全生产责任保险。</w:t>
      </w:r>
    </w:p>
    <w:p>
      <w:pPr>
        <w:pStyle w:val="39"/>
        <w:keepNext w:val="0"/>
        <w:keepLines w:val="0"/>
        <w:pageBreakBefore w:val="0"/>
        <w:widowControl w:val="0"/>
        <w:kinsoku/>
        <w:overflowPunct/>
        <w:topLinePunct w:val="0"/>
        <w:autoSpaceDE/>
        <w:autoSpaceDN/>
        <w:bidi w:val="0"/>
        <w:adjustRightInd/>
        <w:snapToGrid/>
        <w:spacing w:line="430" w:lineRule="exact"/>
        <w:ind w:firstLine="421" w:firstLineChars="200"/>
        <w:rPr>
          <w:rFonts w:hint="eastAsia" w:ascii="宋体" w:hAnsi="宋体" w:eastAsia="宋体" w:cs="宋体"/>
          <w:b/>
          <w:color w:val="auto"/>
          <w:sz w:val="21"/>
          <w:szCs w:val="21"/>
          <w:highlight w:val="none"/>
          <w:u w:val="double"/>
          <w:lang w:eastAsia="zh-CN"/>
        </w:rPr>
      </w:pPr>
      <w:r>
        <w:rPr>
          <w:rFonts w:hint="eastAsia" w:ascii="宋体" w:hAnsi="宋体" w:eastAsia="宋体" w:cs="宋体"/>
          <w:b/>
          <w:bCs/>
          <w:color w:val="auto"/>
          <w:sz w:val="21"/>
          <w:szCs w:val="21"/>
          <w:highlight w:val="none"/>
          <w:shd w:val="clear" w:color="auto" w:fill="FFFFFF"/>
          <w:lang w:val="en-US" w:eastAsia="zh-CN"/>
        </w:rPr>
        <w:t>2</w:t>
      </w:r>
      <w:r>
        <w:rPr>
          <w:rFonts w:hint="eastAsia" w:hAnsi="宋体" w:cs="宋体"/>
          <w:b/>
          <w:bCs/>
          <w:color w:val="auto"/>
          <w:sz w:val="21"/>
          <w:szCs w:val="21"/>
          <w:highlight w:val="none"/>
          <w:shd w:val="clear" w:color="auto" w:fill="FFFFFF"/>
          <w:lang w:val="en-US" w:eastAsia="zh-CN"/>
        </w:rPr>
        <w:t>9</w:t>
      </w:r>
      <w:r>
        <w:rPr>
          <w:rFonts w:hint="eastAsia" w:hAnsi="宋体" w:eastAsia="宋体" w:cs="宋体"/>
          <w:b/>
          <w:bCs/>
          <w:color w:val="auto"/>
          <w:sz w:val="21"/>
          <w:szCs w:val="21"/>
          <w:highlight w:val="none"/>
          <w:shd w:val="clear" w:color="auto" w:fill="FFFFFF"/>
          <w:lang w:val="en-US" w:eastAsia="zh-CN"/>
        </w:rPr>
        <w:t>.</w:t>
      </w:r>
      <w:r>
        <w:rPr>
          <w:rFonts w:hint="eastAsia" w:ascii="宋体" w:hAnsi="宋体" w:eastAsia="宋体" w:cs="宋体"/>
          <w:b/>
          <w:color w:val="auto"/>
          <w:sz w:val="21"/>
          <w:szCs w:val="21"/>
          <w:highlight w:val="none"/>
          <w:u w:val="double"/>
        </w:rPr>
        <w:t>招标人可根据政府有关项目工作计划或本项目资金安排情况或相关政策变化或项目实际实施情况，对本项目建设内容和规模进行调整，</w:t>
      </w:r>
      <w:r>
        <w:rPr>
          <w:rFonts w:hint="eastAsia" w:ascii="宋体" w:hAnsi="宋体" w:eastAsia="宋体" w:cs="宋体"/>
          <w:b/>
          <w:color w:val="auto"/>
          <w:sz w:val="21"/>
          <w:szCs w:val="21"/>
          <w:highlight w:val="none"/>
          <w:u w:val="double"/>
          <w:lang w:val="en-US" w:eastAsia="zh-CN"/>
        </w:rPr>
        <w:t>建设内容分阶段实施，上一阶段建设内容完成后方可启动下一阶段的建设</w:t>
      </w:r>
      <w:r>
        <w:rPr>
          <w:rFonts w:hint="eastAsia" w:hAnsi="宋体" w:cs="宋体"/>
          <w:b/>
          <w:color w:val="auto"/>
          <w:sz w:val="21"/>
          <w:szCs w:val="21"/>
          <w:highlight w:val="none"/>
          <w:u w:val="double"/>
          <w:lang w:val="en-US" w:eastAsia="zh-CN"/>
        </w:rPr>
        <w:t>内容</w:t>
      </w:r>
      <w:r>
        <w:rPr>
          <w:rFonts w:hint="eastAsia" w:ascii="宋体" w:hAnsi="宋体" w:eastAsia="宋体" w:cs="宋体"/>
          <w:b/>
          <w:color w:val="auto"/>
          <w:sz w:val="21"/>
          <w:szCs w:val="21"/>
          <w:highlight w:val="none"/>
          <w:u w:val="double"/>
          <w:lang w:val="en-US" w:eastAsia="zh-CN"/>
        </w:rPr>
        <w:t>，各阶段建设内容须经</w:t>
      </w:r>
      <w:r>
        <w:rPr>
          <w:rFonts w:hint="eastAsia" w:hAnsi="宋体" w:cs="宋体"/>
          <w:b/>
          <w:color w:val="auto"/>
          <w:sz w:val="21"/>
          <w:szCs w:val="21"/>
          <w:highlight w:val="none"/>
          <w:u w:val="double"/>
          <w:lang w:val="en-US" w:eastAsia="zh-CN"/>
        </w:rPr>
        <w:t>发</w:t>
      </w:r>
      <w:r>
        <w:rPr>
          <w:rFonts w:hint="eastAsia" w:ascii="宋体" w:hAnsi="宋体" w:eastAsia="宋体" w:cs="宋体"/>
          <w:b/>
          <w:color w:val="auto"/>
          <w:sz w:val="21"/>
          <w:szCs w:val="21"/>
          <w:highlight w:val="none"/>
          <w:u w:val="double"/>
        </w:rPr>
        <w:t>包人</w:t>
      </w:r>
      <w:r>
        <w:rPr>
          <w:rFonts w:hint="eastAsia" w:ascii="宋体" w:hAnsi="宋体" w:eastAsia="宋体" w:cs="宋体"/>
          <w:b/>
          <w:color w:val="auto"/>
          <w:sz w:val="21"/>
          <w:szCs w:val="21"/>
          <w:highlight w:val="none"/>
          <w:u w:val="double"/>
          <w:lang w:val="en-US" w:eastAsia="zh-CN"/>
        </w:rPr>
        <w:t>和</w:t>
      </w:r>
      <w:r>
        <w:rPr>
          <w:rFonts w:hint="eastAsia" w:ascii="宋体" w:hAnsi="宋体" w:eastAsia="宋体" w:cs="宋体"/>
          <w:b/>
          <w:color w:val="auto"/>
          <w:sz w:val="21"/>
          <w:szCs w:val="21"/>
          <w:highlight w:val="none"/>
          <w:u w:val="double"/>
        </w:rPr>
        <w:t>监理单位</w:t>
      </w:r>
      <w:r>
        <w:rPr>
          <w:rFonts w:hint="eastAsia" w:ascii="宋体" w:hAnsi="宋体" w:eastAsia="宋体" w:cs="宋体"/>
          <w:b/>
          <w:color w:val="auto"/>
          <w:sz w:val="21"/>
          <w:szCs w:val="21"/>
          <w:highlight w:val="none"/>
          <w:u w:val="double"/>
          <w:lang w:val="en-US" w:eastAsia="zh-CN"/>
        </w:rPr>
        <w:t>确认方可实施</w:t>
      </w:r>
      <w:r>
        <w:rPr>
          <w:rFonts w:hint="eastAsia" w:hAnsi="宋体" w:cs="宋体"/>
          <w:b/>
          <w:color w:val="auto"/>
          <w:sz w:val="21"/>
          <w:szCs w:val="21"/>
          <w:highlight w:val="none"/>
          <w:u w:val="double"/>
          <w:lang w:val="en-US" w:eastAsia="zh-CN"/>
        </w:rPr>
        <w:t>，</w:t>
      </w:r>
      <w:r>
        <w:rPr>
          <w:rFonts w:hint="eastAsia" w:ascii="宋体" w:hAnsi="宋体" w:eastAsia="宋体" w:cs="宋体"/>
          <w:b/>
          <w:color w:val="auto"/>
          <w:sz w:val="21"/>
          <w:szCs w:val="21"/>
          <w:highlight w:val="none"/>
          <w:u w:val="double"/>
        </w:rPr>
        <w:t>投标人中标后不得因此调整向招标人提出额外的费用补偿或索赔，必须按调整后的规模及内容完成工程的施工及结算</w:t>
      </w:r>
      <w:r>
        <w:rPr>
          <w:rFonts w:hint="eastAsia" w:hAnsi="宋体" w:cs="宋体"/>
          <w:b/>
          <w:color w:val="auto"/>
          <w:sz w:val="21"/>
          <w:szCs w:val="21"/>
          <w:highlight w:val="none"/>
          <w:u w:val="double"/>
          <w:lang w:eastAsia="zh-CN"/>
        </w:rPr>
        <w:t>；若投标人不按招标人的指令私自动工，发生的所有费用由投标人承担</w:t>
      </w:r>
      <w:r>
        <w:rPr>
          <w:rFonts w:hint="eastAsia" w:ascii="宋体" w:hAnsi="宋体" w:eastAsia="宋体" w:cs="宋体"/>
          <w:b/>
          <w:color w:val="auto"/>
          <w:sz w:val="21"/>
          <w:szCs w:val="21"/>
          <w:highlight w:val="none"/>
          <w:u w:val="double"/>
          <w:lang w:eastAsia="zh-CN"/>
        </w:rPr>
        <w:t>。</w:t>
      </w:r>
    </w:p>
    <w:p>
      <w:pPr>
        <w:pStyle w:val="39"/>
        <w:keepNext w:val="0"/>
        <w:keepLines w:val="0"/>
        <w:pageBreakBefore w:val="0"/>
        <w:widowControl w:val="0"/>
        <w:kinsoku/>
        <w:overflowPunct/>
        <w:topLinePunct w:val="0"/>
        <w:autoSpaceDE/>
        <w:autoSpaceDN/>
        <w:bidi w:val="0"/>
        <w:adjustRightInd/>
        <w:snapToGrid/>
        <w:spacing w:line="430" w:lineRule="exact"/>
        <w:ind w:firstLine="421" w:firstLineChars="200"/>
        <w:rPr>
          <w:rFonts w:hint="eastAsia" w:ascii="宋体" w:hAnsi="宋体" w:eastAsia="宋体" w:cs="宋体"/>
          <w:b/>
          <w:color w:val="auto"/>
          <w:sz w:val="21"/>
          <w:szCs w:val="21"/>
          <w:highlight w:val="none"/>
          <w:u w:val="double"/>
          <w:lang w:eastAsia="zh-CN"/>
        </w:rPr>
        <w:sectPr>
          <w:endnotePr>
            <w:numFmt w:val="decimal"/>
          </w:endnotePr>
          <w:pgSz w:w="11906" w:h="16838"/>
          <w:pgMar w:top="1440" w:right="1080" w:bottom="1440" w:left="1080" w:header="850" w:footer="454" w:gutter="0"/>
          <w:pgNumType w:fmt="decimal"/>
          <w:cols w:space="720" w:num="1"/>
          <w:docGrid w:linePitch="327" w:charSpace="0"/>
        </w:sectPr>
      </w:pPr>
    </w:p>
    <w:p>
      <w:pPr>
        <w:pStyle w:val="37"/>
        <w:rPr>
          <w:rFonts w:hint="eastAsia"/>
          <w:color w:val="auto"/>
          <w:highlight w:val="none"/>
        </w:rPr>
      </w:pPr>
    </w:p>
    <w:p>
      <w:pPr>
        <w:pStyle w:val="36"/>
        <w:keepNext w:val="0"/>
        <w:keepLines w:val="0"/>
        <w:widowControl w:val="0"/>
        <w:wordWrap w:val="0"/>
        <w:adjustRightInd w:val="0"/>
        <w:snapToGrid w:val="0"/>
        <w:spacing w:before="0" w:after="0" w:line="440" w:lineRule="exact"/>
        <w:ind w:left="3189" w:leftChars="15" w:hanging="3153" w:hangingChars="1496"/>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附件一： 预付款保函</w:t>
      </w:r>
    </w:p>
    <w:p>
      <w:pPr>
        <w:spacing w:line="440" w:lineRule="exact"/>
        <w:jc w:val="center"/>
        <w:rPr>
          <w:rFonts w:hint="eastAsia" w:hAnsi="宋体"/>
          <w:b/>
          <w:bCs/>
          <w:color w:val="auto"/>
          <w:sz w:val="21"/>
          <w:szCs w:val="21"/>
          <w:highlight w:val="none"/>
        </w:rPr>
      </w:pPr>
      <w:r>
        <w:rPr>
          <w:rFonts w:hint="eastAsia" w:hAnsi="宋体"/>
          <w:b/>
          <w:bCs/>
          <w:snapToGrid w:val="0"/>
          <w:color w:val="auto"/>
          <w:kern w:val="0"/>
          <w:sz w:val="21"/>
          <w:szCs w:val="21"/>
          <w:highlight w:val="none"/>
        </w:rPr>
        <w:t xml:space="preserve">  </w:t>
      </w:r>
      <w:r>
        <w:rPr>
          <w:rFonts w:hint="eastAsia" w:hAnsi="宋体"/>
          <w:b/>
          <w:bCs/>
          <w:color w:val="auto"/>
          <w:sz w:val="21"/>
          <w:szCs w:val="21"/>
          <w:highlight w:val="none"/>
        </w:rPr>
        <w:t xml:space="preserve"> </w:t>
      </w:r>
      <w:bookmarkStart w:id="416" w:name="_Toc14863"/>
    </w:p>
    <w:p>
      <w:pPr>
        <w:spacing w:line="440" w:lineRule="exact"/>
        <w:jc w:val="center"/>
        <w:rPr>
          <w:rFonts w:hint="eastAsia" w:hAnsi="宋体"/>
          <w:color w:val="auto"/>
          <w:sz w:val="21"/>
          <w:szCs w:val="21"/>
          <w:highlight w:val="none"/>
        </w:rPr>
      </w:pPr>
      <w:r>
        <w:rPr>
          <w:rFonts w:hint="eastAsia" w:hAnsi="宋体"/>
          <w:b/>
          <w:bCs/>
          <w:color w:val="auto"/>
          <w:sz w:val="21"/>
          <w:szCs w:val="21"/>
          <w:highlight w:val="none"/>
        </w:rPr>
        <w:t>预付款保函</w:t>
      </w:r>
      <w:bookmarkEnd w:id="416"/>
    </w:p>
    <w:p>
      <w:pPr>
        <w:wordWrap w:val="0"/>
        <w:spacing w:line="440" w:lineRule="exact"/>
        <w:jc w:val="right"/>
        <w:rPr>
          <w:rFonts w:hint="eastAsia" w:hAnsi="宋体"/>
          <w:color w:val="auto"/>
          <w:sz w:val="21"/>
          <w:szCs w:val="21"/>
          <w:highlight w:val="none"/>
        </w:rPr>
      </w:pPr>
      <w:r>
        <w:rPr>
          <w:rFonts w:hint="eastAsia" w:hAnsi="宋体"/>
          <w:color w:val="auto"/>
          <w:sz w:val="21"/>
          <w:szCs w:val="21"/>
          <w:highlight w:val="none"/>
        </w:rPr>
        <w:t xml:space="preserve">编号：           </w:t>
      </w:r>
    </w:p>
    <w:p>
      <w:pPr>
        <w:spacing w:line="440" w:lineRule="exact"/>
        <w:rPr>
          <w:rFonts w:hint="eastAsia" w:hAnsi="宋体"/>
          <w:color w:val="auto"/>
          <w:sz w:val="21"/>
          <w:szCs w:val="21"/>
          <w:highlight w:val="none"/>
        </w:rPr>
      </w:pPr>
    </w:p>
    <w:p>
      <w:pPr>
        <w:spacing w:line="440" w:lineRule="exact"/>
        <w:rPr>
          <w:rFonts w:hint="eastAsia" w:hAnsi="宋体"/>
          <w:color w:val="auto"/>
          <w:sz w:val="21"/>
          <w:szCs w:val="21"/>
          <w:highlight w:val="none"/>
        </w:rPr>
      </w:pPr>
      <w:r>
        <w:rPr>
          <w:rFonts w:hint="eastAsia" w:hAnsi="宋体"/>
          <w:color w:val="auto"/>
          <w:sz w:val="21"/>
          <w:szCs w:val="21"/>
          <w:highlight w:val="none"/>
        </w:rPr>
        <w:t>申请人：</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pPr>
        <w:spacing w:line="440" w:lineRule="exact"/>
        <w:rPr>
          <w:rFonts w:hint="eastAsia" w:hAnsi="宋体"/>
          <w:color w:val="auto"/>
          <w:sz w:val="21"/>
          <w:szCs w:val="21"/>
          <w:highlight w:val="none"/>
        </w:rPr>
      </w:pPr>
      <w:r>
        <w:rPr>
          <w:rFonts w:hint="eastAsia" w:hAnsi="宋体"/>
          <w:color w:val="auto"/>
          <w:sz w:val="21"/>
          <w:szCs w:val="21"/>
          <w:highlight w:val="none"/>
        </w:rPr>
        <w:t>受益人：</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pPr>
        <w:spacing w:line="440" w:lineRule="exact"/>
        <w:rPr>
          <w:rFonts w:hint="eastAsia" w:hAnsi="宋体"/>
          <w:color w:val="auto"/>
          <w:sz w:val="21"/>
          <w:szCs w:val="21"/>
          <w:highlight w:val="none"/>
        </w:rPr>
      </w:pPr>
      <w:r>
        <w:rPr>
          <w:rFonts w:hint="eastAsia" w:hAnsi="宋体"/>
          <w:color w:val="auto"/>
          <w:sz w:val="21"/>
          <w:szCs w:val="21"/>
          <w:highlight w:val="none"/>
        </w:rPr>
        <w:t>开立人：</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w:t>
      </w:r>
    </w:p>
    <w:p>
      <w:pPr>
        <w:spacing w:line="440" w:lineRule="exact"/>
        <w:rPr>
          <w:rFonts w:hint="eastAsia" w:hAnsi="宋体"/>
          <w:color w:val="auto"/>
          <w:sz w:val="21"/>
          <w:szCs w:val="21"/>
          <w:highlight w:val="none"/>
        </w:rPr>
      </w:pPr>
      <w:r>
        <w:rPr>
          <w:rFonts w:hint="eastAsia" w:hAnsi="宋体"/>
          <w:color w:val="auto"/>
          <w:sz w:val="21"/>
          <w:szCs w:val="21"/>
          <w:highlight w:val="none"/>
          <w:u w:val="single"/>
        </w:rPr>
        <w:t xml:space="preserve">              </w:t>
      </w:r>
      <w:r>
        <w:rPr>
          <w:rFonts w:hint="eastAsia" w:hAnsi="宋体"/>
          <w:color w:val="auto"/>
          <w:sz w:val="21"/>
          <w:szCs w:val="21"/>
          <w:highlight w:val="none"/>
        </w:rPr>
        <w:t xml:space="preserve">（受益人名称）：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鉴于</w:t>
      </w:r>
      <w:r>
        <w:rPr>
          <w:rFonts w:hint="eastAsia" w:hAnsi="宋体"/>
          <w:color w:val="auto"/>
          <w:sz w:val="21"/>
          <w:szCs w:val="21"/>
          <w:highlight w:val="none"/>
          <w:u w:val="single"/>
        </w:rPr>
        <w:t xml:space="preserve">        </w:t>
      </w:r>
      <w:r>
        <w:rPr>
          <w:rFonts w:hint="eastAsia" w:hAnsi="宋体"/>
          <w:color w:val="auto"/>
          <w:sz w:val="21"/>
          <w:szCs w:val="21"/>
          <w:highlight w:val="none"/>
        </w:rPr>
        <w:t>（以下简称“受益人”）与</w:t>
      </w:r>
      <w:r>
        <w:rPr>
          <w:rFonts w:hint="eastAsia" w:hAnsi="宋体"/>
          <w:color w:val="auto"/>
          <w:sz w:val="21"/>
          <w:szCs w:val="21"/>
          <w:highlight w:val="none"/>
          <w:u w:val="single"/>
        </w:rPr>
        <w:t xml:space="preserve">         </w:t>
      </w:r>
      <w:r>
        <w:rPr>
          <w:rFonts w:hint="eastAsia" w:hAnsi="宋体"/>
          <w:color w:val="auto"/>
          <w:sz w:val="21"/>
          <w:szCs w:val="21"/>
          <w:highlight w:val="none"/>
        </w:rPr>
        <w:t>（以下简称“申请人”）于</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日就</w:t>
      </w:r>
      <w:r>
        <w:rPr>
          <w:rFonts w:hint="eastAsia" w:hAnsi="宋体"/>
          <w:color w:val="auto"/>
          <w:sz w:val="21"/>
          <w:szCs w:val="21"/>
          <w:highlight w:val="none"/>
          <w:u w:val="single"/>
        </w:rPr>
        <w:t xml:space="preserve">           </w:t>
      </w:r>
      <w:r>
        <w:rPr>
          <w:rFonts w:hint="eastAsia" w:hAnsi="宋体"/>
          <w:color w:val="auto"/>
          <w:sz w:val="21"/>
          <w:szCs w:val="21"/>
          <w:highlight w:val="none"/>
        </w:rPr>
        <w:t>工程（以下简称“本工程”）施工和有关事项协商一致共同签订</w:t>
      </w:r>
      <w:r>
        <w:rPr>
          <w:rFonts w:hint="eastAsia" w:hAnsi="宋体"/>
          <w:color w:val="auto"/>
          <w:sz w:val="21"/>
          <w:szCs w:val="21"/>
          <w:highlight w:val="none"/>
          <w:u w:val="single"/>
        </w:rPr>
        <w:t>《        》</w:t>
      </w:r>
      <w:r>
        <w:rPr>
          <w:rFonts w:hint="eastAsia" w:hAnsi="宋体"/>
          <w:color w:val="auto"/>
          <w:sz w:val="21"/>
          <w:szCs w:val="21"/>
          <w:highlight w:val="none"/>
        </w:rPr>
        <w:t>（以下简称“</w:t>
      </w:r>
      <w:r>
        <w:rPr>
          <w:rFonts w:hint="eastAsia" w:hAnsi="宋体"/>
          <w:color w:val="auto"/>
          <w:sz w:val="21"/>
          <w:szCs w:val="21"/>
          <w:highlight w:val="none"/>
          <w:lang w:val="en-US" w:eastAsia="zh-CN"/>
        </w:rPr>
        <w:t>主</w:t>
      </w:r>
      <w:r>
        <w:rPr>
          <w:rFonts w:hint="eastAsia" w:hAnsi="宋体"/>
          <w:color w:val="auto"/>
          <w:sz w:val="21"/>
          <w:szCs w:val="21"/>
          <w:highlight w:val="none"/>
        </w:rPr>
        <w:t xml:space="preserve">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一、本保函担保范围：申请人未按照合同约定正确和合理地为合同目的使用预付款，应当向贵方承担的违约责任和赔偿因此造成的损失、利息、律师费、诉讼费用等实现债权的费用。</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二、本保函担保金额最高不超过人民币（大写）</w:t>
      </w:r>
      <w:r>
        <w:rPr>
          <w:rFonts w:hint="eastAsia" w:hAnsi="宋体"/>
          <w:color w:val="auto"/>
          <w:sz w:val="21"/>
          <w:szCs w:val="21"/>
          <w:highlight w:val="none"/>
          <w:u w:val="single"/>
        </w:rPr>
        <w:t xml:space="preserve">          </w:t>
      </w:r>
      <w:r>
        <w:rPr>
          <w:rFonts w:hint="eastAsia" w:hAnsi="宋体"/>
          <w:color w:val="auto"/>
          <w:sz w:val="21"/>
          <w:szCs w:val="21"/>
          <w:highlight w:val="none"/>
        </w:rPr>
        <w:t>元（¥</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三、本保函有效期自开立之日起至发包人全额扣回预付款后</w:t>
      </w:r>
      <w:r>
        <w:rPr>
          <w:rFonts w:hint="eastAsia" w:hAnsi="宋体"/>
          <w:color w:val="auto"/>
          <w:sz w:val="21"/>
          <w:szCs w:val="21"/>
          <w:highlight w:val="none"/>
          <w:u w:val="single"/>
        </w:rPr>
        <w:t xml:space="preserve">   </w:t>
      </w:r>
      <w:r>
        <w:rPr>
          <w:rFonts w:hint="eastAsia" w:hAnsi="宋体"/>
          <w:color w:val="auto"/>
          <w:sz w:val="21"/>
          <w:szCs w:val="21"/>
          <w:highlight w:val="none"/>
        </w:rPr>
        <w:t>日止，最迟不超过</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四、我方承诺，在收到受益人发来的书面付款通知后的</w:t>
      </w:r>
      <w:r>
        <w:rPr>
          <w:rFonts w:hint="eastAsia" w:hAnsi="宋体"/>
          <w:color w:val="auto"/>
          <w:sz w:val="21"/>
          <w:szCs w:val="21"/>
          <w:highlight w:val="none"/>
          <w:u w:val="single"/>
        </w:rPr>
        <w:t xml:space="preserve">    </w:t>
      </w:r>
      <w:r>
        <w:rPr>
          <w:rFonts w:hint="eastAsia" w:hAnsi="宋体"/>
          <w:color w:val="auto"/>
          <w:sz w:val="21"/>
          <w:szCs w:val="21"/>
          <w:highlight w:val="none"/>
        </w:rPr>
        <w:t>日内无条件支付，前述书面付款通知即为付款要求之单据，且应满足以下要求：</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（1）付款通知到达的日期在本保函的有效期内；</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（2）载明要求支付的金额；</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（3）载明申请人违反合同义务的条款和内容；</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（4）声明不存在合同文件约定或我国法律规定免除申请人或开立人支付责任的情形；</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（5）付款通知应在本保函有效期内到达的地址是：</w:t>
      </w:r>
      <w:r>
        <w:rPr>
          <w:rFonts w:hint="eastAsia" w:hAnsi="宋体"/>
          <w:color w:val="auto"/>
          <w:sz w:val="21"/>
          <w:szCs w:val="21"/>
          <w:highlight w:val="none"/>
          <w:u w:val="single"/>
        </w:rPr>
        <w:t xml:space="preserve">             </w:t>
      </w:r>
      <w:r>
        <w:rPr>
          <w:rFonts w:hint="eastAsia" w:hAnsi="宋体"/>
          <w:color w:val="auto"/>
          <w:sz w:val="21"/>
          <w:szCs w:val="21"/>
          <w:highlight w:val="none"/>
        </w:rPr>
        <w:t>。</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受益人发出的书面付款通知应由其为鉴明受益人法定代表人（负责人）或授权代理人签字并加盖公章。</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五、本保函项下的权利不得转让，不得设定担保。贵方未经我方书面同意转 让本保函或其项下任何权利，对我方不发生法律效力。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六、与本保函有关的基础合同不成立、不生效、无效、被撤销、被解除，不影响本保函的独立有效。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八、本保函适用的法律为中华人民共和国法律，争议裁判管辖地为中华人民共和国</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九、本保函自我方法定代表人或授权代表签字并加盖公章之日起生效。 </w:t>
      </w:r>
    </w:p>
    <w:p>
      <w:pPr>
        <w:spacing w:line="440" w:lineRule="exact"/>
        <w:ind w:firstLine="420" w:firstLineChars="200"/>
        <w:rPr>
          <w:rFonts w:hint="eastAsia" w:hAnsi="宋体"/>
          <w:color w:val="auto"/>
          <w:sz w:val="21"/>
          <w:szCs w:val="21"/>
          <w:highlight w:val="none"/>
        </w:rPr>
      </w:pPr>
    </w:p>
    <w:p>
      <w:pPr>
        <w:spacing w:line="440" w:lineRule="exact"/>
        <w:ind w:firstLine="420" w:firstLineChars="200"/>
        <w:rPr>
          <w:rFonts w:hint="eastAsia" w:hAnsi="宋体"/>
          <w:color w:val="auto"/>
          <w:sz w:val="21"/>
          <w:szCs w:val="21"/>
          <w:highlight w:val="none"/>
        </w:rPr>
      </w:pP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开 立 人：                              （公章）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法定代表人（或授权代表）：               （签字）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地    址：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邮政编码：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电    话：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传    真：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开立时间：      年      月        日</w:t>
      </w:r>
    </w:p>
    <w:p>
      <w:pPr>
        <w:pStyle w:val="43"/>
        <w:spacing w:line="440" w:lineRule="exact"/>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p>
    <w:p>
      <w:pPr>
        <w:pStyle w:val="43"/>
        <w:ind w:firstLine="0"/>
        <w:rPr>
          <w:rFonts w:hint="eastAsia" w:hAnsi="宋体" w:cs="宋体"/>
          <w:color w:val="auto"/>
          <w:sz w:val="21"/>
          <w:szCs w:val="21"/>
          <w:highlight w:val="none"/>
        </w:rPr>
      </w:pPr>
      <w:r>
        <w:rPr>
          <w:rFonts w:hint="eastAsia" w:hAnsi="宋体" w:cs="宋体"/>
          <w:color w:val="auto"/>
          <w:sz w:val="21"/>
          <w:szCs w:val="21"/>
          <w:highlight w:val="none"/>
        </w:rPr>
        <w:br w:type="page"/>
      </w:r>
    </w:p>
    <w:p>
      <w:pPr>
        <w:pStyle w:val="36"/>
        <w:keepNext w:val="0"/>
        <w:keepLines w:val="0"/>
        <w:widowControl w:val="0"/>
        <w:wordWrap w:val="0"/>
        <w:adjustRightInd w:val="0"/>
        <w:snapToGrid w:val="0"/>
        <w:spacing w:before="0" w:after="0" w:line="440" w:lineRule="exact"/>
        <w:ind w:left="3189" w:leftChars="15" w:hanging="3153" w:hangingChars="1496"/>
        <w:jc w:val="both"/>
        <w:rPr>
          <w:rFonts w:hint="eastAsia" w:ascii="宋体" w:hAnsi="宋体" w:cs="宋体"/>
          <w:b/>
          <w:snapToGrid w:val="0"/>
          <w:color w:val="auto"/>
          <w:sz w:val="21"/>
          <w:szCs w:val="21"/>
          <w:highlight w:val="none"/>
        </w:rPr>
      </w:pPr>
      <w:bookmarkStart w:id="417" w:name="_Toc6023"/>
      <w:bookmarkStart w:id="418" w:name="_Toc10704"/>
      <w:r>
        <w:rPr>
          <w:rFonts w:hint="eastAsia" w:ascii="宋体" w:hAnsi="宋体" w:cs="宋体"/>
          <w:b/>
          <w:snapToGrid w:val="0"/>
          <w:color w:val="auto"/>
          <w:sz w:val="21"/>
          <w:szCs w:val="21"/>
          <w:highlight w:val="none"/>
        </w:rPr>
        <w:t>附件二：履约保函</w:t>
      </w:r>
      <w:bookmarkEnd w:id="417"/>
      <w:bookmarkEnd w:id="418"/>
      <w:bookmarkStart w:id="419" w:name="_Toc28124"/>
      <w:bookmarkStart w:id="420" w:name="_Toc4311"/>
    </w:p>
    <w:p>
      <w:pPr>
        <w:spacing w:line="440" w:lineRule="exact"/>
        <w:jc w:val="center"/>
        <w:rPr>
          <w:rFonts w:hint="eastAsia" w:hAnsi="宋体"/>
          <w:b/>
          <w:bCs/>
          <w:color w:val="auto"/>
          <w:sz w:val="21"/>
          <w:szCs w:val="21"/>
          <w:highlight w:val="none"/>
        </w:rPr>
      </w:pPr>
      <w:r>
        <w:rPr>
          <w:rFonts w:hint="eastAsia" w:hAnsi="宋体"/>
          <w:b/>
          <w:bCs/>
          <w:color w:val="auto"/>
          <w:sz w:val="21"/>
          <w:szCs w:val="21"/>
          <w:highlight w:val="none"/>
        </w:rPr>
        <w:t>履约保函</w:t>
      </w:r>
      <w:bookmarkEnd w:id="419"/>
    </w:p>
    <w:bookmarkEnd w:id="420"/>
    <w:p>
      <w:pPr>
        <w:wordWrap w:val="0"/>
        <w:spacing w:line="440" w:lineRule="exact"/>
        <w:jc w:val="right"/>
        <w:rPr>
          <w:rFonts w:hint="eastAsia" w:hAnsi="宋体"/>
          <w:color w:val="auto"/>
          <w:sz w:val="21"/>
          <w:szCs w:val="21"/>
          <w:highlight w:val="none"/>
        </w:rPr>
      </w:pPr>
      <w:r>
        <w:rPr>
          <w:rFonts w:hint="eastAsia" w:hAnsi="宋体"/>
          <w:color w:val="auto"/>
          <w:sz w:val="21"/>
          <w:szCs w:val="21"/>
          <w:highlight w:val="none"/>
        </w:rPr>
        <w:t xml:space="preserve">编号：           </w:t>
      </w:r>
    </w:p>
    <w:p>
      <w:pPr>
        <w:spacing w:line="440" w:lineRule="exact"/>
        <w:rPr>
          <w:rFonts w:hint="eastAsia" w:hAnsi="宋体"/>
          <w:color w:val="auto"/>
          <w:sz w:val="21"/>
          <w:szCs w:val="21"/>
          <w:highlight w:val="none"/>
        </w:rPr>
      </w:pPr>
      <w:r>
        <w:rPr>
          <w:rFonts w:hint="eastAsia" w:hAnsi="宋体"/>
          <w:color w:val="auto"/>
          <w:sz w:val="21"/>
          <w:szCs w:val="21"/>
          <w:highlight w:val="none"/>
        </w:rPr>
        <w:t>申请人：</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pPr>
        <w:spacing w:line="440" w:lineRule="exact"/>
        <w:rPr>
          <w:rFonts w:hint="eastAsia" w:hAnsi="宋体"/>
          <w:color w:val="auto"/>
          <w:sz w:val="21"/>
          <w:szCs w:val="21"/>
          <w:highlight w:val="none"/>
        </w:rPr>
      </w:pPr>
      <w:r>
        <w:rPr>
          <w:rFonts w:hint="eastAsia" w:hAnsi="宋体"/>
          <w:color w:val="auto"/>
          <w:sz w:val="21"/>
          <w:szCs w:val="21"/>
          <w:highlight w:val="none"/>
        </w:rPr>
        <w:t>受益人：</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pPr>
        <w:spacing w:line="440" w:lineRule="exact"/>
        <w:rPr>
          <w:rFonts w:hint="eastAsia" w:hAnsi="宋体"/>
          <w:color w:val="auto"/>
          <w:sz w:val="21"/>
          <w:szCs w:val="21"/>
          <w:highlight w:val="none"/>
        </w:rPr>
      </w:pPr>
      <w:r>
        <w:rPr>
          <w:rFonts w:hint="eastAsia" w:hAnsi="宋体"/>
          <w:color w:val="auto"/>
          <w:sz w:val="21"/>
          <w:szCs w:val="21"/>
          <w:highlight w:val="none"/>
        </w:rPr>
        <w:t>开立人：</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w:t>
      </w:r>
    </w:p>
    <w:p>
      <w:pPr>
        <w:spacing w:line="440" w:lineRule="exact"/>
        <w:rPr>
          <w:rFonts w:hint="eastAsia" w:hAnsi="宋体"/>
          <w:color w:val="auto"/>
          <w:sz w:val="21"/>
          <w:szCs w:val="21"/>
          <w:highlight w:val="none"/>
        </w:rPr>
      </w:pPr>
      <w:r>
        <w:rPr>
          <w:rFonts w:hint="eastAsia" w:hAnsi="宋体"/>
          <w:color w:val="auto"/>
          <w:sz w:val="21"/>
          <w:szCs w:val="21"/>
          <w:highlight w:val="none"/>
          <w:u w:val="single"/>
        </w:rPr>
        <w:t xml:space="preserve">              </w:t>
      </w:r>
      <w:r>
        <w:rPr>
          <w:rFonts w:hint="eastAsia" w:hAnsi="宋体"/>
          <w:color w:val="auto"/>
          <w:sz w:val="21"/>
          <w:szCs w:val="21"/>
          <w:highlight w:val="none"/>
        </w:rPr>
        <w:t xml:space="preserve">（受益人名称）：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鉴于</w:t>
      </w:r>
      <w:r>
        <w:rPr>
          <w:rFonts w:hint="eastAsia" w:hAnsi="宋体"/>
          <w:color w:val="auto"/>
          <w:sz w:val="21"/>
          <w:szCs w:val="21"/>
          <w:highlight w:val="none"/>
          <w:u w:val="single"/>
        </w:rPr>
        <w:t xml:space="preserve">        </w:t>
      </w:r>
      <w:r>
        <w:rPr>
          <w:rFonts w:hint="eastAsia" w:hAnsi="宋体"/>
          <w:color w:val="auto"/>
          <w:sz w:val="21"/>
          <w:szCs w:val="21"/>
          <w:highlight w:val="none"/>
        </w:rPr>
        <w:t>（以下简称“受益人”）与</w:t>
      </w:r>
      <w:r>
        <w:rPr>
          <w:rFonts w:hint="eastAsia" w:hAnsi="宋体"/>
          <w:color w:val="auto"/>
          <w:sz w:val="21"/>
          <w:szCs w:val="21"/>
          <w:highlight w:val="none"/>
          <w:u w:val="single"/>
        </w:rPr>
        <w:t xml:space="preserve">         </w:t>
      </w:r>
      <w:r>
        <w:rPr>
          <w:rFonts w:hint="eastAsia" w:hAnsi="宋体"/>
          <w:color w:val="auto"/>
          <w:sz w:val="21"/>
          <w:szCs w:val="21"/>
          <w:highlight w:val="none"/>
        </w:rPr>
        <w:t>（以下简称“申请人”）于</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日就</w:t>
      </w:r>
      <w:r>
        <w:rPr>
          <w:rFonts w:hint="eastAsia" w:hAnsi="宋体"/>
          <w:color w:val="auto"/>
          <w:sz w:val="21"/>
          <w:szCs w:val="21"/>
          <w:highlight w:val="none"/>
          <w:u w:val="single"/>
        </w:rPr>
        <w:t xml:space="preserve">           </w:t>
      </w:r>
      <w:r>
        <w:rPr>
          <w:rFonts w:hint="eastAsia" w:hAnsi="宋体"/>
          <w:color w:val="auto"/>
          <w:sz w:val="21"/>
          <w:szCs w:val="21"/>
          <w:highlight w:val="none"/>
        </w:rPr>
        <w:t>工程（以下简称“本工程”）施工和有关事项协商一致共同签订</w:t>
      </w:r>
      <w:r>
        <w:rPr>
          <w:rFonts w:hint="eastAsia" w:hAnsi="宋体"/>
          <w:color w:val="auto"/>
          <w:sz w:val="21"/>
          <w:szCs w:val="21"/>
          <w:highlight w:val="none"/>
          <w:u w:val="single"/>
        </w:rPr>
        <w:t>《        》</w:t>
      </w:r>
      <w:r>
        <w:rPr>
          <w:rFonts w:hint="eastAsia" w:hAnsi="宋体"/>
          <w:color w:val="auto"/>
          <w:sz w:val="21"/>
          <w:szCs w:val="21"/>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一、本保函担保范围：承包人未按照基础合同的约定履行义务，应当向贵方承担的违约责任和赔偿因此造成的损失、利息、律师费、诉讼费用等实现债权的费用。</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二、本保函担保金额最高不超过人民币（大写）</w:t>
      </w:r>
      <w:r>
        <w:rPr>
          <w:rFonts w:hint="eastAsia" w:hAnsi="宋体"/>
          <w:color w:val="auto"/>
          <w:sz w:val="21"/>
          <w:szCs w:val="21"/>
          <w:highlight w:val="none"/>
          <w:u w:val="single"/>
        </w:rPr>
        <w:t xml:space="preserve">          </w:t>
      </w:r>
      <w:r>
        <w:rPr>
          <w:rFonts w:hint="eastAsia" w:hAnsi="宋体"/>
          <w:color w:val="auto"/>
          <w:sz w:val="21"/>
          <w:szCs w:val="21"/>
          <w:highlight w:val="none"/>
        </w:rPr>
        <w:t>元（¥</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三、本保函有效期自开立之日起至基础合同约定的缺陷责任期后</w:t>
      </w:r>
      <w:r>
        <w:rPr>
          <w:rFonts w:hint="eastAsia" w:hAnsi="宋体"/>
          <w:color w:val="auto"/>
          <w:sz w:val="21"/>
          <w:szCs w:val="21"/>
          <w:highlight w:val="none"/>
          <w:u w:val="single"/>
        </w:rPr>
        <w:t xml:space="preserve">   </w:t>
      </w:r>
      <w:r>
        <w:rPr>
          <w:rFonts w:hint="eastAsia" w:hAnsi="宋体"/>
          <w:color w:val="auto"/>
          <w:sz w:val="21"/>
          <w:szCs w:val="21"/>
          <w:highlight w:val="none"/>
        </w:rPr>
        <w:t>日止，最迟不超过</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pPr>
        <w:spacing w:line="440" w:lineRule="exact"/>
        <w:ind w:firstLine="480"/>
        <w:rPr>
          <w:rFonts w:hint="eastAsia" w:hAnsi="宋体"/>
          <w:color w:val="auto"/>
          <w:sz w:val="21"/>
          <w:szCs w:val="21"/>
          <w:highlight w:val="none"/>
        </w:rPr>
      </w:pPr>
      <w:r>
        <w:rPr>
          <w:rFonts w:hint="eastAsia" w:hAnsi="宋体"/>
          <w:color w:val="auto"/>
          <w:sz w:val="21"/>
          <w:szCs w:val="21"/>
          <w:highlight w:val="none"/>
        </w:rPr>
        <w:t>四、我方承诺，在收到受益人发来的书面付款通知后的</w:t>
      </w:r>
      <w:r>
        <w:rPr>
          <w:rFonts w:hint="eastAsia" w:hAnsi="宋体"/>
          <w:color w:val="auto"/>
          <w:sz w:val="21"/>
          <w:szCs w:val="21"/>
          <w:highlight w:val="none"/>
          <w:u w:val="single"/>
        </w:rPr>
        <w:t xml:space="preserve">    </w:t>
      </w:r>
      <w:r>
        <w:rPr>
          <w:rFonts w:hint="eastAsia" w:hAnsi="宋体"/>
          <w:color w:val="auto"/>
          <w:sz w:val="21"/>
          <w:szCs w:val="21"/>
          <w:highlight w:val="none"/>
        </w:rPr>
        <w:t>日内无条件支付，前述书面付款通知即为付款要求之单据，且应满足以下要求：</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（1）付款通知到达的日期在本保函的有效期内；</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（2）载明要求支付的金额；</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（3）载明申请人违反合同义务的条款和内容；</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（4）声明不存在合同文件约定或我国法律规定免除申请人或开立人支付责任的情形；</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（5）付款通知应在本保函有效期内到达的地址是：</w:t>
      </w:r>
      <w:r>
        <w:rPr>
          <w:rFonts w:hint="eastAsia" w:hAnsi="宋体"/>
          <w:color w:val="auto"/>
          <w:sz w:val="21"/>
          <w:szCs w:val="21"/>
          <w:highlight w:val="none"/>
          <w:u w:val="single"/>
        </w:rPr>
        <w:t xml:space="preserve">             </w:t>
      </w:r>
      <w:r>
        <w:rPr>
          <w:rFonts w:hint="eastAsia" w:hAnsi="宋体"/>
          <w:color w:val="auto"/>
          <w:sz w:val="21"/>
          <w:szCs w:val="21"/>
          <w:highlight w:val="none"/>
        </w:rPr>
        <w:t>。</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受益人发出的书面付款通知应由其为鉴明受益人法定代表人（负责人）或授权代理人签字并加盖公章。</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五、本保函项下的权利不得转让，不得设定担保。贵方未经我方书面同意转 让本保函或其项下任何权利，对我方不发生法律效力。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六、与本保函有关的基础合同不成立、不生效、无效、被撤销、被解除，不影响本保函的独立有效。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八、本保函适用的法律为中华人民共和国法律，争议裁判管辖地为中华人民共和国</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九、本保函自我方法定代表人或授权代表签字并加盖公章之日起生效。 </w:t>
      </w:r>
    </w:p>
    <w:p>
      <w:pPr>
        <w:spacing w:line="440" w:lineRule="exact"/>
        <w:ind w:firstLine="420" w:firstLineChars="200"/>
        <w:rPr>
          <w:rFonts w:hint="eastAsia" w:hAnsi="宋体"/>
          <w:color w:val="auto"/>
          <w:sz w:val="21"/>
          <w:szCs w:val="21"/>
          <w:highlight w:val="none"/>
        </w:rPr>
      </w:pP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开 立 人：                              （公章）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法定代表人（或授权代表）：               （签字）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地    址：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邮政编码：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电    话：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传    真：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开立时间：      年      月     日</w:t>
      </w:r>
    </w:p>
    <w:p>
      <w:pPr>
        <w:pStyle w:val="43"/>
        <w:spacing w:line="440" w:lineRule="exact"/>
        <w:rPr>
          <w:rFonts w:hint="eastAsia" w:hAnsi="宋体" w:cs="宋体"/>
          <w:color w:val="auto"/>
          <w:sz w:val="21"/>
          <w:szCs w:val="21"/>
          <w:highlight w:val="none"/>
        </w:rPr>
      </w:pPr>
    </w:p>
    <w:p>
      <w:pPr>
        <w:pStyle w:val="5"/>
        <w:jc w:val="left"/>
        <w:rPr>
          <w:rFonts w:hint="eastAsia" w:ascii="宋体" w:hAnsi="宋体" w:cs="宋体"/>
          <w:bCs/>
          <w:color w:val="auto"/>
          <w:sz w:val="21"/>
          <w:szCs w:val="21"/>
          <w:highlight w:val="none"/>
        </w:rPr>
      </w:pPr>
      <w:bookmarkStart w:id="421" w:name="_Toc556"/>
    </w:p>
    <w:p>
      <w:pPr>
        <w:pStyle w:val="5"/>
        <w:jc w:val="left"/>
        <w:rPr>
          <w:rFonts w:hint="eastAsia" w:ascii="宋体" w:hAnsi="宋体" w:cs="宋体"/>
          <w:bCs/>
          <w:color w:val="auto"/>
          <w:sz w:val="21"/>
          <w:szCs w:val="21"/>
          <w:highlight w:val="none"/>
        </w:rPr>
      </w:pPr>
    </w:p>
    <w:p>
      <w:pPr>
        <w:pStyle w:val="5"/>
        <w:jc w:val="left"/>
        <w:rPr>
          <w:rFonts w:hint="eastAsia" w:ascii="宋体" w:hAnsi="宋体" w:cs="宋体"/>
          <w:bCs/>
          <w:color w:val="auto"/>
          <w:sz w:val="21"/>
          <w:szCs w:val="21"/>
          <w:highlight w:val="none"/>
        </w:rPr>
      </w:pPr>
    </w:p>
    <w:p>
      <w:pPr>
        <w:rPr>
          <w:rFonts w:hint="eastAsia" w:ascii="宋体" w:hAnsi="宋体" w:cs="宋体"/>
          <w:bCs/>
          <w:color w:val="auto"/>
          <w:sz w:val="21"/>
          <w:szCs w:val="21"/>
          <w:highlight w:val="none"/>
        </w:rPr>
      </w:pPr>
    </w:p>
    <w:p>
      <w:pPr>
        <w:rPr>
          <w:rFonts w:hint="eastAsia" w:ascii="宋体" w:hAnsi="宋体" w:cs="宋体"/>
          <w:bCs/>
          <w:color w:val="auto"/>
          <w:sz w:val="21"/>
          <w:szCs w:val="21"/>
          <w:highlight w:val="none"/>
        </w:rPr>
      </w:pPr>
    </w:p>
    <w:p>
      <w:pPr>
        <w:rPr>
          <w:rFonts w:hint="eastAsia" w:ascii="宋体" w:hAnsi="宋体" w:cs="宋体"/>
          <w:bCs/>
          <w:color w:val="auto"/>
          <w:sz w:val="21"/>
          <w:szCs w:val="21"/>
          <w:highlight w:val="none"/>
        </w:rPr>
      </w:pPr>
    </w:p>
    <w:p>
      <w:pPr>
        <w:rPr>
          <w:rFonts w:hint="eastAsia" w:ascii="宋体" w:hAnsi="宋体" w:cs="宋体"/>
          <w:bCs/>
          <w:color w:val="auto"/>
          <w:sz w:val="21"/>
          <w:szCs w:val="21"/>
          <w:highlight w:val="none"/>
        </w:rPr>
      </w:pPr>
    </w:p>
    <w:p>
      <w:pPr>
        <w:rPr>
          <w:rFonts w:hint="eastAsia" w:ascii="宋体" w:hAnsi="宋体" w:cs="宋体"/>
          <w:bCs/>
          <w:color w:val="auto"/>
          <w:sz w:val="21"/>
          <w:szCs w:val="21"/>
          <w:highlight w:val="none"/>
        </w:rPr>
      </w:pPr>
    </w:p>
    <w:p>
      <w:pPr>
        <w:rPr>
          <w:rFonts w:hint="eastAsia" w:ascii="宋体" w:hAnsi="宋体" w:cs="宋体"/>
          <w:bCs/>
          <w:color w:val="auto"/>
          <w:sz w:val="21"/>
          <w:szCs w:val="21"/>
          <w:highlight w:val="none"/>
        </w:rPr>
      </w:pPr>
    </w:p>
    <w:p>
      <w:pPr>
        <w:rPr>
          <w:rFonts w:hint="eastAsia" w:ascii="宋体" w:hAnsi="宋体" w:cs="宋体"/>
          <w:bCs/>
          <w:color w:val="auto"/>
          <w:sz w:val="21"/>
          <w:szCs w:val="21"/>
          <w:highlight w:val="none"/>
        </w:rPr>
      </w:pPr>
    </w:p>
    <w:p>
      <w:pPr>
        <w:rPr>
          <w:rFonts w:hint="eastAsia" w:ascii="宋体" w:hAnsi="宋体" w:cs="宋体"/>
          <w:bCs/>
          <w:color w:val="auto"/>
          <w:sz w:val="21"/>
          <w:szCs w:val="21"/>
          <w:highlight w:val="none"/>
        </w:rPr>
      </w:pPr>
    </w:p>
    <w:p>
      <w:pPr>
        <w:pStyle w:val="2"/>
        <w:rPr>
          <w:rFonts w:hint="eastAsia"/>
          <w:color w:val="auto"/>
          <w:highlight w:val="none"/>
        </w:rPr>
      </w:pPr>
    </w:p>
    <w:p>
      <w:pPr>
        <w:rPr>
          <w:rFonts w:hint="eastAsia" w:ascii="宋体" w:hAnsi="宋体" w:cs="宋体"/>
          <w:bCs/>
          <w:color w:val="auto"/>
          <w:sz w:val="21"/>
          <w:szCs w:val="21"/>
          <w:highlight w:val="none"/>
        </w:rPr>
      </w:pPr>
    </w:p>
    <w:p>
      <w:pPr>
        <w:rPr>
          <w:rFonts w:hint="eastAsia" w:ascii="宋体" w:hAnsi="宋体" w:cs="宋体"/>
          <w:bCs/>
          <w:color w:val="auto"/>
          <w:sz w:val="21"/>
          <w:szCs w:val="21"/>
          <w:highlight w:val="none"/>
        </w:rPr>
      </w:pPr>
    </w:p>
    <w:p>
      <w:pPr>
        <w:keepNext w:val="0"/>
        <w:keepLines w:val="0"/>
        <w:widowControl w:val="0"/>
        <w:wordWrap w:val="0"/>
        <w:adjustRightInd w:val="0"/>
        <w:snapToGrid w:val="0"/>
        <w:spacing w:before="0" w:after="0" w:line="440" w:lineRule="exact"/>
        <w:ind w:firstLine="0"/>
        <w:jc w:val="both"/>
        <w:rPr>
          <w:rFonts w:hint="eastAsia" w:ascii="宋体" w:hAnsi="宋体" w:cs="宋体"/>
          <w:b/>
          <w:snapToGrid w:val="0"/>
          <w:color w:val="auto"/>
          <w:sz w:val="21"/>
          <w:szCs w:val="21"/>
          <w:highlight w:val="none"/>
        </w:rPr>
      </w:pPr>
      <w:bookmarkStart w:id="422" w:name="_Toc5949"/>
      <w:bookmarkStart w:id="423" w:name="_Toc7299"/>
      <w:r>
        <w:rPr>
          <w:rFonts w:hint="eastAsia" w:ascii="宋体" w:hAnsi="宋体" w:cs="宋体"/>
          <w:b/>
          <w:snapToGrid w:val="0"/>
          <w:color w:val="auto"/>
          <w:sz w:val="21"/>
          <w:szCs w:val="21"/>
          <w:highlight w:val="none"/>
        </w:rPr>
        <w:t>附件三：支付保函</w:t>
      </w:r>
      <w:bookmarkEnd w:id="421"/>
      <w:bookmarkEnd w:id="422"/>
      <w:bookmarkEnd w:id="423"/>
    </w:p>
    <w:p>
      <w:pPr>
        <w:spacing w:line="440" w:lineRule="exact"/>
        <w:jc w:val="center"/>
        <w:rPr>
          <w:rFonts w:hint="eastAsia" w:hAnsi="宋体"/>
          <w:b/>
          <w:bCs/>
          <w:color w:val="auto"/>
          <w:sz w:val="21"/>
          <w:szCs w:val="21"/>
          <w:highlight w:val="none"/>
        </w:rPr>
      </w:pPr>
      <w:r>
        <w:rPr>
          <w:rFonts w:hint="eastAsia" w:hAnsi="宋体"/>
          <w:b/>
          <w:bCs/>
          <w:color w:val="auto"/>
          <w:sz w:val="21"/>
          <w:szCs w:val="21"/>
          <w:highlight w:val="none"/>
        </w:rPr>
        <w:t>支付保函</w:t>
      </w:r>
    </w:p>
    <w:p>
      <w:pPr>
        <w:spacing w:line="440" w:lineRule="exact"/>
        <w:jc w:val="center"/>
        <w:rPr>
          <w:rFonts w:hint="eastAsia" w:hAnsi="宋体"/>
          <w:b/>
          <w:bCs/>
          <w:color w:val="auto"/>
          <w:sz w:val="21"/>
          <w:szCs w:val="21"/>
          <w:highlight w:val="none"/>
        </w:rPr>
      </w:pPr>
    </w:p>
    <w:p>
      <w:pPr>
        <w:wordWrap w:val="0"/>
        <w:spacing w:line="440" w:lineRule="exact"/>
        <w:jc w:val="right"/>
        <w:rPr>
          <w:rFonts w:hint="eastAsia" w:hAnsi="宋体"/>
          <w:color w:val="auto"/>
          <w:sz w:val="21"/>
          <w:szCs w:val="21"/>
          <w:highlight w:val="none"/>
        </w:rPr>
      </w:pPr>
      <w:r>
        <w:rPr>
          <w:rFonts w:hint="eastAsia" w:hAnsi="宋体"/>
          <w:color w:val="auto"/>
          <w:sz w:val="21"/>
          <w:szCs w:val="21"/>
          <w:highlight w:val="none"/>
        </w:rPr>
        <w:t xml:space="preserve">编号：           </w:t>
      </w:r>
    </w:p>
    <w:p>
      <w:pPr>
        <w:spacing w:line="440" w:lineRule="exact"/>
        <w:rPr>
          <w:rFonts w:hint="eastAsia" w:hAnsi="宋体"/>
          <w:color w:val="auto"/>
          <w:sz w:val="21"/>
          <w:szCs w:val="21"/>
          <w:highlight w:val="none"/>
        </w:rPr>
      </w:pPr>
      <w:r>
        <w:rPr>
          <w:rFonts w:hint="eastAsia" w:hAnsi="宋体"/>
          <w:color w:val="auto"/>
          <w:sz w:val="21"/>
          <w:szCs w:val="21"/>
          <w:highlight w:val="none"/>
        </w:rPr>
        <w:t>申请人：</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pPr>
        <w:spacing w:line="440" w:lineRule="exact"/>
        <w:rPr>
          <w:rFonts w:hint="eastAsia" w:hAnsi="宋体"/>
          <w:color w:val="auto"/>
          <w:sz w:val="21"/>
          <w:szCs w:val="21"/>
          <w:highlight w:val="none"/>
        </w:rPr>
      </w:pPr>
      <w:r>
        <w:rPr>
          <w:rFonts w:hint="eastAsia" w:hAnsi="宋体"/>
          <w:color w:val="auto"/>
          <w:sz w:val="21"/>
          <w:szCs w:val="21"/>
          <w:highlight w:val="none"/>
        </w:rPr>
        <w:t>受益人：</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pPr>
        <w:spacing w:line="440" w:lineRule="exact"/>
        <w:rPr>
          <w:rFonts w:hint="eastAsia" w:hAnsi="宋体"/>
          <w:color w:val="auto"/>
          <w:sz w:val="21"/>
          <w:szCs w:val="21"/>
          <w:highlight w:val="none"/>
        </w:rPr>
      </w:pPr>
      <w:r>
        <w:rPr>
          <w:rFonts w:hint="eastAsia" w:hAnsi="宋体"/>
          <w:color w:val="auto"/>
          <w:sz w:val="21"/>
          <w:szCs w:val="21"/>
          <w:highlight w:val="none"/>
        </w:rPr>
        <w:t>开立人：</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地址：</w:t>
      </w:r>
    </w:p>
    <w:p>
      <w:pPr>
        <w:spacing w:line="440" w:lineRule="exact"/>
        <w:rPr>
          <w:rFonts w:hint="eastAsia" w:hAnsi="宋体"/>
          <w:color w:val="auto"/>
          <w:sz w:val="21"/>
          <w:szCs w:val="21"/>
          <w:highlight w:val="none"/>
        </w:rPr>
      </w:pPr>
      <w:r>
        <w:rPr>
          <w:rFonts w:hint="eastAsia" w:hAnsi="宋体"/>
          <w:color w:val="auto"/>
          <w:sz w:val="21"/>
          <w:szCs w:val="21"/>
          <w:highlight w:val="none"/>
        </w:rPr>
        <w:t xml:space="preserve"> </w:t>
      </w:r>
    </w:p>
    <w:p>
      <w:pPr>
        <w:spacing w:line="440" w:lineRule="exact"/>
        <w:rPr>
          <w:rFonts w:hint="eastAsia" w:hAnsi="宋体"/>
          <w:color w:val="auto"/>
          <w:sz w:val="21"/>
          <w:szCs w:val="21"/>
          <w:highlight w:val="none"/>
        </w:rPr>
      </w:pPr>
      <w:bookmarkStart w:id="424" w:name="_Hlk40355074"/>
      <w:r>
        <w:rPr>
          <w:rFonts w:hint="eastAsia" w:hAnsi="宋体"/>
          <w:color w:val="auto"/>
          <w:sz w:val="21"/>
          <w:szCs w:val="21"/>
          <w:highlight w:val="none"/>
          <w:u w:val="single"/>
        </w:rPr>
        <w:t xml:space="preserve">              </w:t>
      </w:r>
      <w:r>
        <w:rPr>
          <w:rFonts w:hint="eastAsia" w:hAnsi="宋体"/>
          <w:color w:val="auto"/>
          <w:sz w:val="21"/>
          <w:szCs w:val="21"/>
          <w:highlight w:val="none"/>
        </w:rPr>
        <w:t xml:space="preserve">（受益人名称）： </w:t>
      </w:r>
    </w:p>
    <w:bookmarkEnd w:id="424"/>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鉴于</w:t>
      </w:r>
      <w:r>
        <w:rPr>
          <w:rFonts w:hint="eastAsia" w:hAnsi="宋体"/>
          <w:color w:val="auto"/>
          <w:sz w:val="21"/>
          <w:szCs w:val="21"/>
          <w:highlight w:val="none"/>
          <w:u w:val="single"/>
        </w:rPr>
        <w:t xml:space="preserve">        </w:t>
      </w:r>
      <w:r>
        <w:rPr>
          <w:rFonts w:hint="eastAsia" w:hAnsi="宋体"/>
          <w:color w:val="auto"/>
          <w:sz w:val="21"/>
          <w:szCs w:val="21"/>
          <w:highlight w:val="none"/>
        </w:rPr>
        <w:t>（以下简称“受益人”）与</w:t>
      </w:r>
      <w:r>
        <w:rPr>
          <w:rFonts w:hint="eastAsia" w:hAnsi="宋体"/>
          <w:color w:val="auto"/>
          <w:sz w:val="21"/>
          <w:szCs w:val="21"/>
          <w:highlight w:val="none"/>
          <w:u w:val="single"/>
        </w:rPr>
        <w:t xml:space="preserve">         </w:t>
      </w:r>
      <w:r>
        <w:rPr>
          <w:rFonts w:hint="eastAsia" w:hAnsi="宋体"/>
          <w:color w:val="auto"/>
          <w:sz w:val="21"/>
          <w:szCs w:val="21"/>
          <w:highlight w:val="none"/>
        </w:rPr>
        <w:t>（以下简称“申请人”）于</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日就</w:t>
      </w:r>
      <w:r>
        <w:rPr>
          <w:rFonts w:hint="eastAsia" w:hAnsi="宋体"/>
          <w:color w:val="auto"/>
          <w:sz w:val="21"/>
          <w:szCs w:val="21"/>
          <w:highlight w:val="none"/>
          <w:u w:val="single"/>
        </w:rPr>
        <w:t xml:space="preserve">           </w:t>
      </w:r>
      <w:r>
        <w:rPr>
          <w:rFonts w:hint="eastAsia" w:hAnsi="宋体"/>
          <w:color w:val="auto"/>
          <w:sz w:val="21"/>
          <w:szCs w:val="21"/>
          <w:highlight w:val="none"/>
        </w:rPr>
        <w:t>工程（以下简称“本工程”）施工和有关事项协商一致共同签订</w:t>
      </w:r>
      <w:r>
        <w:rPr>
          <w:rFonts w:hint="eastAsia" w:hAnsi="宋体"/>
          <w:color w:val="auto"/>
          <w:sz w:val="21"/>
          <w:szCs w:val="21"/>
          <w:highlight w:val="none"/>
          <w:u w:val="single"/>
        </w:rPr>
        <w:t>《        》</w:t>
      </w:r>
      <w:r>
        <w:rPr>
          <w:rFonts w:hint="eastAsia" w:hAnsi="宋体"/>
          <w:color w:val="auto"/>
          <w:sz w:val="21"/>
          <w:szCs w:val="21"/>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一、本保函担保范围：申请人未履行基础合同约定的工程款支付义务，应当向贵方承担的违约责任和赔偿因此造成的损失、利息、律师费、诉讼费用等实现债权的费用。</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二、本保函担保金额最高不超过人民币（大写）</w:t>
      </w:r>
      <w:r>
        <w:rPr>
          <w:rFonts w:hint="eastAsia" w:hAnsi="宋体"/>
          <w:color w:val="auto"/>
          <w:sz w:val="21"/>
          <w:szCs w:val="21"/>
          <w:highlight w:val="none"/>
          <w:u w:val="single"/>
        </w:rPr>
        <w:t xml:space="preserve">          </w:t>
      </w:r>
      <w:r>
        <w:rPr>
          <w:rFonts w:hint="eastAsia" w:hAnsi="宋体"/>
          <w:color w:val="auto"/>
          <w:sz w:val="21"/>
          <w:szCs w:val="21"/>
          <w:highlight w:val="none"/>
        </w:rPr>
        <w:t>元（¥</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三、本保函有效期自开立之日起至基础合同约定的除工程质量保修金以外的全部工程结算款项支付之日后</w:t>
      </w:r>
      <w:r>
        <w:rPr>
          <w:rFonts w:hint="eastAsia" w:hAnsi="宋体"/>
          <w:color w:val="auto"/>
          <w:sz w:val="21"/>
          <w:szCs w:val="21"/>
          <w:highlight w:val="none"/>
          <w:u w:val="single"/>
        </w:rPr>
        <w:t xml:space="preserve">   </w:t>
      </w:r>
      <w:r>
        <w:rPr>
          <w:rFonts w:hint="eastAsia" w:hAnsi="宋体"/>
          <w:color w:val="auto"/>
          <w:sz w:val="21"/>
          <w:szCs w:val="21"/>
          <w:highlight w:val="none"/>
        </w:rPr>
        <w:t>日止，最迟不超过</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pPr>
        <w:spacing w:line="440" w:lineRule="exact"/>
        <w:ind w:firstLine="480"/>
        <w:rPr>
          <w:rFonts w:hint="eastAsia" w:hAnsi="宋体"/>
          <w:color w:val="auto"/>
          <w:sz w:val="21"/>
          <w:szCs w:val="21"/>
          <w:highlight w:val="none"/>
        </w:rPr>
      </w:pPr>
      <w:r>
        <w:rPr>
          <w:rFonts w:hint="eastAsia" w:hAnsi="宋体"/>
          <w:color w:val="auto"/>
          <w:sz w:val="21"/>
          <w:szCs w:val="21"/>
          <w:highlight w:val="none"/>
        </w:rPr>
        <w:t>四、我方承诺，在收到受益人发来的书面付款通知后的</w:t>
      </w:r>
      <w:r>
        <w:rPr>
          <w:rFonts w:hint="eastAsia" w:hAnsi="宋体"/>
          <w:color w:val="auto"/>
          <w:sz w:val="21"/>
          <w:szCs w:val="21"/>
          <w:highlight w:val="none"/>
          <w:u w:val="single"/>
        </w:rPr>
        <w:t xml:space="preserve">    </w:t>
      </w:r>
      <w:r>
        <w:rPr>
          <w:rFonts w:hint="eastAsia" w:hAnsi="宋体"/>
          <w:color w:val="auto"/>
          <w:sz w:val="21"/>
          <w:szCs w:val="21"/>
          <w:highlight w:val="none"/>
        </w:rPr>
        <w:t>日内无条件支付，前述书面付款通知即为付款要求之单据，且应满足以下要求：</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（1）付款通知到达的日期在本保函的有效期内；</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（2）载明要求支付的金额；</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（3）载明申请人违反合同义务的条款和内容；</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（4）声明不存在合同文件约定或我国法律规定免除申请人或开立人支付责任的情形；</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（5）付款通知应在本保函有效期内到达的地址是：</w:t>
      </w:r>
      <w:r>
        <w:rPr>
          <w:rFonts w:hint="eastAsia" w:hAnsi="宋体"/>
          <w:color w:val="auto"/>
          <w:sz w:val="21"/>
          <w:szCs w:val="21"/>
          <w:highlight w:val="none"/>
          <w:u w:val="single"/>
        </w:rPr>
        <w:t xml:space="preserve">             </w:t>
      </w:r>
      <w:r>
        <w:rPr>
          <w:rFonts w:hint="eastAsia" w:hAnsi="宋体"/>
          <w:color w:val="auto"/>
          <w:sz w:val="21"/>
          <w:szCs w:val="21"/>
          <w:highlight w:val="none"/>
        </w:rPr>
        <w:t>。</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受益人发出的书面付款通知应由其为鉴明受益人法定代表人（负责人）或授权代理人签字并加盖公章。</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五、本保函项下的权利不得转让，不得设定担保。贵方未经我方书面同意转 让本保函或其项下任何权利，对我方不发生法律效力。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六、与本保函有关的基础合同不成立、不生效、无效、被撤销、被解除，不影响本保函的独立有效。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八、本保函适用的法律为中华人民共和国法律，争议裁判管辖地为中华人民共和国</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九、本保函自我方法定代表人</w:t>
      </w:r>
      <w:bookmarkStart w:id="425" w:name="_Hlk58487855"/>
      <w:r>
        <w:rPr>
          <w:rFonts w:hint="eastAsia" w:hAnsi="宋体"/>
          <w:color w:val="auto"/>
          <w:sz w:val="21"/>
          <w:szCs w:val="21"/>
          <w:highlight w:val="none"/>
        </w:rPr>
        <w:t>或授权代表</w:t>
      </w:r>
      <w:bookmarkEnd w:id="425"/>
      <w:r>
        <w:rPr>
          <w:rFonts w:hint="eastAsia" w:hAnsi="宋体"/>
          <w:color w:val="auto"/>
          <w:sz w:val="21"/>
          <w:szCs w:val="21"/>
          <w:highlight w:val="none"/>
        </w:rPr>
        <w:t xml:space="preserve">签字并加盖公章之日起生效。 </w:t>
      </w:r>
    </w:p>
    <w:p>
      <w:pPr>
        <w:spacing w:line="440" w:lineRule="exact"/>
        <w:ind w:firstLine="420" w:firstLineChars="200"/>
        <w:rPr>
          <w:rFonts w:hint="eastAsia" w:hAnsi="宋体"/>
          <w:color w:val="auto"/>
          <w:sz w:val="21"/>
          <w:szCs w:val="21"/>
          <w:highlight w:val="none"/>
        </w:rPr>
      </w:pPr>
    </w:p>
    <w:p>
      <w:pPr>
        <w:spacing w:line="440" w:lineRule="exact"/>
        <w:ind w:firstLine="420" w:firstLineChars="200"/>
        <w:rPr>
          <w:rFonts w:hint="eastAsia" w:hAnsi="宋体"/>
          <w:color w:val="auto"/>
          <w:sz w:val="21"/>
          <w:szCs w:val="21"/>
          <w:highlight w:val="none"/>
        </w:rPr>
      </w:pP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开 立 人：</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（公章）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法定代表人（或授权代表）：</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（签字）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地    址：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邮政编码：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电    话：                 </w:t>
      </w:r>
    </w:p>
    <w:p>
      <w:pPr>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传    真：                 </w:t>
      </w:r>
    </w:p>
    <w:p>
      <w:pPr>
        <w:spacing w:line="440" w:lineRule="exact"/>
        <w:ind w:firstLine="420" w:firstLineChars="200"/>
        <w:rPr>
          <w:rFonts w:hint="eastAsia" w:hAnsi="宋体"/>
          <w:color w:val="auto"/>
          <w:highlight w:val="none"/>
        </w:rPr>
        <w:sectPr>
          <w:endnotePr>
            <w:numFmt w:val="decimal"/>
          </w:endnotePr>
          <w:pgSz w:w="11906" w:h="16838"/>
          <w:pgMar w:top="1440" w:right="1080" w:bottom="1440" w:left="1080" w:header="850" w:footer="454" w:gutter="0"/>
          <w:pgNumType w:fmt="decimal"/>
          <w:cols w:space="720" w:num="1"/>
          <w:docGrid w:linePitch="327" w:charSpace="0"/>
        </w:sectPr>
      </w:pPr>
      <w:r>
        <w:rPr>
          <w:rFonts w:hint="eastAsia" w:hAnsi="宋体"/>
          <w:color w:val="auto"/>
          <w:sz w:val="21"/>
          <w:szCs w:val="21"/>
          <w:highlight w:val="none"/>
        </w:rPr>
        <w:t xml:space="preserve">开立时间：      年      月   </w:t>
      </w:r>
      <w:r>
        <w:rPr>
          <w:rFonts w:hint="eastAsia" w:hAnsi="宋体"/>
          <w:color w:val="auto"/>
          <w:highlight w:val="none"/>
        </w:rPr>
        <w:t xml:space="preserve">   </w:t>
      </w:r>
    </w:p>
    <w:bookmarkEnd w:id="343"/>
    <w:bookmarkEnd w:id="344"/>
    <w:p>
      <w:pPr>
        <w:pStyle w:val="44"/>
        <w:tabs>
          <w:tab w:val="left" w:pos="885"/>
        </w:tabs>
        <w:snapToGrid w:val="0"/>
        <w:spacing w:line="440" w:lineRule="exact"/>
        <w:ind w:firstLine="0" w:firstLineChars="0"/>
        <w:jc w:val="center"/>
        <w:outlineLvl w:val="0"/>
        <w:rPr>
          <w:rStyle w:val="25"/>
          <w:rFonts w:hint="eastAsia"/>
          <w:b/>
          <w:bCs/>
          <w:color w:val="auto"/>
          <w:sz w:val="28"/>
          <w:szCs w:val="28"/>
          <w:highlight w:val="none"/>
        </w:rPr>
      </w:pPr>
      <w:bookmarkStart w:id="426" w:name="_Toc2500"/>
      <w:bookmarkStart w:id="427" w:name="_Toc23893"/>
      <w:bookmarkStart w:id="428" w:name="_Toc18368"/>
      <w:bookmarkStart w:id="429" w:name="_Toc17509"/>
      <w:bookmarkStart w:id="430" w:name="_Toc28086"/>
      <w:bookmarkStart w:id="431" w:name="_Toc25616"/>
      <w:bookmarkStart w:id="432" w:name="_Toc19071"/>
      <w:bookmarkStart w:id="433" w:name="_Toc22365"/>
      <w:bookmarkStart w:id="434" w:name="_Toc24640"/>
      <w:bookmarkStart w:id="435" w:name="_Toc23902"/>
      <w:bookmarkStart w:id="436" w:name="_Toc2197"/>
      <w:bookmarkStart w:id="437" w:name="_Toc23090"/>
      <w:bookmarkStart w:id="438" w:name="_Toc24572"/>
      <w:r>
        <w:rPr>
          <w:rStyle w:val="25"/>
          <w:rFonts w:hint="eastAsia"/>
          <w:b/>
          <w:bCs/>
          <w:color w:val="auto"/>
          <w:sz w:val="28"/>
          <w:szCs w:val="28"/>
          <w:highlight w:val="none"/>
        </w:rPr>
        <w:t>第四章 技术要求</w:t>
      </w:r>
      <w:bookmarkEnd w:id="339"/>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45"/>
        <w:snapToGrid w:val="0"/>
        <w:spacing w:before="0" w:after="0" w:line="440" w:lineRule="exact"/>
        <w:ind w:left="643" w:firstLine="0"/>
        <w:jc w:val="both"/>
        <w:rPr>
          <w:rStyle w:val="25"/>
          <w:rFonts w:hint="eastAsia" w:hAnsi="宋体"/>
          <w:b/>
          <w:bCs/>
          <w:color w:val="auto"/>
          <w:highlight w:val="none"/>
        </w:rPr>
      </w:pPr>
    </w:p>
    <w:p>
      <w:pPr>
        <w:pStyle w:val="4"/>
        <w:pageBreakBefore w:val="0"/>
        <w:widowControl/>
        <w:shd w:val="clear" w:color="auto" w:fill="auto"/>
        <w:kinsoku/>
        <w:overflowPunct/>
        <w:topLinePunct w:val="0"/>
        <w:autoSpaceDE/>
        <w:autoSpaceDN/>
        <w:bidi w:val="0"/>
        <w:adjustRightInd/>
        <w:snapToGrid/>
        <w:spacing w:before="0" w:beforeLines="0" w:after="0" w:afterLines="0" w:line="440" w:lineRule="exact"/>
        <w:ind w:firstLine="421" w:firstLineChars="200"/>
        <w:textAlignment w:val="baseline"/>
        <w:rPr>
          <w:rFonts w:hint="eastAsia" w:ascii="宋体" w:hAnsi="宋体" w:eastAsia="宋体" w:cs="宋体"/>
          <w:b/>
          <w:bCs/>
          <w:color w:val="auto"/>
          <w:sz w:val="21"/>
          <w:szCs w:val="21"/>
          <w:highlight w:val="none"/>
        </w:rPr>
      </w:pPr>
      <w:bookmarkStart w:id="439" w:name="_Hlt69670335"/>
      <w:bookmarkEnd w:id="439"/>
      <w:bookmarkStart w:id="440" w:name="_Toc28606"/>
      <w:bookmarkStart w:id="441" w:name="_Toc23715"/>
      <w:bookmarkStart w:id="442" w:name="_Toc15659"/>
      <w:bookmarkStart w:id="443" w:name="_Toc30040"/>
      <w:r>
        <w:rPr>
          <w:rFonts w:hint="eastAsia" w:ascii="宋体" w:hAnsi="宋体" w:eastAsia="宋体" w:cs="宋体"/>
          <w:b/>
          <w:bCs/>
          <w:color w:val="auto"/>
          <w:sz w:val="21"/>
          <w:szCs w:val="21"/>
          <w:highlight w:val="none"/>
        </w:rPr>
        <w:t>1．房屋建筑工程建设项目</w:t>
      </w:r>
      <w:bookmarkEnd w:id="440"/>
      <w:bookmarkEnd w:id="441"/>
      <w:bookmarkEnd w:id="442"/>
      <w:bookmarkEnd w:id="443"/>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bookmarkStart w:id="444" w:name="_Hlt78709799"/>
      <w:bookmarkEnd w:id="444"/>
      <w:bookmarkStart w:id="445" w:name="_Hlt69358458"/>
      <w:bookmarkEnd w:id="445"/>
      <w:bookmarkStart w:id="446" w:name="_Hlt69359086"/>
      <w:bookmarkEnd w:id="446"/>
      <w:bookmarkStart w:id="447" w:name="_Hlt69635252"/>
      <w:bookmarkEnd w:id="447"/>
      <w:bookmarkStart w:id="448" w:name="_Hlt69359243"/>
      <w:bookmarkEnd w:id="448"/>
      <w:bookmarkStart w:id="449" w:name="_Hlt69116858"/>
      <w:bookmarkEnd w:id="449"/>
      <w:bookmarkStart w:id="450" w:name="_Hlt69359245"/>
      <w:bookmarkEnd w:id="450"/>
      <w:r>
        <w:rPr>
          <w:rFonts w:hint="eastAsia" w:ascii="宋体" w:hAnsi="宋体" w:eastAsia="宋体" w:cs="宋体"/>
          <w:bCs/>
          <w:snapToGrid w:val="0"/>
          <w:color w:val="auto"/>
          <w:kern w:val="0"/>
          <w:sz w:val="21"/>
          <w:szCs w:val="21"/>
          <w:highlight w:val="none"/>
        </w:rPr>
        <w:t>房屋建筑工程建设项目必须执行的现行技术规范，包括且不限于：</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（1）《建筑工程施工质量验收统一标准》；</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（2）《建筑地基基础工程施工质量验收规范》；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（3）《砌体工程施工质量验收规范》；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（4）《混凝土结构工程施工质量验收规范》；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（5）《屋面工程质量验收规范》；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（6）《地下防水工程质量验收规范》；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（7）</w:t>
      </w:r>
      <w:bookmarkStart w:id="451" w:name="_Hlt78795211"/>
      <w:bookmarkEnd w:id="451"/>
      <w:r>
        <w:rPr>
          <w:rFonts w:hint="eastAsia" w:ascii="宋体" w:hAnsi="宋体" w:eastAsia="宋体" w:cs="宋体"/>
          <w:bCs/>
          <w:snapToGrid w:val="0"/>
          <w:color w:val="auto"/>
          <w:kern w:val="0"/>
          <w:sz w:val="21"/>
          <w:szCs w:val="21"/>
          <w:highlight w:val="none"/>
        </w:rPr>
        <w:t>《建筑地面工程施工质量验收规范》；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（8）《建筑装饰装修工程施工质量验收规范》；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（9）《建筑给排水及采暖工程施工质量验收规范》；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（10）《建筑电气工程施工质量验收规范》；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（11）《住建部绿色建筑评价标准》；</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（12）《建筑节能与可再生能源利用通用规范》（GB55015-2021）；</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（13）《建筑环境通用规范》；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（14）《建筑与市政工程无障碍通用规范》 GB 55019-2021；</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（15）《建筑防火通用规范》GB 55037-2022;</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（16）《建筑与市政工程抗震通用规范》GB55002-2001;</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（17）《建筑与市政地基基础通用规范》GB55003-2001;</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（18）《广东省住房和城乡建设厅绿色施工导则》；</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（19）《广东省建筑工程绿色施工评价标准》；</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（20）《广东省建筑节能与绿色建筑工程施工质量验收规范》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（21）其他现行国家、广东省关于房建工程的施工及验收规范、定额、规程、标准。</w:t>
      </w:r>
    </w:p>
    <w:p>
      <w:pPr>
        <w:pStyle w:val="4"/>
        <w:pageBreakBefore w:val="0"/>
        <w:widowControl/>
        <w:shd w:val="clear" w:color="auto" w:fill="auto"/>
        <w:kinsoku/>
        <w:overflowPunct/>
        <w:topLinePunct w:val="0"/>
        <w:autoSpaceDE/>
        <w:autoSpaceDN/>
        <w:bidi w:val="0"/>
        <w:adjustRightInd/>
        <w:snapToGrid/>
        <w:spacing w:before="0" w:beforeLines="0" w:after="0" w:afterLines="0" w:line="440" w:lineRule="exact"/>
        <w:ind w:firstLine="421" w:firstLineChars="200"/>
        <w:textAlignment w:val="baseline"/>
        <w:rPr>
          <w:rFonts w:hint="eastAsia" w:ascii="宋体" w:hAnsi="宋体" w:eastAsia="宋体" w:cs="宋体"/>
          <w:b/>
          <w:bCs/>
          <w:color w:val="auto"/>
          <w:sz w:val="21"/>
          <w:szCs w:val="21"/>
          <w:highlight w:val="none"/>
        </w:rPr>
      </w:pPr>
      <w:bookmarkStart w:id="452" w:name="_Toc2532"/>
      <w:bookmarkStart w:id="453" w:name="_Toc10500"/>
      <w:bookmarkStart w:id="454" w:name="_Toc6235"/>
      <w:bookmarkStart w:id="455" w:name="_Toc18760"/>
      <w:bookmarkStart w:id="456" w:name="_Toc24043"/>
      <w:bookmarkStart w:id="457" w:name="_Toc21871"/>
      <w:r>
        <w:rPr>
          <w:rFonts w:hint="eastAsia" w:ascii="宋体" w:hAnsi="宋体" w:eastAsia="宋体" w:cs="宋体"/>
          <w:b/>
          <w:bCs/>
          <w:color w:val="auto"/>
          <w:sz w:val="21"/>
          <w:szCs w:val="21"/>
          <w:highlight w:val="none"/>
        </w:rPr>
        <w:t>2．市政基础设施工程建设项目</w:t>
      </w:r>
      <w:bookmarkEnd w:id="452"/>
      <w:bookmarkEnd w:id="453"/>
      <w:bookmarkEnd w:id="454"/>
      <w:bookmarkEnd w:id="455"/>
      <w:bookmarkEnd w:id="456"/>
      <w:bookmarkEnd w:id="457"/>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市政基础设施工程建设项目必须执行的现行技术规范，包括且不限于：</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（1）《公路路基施工技术规范》；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（2）《市政道路工程质量检验评定标准》；</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（3）《市政排水管渠工程质量检验评定标准》；</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（4）《给水排水管道工程施工及验收规范》；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（5）《城市道路路基工程施工及验收规范》；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（6）《水泥砼路面施工及验收规范》；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（7）《公路水泥砼路面施工技术规范》；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（8）《埋地硬聚氯乙烯排水管道工程技术规程》；</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（9）《沥青路面施工及验收规范》；</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（10）《广东省市政工程施工质量技术资料统一用表》。</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（11）《建筑与市政工程无障碍通用规范》 GB 55019-2021；</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（12）《建筑防火通用规范》GB 55037-2022;</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（13）《建筑与市政工程抗震通用规范》GB55002-2001;</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（14）《建筑与市政地基基础通用规范》GB55003-2001;</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（15）《城市道路照明设计标准》（CJJ45-2015）；</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（16）《低压配电设计规范》（GB50054-2011）；</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（17）《城市道路照明工程施工及验收规程》（CJJ89-2012）；</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（18）《LED 道路照明工程技术规范》（DB44/T 1898-2016）；</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（19）《灯具第 1 部分：一般要求与试验》（GB7000.1-2015）；</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（20）《电缆工程电缆设计标准》（GB50217-2018）；</w:t>
      </w:r>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（21）其他现行国家、广东省关于市政工程的技术及验收规范、定额、规程、标准。</w:t>
      </w:r>
    </w:p>
    <w:p>
      <w:pPr>
        <w:pStyle w:val="4"/>
        <w:pageBreakBefore w:val="0"/>
        <w:widowControl/>
        <w:shd w:val="clear" w:color="auto" w:fill="auto"/>
        <w:kinsoku/>
        <w:overflowPunct/>
        <w:topLinePunct w:val="0"/>
        <w:autoSpaceDE/>
        <w:autoSpaceDN/>
        <w:bidi w:val="0"/>
        <w:adjustRightInd/>
        <w:snapToGrid/>
        <w:spacing w:before="0" w:beforeLines="0" w:after="0" w:afterLines="0" w:line="440" w:lineRule="exact"/>
        <w:ind w:firstLine="421" w:firstLineChars="200"/>
        <w:textAlignment w:val="baseline"/>
        <w:rPr>
          <w:rFonts w:hint="eastAsia" w:ascii="宋体" w:hAnsi="宋体" w:eastAsia="宋体" w:cs="宋体"/>
          <w:b/>
          <w:bCs/>
          <w:color w:val="auto"/>
          <w:sz w:val="21"/>
          <w:szCs w:val="21"/>
          <w:highlight w:val="none"/>
        </w:rPr>
      </w:pPr>
      <w:bookmarkStart w:id="458" w:name="_Toc641"/>
      <w:bookmarkStart w:id="459" w:name="_Toc29846"/>
      <w:bookmarkStart w:id="460" w:name="_Toc23373"/>
    </w:p>
    <w:p>
      <w:pPr>
        <w:pStyle w:val="4"/>
        <w:pageBreakBefore w:val="0"/>
        <w:widowControl/>
        <w:shd w:val="clear" w:color="auto" w:fill="auto"/>
        <w:kinsoku/>
        <w:overflowPunct/>
        <w:topLinePunct w:val="0"/>
        <w:autoSpaceDE/>
        <w:autoSpaceDN/>
        <w:bidi w:val="0"/>
        <w:adjustRightInd/>
        <w:snapToGrid/>
        <w:spacing w:before="0" w:beforeLines="0" w:after="0" w:afterLines="0" w:line="440" w:lineRule="exact"/>
        <w:ind w:firstLine="421" w:firstLineChars="200"/>
        <w:textAlignment w:val="baseline"/>
        <w:rPr>
          <w:rFonts w:hint="eastAsia" w:ascii="宋体" w:hAnsi="宋体" w:eastAsia="宋体" w:cs="宋体"/>
          <w:b/>
          <w:bCs/>
          <w:color w:val="auto"/>
          <w:sz w:val="21"/>
          <w:szCs w:val="21"/>
          <w:highlight w:val="none"/>
        </w:rPr>
      </w:pPr>
      <w:bookmarkStart w:id="461" w:name="_Toc15824"/>
      <w:bookmarkStart w:id="462" w:name="_Toc27259"/>
      <w:bookmarkStart w:id="463" w:name="_Toc11332"/>
      <w:bookmarkStart w:id="464" w:name="_Toc19774"/>
      <w:r>
        <w:rPr>
          <w:rFonts w:hint="eastAsia" w:ascii="宋体" w:hAnsi="宋体" w:eastAsia="宋体" w:cs="宋体"/>
          <w:b/>
          <w:bCs/>
          <w:color w:val="auto"/>
          <w:sz w:val="21"/>
          <w:szCs w:val="21"/>
          <w:highlight w:val="none"/>
        </w:rPr>
        <w:t>3．备查要求</w:t>
      </w:r>
      <w:bookmarkEnd w:id="458"/>
      <w:bookmarkEnd w:id="459"/>
      <w:bookmarkEnd w:id="460"/>
      <w:bookmarkEnd w:id="461"/>
      <w:bookmarkEnd w:id="462"/>
      <w:bookmarkEnd w:id="463"/>
      <w:bookmarkEnd w:id="464"/>
    </w:p>
    <w:p>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highlight w:val="none"/>
        </w:rPr>
      </w:pP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人必须在施工现场准备至少一套上述规范，</w:t>
      </w:r>
      <w:r>
        <w:rPr>
          <w:rFonts w:hint="eastAsia" w:ascii="宋体" w:hAnsi="宋体" w:eastAsia="宋体" w:cs="宋体"/>
          <w:snapToGrid w:val="0"/>
          <w:color w:val="auto"/>
          <w:kern w:val="0"/>
          <w:sz w:val="21"/>
          <w:szCs w:val="21"/>
          <w:highlight w:val="none"/>
        </w:rPr>
        <w:t>发包</w:t>
      </w:r>
      <w:r>
        <w:rPr>
          <w:rFonts w:hint="eastAsia" w:ascii="宋体" w:hAnsi="宋体" w:eastAsia="宋体" w:cs="宋体"/>
          <w:bCs/>
          <w:snapToGrid w:val="0"/>
          <w:color w:val="auto"/>
          <w:kern w:val="0"/>
          <w:sz w:val="21"/>
          <w:szCs w:val="21"/>
          <w:highlight w:val="none"/>
        </w:rPr>
        <w:t>人和监理单位可随时检查</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人的上述规范，并监督</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人按规范要求执行。</w:t>
      </w:r>
    </w:p>
    <w:p>
      <w:pPr>
        <w:pageBreakBefore w:val="0"/>
        <w:widowControl/>
        <w:shd w:val="clear" w:color="auto" w:fill="auto"/>
        <w:kinsoku/>
        <w:wordWrap w:val="0"/>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strike/>
          <w:snapToGrid w:val="0"/>
          <w:color w:val="auto"/>
          <w:kern w:val="0"/>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pPr>
        <w:tabs>
          <w:tab w:val="left" w:pos="885"/>
        </w:tabs>
        <w:snapToGrid w:val="0"/>
        <w:spacing w:line="440" w:lineRule="exact"/>
        <w:ind w:left="885" w:hanging="885"/>
        <w:jc w:val="center"/>
        <w:outlineLvl w:val="0"/>
        <w:rPr>
          <w:rStyle w:val="25"/>
          <w:rFonts w:hint="eastAsia" w:hAnsi="宋体"/>
          <w:b/>
          <w:bCs/>
          <w:color w:val="auto"/>
          <w:sz w:val="28"/>
          <w:szCs w:val="28"/>
          <w:highlight w:val="none"/>
        </w:rPr>
      </w:pPr>
      <w:bookmarkStart w:id="465" w:name="_Toc26762"/>
      <w:bookmarkStart w:id="466" w:name="_Toc27255"/>
      <w:bookmarkStart w:id="467" w:name="_Toc8569"/>
      <w:bookmarkStart w:id="468" w:name="_Toc7842"/>
      <w:bookmarkStart w:id="469" w:name="_Toc30591"/>
      <w:bookmarkStart w:id="470" w:name="_Toc29718"/>
      <w:bookmarkStart w:id="471" w:name="_Toc4406"/>
      <w:bookmarkStart w:id="472" w:name="_Toc2224"/>
      <w:bookmarkStart w:id="473" w:name="_Toc20376"/>
      <w:bookmarkStart w:id="474" w:name="_Toc11187"/>
      <w:bookmarkStart w:id="475" w:name="_Toc2426"/>
      <w:bookmarkStart w:id="476" w:name="_Toc31620"/>
      <w:bookmarkStart w:id="477" w:name="_Toc26068"/>
      <w:bookmarkStart w:id="478" w:name="_Toc9956"/>
      <w:r>
        <w:rPr>
          <w:rStyle w:val="25"/>
          <w:rFonts w:hint="eastAsia" w:hAnsi="宋体"/>
          <w:b/>
          <w:bCs/>
          <w:color w:val="auto"/>
          <w:sz w:val="28"/>
          <w:szCs w:val="28"/>
          <w:highlight w:val="none"/>
        </w:rPr>
        <w:t>第五章 图纸和招标工程量清单</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snapToGrid w:val="0"/>
        <w:spacing w:line="440" w:lineRule="exact"/>
        <w:ind w:firstLine="480" w:firstLineChars="200"/>
        <w:rPr>
          <w:rStyle w:val="25"/>
          <w:rFonts w:hint="eastAsia" w:hAnsi="宋体"/>
          <w:color w:val="auto"/>
          <w:kern w:val="0"/>
          <w:highlight w:val="none"/>
        </w:rPr>
      </w:pPr>
    </w:p>
    <w:p>
      <w:pPr>
        <w:keepNext w:val="0"/>
        <w:keepLines w:val="0"/>
        <w:pageBreakBefore w:val="0"/>
        <w:widowControl/>
        <w:suppressLineNumbers w:val="0"/>
        <w:kinsoku/>
        <w:wordWrap/>
        <w:overflowPunct/>
        <w:topLinePunct w:val="0"/>
        <w:autoSpaceDE/>
        <w:autoSpaceDN/>
        <w:bidi w:val="0"/>
        <w:adjustRightInd/>
        <w:snapToGrid/>
        <w:spacing w:after="328" w:afterLines="10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□有，另附复印件 ☑有，自行网上下载(浏览)  □无</w:t>
      </w:r>
    </w:p>
    <w:p>
      <w:pPr>
        <w:keepNext w:val="0"/>
        <w:keepLines w:val="0"/>
        <w:pageBreakBefore w:val="0"/>
        <w:widowControl/>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1．图纸</w:t>
      </w:r>
    </w:p>
    <w:p>
      <w:pPr>
        <w:keepNext w:val="0"/>
        <w:keepLines w:val="0"/>
        <w:pageBreakBefore w:val="0"/>
        <w:widowControl/>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本招标文件随文另附施工图（电子文件）一套。</w:t>
      </w:r>
    </w:p>
    <w:p>
      <w:pPr>
        <w:keepNext w:val="0"/>
        <w:keepLines w:val="0"/>
        <w:pageBreakBefore w:val="0"/>
        <w:widowControl/>
        <w:kinsoku/>
        <w:wordWrap w:val="0"/>
        <w:overflowPunct/>
        <w:topLinePunct w:val="0"/>
        <w:autoSpaceDE/>
        <w:autoSpaceDN/>
        <w:bidi w:val="0"/>
        <w:adjustRightInd/>
        <w:snapToGrid/>
        <w:spacing w:line="440" w:lineRule="exact"/>
        <w:ind w:firstLine="421"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2．招标工程量清单</w:t>
      </w:r>
    </w:p>
    <w:p>
      <w:pPr>
        <w:keepNext w:val="0"/>
        <w:keepLines w:val="0"/>
        <w:pageBreakBefore w:val="0"/>
        <w:widowControl/>
        <w:kinsoku/>
        <w:wordWrap w:val="0"/>
        <w:overflowPunct/>
        <w:topLinePunct w:val="0"/>
        <w:autoSpaceDE/>
        <w:autoSpaceDN/>
        <w:bidi w:val="0"/>
        <w:adjustRightInd/>
        <w:snapToGrid/>
        <w:spacing w:line="440" w:lineRule="exact"/>
        <w:ind w:firstLine="48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本招标文件随文另附招标工程量清单、招标控制价的PDF版/EXCEL版电子文件一套。</w:t>
      </w:r>
    </w:p>
    <w:p>
      <w:pPr>
        <w:keepNext w:val="0"/>
        <w:keepLines w:val="0"/>
        <w:pageBreakBefore w:val="0"/>
        <w:widowControl/>
        <w:kinsoku/>
        <w:wordWrap w:val="0"/>
        <w:overflowPunct/>
        <w:topLinePunct w:val="0"/>
        <w:autoSpaceDE/>
        <w:autoSpaceDN/>
        <w:bidi w:val="0"/>
        <w:adjustRightInd/>
        <w:snapToGrid/>
        <w:spacing w:line="440" w:lineRule="exact"/>
        <w:ind w:firstLine="480"/>
        <w:textAlignment w:val="auto"/>
        <w:rPr>
          <w:rFonts w:hint="eastAsia" w:ascii="宋体" w:hAnsi="宋体" w:eastAsia="宋体" w:cs="宋体"/>
          <w:snapToGrid w:val="0"/>
          <w:color w:val="auto"/>
          <w:kern w:val="0"/>
          <w:sz w:val="20"/>
          <w:szCs w:val="20"/>
          <w:highlight w:val="none"/>
        </w:rPr>
      </w:pPr>
      <w:r>
        <w:rPr>
          <w:rFonts w:hint="eastAsia" w:ascii="宋体" w:hAnsi="宋体" w:eastAsia="宋体" w:cs="宋体"/>
          <w:b/>
          <w:bCs/>
          <w:snapToGrid w:val="0"/>
          <w:color w:val="auto"/>
          <w:kern w:val="0"/>
          <w:sz w:val="20"/>
          <w:szCs w:val="20"/>
          <w:highlight w:val="none"/>
        </w:rPr>
        <w:t>2.2</w:t>
      </w:r>
      <w:r>
        <w:rPr>
          <w:rFonts w:hint="eastAsia" w:ascii="宋体" w:hAnsi="宋体" w:eastAsia="宋体" w:cs="宋体"/>
          <w:snapToGrid w:val="0"/>
          <w:color w:val="auto"/>
          <w:kern w:val="0"/>
          <w:sz w:val="20"/>
          <w:szCs w:val="20"/>
          <w:highlight w:val="none"/>
        </w:rPr>
        <w:t xml:space="preserve"> 本工程按照以下依据编制</w:t>
      </w:r>
      <w:r>
        <w:rPr>
          <w:rFonts w:hint="eastAsia" w:ascii="宋体" w:hAnsi="宋体" w:eastAsia="宋体" w:cs="宋体"/>
          <w:snapToGrid w:val="0"/>
          <w:color w:val="auto"/>
          <w:kern w:val="0"/>
          <w:sz w:val="20"/>
          <w:szCs w:val="20"/>
          <w:highlight w:val="none"/>
          <w:u w:val="single"/>
        </w:rPr>
        <w:t>招标工程量清单</w:t>
      </w:r>
      <w:r>
        <w:rPr>
          <w:rFonts w:hint="eastAsia" w:ascii="宋体" w:hAnsi="宋体" w:eastAsia="宋体" w:cs="宋体"/>
          <w:snapToGrid w:val="0"/>
          <w:color w:val="auto"/>
          <w:kern w:val="0"/>
          <w:sz w:val="20"/>
          <w:szCs w:val="20"/>
          <w:highlight w:val="none"/>
          <w:u w:val="single"/>
          <w:lang w:eastAsia="zh-CN"/>
        </w:rPr>
        <w:t>、</w:t>
      </w:r>
      <w:r>
        <w:rPr>
          <w:rFonts w:hint="eastAsia" w:ascii="宋体" w:hAnsi="宋体" w:eastAsia="宋体" w:cs="宋体"/>
          <w:snapToGrid w:val="0"/>
          <w:color w:val="auto"/>
          <w:kern w:val="0"/>
          <w:sz w:val="20"/>
          <w:szCs w:val="20"/>
          <w:highlight w:val="none"/>
          <w:u w:val="single"/>
          <w:lang w:val="en-US" w:eastAsia="zh-CN"/>
        </w:rPr>
        <w:t>招标控制价</w:t>
      </w:r>
      <w:r>
        <w:rPr>
          <w:rFonts w:hint="eastAsia" w:ascii="宋体" w:hAnsi="宋体" w:eastAsia="宋体" w:cs="宋体"/>
          <w:snapToGrid w:val="0"/>
          <w:color w:val="auto"/>
          <w:kern w:val="0"/>
          <w:sz w:val="20"/>
          <w:szCs w:val="20"/>
          <w:highlight w:val="none"/>
        </w:rPr>
        <w:t>：</w:t>
      </w:r>
    </w:p>
    <w:p>
      <w:pPr>
        <w:keepNext w:val="0"/>
        <w:keepLines w:val="0"/>
        <w:pageBreakBefore w:val="0"/>
        <w:widowControl/>
        <w:kinsoku/>
        <w:wordWrap w:val="0"/>
        <w:overflowPunct/>
        <w:topLinePunct w:val="0"/>
        <w:autoSpaceDE/>
        <w:autoSpaceDN/>
        <w:bidi w:val="0"/>
        <w:adjustRightInd/>
        <w:snapToGrid/>
        <w:spacing w:line="440" w:lineRule="exact"/>
        <w:ind w:firstLine="400" w:firstLineChars="200"/>
        <w:textAlignment w:val="auto"/>
        <w:rPr>
          <w:rFonts w:hint="eastAsia" w:ascii="宋体" w:hAnsi="宋体" w:eastAsia="宋体" w:cs="宋体"/>
          <w:snapToGrid w:val="0"/>
          <w:color w:val="auto"/>
          <w:kern w:val="0"/>
          <w:sz w:val="20"/>
          <w:szCs w:val="20"/>
          <w:highlight w:val="none"/>
        </w:rPr>
      </w:pPr>
      <w:r>
        <w:rPr>
          <w:rFonts w:hint="eastAsia" w:ascii="宋体" w:hAnsi="宋体" w:eastAsia="宋体" w:cs="宋体"/>
          <w:snapToGrid w:val="0"/>
          <w:color w:val="auto"/>
          <w:kern w:val="0"/>
          <w:sz w:val="20"/>
          <w:szCs w:val="20"/>
          <w:highlight w:val="none"/>
        </w:rPr>
        <w:t>（1）《建设工程工程量清单计价规范》（</w:t>
      </w:r>
      <w:r>
        <w:rPr>
          <w:rFonts w:hint="eastAsia" w:ascii="宋体" w:hAnsi="宋体" w:eastAsia="宋体" w:cs="宋体"/>
          <w:snapToGrid w:val="0"/>
          <w:color w:val="auto"/>
          <w:kern w:val="0"/>
          <w:sz w:val="20"/>
          <w:szCs w:val="20"/>
          <w:highlight w:val="none"/>
          <w:lang w:eastAsia="zh-CN"/>
        </w:rPr>
        <w:t>GB</w:t>
      </w:r>
      <w:r>
        <w:rPr>
          <w:rFonts w:hint="eastAsia" w:ascii="宋体" w:hAnsi="宋体" w:eastAsia="宋体" w:cs="宋体"/>
          <w:snapToGrid w:val="0"/>
          <w:color w:val="auto"/>
          <w:kern w:val="0"/>
          <w:sz w:val="20"/>
          <w:szCs w:val="20"/>
          <w:highlight w:val="none"/>
          <w:lang w:val="en-US" w:eastAsia="zh-CN"/>
        </w:rPr>
        <w:t>/</w:t>
      </w:r>
      <w:r>
        <w:rPr>
          <w:rFonts w:hint="eastAsia" w:ascii="宋体" w:hAnsi="宋体" w:eastAsia="宋体" w:cs="宋体"/>
          <w:snapToGrid w:val="0"/>
          <w:color w:val="auto"/>
          <w:kern w:val="0"/>
          <w:sz w:val="20"/>
          <w:szCs w:val="20"/>
          <w:highlight w:val="none"/>
          <w:lang w:eastAsia="zh-CN"/>
        </w:rPr>
        <w:t>T50500-2024</w:t>
      </w:r>
      <w:r>
        <w:rPr>
          <w:rFonts w:hint="eastAsia" w:ascii="宋体" w:hAnsi="宋体" w:eastAsia="宋体" w:cs="宋体"/>
          <w:snapToGrid w:val="0"/>
          <w:color w:val="auto"/>
          <w:kern w:val="0"/>
          <w:sz w:val="20"/>
          <w:szCs w:val="20"/>
          <w:highlight w:val="none"/>
        </w:rPr>
        <w:t>）；</w:t>
      </w:r>
    </w:p>
    <w:p>
      <w:pPr>
        <w:keepNext w:val="0"/>
        <w:keepLines w:val="0"/>
        <w:pageBreakBefore w:val="0"/>
        <w:widowControl/>
        <w:suppressLineNumbers w:val="0"/>
        <w:kinsoku/>
        <w:overflowPunct/>
        <w:topLinePunct w:val="0"/>
        <w:autoSpaceDE/>
        <w:autoSpaceDN/>
        <w:bidi w:val="0"/>
        <w:adjustRightInd/>
        <w:snapToGrid/>
        <w:spacing w:line="440" w:lineRule="exact"/>
        <w:ind w:firstLine="40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0"/>
          <w:szCs w:val="20"/>
          <w:highlight w:val="none"/>
        </w:rPr>
        <w:t>（2）</w:t>
      </w:r>
      <w:r>
        <w:rPr>
          <w:rFonts w:hint="eastAsia" w:ascii="宋体" w:hAnsi="宋体" w:eastAsia="宋体" w:cs="宋体"/>
          <w:color w:val="auto"/>
          <w:kern w:val="0"/>
          <w:sz w:val="20"/>
          <w:szCs w:val="20"/>
          <w:highlight w:val="none"/>
          <w:lang w:val="en-US" w:eastAsia="zh-CN" w:bidi="ar"/>
        </w:rPr>
        <w:t>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规定提交的要求招标人澄</w:t>
      </w:r>
      <w:r>
        <w:rPr>
          <w:rFonts w:hint="eastAsia" w:ascii="宋体" w:hAnsi="宋体" w:eastAsia="宋体" w:cs="宋体"/>
          <w:color w:val="auto"/>
          <w:kern w:val="0"/>
          <w:sz w:val="21"/>
          <w:szCs w:val="21"/>
          <w:highlight w:val="none"/>
          <w:lang w:val="en-US" w:eastAsia="zh-CN" w:bidi="ar"/>
        </w:rPr>
        <w:t xml:space="preserve">清的其他问题一起提交给招标人，招标人将根据实际情况决定是否颁发工程量清单、招标控制价的补充和(或)修改文件。 </w:t>
      </w:r>
    </w:p>
    <w:p>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（3）本招标工程量清单措施项目中的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color w:val="auto"/>
          <w:kern w:val="0"/>
          <w:sz w:val="21"/>
          <w:szCs w:val="21"/>
          <w:highlight w:val="none"/>
          <w:lang w:val="en-US" w:eastAsia="zh-CN" w:bidi="ar"/>
        </w:rPr>
        <w:t xml:space="preserve">、暂列金额、暂估价不得作为竞争性费用，投标报价必须按本招标工程量清单规定的金额填报。 </w:t>
      </w:r>
    </w:p>
    <w:p>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（4）投标报价使用的表格格式须按照 GB/T50500-2024《建设工程工程量清单计价规范》。 </w:t>
      </w:r>
    </w:p>
    <w:p>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w:t>
      </w:r>
      <w:r>
        <w:rPr>
          <w:rFonts w:hint="eastAsia" w:ascii="宋体" w:hAnsi="宋体" w:eastAsia="宋体" w:cs="宋体"/>
          <w:snapToGrid w:val="0"/>
          <w:color w:val="auto"/>
          <w:kern w:val="0"/>
          <w:sz w:val="21"/>
          <w:szCs w:val="21"/>
          <w:highlight w:val="none"/>
          <w:lang w:val="en-US" w:eastAsia="zh-CN"/>
        </w:rPr>
        <w:t>《房屋建筑与装饰工程工程量计算标准》（GB/T 50854-2024）</w:t>
      </w:r>
      <w:r>
        <w:rPr>
          <w:rFonts w:hint="eastAsia" w:hAnsi="宋体" w:eastAsia="宋体" w:cs="宋体"/>
          <w:snapToGrid w:val="0"/>
          <w:color w:val="auto"/>
          <w:kern w:val="0"/>
          <w:sz w:val="21"/>
          <w:szCs w:val="21"/>
          <w:highlight w:val="none"/>
          <w:lang w:val="en-US" w:eastAsia="zh-CN"/>
        </w:rPr>
        <w:t>；《通用安装工程工程量计算标准》（GB/T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（6）施工图及相关资料； </w:t>
      </w:r>
    </w:p>
    <w:p>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（7）招标文件； </w:t>
      </w:r>
    </w:p>
    <w:p>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（8）施工现场情况、地勘水文资料、工程特点及常规施工方案； </w:t>
      </w:r>
    </w:p>
    <w:p>
      <w:pPr>
        <w:keepNext w:val="0"/>
        <w:keepLines w:val="0"/>
        <w:pageBreakBefore w:val="0"/>
        <w:widowControl/>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（9）与建设工程有关的标准、规范、技术资料、材料设备信息价或市场价格等。</w:t>
      </w:r>
    </w:p>
    <w:p>
      <w:pPr>
        <w:keepNext w:val="0"/>
        <w:keepLines w:val="0"/>
        <w:pageBreakBefore w:val="0"/>
        <w:kinsoku/>
        <w:overflowPunct/>
        <w:autoSpaceDE/>
        <w:autoSpaceDN/>
        <w:bidi w:val="0"/>
        <w:adjustRightInd/>
        <w:snapToGrid/>
        <w:spacing w:line="440" w:lineRule="exact"/>
        <w:ind w:firstLine="480"/>
        <w:rPr>
          <w:rStyle w:val="25"/>
          <w:rFonts w:hint="eastAsia" w:hAnsi="宋体"/>
          <w:color w:val="auto"/>
          <w:kern w:val="0"/>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pPr>
        <w:snapToGrid w:val="0"/>
        <w:spacing w:line="440" w:lineRule="exact"/>
        <w:ind w:firstLine="480"/>
        <w:jc w:val="center"/>
        <w:outlineLvl w:val="0"/>
        <w:rPr>
          <w:rStyle w:val="25"/>
          <w:rFonts w:hint="eastAsia" w:hAnsi="宋体"/>
          <w:b/>
          <w:bCs/>
          <w:color w:val="auto"/>
          <w:sz w:val="28"/>
          <w:szCs w:val="28"/>
          <w:highlight w:val="none"/>
        </w:rPr>
      </w:pPr>
      <w:bookmarkStart w:id="479" w:name="_Toc26074"/>
      <w:bookmarkStart w:id="480" w:name="_Toc5605"/>
      <w:bookmarkStart w:id="481" w:name="_Toc27783"/>
      <w:bookmarkStart w:id="482" w:name="_Toc23861"/>
      <w:bookmarkStart w:id="483" w:name="_Toc22611"/>
      <w:bookmarkStart w:id="484" w:name="_Toc23235"/>
      <w:bookmarkStart w:id="485" w:name="_Toc20486"/>
      <w:bookmarkStart w:id="486" w:name="_Toc23933"/>
      <w:bookmarkStart w:id="487" w:name="_Toc32480"/>
      <w:bookmarkStart w:id="488" w:name="_Toc21956"/>
      <w:bookmarkStart w:id="489" w:name="_Toc3301"/>
      <w:bookmarkStart w:id="490" w:name="_Toc2024"/>
      <w:bookmarkStart w:id="491" w:name="_Toc20961"/>
      <w:bookmarkStart w:id="492" w:name="_Toc11483"/>
      <w:r>
        <w:rPr>
          <w:rStyle w:val="25"/>
          <w:rFonts w:hint="eastAsia" w:hAnsi="宋体"/>
          <w:b/>
          <w:bCs/>
          <w:color w:val="auto"/>
          <w:sz w:val="28"/>
          <w:szCs w:val="28"/>
          <w:highlight w:val="none"/>
        </w:rPr>
        <w:t>第六章 投标文件格式</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47"/>
        <w:snapToGrid w:val="0"/>
        <w:spacing w:line="440" w:lineRule="exact"/>
        <w:ind w:firstLine="0"/>
        <w:outlineLvl w:val="1"/>
        <w:rPr>
          <w:rStyle w:val="25"/>
          <w:rFonts w:hint="eastAsia" w:hAnsi="宋体"/>
          <w:b/>
          <w:bCs/>
          <w:color w:val="auto"/>
          <w:sz w:val="21"/>
          <w:szCs w:val="21"/>
          <w:highlight w:val="none"/>
        </w:rPr>
      </w:pPr>
    </w:p>
    <w:p>
      <w:pPr>
        <w:pStyle w:val="46"/>
        <w:snapToGrid w:val="0"/>
        <w:spacing w:line="440" w:lineRule="exact"/>
        <w:outlineLvl w:val="1"/>
        <w:rPr>
          <w:rStyle w:val="25"/>
          <w:rFonts w:hint="eastAsia" w:hAnsi="宋体"/>
          <w:b/>
          <w:bCs/>
          <w:color w:val="auto"/>
          <w:sz w:val="24"/>
          <w:szCs w:val="24"/>
          <w:highlight w:val="none"/>
        </w:rPr>
      </w:pPr>
      <w:bookmarkStart w:id="493" w:name="_Toc27729"/>
      <w:bookmarkStart w:id="494" w:name="_Toc8250"/>
      <w:bookmarkStart w:id="495" w:name="_Toc16168"/>
      <w:bookmarkStart w:id="496" w:name="_Toc8025"/>
      <w:bookmarkStart w:id="497" w:name="_Toc22593"/>
      <w:bookmarkStart w:id="498" w:name="_Toc16570"/>
      <w:bookmarkStart w:id="499" w:name="_Toc20890"/>
      <w:bookmarkStart w:id="500" w:name="_Toc9410"/>
      <w:bookmarkStart w:id="501" w:name="_Toc319"/>
      <w:bookmarkStart w:id="502" w:name="_Toc26040"/>
      <w:bookmarkStart w:id="503" w:name="_Toc13820"/>
      <w:bookmarkStart w:id="504" w:name="_Toc2924"/>
      <w:bookmarkStart w:id="505" w:name="_Toc7724"/>
      <w:bookmarkStart w:id="506" w:name="_Toc15531"/>
      <w:r>
        <w:rPr>
          <w:rStyle w:val="25"/>
          <w:rFonts w:hint="eastAsia" w:hAnsi="宋体"/>
          <w:b/>
          <w:bCs/>
          <w:color w:val="auto"/>
          <w:sz w:val="24"/>
          <w:szCs w:val="24"/>
          <w:highlight w:val="none"/>
        </w:rPr>
        <w:t>格式一 封面</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47"/>
        <w:snapToGrid w:val="0"/>
        <w:spacing w:line="440" w:lineRule="exact"/>
        <w:rPr>
          <w:rStyle w:val="25"/>
          <w:rFonts w:hint="eastAsia" w:hAnsi="宋体"/>
          <w:b/>
          <w:bCs/>
          <w:color w:val="auto"/>
          <w:sz w:val="24"/>
          <w:szCs w:val="24"/>
          <w:highlight w:val="none"/>
        </w:rPr>
      </w:pPr>
    </w:p>
    <w:p>
      <w:pPr>
        <w:pStyle w:val="47"/>
        <w:snapToGrid w:val="0"/>
        <w:spacing w:line="440" w:lineRule="exact"/>
        <w:rPr>
          <w:rStyle w:val="25"/>
          <w:rFonts w:hint="eastAsia" w:hAnsi="宋体"/>
          <w:b/>
          <w:bCs/>
          <w:color w:val="auto"/>
          <w:sz w:val="24"/>
          <w:szCs w:val="24"/>
          <w:highlight w:val="none"/>
        </w:rPr>
      </w:pPr>
    </w:p>
    <w:p>
      <w:pPr>
        <w:pStyle w:val="47"/>
        <w:snapToGrid w:val="0"/>
        <w:spacing w:line="440" w:lineRule="exact"/>
        <w:rPr>
          <w:rStyle w:val="25"/>
          <w:rFonts w:hint="eastAsia" w:hAnsi="宋体"/>
          <w:b/>
          <w:bCs/>
          <w:color w:val="auto"/>
          <w:sz w:val="24"/>
          <w:szCs w:val="24"/>
          <w:highlight w:val="none"/>
        </w:rPr>
      </w:pPr>
    </w:p>
    <w:p>
      <w:pPr>
        <w:pStyle w:val="47"/>
        <w:snapToGrid w:val="0"/>
        <w:spacing w:line="440" w:lineRule="exact"/>
        <w:rPr>
          <w:rStyle w:val="25"/>
          <w:rFonts w:hint="eastAsia" w:hAnsi="宋体"/>
          <w:b/>
          <w:bCs/>
          <w:color w:val="auto"/>
          <w:sz w:val="24"/>
          <w:szCs w:val="24"/>
          <w:highlight w:val="none"/>
        </w:rPr>
      </w:pPr>
    </w:p>
    <w:p>
      <w:pPr>
        <w:pStyle w:val="47"/>
        <w:snapToGrid w:val="0"/>
        <w:spacing w:line="440" w:lineRule="exact"/>
        <w:rPr>
          <w:rStyle w:val="25"/>
          <w:rFonts w:hint="eastAsia" w:hAnsi="宋体"/>
          <w:b/>
          <w:bCs/>
          <w:color w:val="auto"/>
          <w:sz w:val="24"/>
          <w:szCs w:val="24"/>
          <w:highlight w:val="none"/>
        </w:rPr>
      </w:pPr>
    </w:p>
    <w:p>
      <w:pPr>
        <w:pStyle w:val="47"/>
        <w:snapToGrid w:val="0"/>
        <w:spacing w:line="440" w:lineRule="exact"/>
        <w:rPr>
          <w:rStyle w:val="25"/>
          <w:rFonts w:hint="eastAsia" w:hAnsi="宋体"/>
          <w:b/>
          <w:bCs/>
          <w:color w:val="auto"/>
          <w:sz w:val="24"/>
          <w:szCs w:val="24"/>
          <w:highlight w:val="none"/>
          <w:u w:val="single"/>
        </w:rPr>
      </w:pPr>
    </w:p>
    <w:p>
      <w:pPr>
        <w:pStyle w:val="47"/>
        <w:snapToGrid w:val="0"/>
        <w:spacing w:line="440" w:lineRule="exact"/>
        <w:ind w:firstLine="0"/>
        <w:jc w:val="center"/>
        <w:rPr>
          <w:rStyle w:val="25"/>
          <w:rFonts w:hint="eastAsia" w:hAnsi="宋体"/>
          <w:b/>
          <w:bCs/>
          <w:color w:val="auto"/>
          <w:sz w:val="44"/>
          <w:szCs w:val="44"/>
          <w:highlight w:val="none"/>
        </w:rPr>
      </w:pPr>
      <w:r>
        <w:rPr>
          <w:color w:val="auto"/>
          <w:sz w:val="44"/>
          <w:highlight w:val="none"/>
        </w:rPr>
        <mc:AlternateContent>
          <mc:Choice Requires="wps">
            <w:drawing>
              <wp:anchor distT="0" distB="0" distL="114300" distR="114300" simplePos="0" relativeHeight="251662336" behindDoc="0" locked="0" layoutInCell="1" allowOverlap="1">
                <wp:simplePos x="0" y="0"/>
                <wp:positionH relativeFrom="column">
                  <wp:posOffset>831850</wp:posOffset>
                </wp:positionH>
                <wp:positionV relativeFrom="paragraph">
                  <wp:posOffset>269240</wp:posOffset>
                </wp:positionV>
                <wp:extent cx="2317750" cy="10160"/>
                <wp:effectExtent l="0" t="6350" r="6350" b="8890"/>
                <wp:wrapNone/>
                <wp:docPr id="7" name="直接连接符 7"/>
                <wp:cNvGraphicFramePr/>
                <a:graphic xmlns:a="http://schemas.openxmlformats.org/drawingml/2006/main">
                  <a:graphicData uri="http://schemas.microsoft.com/office/word/2010/wordprocessingShape">
                    <wps:wsp>
                      <wps:cNvCnPr/>
                      <wps:spPr>
                        <a:xfrm flipV="true">
                          <a:off x="1517650" y="3708400"/>
                          <a:ext cx="2317750" cy="1016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5.5pt;margin-top:21.2pt;height:0.8pt;width:182.5pt;z-index:251662336;mso-width-relative:page;mso-height-relative:page;" filled="f" stroked="t" coordsize="21600,21600" o:gfxdata="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PxveOrUAAAACQEAAA8AAAAAAAAAAQAgAAAAOAAAAGRycy9kb3ducmV2Lnht&#10;bFBLAQIUABQAAAAIAIdO4kDASQYp5wEAAIEDAAAOAAAAAAAAAAEAIAAAADkBAABkcnMvZTJvRG9j&#10;LnhtbFBLBQYAAAAABgAGAFkBAACSBQAAAAA=&#10;">
                <v:fill on="f" focussize="0,0"/>
                <v:stroke weight="1pt" color="#4874CB [3204]" miterlimit="8" joinstyle="miter"/>
                <v:imagedata o:title=""/>
                <o:lock v:ext="edit" aspectratio="f"/>
              </v:line>
            </w:pict>
          </mc:Fallback>
        </mc:AlternateContent>
      </w:r>
      <w:bookmarkStart w:id="507" w:name="_Toc30993"/>
      <w:bookmarkStart w:id="508" w:name="_Toc23835"/>
      <w:bookmarkStart w:id="509" w:name="_Toc17128"/>
      <w:bookmarkStart w:id="510" w:name="_Toc21235"/>
      <w:r>
        <w:rPr>
          <w:rStyle w:val="25"/>
          <w:rFonts w:hint="eastAsia" w:hAnsi="宋体"/>
          <w:color w:val="auto"/>
          <w:sz w:val="44"/>
          <w:szCs w:val="44"/>
          <w:highlight w:val="none"/>
          <w:u w:val="none"/>
          <w:lang w:eastAsia="zh-CN"/>
        </w:rPr>
        <w:t xml:space="preserve"> </w:t>
      </w:r>
      <w:r>
        <w:rPr>
          <w:rStyle w:val="25"/>
          <w:rFonts w:hint="eastAsia" w:hAnsi="宋体"/>
          <w:color w:val="auto"/>
          <w:sz w:val="30"/>
          <w:szCs w:val="30"/>
          <w:highlight w:val="none"/>
          <w:u w:val="none"/>
        </w:rPr>
        <w:t xml:space="preserve">                     </w:t>
      </w:r>
      <w:r>
        <w:rPr>
          <w:rStyle w:val="25"/>
          <w:rFonts w:hint="eastAsia" w:hAnsi="宋体"/>
          <w:b/>
          <w:bCs/>
          <w:color w:val="auto"/>
          <w:sz w:val="44"/>
          <w:szCs w:val="44"/>
          <w:highlight w:val="none"/>
        </w:rPr>
        <w:t>（工程名称）招标</w:t>
      </w:r>
      <w:bookmarkEnd w:id="507"/>
      <w:bookmarkEnd w:id="508"/>
      <w:bookmarkEnd w:id="509"/>
      <w:bookmarkEnd w:id="510"/>
      <w:r>
        <w:rPr>
          <w:rStyle w:val="25"/>
          <w:rFonts w:hint="eastAsia" w:hAnsi="宋体"/>
          <w:b/>
          <w:bCs/>
          <w:color w:val="auto"/>
          <w:sz w:val="44"/>
          <w:szCs w:val="44"/>
          <w:highlight w:val="none"/>
        </w:rPr>
        <w:t xml:space="preserve"> </w:t>
      </w:r>
    </w:p>
    <w:p>
      <w:pPr>
        <w:pStyle w:val="47"/>
        <w:snapToGrid w:val="0"/>
        <w:spacing w:line="440" w:lineRule="exact"/>
        <w:ind w:firstLine="0"/>
        <w:jc w:val="center"/>
        <w:rPr>
          <w:rStyle w:val="25"/>
          <w:rFonts w:hint="eastAsia" w:hAnsi="宋体"/>
          <w:b/>
          <w:bCs/>
          <w:color w:val="auto"/>
          <w:sz w:val="44"/>
          <w:szCs w:val="44"/>
          <w:highlight w:val="none"/>
        </w:rPr>
      </w:pPr>
    </w:p>
    <w:p>
      <w:pPr>
        <w:pStyle w:val="47"/>
        <w:snapToGrid w:val="0"/>
        <w:spacing w:line="440" w:lineRule="exact"/>
        <w:ind w:firstLine="0"/>
        <w:jc w:val="center"/>
        <w:rPr>
          <w:rStyle w:val="25"/>
          <w:rFonts w:hint="eastAsia" w:hAnsi="宋体"/>
          <w:b/>
          <w:bCs/>
          <w:color w:val="auto"/>
          <w:sz w:val="44"/>
          <w:szCs w:val="44"/>
          <w:highlight w:val="none"/>
        </w:rPr>
      </w:pPr>
      <w:r>
        <w:rPr>
          <w:rStyle w:val="25"/>
          <w:rFonts w:hint="eastAsia" w:hAnsi="宋体"/>
          <w:b/>
          <w:bCs/>
          <w:color w:val="auto"/>
          <w:sz w:val="44"/>
          <w:szCs w:val="44"/>
          <w:highlight w:val="none"/>
        </w:rPr>
        <w:t>投  标  文  件</w:t>
      </w:r>
    </w:p>
    <w:p>
      <w:pPr>
        <w:pStyle w:val="47"/>
        <w:snapToGrid w:val="0"/>
        <w:spacing w:line="440" w:lineRule="exact"/>
        <w:ind w:firstLine="0"/>
        <w:jc w:val="center"/>
        <w:rPr>
          <w:rStyle w:val="25"/>
          <w:rFonts w:hint="eastAsia" w:hAnsi="宋体"/>
          <w:b/>
          <w:bCs/>
          <w:color w:val="auto"/>
          <w:sz w:val="44"/>
          <w:szCs w:val="44"/>
          <w:highlight w:val="none"/>
        </w:rPr>
      </w:pPr>
    </w:p>
    <w:p>
      <w:pPr>
        <w:pStyle w:val="47"/>
        <w:snapToGrid w:val="0"/>
        <w:spacing w:line="440" w:lineRule="exact"/>
        <w:ind w:firstLine="0"/>
        <w:jc w:val="center"/>
        <w:rPr>
          <w:rStyle w:val="25"/>
          <w:rFonts w:hint="eastAsia" w:hAnsi="宋体"/>
          <w:b/>
          <w:bCs/>
          <w:color w:val="auto"/>
          <w:sz w:val="44"/>
          <w:szCs w:val="44"/>
          <w:highlight w:val="none"/>
        </w:rPr>
      </w:pPr>
      <w:bookmarkStart w:id="511" w:name="_Toc23170"/>
      <w:bookmarkStart w:id="512" w:name="_Toc10939"/>
      <w:bookmarkStart w:id="513" w:name="_Toc25717"/>
      <w:bookmarkStart w:id="514" w:name="_Toc14202"/>
      <w:r>
        <w:rPr>
          <w:rStyle w:val="25"/>
          <w:rFonts w:hint="eastAsia" w:hAnsi="宋体"/>
          <w:b/>
          <w:bCs/>
          <w:color w:val="auto"/>
          <w:sz w:val="44"/>
          <w:szCs w:val="44"/>
          <w:highlight w:val="none"/>
        </w:rPr>
        <w:t>（商务标书／经济标书／施工组织设计</w:t>
      </w:r>
      <w:r>
        <w:rPr>
          <w:rStyle w:val="25"/>
          <w:rFonts w:hint="eastAsia" w:hAnsi="宋体"/>
          <w:b/>
          <w:bCs/>
          <w:color w:val="auto"/>
          <w:sz w:val="44"/>
          <w:szCs w:val="44"/>
          <w:highlight w:val="none"/>
          <w:lang w:val="en-US" w:eastAsia="zh-CN"/>
        </w:rPr>
        <w:t>/定标文件</w:t>
      </w:r>
      <w:r>
        <w:rPr>
          <w:rStyle w:val="25"/>
          <w:rFonts w:hint="eastAsia" w:hAnsi="宋体"/>
          <w:b/>
          <w:bCs/>
          <w:color w:val="auto"/>
          <w:sz w:val="44"/>
          <w:szCs w:val="44"/>
          <w:highlight w:val="none"/>
        </w:rPr>
        <w:t>）</w:t>
      </w:r>
      <w:bookmarkEnd w:id="511"/>
      <w:bookmarkEnd w:id="512"/>
      <w:bookmarkEnd w:id="513"/>
      <w:bookmarkEnd w:id="514"/>
    </w:p>
    <w:p>
      <w:pPr>
        <w:pStyle w:val="47"/>
        <w:snapToGrid w:val="0"/>
        <w:spacing w:line="440" w:lineRule="exact"/>
        <w:rPr>
          <w:rStyle w:val="25"/>
          <w:rFonts w:hint="eastAsia" w:hAnsi="宋体"/>
          <w:b/>
          <w:bCs/>
          <w:color w:val="auto"/>
          <w:highlight w:val="none"/>
        </w:rPr>
      </w:pPr>
    </w:p>
    <w:p>
      <w:pPr>
        <w:pStyle w:val="47"/>
        <w:snapToGrid w:val="0"/>
        <w:spacing w:line="440" w:lineRule="exact"/>
        <w:rPr>
          <w:rStyle w:val="25"/>
          <w:rFonts w:hint="eastAsia" w:hAnsi="宋体"/>
          <w:b/>
          <w:bCs/>
          <w:color w:val="auto"/>
          <w:sz w:val="32"/>
          <w:szCs w:val="32"/>
          <w:highlight w:val="none"/>
        </w:rPr>
      </w:pPr>
    </w:p>
    <w:p>
      <w:pPr>
        <w:pStyle w:val="47"/>
        <w:snapToGrid w:val="0"/>
        <w:spacing w:line="440" w:lineRule="exact"/>
        <w:rPr>
          <w:rStyle w:val="25"/>
          <w:rFonts w:hint="eastAsia" w:hAnsi="宋体"/>
          <w:b/>
          <w:bCs/>
          <w:color w:val="auto"/>
          <w:sz w:val="32"/>
          <w:szCs w:val="32"/>
          <w:highlight w:val="none"/>
        </w:rPr>
      </w:pPr>
    </w:p>
    <w:p>
      <w:pPr>
        <w:pStyle w:val="47"/>
        <w:snapToGrid w:val="0"/>
        <w:spacing w:line="440" w:lineRule="exact"/>
        <w:rPr>
          <w:rStyle w:val="25"/>
          <w:rFonts w:hint="eastAsia" w:hAnsi="宋体"/>
          <w:b/>
          <w:bCs/>
          <w:color w:val="auto"/>
          <w:sz w:val="32"/>
          <w:szCs w:val="32"/>
          <w:highlight w:val="none"/>
        </w:rPr>
      </w:pPr>
    </w:p>
    <w:p>
      <w:pPr>
        <w:pStyle w:val="47"/>
        <w:snapToGrid w:val="0"/>
        <w:spacing w:line="440" w:lineRule="exact"/>
        <w:rPr>
          <w:rStyle w:val="25"/>
          <w:rFonts w:hint="eastAsia" w:hAnsi="宋体"/>
          <w:b/>
          <w:bCs/>
          <w:color w:val="auto"/>
          <w:sz w:val="32"/>
          <w:szCs w:val="32"/>
          <w:highlight w:val="none"/>
        </w:rPr>
      </w:pPr>
    </w:p>
    <w:p>
      <w:pPr>
        <w:pStyle w:val="47"/>
        <w:snapToGrid w:val="0"/>
        <w:spacing w:line="440" w:lineRule="exact"/>
        <w:rPr>
          <w:rStyle w:val="25"/>
          <w:rFonts w:hint="eastAsia" w:hAnsi="宋体"/>
          <w:b/>
          <w:bCs/>
          <w:color w:val="auto"/>
          <w:sz w:val="32"/>
          <w:szCs w:val="32"/>
          <w:highlight w:val="none"/>
        </w:rPr>
      </w:pPr>
    </w:p>
    <w:p>
      <w:pPr>
        <w:pStyle w:val="47"/>
        <w:snapToGrid w:val="0"/>
        <w:spacing w:line="440" w:lineRule="exact"/>
        <w:rPr>
          <w:rStyle w:val="25"/>
          <w:rFonts w:hint="eastAsia" w:hAnsi="宋体"/>
          <w:b/>
          <w:bCs/>
          <w:color w:val="auto"/>
          <w:sz w:val="32"/>
          <w:szCs w:val="32"/>
          <w:highlight w:val="none"/>
        </w:rPr>
      </w:pPr>
    </w:p>
    <w:p>
      <w:pPr>
        <w:pStyle w:val="47"/>
        <w:snapToGrid w:val="0"/>
        <w:spacing w:line="440" w:lineRule="exact"/>
        <w:ind w:firstLine="0"/>
        <w:jc w:val="center"/>
        <w:rPr>
          <w:rStyle w:val="25"/>
          <w:rFonts w:hint="eastAsia" w:hAnsi="宋体"/>
          <w:color w:val="auto"/>
          <w:sz w:val="30"/>
          <w:szCs w:val="30"/>
          <w:highlight w:val="none"/>
        </w:rPr>
      </w:pPr>
      <w:bookmarkStart w:id="515" w:name="_Toc753"/>
      <w:bookmarkStart w:id="516" w:name="_Toc8126"/>
      <w:bookmarkStart w:id="517" w:name="_Toc11118"/>
      <w:bookmarkStart w:id="518" w:name="_Toc18522"/>
      <w:r>
        <w:rPr>
          <w:rStyle w:val="25"/>
          <w:rFonts w:hint="eastAsia" w:hAnsi="宋体"/>
          <w:color w:val="auto"/>
          <w:sz w:val="30"/>
          <w:szCs w:val="30"/>
          <w:highlight w:val="none"/>
        </w:rPr>
        <w:t>投标人：</w:t>
      </w:r>
      <w:r>
        <w:rPr>
          <w:rStyle w:val="25"/>
          <w:rFonts w:hint="eastAsia" w:hAnsi="宋体"/>
          <w:color w:val="auto"/>
          <w:sz w:val="30"/>
          <w:szCs w:val="30"/>
          <w:highlight w:val="none"/>
          <w:u w:val="single"/>
        </w:rPr>
        <w:t xml:space="preserve">                                   </w:t>
      </w:r>
      <w:r>
        <w:rPr>
          <w:rStyle w:val="25"/>
          <w:rFonts w:hint="eastAsia" w:hAnsi="宋体"/>
          <w:color w:val="auto"/>
          <w:sz w:val="30"/>
          <w:szCs w:val="30"/>
          <w:highlight w:val="none"/>
        </w:rPr>
        <w:t>（盖单位章）</w:t>
      </w:r>
      <w:bookmarkEnd w:id="515"/>
      <w:bookmarkEnd w:id="516"/>
      <w:bookmarkEnd w:id="517"/>
      <w:bookmarkEnd w:id="518"/>
    </w:p>
    <w:p>
      <w:pPr>
        <w:pStyle w:val="47"/>
        <w:snapToGrid w:val="0"/>
        <w:spacing w:line="440" w:lineRule="exact"/>
        <w:ind w:firstLine="0"/>
        <w:jc w:val="center"/>
        <w:rPr>
          <w:rStyle w:val="25"/>
          <w:rFonts w:hint="eastAsia" w:hAnsi="宋体"/>
          <w:color w:val="auto"/>
          <w:sz w:val="30"/>
          <w:szCs w:val="30"/>
          <w:highlight w:val="none"/>
        </w:rPr>
      </w:pPr>
    </w:p>
    <w:p>
      <w:pPr>
        <w:pStyle w:val="47"/>
        <w:snapToGrid w:val="0"/>
        <w:spacing w:line="440" w:lineRule="exact"/>
        <w:ind w:firstLine="0"/>
        <w:jc w:val="center"/>
        <w:rPr>
          <w:rStyle w:val="25"/>
          <w:rFonts w:hint="eastAsia" w:hAnsi="宋体"/>
          <w:color w:val="auto"/>
          <w:sz w:val="30"/>
          <w:szCs w:val="30"/>
          <w:highlight w:val="none"/>
        </w:rPr>
      </w:pPr>
    </w:p>
    <w:p>
      <w:pPr>
        <w:pStyle w:val="47"/>
        <w:snapToGrid w:val="0"/>
        <w:spacing w:line="440" w:lineRule="exact"/>
        <w:ind w:firstLine="0"/>
        <w:jc w:val="center"/>
        <w:rPr>
          <w:rStyle w:val="25"/>
          <w:rFonts w:hint="eastAsia" w:hAnsi="宋体"/>
          <w:color w:val="auto"/>
          <w:sz w:val="30"/>
          <w:szCs w:val="30"/>
          <w:highlight w:val="none"/>
        </w:rPr>
      </w:pPr>
    </w:p>
    <w:p>
      <w:pPr>
        <w:pStyle w:val="47"/>
        <w:snapToGrid w:val="0"/>
        <w:spacing w:line="440" w:lineRule="exact"/>
        <w:ind w:firstLine="0"/>
        <w:jc w:val="center"/>
        <w:rPr>
          <w:rStyle w:val="25"/>
          <w:rFonts w:hint="eastAsia" w:hAnsi="宋体"/>
          <w:color w:val="auto"/>
          <w:sz w:val="30"/>
          <w:szCs w:val="30"/>
          <w:highlight w:val="none"/>
        </w:rPr>
      </w:pPr>
      <w:bookmarkStart w:id="519" w:name="_Toc28339"/>
      <w:bookmarkStart w:id="520" w:name="_Toc19176"/>
      <w:bookmarkStart w:id="521" w:name="_Toc501"/>
      <w:bookmarkStart w:id="522" w:name="_Toc12062"/>
      <w:r>
        <w:rPr>
          <w:rStyle w:val="25"/>
          <w:rFonts w:hint="eastAsia" w:hAnsi="宋体"/>
          <w:color w:val="auto"/>
          <w:sz w:val="30"/>
          <w:szCs w:val="30"/>
          <w:highlight w:val="none"/>
        </w:rPr>
        <w:t>法定代表人或其委托代理人：</w:t>
      </w:r>
      <w:r>
        <w:rPr>
          <w:rStyle w:val="25"/>
          <w:rFonts w:hint="eastAsia" w:hAnsi="宋体"/>
          <w:color w:val="auto"/>
          <w:sz w:val="30"/>
          <w:szCs w:val="30"/>
          <w:highlight w:val="none"/>
          <w:u w:val="single"/>
        </w:rPr>
        <w:t xml:space="preserve">               </w:t>
      </w:r>
      <w:r>
        <w:rPr>
          <w:rStyle w:val="25"/>
          <w:rFonts w:hint="eastAsia" w:hAnsi="宋体"/>
          <w:color w:val="auto"/>
          <w:sz w:val="30"/>
          <w:szCs w:val="30"/>
          <w:highlight w:val="none"/>
        </w:rPr>
        <w:t>（签字或盖章）</w:t>
      </w:r>
      <w:bookmarkEnd w:id="519"/>
      <w:bookmarkEnd w:id="520"/>
      <w:bookmarkEnd w:id="521"/>
      <w:bookmarkEnd w:id="522"/>
    </w:p>
    <w:p>
      <w:pPr>
        <w:pStyle w:val="47"/>
        <w:snapToGrid w:val="0"/>
        <w:spacing w:line="440" w:lineRule="exact"/>
        <w:ind w:firstLine="0"/>
        <w:jc w:val="center"/>
        <w:rPr>
          <w:rStyle w:val="25"/>
          <w:rFonts w:hint="eastAsia" w:hAnsi="宋体"/>
          <w:color w:val="auto"/>
          <w:sz w:val="30"/>
          <w:szCs w:val="30"/>
          <w:highlight w:val="none"/>
        </w:rPr>
      </w:pPr>
    </w:p>
    <w:p>
      <w:pPr>
        <w:pStyle w:val="47"/>
        <w:snapToGrid w:val="0"/>
        <w:spacing w:line="440" w:lineRule="exact"/>
        <w:ind w:firstLine="0"/>
        <w:jc w:val="center"/>
        <w:rPr>
          <w:rStyle w:val="25"/>
          <w:rFonts w:hint="eastAsia" w:hAnsi="宋体"/>
          <w:color w:val="auto"/>
          <w:sz w:val="30"/>
          <w:szCs w:val="30"/>
          <w:highlight w:val="none"/>
          <w:u w:val="single"/>
        </w:rPr>
      </w:pPr>
    </w:p>
    <w:p>
      <w:pPr>
        <w:pStyle w:val="47"/>
        <w:snapToGrid w:val="0"/>
        <w:spacing w:line="440" w:lineRule="exact"/>
        <w:ind w:firstLine="0"/>
        <w:jc w:val="center"/>
        <w:rPr>
          <w:rStyle w:val="25"/>
          <w:rFonts w:hint="eastAsia" w:hAnsi="宋体"/>
          <w:b/>
          <w:bCs/>
          <w:color w:val="auto"/>
          <w:sz w:val="30"/>
          <w:szCs w:val="30"/>
          <w:highlight w:val="none"/>
        </w:rPr>
      </w:pPr>
      <w:r>
        <w:rPr>
          <w:rStyle w:val="25"/>
          <w:rFonts w:hint="eastAsia" w:hAnsi="宋体"/>
          <w:color w:val="auto"/>
          <w:sz w:val="30"/>
          <w:szCs w:val="30"/>
          <w:highlight w:val="none"/>
          <w:u w:val="single"/>
        </w:rPr>
        <w:t xml:space="preserve">         </w:t>
      </w:r>
      <w:bookmarkStart w:id="523" w:name="_Toc23099"/>
      <w:bookmarkStart w:id="524" w:name="_Toc24812"/>
      <w:bookmarkStart w:id="525" w:name="_Toc29803"/>
      <w:bookmarkStart w:id="526" w:name="_Toc19304"/>
      <w:bookmarkStart w:id="527" w:name="_Toc27315"/>
      <w:r>
        <w:rPr>
          <w:rStyle w:val="25"/>
          <w:rFonts w:hint="eastAsia" w:hAnsi="宋体"/>
          <w:color w:val="auto"/>
          <w:sz w:val="30"/>
          <w:szCs w:val="30"/>
          <w:highlight w:val="none"/>
        </w:rPr>
        <w:t>年</w:t>
      </w:r>
      <w:r>
        <w:rPr>
          <w:rStyle w:val="25"/>
          <w:rFonts w:hint="eastAsia" w:hAnsi="宋体"/>
          <w:color w:val="auto"/>
          <w:sz w:val="30"/>
          <w:szCs w:val="30"/>
          <w:highlight w:val="none"/>
          <w:u w:val="single"/>
        </w:rPr>
        <w:t xml:space="preserve">      </w:t>
      </w:r>
      <w:r>
        <w:rPr>
          <w:rStyle w:val="25"/>
          <w:rFonts w:hint="eastAsia" w:hAnsi="宋体"/>
          <w:color w:val="auto"/>
          <w:sz w:val="30"/>
          <w:szCs w:val="30"/>
          <w:highlight w:val="none"/>
        </w:rPr>
        <w:t>月</w:t>
      </w:r>
      <w:r>
        <w:rPr>
          <w:rStyle w:val="25"/>
          <w:rFonts w:hint="eastAsia" w:hAnsi="宋体"/>
          <w:color w:val="auto"/>
          <w:sz w:val="30"/>
          <w:szCs w:val="30"/>
          <w:highlight w:val="none"/>
          <w:u w:val="single"/>
        </w:rPr>
        <w:t xml:space="preserve">      </w:t>
      </w:r>
      <w:r>
        <w:rPr>
          <w:rStyle w:val="25"/>
          <w:rFonts w:hint="eastAsia" w:hAnsi="宋体"/>
          <w:color w:val="auto"/>
          <w:sz w:val="30"/>
          <w:szCs w:val="30"/>
          <w:highlight w:val="none"/>
        </w:rPr>
        <w:t>日</w:t>
      </w:r>
      <w:bookmarkEnd w:id="523"/>
      <w:bookmarkEnd w:id="524"/>
      <w:bookmarkEnd w:id="525"/>
      <w:bookmarkEnd w:id="526"/>
      <w:bookmarkEnd w:id="527"/>
    </w:p>
    <w:p>
      <w:pPr>
        <w:pStyle w:val="46"/>
        <w:snapToGrid w:val="0"/>
        <w:spacing w:line="440" w:lineRule="exact"/>
        <w:outlineLvl w:val="1"/>
        <w:rPr>
          <w:rStyle w:val="25"/>
          <w:rFonts w:hint="eastAsia" w:hAnsi="宋体"/>
          <w:b/>
          <w:bCs/>
          <w:color w:val="auto"/>
          <w:sz w:val="21"/>
          <w:szCs w:val="21"/>
          <w:highlight w:val="none"/>
        </w:rPr>
      </w:pPr>
      <w:bookmarkStart w:id="528" w:name="_Toc28797"/>
      <w:bookmarkStart w:id="529" w:name="_Toc30213"/>
      <w:bookmarkStart w:id="530" w:name="_Toc5509"/>
      <w:bookmarkStart w:id="531" w:name="_Toc21399"/>
      <w:bookmarkStart w:id="532" w:name="_Toc30854"/>
      <w:bookmarkStart w:id="533" w:name="_Toc28278"/>
      <w:bookmarkStart w:id="534" w:name="_Toc5547"/>
      <w:bookmarkStart w:id="535" w:name="_Toc10385"/>
      <w:bookmarkStart w:id="536" w:name="_Toc27916"/>
      <w:bookmarkStart w:id="537" w:name="_Toc15168"/>
      <w:bookmarkStart w:id="538" w:name="_Toc23624"/>
    </w:p>
    <w:p>
      <w:pPr>
        <w:pStyle w:val="46"/>
        <w:snapToGrid w:val="0"/>
        <w:spacing w:line="440" w:lineRule="exact"/>
        <w:outlineLvl w:val="1"/>
        <w:rPr>
          <w:rStyle w:val="25"/>
          <w:rFonts w:hint="eastAsia" w:hAnsi="宋体"/>
          <w:b/>
          <w:bCs/>
          <w:color w:val="auto"/>
          <w:sz w:val="21"/>
          <w:szCs w:val="21"/>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539" w:name="_Toc11733"/>
      <w:bookmarkStart w:id="540" w:name="_Toc3791"/>
      <w:bookmarkStart w:id="541" w:name="_Toc26923"/>
      <w:r>
        <w:rPr>
          <w:rStyle w:val="25"/>
          <w:rFonts w:hint="eastAsia" w:ascii="Times New Roman" w:hAnsi="宋体" w:eastAsia="宋体" w:cs="Times New Roman"/>
          <w:b/>
          <w:bCs/>
          <w:color w:val="auto"/>
          <w:sz w:val="24"/>
          <w:szCs w:val="24"/>
          <w:highlight w:val="none"/>
        </w:rPr>
        <w:t>格式二 投标函</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45"/>
        <w:snapToGrid w:val="0"/>
        <w:spacing w:before="260" w:after="260" w:line="440" w:lineRule="exact"/>
        <w:ind w:firstLine="0"/>
        <w:rPr>
          <w:rStyle w:val="25"/>
          <w:rFonts w:hint="eastAsia" w:hAnsi="宋体"/>
          <w:b/>
          <w:bCs/>
          <w:color w:val="auto"/>
          <w:sz w:val="24"/>
          <w:szCs w:val="24"/>
          <w:highlight w:val="none"/>
        </w:rPr>
      </w:pPr>
      <w:r>
        <w:rPr>
          <w:rStyle w:val="25"/>
          <w:rFonts w:hint="eastAsia" w:hAnsi="宋体"/>
          <w:b/>
          <w:bCs/>
          <w:color w:val="auto"/>
          <w:sz w:val="24"/>
          <w:szCs w:val="24"/>
          <w:highlight w:val="none"/>
        </w:rPr>
        <w:t>投  标  函</w:t>
      </w:r>
    </w:p>
    <w:p>
      <w:pPr>
        <w:snapToGrid w:val="0"/>
        <w:spacing w:line="440" w:lineRule="exact"/>
        <w:jc w:val="center"/>
        <w:rPr>
          <w:rStyle w:val="25"/>
          <w:rFonts w:hint="eastAsia" w:hAnsi="宋体"/>
          <w:b/>
          <w:bCs/>
          <w:color w:val="auto"/>
          <w:kern w:val="0"/>
          <w:sz w:val="21"/>
          <w:szCs w:val="21"/>
          <w:highlight w:val="none"/>
        </w:rPr>
      </w:pPr>
    </w:p>
    <w:p>
      <w:pPr>
        <w:snapToGrid w:val="0"/>
        <w:spacing w:line="440" w:lineRule="exact"/>
        <w:rPr>
          <w:rStyle w:val="25"/>
          <w:rFonts w:hint="eastAsia" w:hAnsi="宋体"/>
          <w:color w:val="auto"/>
          <w:kern w:val="0"/>
          <w:sz w:val="21"/>
          <w:szCs w:val="21"/>
          <w:highlight w:val="none"/>
        </w:rPr>
      </w:pPr>
      <w:r>
        <w:rPr>
          <w:rStyle w:val="25"/>
          <w:rFonts w:hint="eastAsia" w:hAnsi="宋体"/>
          <w:color w:val="auto"/>
          <w:kern w:val="0"/>
          <w:sz w:val="21"/>
          <w:szCs w:val="21"/>
          <w:highlight w:val="none"/>
        </w:rPr>
        <w:t>致：</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（招标人名称）</w:t>
      </w:r>
    </w:p>
    <w:p>
      <w:pPr>
        <w:numPr>
          <w:ilvl w:val="0"/>
          <w:numId w:val="7"/>
        </w:numPr>
        <w:snapToGrid w:val="0"/>
        <w:spacing w:line="440" w:lineRule="exact"/>
        <w:ind w:firstLine="570"/>
        <w:rPr>
          <w:rStyle w:val="25"/>
          <w:rFonts w:hint="eastAsia" w:hAnsi="宋体"/>
          <w:color w:val="auto"/>
          <w:kern w:val="0"/>
          <w:sz w:val="21"/>
          <w:szCs w:val="21"/>
          <w:highlight w:val="none"/>
        </w:rPr>
      </w:pPr>
      <w:r>
        <w:rPr>
          <w:rStyle w:val="25"/>
          <w:rFonts w:hint="eastAsia" w:hAnsi="宋体"/>
          <w:color w:val="auto"/>
          <w:kern w:val="0"/>
          <w:sz w:val="21"/>
          <w:szCs w:val="21"/>
          <w:highlight w:val="none"/>
        </w:rPr>
        <w:t>我方考察现场并充分研究</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（工程名称）（以下简称“本工程”）招标文件所有内容后，结合自身资质、能力和特点，愿意接受招标文件的全部内容和条件，兹以人民币（大写）：</w:t>
      </w:r>
    </w:p>
    <w:p>
      <w:pPr>
        <w:numPr>
          <w:ilvl w:val="0"/>
          <w:numId w:val="0"/>
        </w:numPr>
        <w:snapToGrid w:val="0"/>
        <w:spacing w:line="440" w:lineRule="exact"/>
        <w:rPr>
          <w:rStyle w:val="25"/>
          <w:rFonts w:hint="eastAsia" w:hAnsi="宋体"/>
          <w:color w:val="auto"/>
          <w:kern w:val="0"/>
          <w:sz w:val="21"/>
          <w:szCs w:val="21"/>
          <w:highlight w:val="none"/>
        </w:rPr>
      </w:pP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）的投标总价竞投本工程施工。</w:t>
      </w:r>
    </w:p>
    <w:p>
      <w:pPr>
        <w:snapToGrid w:val="0"/>
        <w:spacing w:line="440" w:lineRule="exact"/>
        <w:ind w:firstLine="570"/>
        <w:rPr>
          <w:rStyle w:val="25"/>
          <w:rFonts w:hint="default" w:hAnsi="宋体"/>
          <w:color w:val="auto"/>
          <w:kern w:val="0"/>
          <w:sz w:val="21"/>
          <w:szCs w:val="21"/>
          <w:highlight w:val="none"/>
          <w:lang w:val="en-US"/>
        </w:rPr>
      </w:pPr>
      <w:r>
        <w:rPr>
          <w:rStyle w:val="25"/>
          <w:rFonts w:hint="eastAsia" w:hAnsi="宋体"/>
          <w:color w:val="auto"/>
          <w:kern w:val="0"/>
          <w:sz w:val="21"/>
          <w:szCs w:val="21"/>
          <w:highlight w:val="none"/>
        </w:rPr>
        <w:t>在我方的上述投标总价中，包括：安全生产措施费</w:t>
      </w:r>
      <w:r>
        <w:rPr>
          <w:rStyle w:val="25"/>
          <w:rFonts w:hint="eastAsia" w:hAnsi="宋体"/>
          <w:color w:val="auto"/>
          <w:kern w:val="0"/>
          <w:sz w:val="21"/>
          <w:szCs w:val="21"/>
          <w:highlight w:val="none"/>
          <w:lang w:eastAsia="zh-CN"/>
        </w:rPr>
        <w:t>：</w:t>
      </w:r>
      <w:r>
        <w:rPr>
          <w:rStyle w:val="25"/>
          <w:rFonts w:hint="eastAsia" w:hAnsi="宋体"/>
          <w:color w:val="auto"/>
          <w:kern w:val="0"/>
          <w:sz w:val="21"/>
          <w:szCs w:val="21"/>
          <w:highlight w:val="none"/>
        </w:rPr>
        <w:t>¥</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u w:val="none"/>
          <w:lang w:val="en-US" w:eastAsia="zh-CN"/>
        </w:rPr>
        <w:t xml:space="preserve"> </w:t>
      </w:r>
      <w:r>
        <w:rPr>
          <w:rStyle w:val="25"/>
          <w:rFonts w:hint="eastAsia" w:hAnsi="宋体"/>
          <w:color w:val="auto"/>
          <w:kern w:val="0"/>
          <w:sz w:val="21"/>
          <w:szCs w:val="21"/>
          <w:highlight w:val="none"/>
        </w:rPr>
        <w:t>，</w:t>
      </w:r>
      <w:r>
        <w:rPr>
          <w:rFonts w:hint="eastAsia" w:ascii="宋体" w:hAnsi="宋体" w:eastAsia="宋体" w:cs="宋体"/>
          <w:color w:val="auto"/>
          <w:sz w:val="21"/>
          <w:szCs w:val="16"/>
          <w:highlight w:val="none"/>
          <w:lang w:val="en-US" w:eastAsia="zh-CN"/>
        </w:rPr>
        <w:t>暂列金额：</w:t>
      </w:r>
      <w:r>
        <w:rPr>
          <w:rStyle w:val="25"/>
          <w:rFonts w:hint="eastAsia" w:hAnsi="宋体"/>
          <w:color w:val="auto"/>
          <w:kern w:val="0"/>
          <w:sz w:val="21"/>
          <w:szCs w:val="21"/>
          <w:highlight w:val="none"/>
        </w:rPr>
        <w:t>¥</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u w:val="none"/>
          <w:lang w:eastAsia="zh-CN"/>
        </w:rPr>
        <w:t>，</w:t>
      </w:r>
      <w:r>
        <w:rPr>
          <w:rFonts w:hint="eastAsia" w:ascii="宋体" w:hAnsi="宋体" w:eastAsia="宋体" w:cs="宋体"/>
          <w:color w:val="auto"/>
          <w:sz w:val="21"/>
          <w:szCs w:val="16"/>
          <w:highlight w:val="none"/>
          <w:lang w:val="en-US" w:eastAsia="zh-CN"/>
        </w:rPr>
        <w:t>暂估价：</w:t>
      </w:r>
      <w:r>
        <w:rPr>
          <w:rStyle w:val="25"/>
          <w:rFonts w:hint="eastAsia" w:hAnsi="宋体"/>
          <w:color w:val="auto"/>
          <w:kern w:val="0"/>
          <w:sz w:val="21"/>
          <w:szCs w:val="21"/>
          <w:highlight w:val="none"/>
        </w:rPr>
        <w:t>¥</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u w:val="none"/>
          <w:lang w:eastAsia="zh-CN"/>
        </w:rPr>
        <w:t>。</w:t>
      </w:r>
    </w:p>
    <w:p>
      <w:pPr>
        <w:snapToGrid w:val="0"/>
        <w:spacing w:line="440" w:lineRule="exact"/>
        <w:ind w:firstLine="570"/>
        <w:rPr>
          <w:rStyle w:val="25"/>
          <w:rFonts w:hint="eastAsia" w:hAnsi="宋体"/>
          <w:color w:val="auto"/>
          <w:kern w:val="0"/>
          <w:sz w:val="21"/>
          <w:szCs w:val="21"/>
          <w:highlight w:val="none"/>
        </w:rPr>
      </w:pPr>
      <w:r>
        <w:rPr>
          <w:rStyle w:val="25"/>
          <w:rFonts w:hint="eastAsia" w:hAnsi="宋体"/>
          <w:color w:val="auto"/>
          <w:kern w:val="0"/>
          <w:sz w:val="21"/>
          <w:szCs w:val="21"/>
          <w:highlight w:val="none"/>
        </w:rPr>
        <w:t>2.如果我方中标，我方保证按照合同约定的开工日期开始本工程的施工，</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u w:val="single"/>
          <w:lang w:val="en-US" w:eastAsia="zh-CN"/>
        </w:rPr>
        <w:t xml:space="preserve">  </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个日历天内竣工，并确保工程质量达到</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标准和维修其中的任何缺陷。</w:t>
      </w:r>
    </w:p>
    <w:p>
      <w:pPr>
        <w:snapToGrid w:val="0"/>
        <w:spacing w:line="440" w:lineRule="exact"/>
        <w:ind w:firstLine="570"/>
        <w:rPr>
          <w:rStyle w:val="25"/>
          <w:rFonts w:hint="eastAsia" w:hAnsi="宋体"/>
          <w:color w:val="auto"/>
          <w:kern w:val="0"/>
          <w:sz w:val="21"/>
          <w:szCs w:val="21"/>
          <w:highlight w:val="none"/>
        </w:rPr>
      </w:pPr>
      <w:r>
        <w:rPr>
          <w:rStyle w:val="25"/>
          <w:rFonts w:hint="eastAsia" w:hAnsi="宋体"/>
          <w:color w:val="auto"/>
          <w:kern w:val="0"/>
          <w:sz w:val="21"/>
          <w:szCs w:val="21"/>
          <w:highlight w:val="none"/>
        </w:rPr>
        <w:t>3.本投标函在你方接收我方递交的投标文件之日起、到招标文件规定的投标有效期期满前对我方具有约束力。我方随时准备接受你方发出的中标通知书。</w:t>
      </w:r>
    </w:p>
    <w:p>
      <w:pPr>
        <w:snapToGrid w:val="0"/>
        <w:spacing w:line="440" w:lineRule="exact"/>
        <w:ind w:firstLine="570"/>
        <w:rPr>
          <w:rStyle w:val="25"/>
          <w:rFonts w:hint="eastAsia" w:hAnsi="宋体"/>
          <w:color w:val="auto"/>
          <w:kern w:val="0"/>
          <w:sz w:val="21"/>
          <w:szCs w:val="21"/>
          <w:highlight w:val="none"/>
        </w:rPr>
      </w:pPr>
      <w:r>
        <w:rPr>
          <w:rStyle w:val="25"/>
          <w:rFonts w:hint="eastAsia" w:hAnsi="宋体"/>
          <w:color w:val="auto"/>
          <w:kern w:val="0"/>
          <w:sz w:val="21"/>
          <w:szCs w:val="21"/>
          <w:highlight w:val="none"/>
        </w:rPr>
        <w:t>4．我方在此声明，我方不存在本工程招标文件第一章第三节第</w:t>
      </w:r>
      <w:r>
        <w:rPr>
          <w:rStyle w:val="25"/>
          <w:rFonts w:hint="eastAsia" w:hAnsi="宋体"/>
          <w:b/>
          <w:bCs/>
          <w:color w:val="auto"/>
          <w:kern w:val="0"/>
          <w:sz w:val="21"/>
          <w:szCs w:val="21"/>
          <w:highlight w:val="none"/>
        </w:rPr>
        <w:t>2.4</w:t>
      </w:r>
      <w:r>
        <w:rPr>
          <w:rStyle w:val="25"/>
          <w:rFonts w:hint="eastAsia" w:hAnsi="宋体"/>
          <w:color w:val="auto"/>
          <w:kern w:val="0"/>
          <w:sz w:val="21"/>
          <w:szCs w:val="21"/>
          <w:highlight w:val="none"/>
        </w:rPr>
        <w:t>条“禁止投标条款”所列出的任何一种情形，并愿意承担因我方就此弄虚作假所引起的一切法律后果。</w:t>
      </w:r>
    </w:p>
    <w:p>
      <w:pPr>
        <w:snapToGrid w:val="0"/>
        <w:spacing w:line="440" w:lineRule="exact"/>
        <w:ind w:firstLine="570"/>
        <w:rPr>
          <w:rStyle w:val="25"/>
          <w:rFonts w:hint="eastAsia" w:hAnsi="宋体"/>
          <w:color w:val="auto"/>
          <w:kern w:val="0"/>
          <w:sz w:val="21"/>
          <w:szCs w:val="21"/>
          <w:highlight w:val="none"/>
        </w:rPr>
      </w:pPr>
      <w:r>
        <w:rPr>
          <w:rStyle w:val="25"/>
          <w:rFonts w:hint="eastAsia" w:hAnsi="宋体"/>
          <w:color w:val="auto"/>
          <w:kern w:val="0"/>
          <w:sz w:val="21"/>
          <w:szCs w:val="21"/>
          <w:highlight w:val="none"/>
        </w:rPr>
        <w:t>5．我方在此承诺，所递交投标文件的全部内容均为真实、有效、准确的，并愿意承担因我方就此弄虚作假所引起的一切法律后果，同时理解和同意有可能被要求提供更多的资料。</w:t>
      </w:r>
    </w:p>
    <w:p>
      <w:pPr>
        <w:snapToGrid w:val="0"/>
        <w:spacing w:line="440" w:lineRule="exact"/>
        <w:ind w:firstLine="570"/>
        <w:rPr>
          <w:rStyle w:val="25"/>
          <w:rFonts w:hint="eastAsia" w:hAnsi="宋体"/>
          <w:color w:val="auto"/>
          <w:kern w:val="0"/>
          <w:sz w:val="21"/>
          <w:szCs w:val="21"/>
          <w:highlight w:val="none"/>
        </w:rPr>
      </w:pPr>
      <w:r>
        <w:rPr>
          <w:rStyle w:val="25"/>
          <w:rFonts w:hint="eastAsia" w:hAnsi="宋体"/>
          <w:color w:val="auto"/>
          <w:kern w:val="0"/>
          <w:sz w:val="21"/>
          <w:szCs w:val="21"/>
          <w:highlight w:val="none"/>
        </w:rPr>
        <w:t>6. 我方理解你方不一定要接纳收到的最低投标总价或任何投标总价的投标人中标，也不要求你方解释我方是否中标的原因。</w:t>
      </w:r>
    </w:p>
    <w:p>
      <w:pPr>
        <w:snapToGrid w:val="0"/>
        <w:spacing w:line="440" w:lineRule="exact"/>
        <w:ind w:firstLine="570"/>
        <w:rPr>
          <w:rStyle w:val="25"/>
          <w:rFonts w:hint="eastAsia" w:hAnsi="宋体"/>
          <w:color w:val="auto"/>
          <w:kern w:val="0"/>
          <w:sz w:val="21"/>
          <w:szCs w:val="21"/>
          <w:highlight w:val="none"/>
        </w:rPr>
      </w:pPr>
      <w:r>
        <w:rPr>
          <w:rStyle w:val="25"/>
          <w:rFonts w:hint="eastAsia" w:hAnsi="宋体"/>
          <w:color w:val="auto"/>
          <w:kern w:val="0"/>
          <w:sz w:val="21"/>
          <w:szCs w:val="21"/>
          <w:highlight w:val="none"/>
        </w:rPr>
        <w:t xml:space="preserve"> </w:t>
      </w:r>
    </w:p>
    <w:p>
      <w:pPr>
        <w:snapToGrid w:val="0"/>
        <w:spacing w:line="440" w:lineRule="exact"/>
        <w:jc w:val="right"/>
        <w:rPr>
          <w:rStyle w:val="25"/>
          <w:rFonts w:hint="eastAsia" w:hAnsi="宋体"/>
          <w:color w:val="auto"/>
          <w:kern w:val="0"/>
          <w:sz w:val="21"/>
          <w:szCs w:val="21"/>
          <w:highlight w:val="none"/>
        </w:rPr>
      </w:pPr>
      <w:r>
        <w:rPr>
          <w:rStyle w:val="25"/>
          <w:rFonts w:hint="eastAsia" w:hAnsi="宋体"/>
          <w:color w:val="auto"/>
          <w:kern w:val="0"/>
          <w:sz w:val="21"/>
          <w:szCs w:val="21"/>
          <w:highlight w:val="none"/>
        </w:rPr>
        <w:t xml:space="preserve">    投标人：</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（盖单位章）</w:t>
      </w:r>
    </w:p>
    <w:p>
      <w:pPr>
        <w:snapToGrid w:val="0"/>
        <w:spacing w:line="440" w:lineRule="exact"/>
        <w:jc w:val="right"/>
        <w:rPr>
          <w:rStyle w:val="25"/>
          <w:rFonts w:hint="eastAsia" w:hAnsi="宋体"/>
          <w:color w:val="auto"/>
          <w:kern w:val="0"/>
          <w:sz w:val="21"/>
          <w:szCs w:val="21"/>
          <w:highlight w:val="none"/>
        </w:rPr>
      </w:pPr>
    </w:p>
    <w:p>
      <w:pPr>
        <w:snapToGrid w:val="0"/>
        <w:spacing w:line="440" w:lineRule="exact"/>
        <w:ind w:firstLine="420" w:firstLineChars="200"/>
        <w:jc w:val="right"/>
        <w:rPr>
          <w:rStyle w:val="25"/>
          <w:rFonts w:hint="eastAsia" w:hAnsi="宋体"/>
          <w:color w:val="auto"/>
          <w:kern w:val="0"/>
          <w:sz w:val="21"/>
          <w:szCs w:val="21"/>
          <w:highlight w:val="none"/>
        </w:rPr>
      </w:pPr>
      <w:r>
        <w:rPr>
          <w:rStyle w:val="25"/>
          <w:rFonts w:hint="eastAsia" w:hAnsi="宋体"/>
          <w:color w:val="auto"/>
          <w:kern w:val="0"/>
          <w:sz w:val="21"/>
          <w:szCs w:val="21"/>
          <w:highlight w:val="none"/>
        </w:rPr>
        <w:t>法定代表人或其委托代理人：</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（签字或盖章）</w:t>
      </w:r>
    </w:p>
    <w:p>
      <w:pPr>
        <w:snapToGrid w:val="0"/>
        <w:spacing w:line="440" w:lineRule="exact"/>
        <w:ind w:firstLine="420" w:firstLineChars="200"/>
        <w:jc w:val="right"/>
        <w:rPr>
          <w:rStyle w:val="25"/>
          <w:rFonts w:hint="eastAsia" w:hAnsi="宋体"/>
          <w:color w:val="auto"/>
          <w:kern w:val="0"/>
          <w:sz w:val="21"/>
          <w:szCs w:val="21"/>
          <w:highlight w:val="none"/>
        </w:rPr>
      </w:pPr>
    </w:p>
    <w:p>
      <w:pPr>
        <w:snapToGrid w:val="0"/>
        <w:spacing w:line="440" w:lineRule="exact"/>
        <w:jc w:val="right"/>
        <w:rPr>
          <w:rStyle w:val="25"/>
          <w:rFonts w:hint="eastAsia" w:hAnsi="宋体"/>
          <w:color w:val="auto"/>
          <w:kern w:val="0"/>
          <w:sz w:val="21"/>
          <w:szCs w:val="21"/>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r>
        <w:rPr>
          <w:rStyle w:val="25"/>
          <w:rFonts w:hint="eastAsia" w:hAnsi="宋体"/>
          <w:color w:val="auto"/>
          <w:kern w:val="0"/>
          <w:sz w:val="21"/>
          <w:szCs w:val="21"/>
          <w:highlight w:val="none"/>
        </w:rPr>
        <w:t xml:space="preserve">                                       </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年</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月</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日</w:t>
      </w: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542" w:name="_Toc5017"/>
      <w:bookmarkStart w:id="543" w:name="_Toc14714"/>
      <w:bookmarkStart w:id="544" w:name="_Toc5519"/>
      <w:bookmarkStart w:id="545" w:name="_Toc32320"/>
      <w:bookmarkStart w:id="546" w:name="_Toc1615"/>
      <w:bookmarkStart w:id="547" w:name="_Toc12440"/>
      <w:bookmarkStart w:id="548" w:name="_Toc4375"/>
      <w:bookmarkStart w:id="549" w:name="_Toc12375"/>
      <w:bookmarkStart w:id="550" w:name="_Toc12727"/>
      <w:bookmarkStart w:id="551" w:name="_Toc3195"/>
      <w:bookmarkStart w:id="552" w:name="_Toc18373"/>
      <w:bookmarkStart w:id="553" w:name="_Toc23704"/>
      <w:bookmarkStart w:id="554" w:name="_Toc21578"/>
      <w:bookmarkStart w:id="555" w:name="_Toc13340"/>
      <w:bookmarkStart w:id="556" w:name="_Toc7329"/>
      <w:r>
        <w:rPr>
          <w:rStyle w:val="25"/>
          <w:rFonts w:hint="eastAsia" w:ascii="Times New Roman" w:hAnsi="宋体" w:eastAsia="宋体" w:cs="Times New Roman"/>
          <w:b/>
          <w:bCs/>
          <w:color w:val="auto"/>
          <w:sz w:val="24"/>
          <w:szCs w:val="24"/>
          <w:highlight w:val="none"/>
        </w:rPr>
        <w:t>格式</w:t>
      </w:r>
      <w:r>
        <w:rPr>
          <w:rStyle w:val="25"/>
          <w:rFonts w:hint="eastAsia" w:ascii="Times New Roman" w:hAnsi="宋体" w:eastAsia="宋体" w:cs="Times New Roman"/>
          <w:b/>
          <w:bCs/>
          <w:color w:val="auto"/>
          <w:sz w:val="24"/>
          <w:szCs w:val="24"/>
          <w:highlight w:val="none"/>
          <w:lang w:eastAsia="zh-CN"/>
        </w:rPr>
        <w:t>三</w:t>
      </w:r>
      <w:r>
        <w:rPr>
          <w:rStyle w:val="25"/>
          <w:rFonts w:hint="eastAsia" w:ascii="Times New Roman" w:hAnsi="宋体" w:eastAsia="宋体" w:cs="Times New Roman"/>
          <w:b/>
          <w:bCs/>
          <w:color w:val="auto"/>
          <w:sz w:val="24"/>
          <w:szCs w:val="24"/>
          <w:highlight w:val="none"/>
        </w:rPr>
        <w:t xml:space="preserve"> 各项承诺一览表</w:t>
      </w:r>
      <w:bookmarkEnd w:id="542"/>
      <w:bookmarkEnd w:id="543"/>
      <w:bookmarkEnd w:id="544"/>
      <w:bookmarkEnd w:id="545"/>
      <w:bookmarkEnd w:id="546"/>
      <w:bookmarkEnd w:id="547"/>
      <w:bookmarkEnd w:id="548"/>
      <w:bookmarkEnd w:id="549"/>
      <w:bookmarkEnd w:id="550"/>
      <w:bookmarkEnd w:id="551"/>
      <w:bookmarkEnd w:id="552"/>
    </w:p>
    <w:p>
      <w:pPr>
        <w:pStyle w:val="37"/>
        <w:widowControl w:val="0"/>
        <w:wordWrap w:val="0"/>
        <w:adjustRightInd w:val="0"/>
        <w:snapToGrid w:val="0"/>
        <w:spacing w:before="240" w:after="240" w:line="440" w:lineRule="exact"/>
        <w:ind w:firstLine="0"/>
        <w:jc w:val="center"/>
        <w:rPr>
          <w:rFonts w:hint="eastAsia" w:ascii="宋体" w:hAnsi="宋体" w:cs="宋体"/>
          <w:b/>
          <w:snapToGrid w:val="0"/>
          <w:color w:val="auto"/>
          <w:sz w:val="24"/>
          <w:szCs w:val="24"/>
          <w:highlight w:val="none"/>
        </w:rPr>
      </w:pPr>
      <w:bookmarkStart w:id="557" w:name="_Toc14261300"/>
      <w:r>
        <w:rPr>
          <w:rFonts w:hint="eastAsia" w:ascii="宋体" w:hAnsi="宋体" w:cs="宋体"/>
          <w:b/>
          <w:snapToGrid w:val="0"/>
          <w:color w:val="auto"/>
          <w:sz w:val="24"/>
          <w:szCs w:val="24"/>
          <w:highlight w:val="none"/>
        </w:rPr>
        <w:t>各项承诺一览表</w:t>
      </w:r>
      <w:bookmarkEnd w:id="557"/>
    </w:p>
    <w:tbl>
      <w:tblPr>
        <w:tblStyle w:val="20"/>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序号</w:t>
            </w:r>
          </w:p>
        </w:tc>
        <w:tc>
          <w:tcPr>
            <w:tcW w:w="1573"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承诺事项</w:t>
            </w:r>
          </w:p>
        </w:tc>
        <w:tc>
          <w:tcPr>
            <w:tcW w:w="2923"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承诺内容</w:t>
            </w:r>
          </w:p>
        </w:tc>
        <w:tc>
          <w:tcPr>
            <w:tcW w:w="425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违约承诺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4256"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2" w:hRule="atLeast"/>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256"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8" w:hRule="atLeast"/>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256"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5" w:hRule="atLeast"/>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4256"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5" w:hRule="atLeast"/>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4256"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256" w:type="dxa"/>
            <w:tcBorders>
              <w:bottom w:val="single" w:color="auto" w:sz="4" w:space="0"/>
              <w:tr2bl w:val="single" w:color="auto" w:sz="4" w:space="0"/>
            </w:tcBorders>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292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56" w:type="dxa"/>
            <w:tcBorders>
              <w:tr2bl w:val="single" w:color="auto" w:sz="4" w:space="0"/>
            </w:tcBorders>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left"/>
              <w:rPr>
                <w:rFonts w:hint="eastAsia" w:ascii="宋体" w:hAnsi="宋体" w:eastAsia="宋体" w:cs="宋体"/>
                <w:snapToGrid w:val="0"/>
                <w:color w:val="auto"/>
                <w:kern w:val="0"/>
                <w:sz w:val="21"/>
                <w:szCs w:val="21"/>
                <w:highlight w:val="none"/>
              </w:rPr>
            </w:pP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left"/>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4256"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38"/>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pPr>
              <w:pStyle w:val="49"/>
              <w:keepNext w:val="0"/>
              <w:keepLines w:val="0"/>
              <w:suppressLineNumbers w:val="0"/>
              <w:wordWrap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256" w:type="dxa"/>
            <w:noWrap w:val="0"/>
            <w:vAlign w:val="center"/>
          </w:tcPr>
          <w:p>
            <w:pPr>
              <w:pStyle w:val="49"/>
              <w:keepNext w:val="0"/>
              <w:keepLines w:val="0"/>
              <w:suppressLineNumbers w:val="0"/>
              <w:wordWrap w:val="0"/>
              <w:adjustRightInd w:val="0"/>
              <w:snapToGrid w:val="0"/>
              <w:spacing w:before="0" w:beforeAutospacing="0" w:after="0" w:afterAutospacing="0" w:line="44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pPr>
        <w:pStyle w:val="13"/>
        <w:wordWrap w:val="0"/>
        <w:adjustRightInd w:val="0"/>
        <w:snapToGrid w:val="0"/>
        <w:spacing w:line="440" w:lineRule="exact"/>
        <w:ind w:firstLine="480" w:firstLineChars="200"/>
        <w:jc w:val="right"/>
        <w:rPr>
          <w:rFonts w:hint="eastAsia" w:hAnsi="宋体"/>
          <w:snapToGrid w:val="0"/>
          <w:color w:val="auto"/>
          <w:kern w:val="0"/>
          <w:highlight w:val="none"/>
        </w:rPr>
      </w:pPr>
    </w:p>
    <w:p>
      <w:pPr>
        <w:pStyle w:val="13"/>
        <w:wordWrap w:val="0"/>
        <w:adjustRightInd w:val="0"/>
        <w:snapToGrid w:val="0"/>
        <w:spacing w:line="440" w:lineRule="exact"/>
        <w:ind w:firstLine="480" w:firstLineChars="200"/>
        <w:jc w:val="right"/>
        <w:rPr>
          <w:rFonts w:hint="eastAsia" w:hAnsi="宋体"/>
          <w:snapToGrid w:val="0"/>
          <w:color w:val="auto"/>
          <w:kern w:val="0"/>
          <w:highlight w:val="none"/>
        </w:rPr>
      </w:pPr>
    </w:p>
    <w:p>
      <w:pPr>
        <w:pStyle w:val="13"/>
        <w:wordWrap w:val="0"/>
        <w:adjustRightInd w:val="0"/>
        <w:snapToGrid w:val="0"/>
        <w:spacing w:line="440" w:lineRule="exact"/>
        <w:ind w:firstLine="420" w:firstLineChars="200"/>
        <w:jc w:val="right"/>
        <w:rPr>
          <w:rFonts w:hint="eastAsia" w:hAnsi="宋体"/>
          <w:snapToGrid w:val="0"/>
          <w:color w:val="auto"/>
          <w:kern w:val="0"/>
          <w:sz w:val="21"/>
          <w:szCs w:val="21"/>
          <w:highlight w:val="none"/>
        </w:rPr>
      </w:pPr>
      <w:r>
        <w:rPr>
          <w:rFonts w:hint="eastAsia" w:hAnsi="宋体"/>
          <w:snapToGrid w:val="0"/>
          <w:color w:val="auto"/>
          <w:kern w:val="0"/>
          <w:sz w:val="21"/>
          <w:szCs w:val="21"/>
          <w:highlight w:val="none"/>
        </w:rPr>
        <w:t>投标人：</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（盖单位章）</w:t>
      </w:r>
    </w:p>
    <w:p>
      <w:pPr>
        <w:pStyle w:val="13"/>
        <w:wordWrap w:val="0"/>
        <w:adjustRightInd w:val="0"/>
        <w:snapToGrid w:val="0"/>
        <w:spacing w:line="440" w:lineRule="exact"/>
        <w:ind w:firstLine="420" w:firstLineChars="200"/>
        <w:jc w:val="right"/>
        <w:rPr>
          <w:rFonts w:hint="eastAsia" w:hAnsi="宋体"/>
          <w:snapToGrid w:val="0"/>
          <w:color w:val="auto"/>
          <w:kern w:val="0"/>
          <w:sz w:val="21"/>
          <w:szCs w:val="21"/>
          <w:highlight w:val="none"/>
        </w:rPr>
      </w:pPr>
    </w:p>
    <w:p>
      <w:pPr>
        <w:pStyle w:val="13"/>
        <w:wordWrap w:val="0"/>
        <w:adjustRightInd w:val="0"/>
        <w:snapToGrid w:val="0"/>
        <w:spacing w:line="440" w:lineRule="exact"/>
        <w:ind w:firstLine="420" w:firstLineChars="200"/>
        <w:jc w:val="center"/>
        <w:rPr>
          <w:rFonts w:hint="eastAsia" w:hAnsi="宋体"/>
          <w:snapToGrid w:val="0"/>
          <w:color w:val="auto"/>
          <w:kern w:val="0"/>
          <w:sz w:val="21"/>
          <w:szCs w:val="21"/>
          <w:highlight w:val="none"/>
        </w:rPr>
      </w:pPr>
    </w:p>
    <w:p>
      <w:pPr>
        <w:pStyle w:val="13"/>
        <w:wordWrap w:val="0"/>
        <w:adjustRightInd w:val="0"/>
        <w:snapToGrid w:val="0"/>
        <w:spacing w:line="440" w:lineRule="exact"/>
        <w:ind w:firstLine="420" w:firstLineChars="200"/>
        <w:jc w:val="right"/>
        <w:rPr>
          <w:rFonts w:hint="eastAsia" w:hAnsi="宋体"/>
          <w:snapToGrid w:val="0"/>
          <w:color w:val="auto"/>
          <w:kern w:val="0"/>
          <w:sz w:val="21"/>
          <w:szCs w:val="21"/>
          <w:highlight w:val="none"/>
        </w:rPr>
      </w:pPr>
      <w:r>
        <w:rPr>
          <w:rFonts w:hint="eastAsia" w:hAnsi="宋体"/>
          <w:snapToGrid w:val="0"/>
          <w:color w:val="auto"/>
          <w:kern w:val="0"/>
          <w:sz w:val="21"/>
          <w:szCs w:val="21"/>
          <w:highlight w:val="none"/>
        </w:rPr>
        <w:t>法定代表人或其委托代理人：</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（签字或盖章）</w:t>
      </w:r>
    </w:p>
    <w:p>
      <w:pPr>
        <w:pStyle w:val="13"/>
        <w:wordWrap w:val="0"/>
        <w:adjustRightInd w:val="0"/>
        <w:snapToGrid w:val="0"/>
        <w:spacing w:line="440" w:lineRule="exact"/>
        <w:ind w:firstLine="420" w:firstLineChars="200"/>
        <w:rPr>
          <w:rFonts w:hint="eastAsia" w:hAnsi="宋体"/>
          <w:snapToGrid w:val="0"/>
          <w:color w:val="auto"/>
          <w:kern w:val="0"/>
          <w:sz w:val="21"/>
          <w:szCs w:val="21"/>
          <w:highlight w:val="none"/>
        </w:rPr>
      </w:pPr>
    </w:p>
    <w:p>
      <w:pPr>
        <w:pStyle w:val="13"/>
        <w:wordWrap w:val="0"/>
        <w:adjustRightInd w:val="0"/>
        <w:snapToGrid w:val="0"/>
        <w:spacing w:line="440" w:lineRule="exact"/>
        <w:ind w:firstLine="420" w:firstLineChars="200"/>
        <w:jc w:val="right"/>
        <w:rPr>
          <w:rFonts w:hint="eastAsia" w:hAnsi="宋体"/>
          <w:snapToGrid w:val="0"/>
          <w:color w:val="auto"/>
          <w:kern w:val="0"/>
          <w:sz w:val="21"/>
          <w:szCs w:val="21"/>
          <w:highlight w:val="none"/>
        </w:rPr>
      </w:pPr>
      <w:r>
        <w:rPr>
          <w:rFonts w:hint="eastAsia" w:hAnsi="宋体"/>
          <w:snapToGrid w:val="0"/>
          <w:color w:val="auto"/>
          <w:kern w:val="0"/>
          <w:sz w:val="21"/>
          <w:szCs w:val="21"/>
          <w:highlight w:val="none"/>
        </w:rPr>
        <w:t xml:space="preserve">                      </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年</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月</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日</w:t>
      </w:r>
    </w:p>
    <w:p>
      <w:pPr>
        <w:wordWrap w:val="0"/>
        <w:adjustRightInd w:val="0"/>
        <w:snapToGrid w:val="0"/>
        <w:spacing w:line="440" w:lineRule="exact"/>
        <w:jc w:val="left"/>
        <w:outlineLvl w:val="2"/>
        <w:rPr>
          <w:rFonts w:hint="eastAsia" w:hAnsi="宋体"/>
          <w:b/>
          <w:snapToGrid w:val="0"/>
          <w:color w:val="auto"/>
          <w:kern w:val="0"/>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558" w:name="_Toc30144"/>
      <w:bookmarkStart w:id="559" w:name="_Toc1495"/>
      <w:bookmarkStart w:id="560" w:name="_Toc4663"/>
      <w:bookmarkStart w:id="561" w:name="_Toc14045"/>
      <w:bookmarkStart w:id="562" w:name="_Toc12010"/>
      <w:bookmarkStart w:id="563" w:name="_Toc22"/>
      <w:bookmarkStart w:id="564" w:name="_Toc25154"/>
      <w:bookmarkStart w:id="565" w:name="_Toc13651"/>
      <w:bookmarkStart w:id="566" w:name="_Toc4092"/>
      <w:bookmarkStart w:id="567" w:name="_Toc6568"/>
      <w:r>
        <w:rPr>
          <w:rStyle w:val="25"/>
          <w:rFonts w:hint="eastAsia" w:ascii="Times New Roman" w:hAnsi="宋体" w:eastAsia="宋体" w:cs="Times New Roman"/>
          <w:b/>
          <w:bCs/>
          <w:color w:val="auto"/>
          <w:sz w:val="24"/>
          <w:szCs w:val="24"/>
          <w:highlight w:val="none"/>
        </w:rPr>
        <w:t>格式</w:t>
      </w:r>
      <w:r>
        <w:rPr>
          <w:rStyle w:val="25"/>
          <w:rFonts w:hint="eastAsia" w:ascii="Times New Roman" w:hAnsi="宋体" w:eastAsia="宋体" w:cs="Times New Roman"/>
          <w:b/>
          <w:bCs/>
          <w:color w:val="auto"/>
          <w:sz w:val="24"/>
          <w:szCs w:val="24"/>
          <w:highlight w:val="none"/>
          <w:lang w:eastAsia="zh-CN"/>
        </w:rPr>
        <w:t>四</w:t>
      </w:r>
      <w:r>
        <w:rPr>
          <w:rStyle w:val="25"/>
          <w:rFonts w:hint="eastAsia" w:ascii="Times New Roman" w:hAnsi="宋体" w:eastAsia="宋体" w:cs="Times New Roman"/>
          <w:b/>
          <w:bCs/>
          <w:color w:val="auto"/>
          <w:sz w:val="24"/>
          <w:szCs w:val="24"/>
          <w:highlight w:val="none"/>
        </w:rPr>
        <w:t xml:space="preserve"> 授权委托书</w:t>
      </w:r>
      <w:bookmarkEnd w:id="553"/>
      <w:bookmarkEnd w:id="554"/>
      <w:bookmarkEnd w:id="555"/>
      <w:bookmarkEnd w:id="556"/>
      <w:bookmarkEnd w:id="558"/>
      <w:bookmarkEnd w:id="559"/>
      <w:bookmarkEnd w:id="560"/>
      <w:bookmarkEnd w:id="561"/>
      <w:bookmarkEnd w:id="562"/>
      <w:bookmarkEnd w:id="563"/>
      <w:bookmarkEnd w:id="564"/>
      <w:bookmarkEnd w:id="565"/>
      <w:bookmarkEnd w:id="566"/>
      <w:bookmarkEnd w:id="567"/>
    </w:p>
    <w:p>
      <w:pPr>
        <w:snapToGrid w:val="0"/>
        <w:spacing w:line="440" w:lineRule="exact"/>
        <w:rPr>
          <w:rStyle w:val="25"/>
          <w:rFonts w:hint="eastAsia" w:hAnsi="宋体"/>
          <w:b/>
          <w:bCs/>
          <w:color w:val="auto"/>
          <w:kern w:val="0"/>
          <w:highlight w:val="none"/>
        </w:rPr>
      </w:pPr>
    </w:p>
    <w:p>
      <w:pPr>
        <w:snapToGrid w:val="0"/>
        <w:spacing w:before="260" w:after="260" w:line="440" w:lineRule="exact"/>
        <w:jc w:val="center"/>
        <w:rPr>
          <w:rStyle w:val="25"/>
          <w:rFonts w:hint="eastAsia" w:hAnsi="宋体"/>
          <w:b/>
          <w:bCs/>
          <w:color w:val="auto"/>
          <w:kern w:val="0"/>
          <w:sz w:val="24"/>
          <w:szCs w:val="24"/>
          <w:highlight w:val="none"/>
        </w:rPr>
      </w:pPr>
      <w:r>
        <w:rPr>
          <w:rStyle w:val="25"/>
          <w:rFonts w:hint="eastAsia" w:hAnsi="宋体"/>
          <w:b/>
          <w:bCs/>
          <w:color w:val="auto"/>
          <w:kern w:val="0"/>
          <w:sz w:val="24"/>
          <w:szCs w:val="24"/>
          <w:highlight w:val="none"/>
        </w:rPr>
        <w:t>授权委托书</w:t>
      </w:r>
    </w:p>
    <w:p>
      <w:pPr>
        <w:snapToGrid w:val="0"/>
        <w:spacing w:line="440" w:lineRule="exact"/>
        <w:rPr>
          <w:rStyle w:val="25"/>
          <w:rFonts w:hint="eastAsia" w:hAnsi="宋体"/>
          <w:color w:val="auto"/>
          <w:kern w:val="0"/>
          <w:sz w:val="21"/>
          <w:szCs w:val="21"/>
          <w:highlight w:val="none"/>
        </w:rPr>
      </w:pPr>
    </w:p>
    <w:p>
      <w:pPr>
        <w:snapToGrid w:val="0"/>
        <w:spacing w:line="440" w:lineRule="exact"/>
        <w:rPr>
          <w:rStyle w:val="25"/>
          <w:rFonts w:hint="eastAsia" w:hAnsi="宋体"/>
          <w:color w:val="auto"/>
          <w:kern w:val="0"/>
          <w:sz w:val="21"/>
          <w:szCs w:val="21"/>
          <w:highlight w:val="none"/>
        </w:rPr>
      </w:pPr>
      <w:r>
        <w:rPr>
          <w:rStyle w:val="25"/>
          <w:rFonts w:hint="eastAsia" w:hAnsi="宋体"/>
          <w:color w:val="auto"/>
          <w:kern w:val="0"/>
          <w:sz w:val="21"/>
          <w:szCs w:val="21"/>
          <w:highlight w:val="none"/>
        </w:rPr>
        <w:t xml:space="preserve">    本人</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（姓名）系</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（投标人名称）的法定代表人，现委托</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（姓名）为我方代理人。代理人根据授权，以我方名义签署、澄清、说明、补正、递交、撤回、修改</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（工程名称）投标文件、签订合同和处理有关事宜，其法律后果由我方承担。</w:t>
      </w:r>
    </w:p>
    <w:p>
      <w:pPr>
        <w:snapToGrid w:val="0"/>
        <w:spacing w:line="440" w:lineRule="exact"/>
        <w:ind w:firstLine="420" w:firstLineChars="200"/>
        <w:rPr>
          <w:rStyle w:val="25"/>
          <w:rFonts w:hint="eastAsia" w:hAnsi="宋体"/>
          <w:color w:val="auto"/>
          <w:kern w:val="0"/>
          <w:sz w:val="21"/>
          <w:szCs w:val="21"/>
          <w:highlight w:val="none"/>
        </w:rPr>
      </w:pPr>
      <w:r>
        <w:rPr>
          <w:rStyle w:val="25"/>
          <w:rFonts w:hint="eastAsia" w:hAnsi="宋体"/>
          <w:color w:val="auto"/>
          <w:kern w:val="0"/>
          <w:sz w:val="21"/>
          <w:szCs w:val="21"/>
          <w:highlight w:val="none"/>
        </w:rPr>
        <w:t>委托期限：</w:t>
      </w:r>
      <w:r>
        <w:rPr>
          <w:rFonts w:hint="eastAsia" w:hAnsi="宋体"/>
          <w:snapToGrid w:val="0"/>
          <w:color w:val="auto"/>
          <w:kern w:val="0"/>
          <w:sz w:val="21"/>
          <w:szCs w:val="21"/>
          <w:highlight w:val="none"/>
          <w:u w:val="single"/>
        </w:rPr>
        <w:t>至投标有效期的期满之日止</w:t>
      </w:r>
      <w:r>
        <w:rPr>
          <w:rStyle w:val="25"/>
          <w:rFonts w:hint="eastAsia" w:hAnsi="宋体"/>
          <w:color w:val="auto"/>
          <w:kern w:val="0"/>
          <w:sz w:val="21"/>
          <w:szCs w:val="21"/>
          <w:highlight w:val="none"/>
        </w:rPr>
        <w:t>。</w:t>
      </w:r>
    </w:p>
    <w:p>
      <w:pPr>
        <w:snapToGrid w:val="0"/>
        <w:spacing w:line="440" w:lineRule="exact"/>
        <w:rPr>
          <w:rStyle w:val="25"/>
          <w:rFonts w:hint="eastAsia" w:hAnsi="宋体"/>
          <w:color w:val="auto"/>
          <w:kern w:val="0"/>
          <w:sz w:val="21"/>
          <w:szCs w:val="21"/>
          <w:highlight w:val="none"/>
        </w:rPr>
      </w:pPr>
      <w:r>
        <w:rPr>
          <w:rStyle w:val="25"/>
          <w:rFonts w:hint="eastAsia" w:hAnsi="宋体"/>
          <w:color w:val="auto"/>
          <w:kern w:val="0"/>
          <w:sz w:val="21"/>
          <w:szCs w:val="21"/>
          <w:highlight w:val="none"/>
        </w:rPr>
        <w:t xml:space="preserve">    代理人无转委托权。</w:t>
      </w:r>
    </w:p>
    <w:p>
      <w:pPr>
        <w:snapToGrid w:val="0"/>
        <w:spacing w:line="440" w:lineRule="exact"/>
        <w:ind w:firstLine="420" w:firstLineChars="200"/>
        <w:rPr>
          <w:rStyle w:val="25"/>
          <w:rFonts w:hint="eastAsia" w:hAnsi="宋体"/>
          <w:color w:val="auto"/>
          <w:kern w:val="0"/>
          <w:sz w:val="21"/>
          <w:szCs w:val="21"/>
          <w:highlight w:val="none"/>
        </w:rPr>
      </w:pPr>
    </w:p>
    <w:p>
      <w:pPr>
        <w:snapToGrid w:val="0"/>
        <w:spacing w:line="440" w:lineRule="exact"/>
        <w:ind w:firstLine="420" w:firstLineChars="200"/>
        <w:rPr>
          <w:rStyle w:val="25"/>
          <w:rFonts w:hint="eastAsia" w:hAnsi="宋体"/>
          <w:color w:val="auto"/>
          <w:kern w:val="0"/>
          <w:sz w:val="21"/>
          <w:szCs w:val="21"/>
          <w:highlight w:val="none"/>
        </w:rPr>
      </w:pPr>
    </w:p>
    <w:p>
      <w:pPr>
        <w:snapToGrid w:val="0"/>
        <w:spacing w:line="440" w:lineRule="exact"/>
        <w:ind w:firstLine="420" w:firstLineChars="200"/>
        <w:rPr>
          <w:rStyle w:val="25"/>
          <w:rFonts w:hint="eastAsia" w:hAnsi="宋体"/>
          <w:color w:val="auto"/>
          <w:kern w:val="0"/>
          <w:sz w:val="21"/>
          <w:szCs w:val="21"/>
          <w:highlight w:val="none"/>
        </w:rPr>
      </w:pPr>
    </w:p>
    <w:p>
      <w:pPr>
        <w:snapToGrid w:val="0"/>
        <w:spacing w:line="440" w:lineRule="exact"/>
        <w:ind w:firstLine="420" w:firstLineChars="200"/>
        <w:rPr>
          <w:rStyle w:val="25"/>
          <w:rFonts w:hint="eastAsia" w:hAnsi="宋体"/>
          <w:color w:val="auto"/>
          <w:kern w:val="0"/>
          <w:sz w:val="21"/>
          <w:szCs w:val="21"/>
          <w:highlight w:val="none"/>
        </w:rPr>
      </w:pPr>
      <w:r>
        <w:rPr>
          <w:rStyle w:val="25"/>
          <w:rFonts w:hint="eastAsia" w:hAnsi="宋体"/>
          <w:color w:val="auto"/>
          <w:kern w:val="0"/>
          <w:sz w:val="21"/>
          <w:szCs w:val="21"/>
          <w:highlight w:val="none"/>
        </w:rPr>
        <w:t>　　　　　　　　　　投  标  人：</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（盖单位章）</w:t>
      </w:r>
    </w:p>
    <w:p>
      <w:pPr>
        <w:snapToGrid w:val="0"/>
        <w:spacing w:line="440" w:lineRule="exact"/>
        <w:ind w:firstLine="420" w:firstLineChars="200"/>
        <w:rPr>
          <w:rStyle w:val="25"/>
          <w:rFonts w:hint="eastAsia" w:hAnsi="宋体"/>
          <w:color w:val="auto"/>
          <w:kern w:val="0"/>
          <w:sz w:val="21"/>
          <w:szCs w:val="21"/>
          <w:highlight w:val="none"/>
        </w:rPr>
      </w:pPr>
      <w:r>
        <w:rPr>
          <w:rStyle w:val="25"/>
          <w:rFonts w:hint="eastAsia" w:hAnsi="宋体"/>
          <w:color w:val="auto"/>
          <w:kern w:val="0"/>
          <w:sz w:val="21"/>
          <w:szCs w:val="21"/>
          <w:highlight w:val="none"/>
        </w:rPr>
        <w:t>　　　　　　　　　　　　　　　　　</w:t>
      </w:r>
    </w:p>
    <w:p>
      <w:pPr>
        <w:snapToGrid w:val="0"/>
        <w:spacing w:line="440" w:lineRule="exact"/>
        <w:ind w:firstLine="420" w:firstLineChars="200"/>
        <w:rPr>
          <w:rStyle w:val="25"/>
          <w:rFonts w:hint="eastAsia" w:hAnsi="宋体"/>
          <w:color w:val="auto"/>
          <w:kern w:val="0"/>
          <w:sz w:val="21"/>
          <w:szCs w:val="21"/>
          <w:highlight w:val="none"/>
        </w:rPr>
      </w:pPr>
    </w:p>
    <w:p>
      <w:pPr>
        <w:snapToGrid w:val="0"/>
        <w:spacing w:line="440" w:lineRule="exact"/>
        <w:ind w:firstLine="420" w:firstLineChars="200"/>
        <w:rPr>
          <w:rStyle w:val="25"/>
          <w:rFonts w:hint="eastAsia" w:hAnsi="宋体"/>
          <w:color w:val="auto"/>
          <w:kern w:val="0"/>
          <w:sz w:val="21"/>
          <w:szCs w:val="21"/>
          <w:highlight w:val="none"/>
        </w:rPr>
      </w:pPr>
      <w:r>
        <w:rPr>
          <w:rStyle w:val="25"/>
          <w:rFonts w:hint="eastAsia" w:hAnsi="宋体"/>
          <w:color w:val="auto"/>
          <w:kern w:val="0"/>
          <w:sz w:val="21"/>
          <w:szCs w:val="21"/>
          <w:highlight w:val="none"/>
        </w:rPr>
        <w:t>　　　　　　　　　法定代表人：</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（签字或盖章）</w:t>
      </w:r>
    </w:p>
    <w:p>
      <w:pPr>
        <w:snapToGrid w:val="0"/>
        <w:spacing w:line="440" w:lineRule="exact"/>
        <w:ind w:firstLine="420" w:firstLineChars="200"/>
        <w:rPr>
          <w:rStyle w:val="25"/>
          <w:rFonts w:hint="eastAsia" w:hAnsi="宋体"/>
          <w:color w:val="auto"/>
          <w:kern w:val="0"/>
          <w:sz w:val="21"/>
          <w:szCs w:val="21"/>
          <w:highlight w:val="none"/>
        </w:rPr>
      </w:pPr>
    </w:p>
    <w:p>
      <w:pPr>
        <w:snapToGrid w:val="0"/>
        <w:spacing w:line="440" w:lineRule="exact"/>
        <w:ind w:left="2370" w:leftChars="200" w:hanging="1890" w:hangingChars="900"/>
        <w:rPr>
          <w:rStyle w:val="25"/>
          <w:rFonts w:hint="eastAsia" w:hAnsi="宋体"/>
          <w:color w:val="auto"/>
          <w:kern w:val="0"/>
          <w:sz w:val="21"/>
          <w:szCs w:val="21"/>
          <w:highlight w:val="none"/>
        </w:rPr>
      </w:pPr>
      <w:r>
        <w:rPr>
          <w:rStyle w:val="25"/>
          <w:rFonts w:hint="eastAsia" w:hAnsi="宋体"/>
          <w:color w:val="auto"/>
          <w:kern w:val="0"/>
          <w:sz w:val="21"/>
          <w:szCs w:val="21"/>
          <w:highlight w:val="none"/>
        </w:rPr>
        <w:t>　　　　　　　　　　　　　　　　　　　　　　　　　　　　　　　　　　　　 　　　　　　　　　　 委托代理人：</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（签字或盖章）</w:t>
      </w:r>
    </w:p>
    <w:p>
      <w:pPr>
        <w:snapToGrid w:val="0"/>
        <w:spacing w:line="440" w:lineRule="exact"/>
        <w:ind w:firstLine="420" w:firstLineChars="200"/>
        <w:rPr>
          <w:rStyle w:val="25"/>
          <w:rFonts w:hint="eastAsia" w:hAnsi="宋体"/>
          <w:color w:val="auto"/>
          <w:kern w:val="0"/>
          <w:sz w:val="21"/>
          <w:szCs w:val="21"/>
          <w:highlight w:val="none"/>
        </w:rPr>
      </w:pPr>
      <w:r>
        <w:rPr>
          <w:rStyle w:val="25"/>
          <w:rFonts w:hint="eastAsia" w:hAnsi="宋体"/>
          <w:color w:val="auto"/>
          <w:kern w:val="0"/>
          <w:sz w:val="21"/>
          <w:szCs w:val="21"/>
          <w:highlight w:val="none"/>
        </w:rPr>
        <w:t>　　　　　　　　　　　　　　　　　　　　　　　　　　　　　　　　　　</w:t>
      </w:r>
    </w:p>
    <w:p>
      <w:pPr>
        <w:snapToGrid w:val="0"/>
        <w:spacing w:line="440" w:lineRule="exact"/>
        <w:ind w:firstLine="420" w:firstLineChars="200"/>
        <w:rPr>
          <w:rStyle w:val="25"/>
          <w:rFonts w:hint="eastAsia" w:hAnsi="宋体"/>
          <w:color w:val="auto"/>
          <w:kern w:val="0"/>
          <w:sz w:val="21"/>
          <w:szCs w:val="21"/>
          <w:highlight w:val="none"/>
        </w:rPr>
      </w:pPr>
      <w:r>
        <w:rPr>
          <w:rStyle w:val="25"/>
          <w:rFonts w:hint="eastAsia" w:hAnsi="宋体"/>
          <w:color w:val="auto"/>
          <w:kern w:val="0"/>
          <w:sz w:val="21"/>
          <w:szCs w:val="21"/>
          <w:highlight w:val="none"/>
        </w:rPr>
        <w:t>　　　　　　　　　　　　　 　　</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年</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月</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日</w:t>
      </w:r>
    </w:p>
    <w:p>
      <w:pPr>
        <w:snapToGrid w:val="0"/>
        <w:spacing w:line="440" w:lineRule="exact"/>
        <w:ind w:firstLine="480" w:firstLineChars="200"/>
        <w:rPr>
          <w:rStyle w:val="25"/>
          <w:rFonts w:hint="eastAsia" w:hAnsi="宋体"/>
          <w:color w:val="auto"/>
          <w:kern w:val="0"/>
          <w:highlight w:val="none"/>
        </w:rPr>
      </w:pPr>
    </w:p>
    <w:p>
      <w:pPr>
        <w:snapToGrid w:val="0"/>
        <w:spacing w:line="440" w:lineRule="exact"/>
        <w:ind w:firstLine="5520" w:firstLineChars="2300"/>
        <w:rPr>
          <w:rStyle w:val="25"/>
          <w:rFonts w:hint="eastAsia" w:hAnsi="宋体"/>
          <w:color w:val="auto"/>
          <w:kern w:val="0"/>
          <w:highlight w:val="none"/>
        </w:rPr>
      </w:pPr>
      <w:r>
        <w:rPr>
          <w:rFonts w:hint="eastAsia" w:hAnsi="宋体"/>
          <w:color w:val="auto"/>
          <w:highlight w:val="none"/>
        </w:rPr>
        <mc:AlternateContent>
          <mc:Choice Requires="wps">
            <w:drawing>
              <wp:anchor distT="0" distB="0" distL="114300" distR="114300" simplePos="0" relativeHeight="251659264" behindDoc="0" locked="0" layoutInCell="1" hidden="true" allowOverlap="1">
                <wp:simplePos x="0" y="0"/>
                <wp:positionH relativeFrom="column">
                  <wp:posOffset>0</wp:posOffset>
                </wp:positionH>
                <wp:positionV relativeFrom="paragraph">
                  <wp:posOffset>0</wp:posOffset>
                </wp:positionV>
                <wp:extent cx="635000" cy="635000"/>
                <wp:effectExtent l="0" t="0" r="0" b="0"/>
                <wp:wrapNone/>
                <wp:docPr id="4" name="流程图: 可选过程 4" hidden="true"/>
                <wp:cNvGraphicFramePr/>
                <a:graphic xmlns:a="http://schemas.openxmlformats.org/drawingml/2006/main">
                  <a:graphicData uri="http://schemas.microsoft.com/office/word/2010/wordprocessingShape">
                    <wps:wsp>
                      <wps:cNvSpPr/>
                      <wps:spPr>
                        <a:xfrm>
                          <a:off x="0" y="0"/>
                          <a:ext cx="635000" cy="6350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cs="Times New Roman"/>
                              </w:rPr>
                            </w:pPr>
                          </w:p>
                        </w:txbxContent>
                      </wps:txbx>
                      <wps:bodyPr upright="true"/>
                    </wps:wsp>
                  </a:graphicData>
                </a:graphic>
              </wp:anchor>
            </w:drawing>
          </mc:Choice>
          <mc:Fallback>
            <w:pict>
              <v:shape id="_x0000_s1026" o:spid="_x0000_s1026" o:spt="176" type="#_x0000_t176" style="position:absolute;left:0pt;margin-left:0pt;margin-top:0pt;height:50pt;width:50pt;visibility:hidden;z-index:251659264;mso-width-relative:page;mso-height-relative:page;" fillcolor="#FFFFFF" filled="t" stroked="t" coordsize="21600,21600" o:gfxdata="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xtk8&#10;wtEAAAAFAQAADwAAAAAAAAABACAAAAA4AAAAZHJzL2Rvd25yZXYueG1sUEsBAhQAFAAAAAgAh07i&#10;QDWdRZoTAgAAEQQAAA4AAAAAAAAAAQAgAAAANgEAAGRycy9lMm9Eb2MueG1sUEsFBgAAAAAGAAYA&#10;WQEAALsFAAAAAA==&#10;">
                <v:fill on="t" focussize="0,0"/>
                <v:stroke color="#000000" joinstyle="miter"/>
                <v:imagedata o:title=""/>
                <o:lock v:ext="edit" aspectratio="f"/>
                <v:textbox>
                  <w:txbxContent>
                    <w:p>
                      <w:pPr>
                        <w:rPr>
                          <w:rFonts w:cs="Times New Roman"/>
                        </w:rPr>
                      </w:pPr>
                    </w:p>
                  </w:txbxContent>
                </v:textbox>
              </v:shape>
            </w:pict>
          </mc:Fallback>
        </mc:AlternateContent>
      </w:r>
      <w:r>
        <w:rPr>
          <w:rFonts w:hint="eastAsia"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Style w:val="25"/>
                                <w:rFonts w:cs="Times New Roman"/>
                              </w:rPr>
                            </w:pPr>
                          </w:p>
                          <w:p>
                            <w:pPr>
                              <w:jc w:val="center"/>
                              <w:rPr>
                                <w:rStyle w:val="25"/>
                                <w:rFonts w:cs="Times New Roman"/>
                              </w:rPr>
                            </w:pPr>
                          </w:p>
                          <w:p>
                            <w:pPr>
                              <w:jc w:val="center"/>
                              <w:rPr>
                                <w:rStyle w:val="25"/>
                                <w:rFonts w:cs="Times New Roman"/>
                              </w:rPr>
                            </w:pPr>
                          </w:p>
                          <w:p>
                            <w:pPr>
                              <w:jc w:val="center"/>
                              <w:rPr>
                                <w:rStyle w:val="25"/>
                                <w:rFonts w:cs="Times New Roman"/>
                                <w:sz w:val="21"/>
                                <w:szCs w:val="21"/>
                              </w:rPr>
                            </w:pPr>
                            <w:r>
                              <w:rPr>
                                <w:rStyle w:val="25"/>
                                <w:rFonts w:hint="eastAsia"/>
                                <w:sz w:val="21"/>
                                <w:szCs w:val="21"/>
                              </w:rPr>
                              <w:t>委托代理人身份证复印件正、反面</w:t>
                            </w:r>
                          </w:p>
                          <w:p>
                            <w:pPr>
                              <w:rPr>
                                <w:rStyle w:val="25"/>
                                <w:rFonts w:cs="Times New Roman"/>
                              </w:rPr>
                            </w:pPr>
                          </w:p>
                        </w:txbxContent>
                      </wps:txbx>
                      <wps:bodyPr upright="true"/>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BYAAABkcnMvUEsBAhQAFAAAAAgAh07i&#10;QGsn06zYAAAACQEAAA8AAAAAAAAAAQAgAAAAOAAAAGRycy9kb3ducmV2LnhtbFBLAQIUABQAAAAI&#10;AIdO4kB6zx9TEAIAAAUEAAAOAAAAAAAAAAEAIAAAAD0BAABkcnMvZTJvRG9jLnhtbFBLBQYAAAAA&#10;BgAGAFkBAAC/BQAAAAA=&#10;">
                <v:fill on="t" focussize="0,0"/>
                <v:stroke color="#000000" joinstyle="miter"/>
                <v:imagedata o:title=""/>
                <o:lock v:ext="edit" aspectratio="f"/>
                <v:textbox>
                  <w:txbxContent>
                    <w:p>
                      <w:pPr>
                        <w:jc w:val="center"/>
                        <w:rPr>
                          <w:rStyle w:val="25"/>
                          <w:rFonts w:cs="Times New Roman"/>
                        </w:rPr>
                      </w:pPr>
                    </w:p>
                    <w:p>
                      <w:pPr>
                        <w:jc w:val="center"/>
                        <w:rPr>
                          <w:rStyle w:val="25"/>
                          <w:rFonts w:cs="Times New Roman"/>
                        </w:rPr>
                      </w:pPr>
                    </w:p>
                    <w:p>
                      <w:pPr>
                        <w:jc w:val="center"/>
                        <w:rPr>
                          <w:rStyle w:val="25"/>
                          <w:rFonts w:cs="Times New Roman"/>
                        </w:rPr>
                      </w:pPr>
                    </w:p>
                    <w:p>
                      <w:pPr>
                        <w:jc w:val="center"/>
                        <w:rPr>
                          <w:rStyle w:val="25"/>
                          <w:rFonts w:cs="Times New Roman"/>
                          <w:sz w:val="21"/>
                          <w:szCs w:val="21"/>
                        </w:rPr>
                      </w:pPr>
                      <w:r>
                        <w:rPr>
                          <w:rStyle w:val="25"/>
                          <w:rFonts w:hint="eastAsia"/>
                          <w:sz w:val="21"/>
                          <w:szCs w:val="21"/>
                        </w:rPr>
                        <w:t>委托代理人身份证复印件正、反面</w:t>
                      </w:r>
                    </w:p>
                    <w:p>
                      <w:pPr>
                        <w:rPr>
                          <w:rStyle w:val="25"/>
                          <w:rFonts w:cs="Times New Roman"/>
                        </w:rPr>
                      </w:pPr>
                    </w:p>
                  </w:txbxContent>
                </v:textbox>
              </v:shape>
            </w:pict>
          </mc:Fallback>
        </mc:AlternateContent>
      </w:r>
    </w:p>
    <w:p>
      <w:pPr>
        <w:pStyle w:val="51"/>
        <w:snapToGrid w:val="0"/>
        <w:spacing w:line="440" w:lineRule="exact"/>
        <w:rPr>
          <w:rStyle w:val="25"/>
          <w:rFonts w:hint="eastAsia" w:hAnsi="宋体"/>
          <w:color w:val="auto"/>
          <w:kern w:val="0"/>
          <w:highlight w:val="none"/>
        </w:rPr>
      </w:pPr>
    </w:p>
    <w:p>
      <w:pPr>
        <w:pStyle w:val="45"/>
        <w:snapToGrid w:val="0"/>
        <w:spacing w:line="440" w:lineRule="exact"/>
        <w:rPr>
          <w:rStyle w:val="25"/>
          <w:rFonts w:hint="eastAsia" w:hAnsi="宋体"/>
          <w:color w:val="auto"/>
          <w:highlight w:val="none"/>
        </w:rPr>
      </w:pPr>
    </w:p>
    <w:p>
      <w:pPr>
        <w:pStyle w:val="46"/>
        <w:snapToGrid w:val="0"/>
        <w:spacing w:line="440" w:lineRule="exact"/>
        <w:rPr>
          <w:rStyle w:val="25"/>
          <w:rFonts w:hint="eastAsia" w:hAnsi="宋体"/>
          <w:color w:val="auto"/>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568" w:name="_Toc31675"/>
      <w:bookmarkStart w:id="569" w:name="_Toc9414"/>
      <w:bookmarkStart w:id="570" w:name="_Toc10813"/>
      <w:bookmarkStart w:id="571" w:name="_Toc2417"/>
      <w:bookmarkStart w:id="572" w:name="_Toc19982"/>
      <w:bookmarkStart w:id="573" w:name="_Toc2433"/>
      <w:bookmarkStart w:id="574" w:name="_Toc25505"/>
      <w:bookmarkStart w:id="575" w:name="_Toc1326"/>
      <w:bookmarkStart w:id="576" w:name="_Toc18342"/>
      <w:bookmarkStart w:id="577" w:name="_Toc11066"/>
      <w:bookmarkStart w:id="578" w:name="_Toc4433"/>
      <w:bookmarkStart w:id="579" w:name="_Toc31156"/>
      <w:bookmarkStart w:id="580" w:name="_Toc3305"/>
      <w:bookmarkStart w:id="581" w:name="_Toc17587"/>
      <w:r>
        <w:rPr>
          <w:rStyle w:val="25"/>
          <w:rFonts w:hint="eastAsia" w:ascii="Times New Roman" w:hAnsi="宋体" w:eastAsia="宋体" w:cs="Times New Roman"/>
          <w:b/>
          <w:bCs/>
          <w:color w:val="auto"/>
          <w:sz w:val="24"/>
          <w:szCs w:val="24"/>
          <w:highlight w:val="none"/>
        </w:rPr>
        <w:t>格式</w:t>
      </w:r>
      <w:r>
        <w:rPr>
          <w:rStyle w:val="25"/>
          <w:rFonts w:hint="eastAsia" w:ascii="Times New Roman" w:hAnsi="宋体" w:eastAsia="宋体" w:cs="Times New Roman"/>
          <w:b/>
          <w:bCs/>
          <w:color w:val="auto"/>
          <w:sz w:val="24"/>
          <w:szCs w:val="24"/>
          <w:highlight w:val="none"/>
          <w:lang w:eastAsia="zh-CN"/>
        </w:rPr>
        <w:t>五</w:t>
      </w:r>
      <w:r>
        <w:rPr>
          <w:rStyle w:val="25"/>
          <w:rFonts w:hint="eastAsia" w:ascii="Times New Roman" w:hAnsi="宋体" w:eastAsia="宋体" w:cs="Times New Roman"/>
          <w:b/>
          <w:bCs/>
          <w:color w:val="auto"/>
          <w:sz w:val="24"/>
          <w:szCs w:val="24"/>
          <w:highlight w:val="none"/>
        </w:rPr>
        <w:t xml:space="preserve"> 法定代表人身份证明</w:t>
      </w:r>
      <w:bookmarkEnd w:id="568"/>
      <w:bookmarkEnd w:id="569"/>
      <w:bookmarkEnd w:id="570"/>
    </w:p>
    <w:p>
      <w:pPr>
        <w:snapToGrid w:val="0"/>
        <w:spacing w:line="440" w:lineRule="exact"/>
        <w:rPr>
          <w:rStyle w:val="25"/>
          <w:rFonts w:hint="eastAsia" w:hAnsi="宋体"/>
          <w:b/>
          <w:bCs/>
          <w:color w:val="auto"/>
          <w:kern w:val="0"/>
          <w:highlight w:val="none"/>
        </w:rPr>
      </w:pPr>
    </w:p>
    <w:p>
      <w:pPr>
        <w:snapToGrid w:val="0"/>
        <w:spacing w:before="260" w:after="260" w:line="440" w:lineRule="exact"/>
        <w:jc w:val="center"/>
        <w:rPr>
          <w:rStyle w:val="25"/>
          <w:rFonts w:hint="eastAsia" w:hAnsi="宋体"/>
          <w:b/>
          <w:bCs/>
          <w:color w:val="auto"/>
          <w:kern w:val="0"/>
          <w:sz w:val="24"/>
          <w:szCs w:val="24"/>
          <w:highlight w:val="none"/>
        </w:rPr>
      </w:pPr>
      <w:r>
        <w:rPr>
          <w:rStyle w:val="25"/>
          <w:rFonts w:hint="eastAsia" w:hAnsi="宋体"/>
          <w:b/>
          <w:bCs/>
          <w:color w:val="auto"/>
          <w:kern w:val="0"/>
          <w:sz w:val="24"/>
          <w:szCs w:val="24"/>
          <w:highlight w:val="none"/>
        </w:rPr>
        <w:t>法定代表人身份证明</w:t>
      </w:r>
    </w:p>
    <w:p>
      <w:pPr>
        <w:snapToGrid w:val="0"/>
        <w:spacing w:line="440" w:lineRule="exact"/>
        <w:rPr>
          <w:rStyle w:val="25"/>
          <w:rFonts w:hint="eastAsia" w:hAnsi="宋体"/>
          <w:color w:val="auto"/>
          <w:kern w:val="0"/>
          <w:highlight w:val="none"/>
        </w:rPr>
      </w:pPr>
    </w:p>
    <w:p>
      <w:pPr>
        <w:snapToGrid w:val="0"/>
        <w:spacing w:line="440" w:lineRule="exact"/>
        <w:ind w:firstLine="420" w:firstLineChars="200"/>
        <w:rPr>
          <w:rStyle w:val="25"/>
          <w:rFonts w:hint="eastAsia" w:hAnsi="宋体"/>
          <w:color w:val="auto"/>
          <w:kern w:val="0"/>
          <w:sz w:val="21"/>
          <w:szCs w:val="21"/>
          <w:highlight w:val="none"/>
          <w:u w:val="single"/>
        </w:rPr>
      </w:pPr>
      <w:r>
        <w:rPr>
          <w:rStyle w:val="25"/>
          <w:rFonts w:hint="eastAsia" w:hAnsi="宋体"/>
          <w:color w:val="auto"/>
          <w:kern w:val="0"/>
          <w:sz w:val="21"/>
          <w:szCs w:val="21"/>
          <w:highlight w:val="none"/>
        </w:rPr>
        <w:t>投标人名称：</w:t>
      </w:r>
      <w:r>
        <w:rPr>
          <w:rStyle w:val="25"/>
          <w:rFonts w:hint="eastAsia" w:hAnsi="宋体"/>
          <w:color w:val="auto"/>
          <w:kern w:val="0"/>
          <w:sz w:val="21"/>
          <w:szCs w:val="21"/>
          <w:highlight w:val="none"/>
          <w:u w:val="single"/>
        </w:rPr>
        <w:t xml:space="preserve">                  </w:t>
      </w:r>
    </w:p>
    <w:p>
      <w:pPr>
        <w:snapToGrid w:val="0"/>
        <w:spacing w:line="440" w:lineRule="exact"/>
        <w:ind w:firstLine="420" w:firstLineChars="200"/>
        <w:rPr>
          <w:rStyle w:val="25"/>
          <w:rFonts w:hint="eastAsia" w:hAnsi="宋体"/>
          <w:color w:val="auto"/>
          <w:kern w:val="0"/>
          <w:sz w:val="21"/>
          <w:szCs w:val="21"/>
          <w:highlight w:val="none"/>
          <w:u w:val="single"/>
        </w:rPr>
      </w:pPr>
      <w:r>
        <w:rPr>
          <w:rStyle w:val="25"/>
          <w:rFonts w:hint="eastAsia" w:hAnsi="宋体"/>
          <w:color w:val="auto"/>
          <w:kern w:val="0"/>
          <w:sz w:val="21"/>
          <w:szCs w:val="21"/>
          <w:highlight w:val="none"/>
        </w:rPr>
        <w:t>姓名：</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性别：</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年龄：</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职务：</w:t>
      </w:r>
      <w:r>
        <w:rPr>
          <w:rStyle w:val="25"/>
          <w:rFonts w:hint="eastAsia" w:hAnsi="宋体"/>
          <w:color w:val="auto"/>
          <w:kern w:val="0"/>
          <w:sz w:val="21"/>
          <w:szCs w:val="21"/>
          <w:highlight w:val="none"/>
          <w:u w:val="single"/>
        </w:rPr>
        <w:t xml:space="preserve">           </w:t>
      </w:r>
    </w:p>
    <w:p>
      <w:pPr>
        <w:snapToGrid w:val="0"/>
        <w:spacing w:line="440" w:lineRule="exact"/>
        <w:ind w:firstLine="420" w:firstLineChars="200"/>
        <w:rPr>
          <w:rStyle w:val="25"/>
          <w:rFonts w:hint="eastAsia" w:hAnsi="宋体"/>
          <w:color w:val="auto"/>
          <w:kern w:val="0"/>
          <w:sz w:val="21"/>
          <w:szCs w:val="21"/>
          <w:highlight w:val="none"/>
        </w:rPr>
      </w:pPr>
      <w:r>
        <w:rPr>
          <w:rStyle w:val="25"/>
          <w:rFonts w:hint="eastAsia" w:hAnsi="宋体"/>
          <w:color w:val="auto"/>
          <w:kern w:val="0"/>
          <w:sz w:val="21"/>
          <w:szCs w:val="21"/>
          <w:highlight w:val="none"/>
        </w:rPr>
        <w:t>系</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（投标人名称）的法定代表人。</w:t>
      </w:r>
    </w:p>
    <w:p>
      <w:pPr>
        <w:snapToGrid w:val="0"/>
        <w:spacing w:line="440" w:lineRule="exact"/>
        <w:rPr>
          <w:rStyle w:val="25"/>
          <w:rFonts w:hint="eastAsia" w:hAnsi="宋体"/>
          <w:color w:val="auto"/>
          <w:kern w:val="0"/>
          <w:sz w:val="21"/>
          <w:szCs w:val="21"/>
          <w:highlight w:val="none"/>
        </w:rPr>
      </w:pPr>
      <w:r>
        <w:rPr>
          <w:rStyle w:val="25"/>
          <w:rFonts w:hint="eastAsia" w:hAnsi="宋体"/>
          <w:color w:val="auto"/>
          <w:kern w:val="0"/>
          <w:sz w:val="21"/>
          <w:szCs w:val="21"/>
          <w:highlight w:val="none"/>
        </w:rPr>
        <w:t xml:space="preserve">    特此证明。</w:t>
      </w:r>
    </w:p>
    <w:p>
      <w:pPr>
        <w:snapToGrid w:val="0"/>
        <w:spacing w:line="440" w:lineRule="exact"/>
        <w:rPr>
          <w:rStyle w:val="25"/>
          <w:rFonts w:hint="eastAsia" w:hAnsi="宋体"/>
          <w:color w:val="auto"/>
          <w:kern w:val="0"/>
          <w:sz w:val="21"/>
          <w:szCs w:val="21"/>
          <w:highlight w:val="none"/>
        </w:rPr>
      </w:pPr>
    </w:p>
    <w:p>
      <w:pPr>
        <w:snapToGrid w:val="0"/>
        <w:spacing w:line="440" w:lineRule="exact"/>
        <w:rPr>
          <w:rStyle w:val="25"/>
          <w:rFonts w:hint="eastAsia" w:hAnsi="宋体"/>
          <w:color w:val="auto"/>
          <w:kern w:val="0"/>
          <w:sz w:val="21"/>
          <w:szCs w:val="21"/>
          <w:highlight w:val="none"/>
        </w:rPr>
      </w:pPr>
    </w:p>
    <w:p>
      <w:pPr>
        <w:snapToGrid w:val="0"/>
        <w:spacing w:line="440" w:lineRule="exact"/>
        <w:jc w:val="right"/>
        <w:rPr>
          <w:rStyle w:val="25"/>
          <w:rFonts w:hint="eastAsia" w:hAnsi="宋体"/>
          <w:color w:val="auto"/>
          <w:kern w:val="0"/>
          <w:sz w:val="21"/>
          <w:szCs w:val="21"/>
          <w:highlight w:val="none"/>
        </w:rPr>
      </w:pPr>
      <w:r>
        <w:rPr>
          <w:rStyle w:val="25"/>
          <w:rFonts w:hint="eastAsia" w:hAnsi="宋体"/>
          <w:color w:val="auto"/>
          <w:kern w:val="0"/>
          <w:sz w:val="21"/>
          <w:szCs w:val="21"/>
          <w:highlight w:val="none"/>
        </w:rPr>
        <w:t>投标人：</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（盖单位章）</w:t>
      </w:r>
    </w:p>
    <w:p>
      <w:pPr>
        <w:snapToGrid w:val="0"/>
        <w:spacing w:line="440" w:lineRule="exact"/>
        <w:jc w:val="right"/>
        <w:rPr>
          <w:rStyle w:val="25"/>
          <w:rFonts w:hint="eastAsia" w:hAnsi="宋体"/>
          <w:color w:val="auto"/>
          <w:kern w:val="0"/>
          <w:sz w:val="21"/>
          <w:szCs w:val="21"/>
          <w:highlight w:val="none"/>
        </w:rPr>
      </w:pPr>
    </w:p>
    <w:p>
      <w:pPr>
        <w:snapToGrid w:val="0"/>
        <w:spacing w:line="440" w:lineRule="exact"/>
        <w:jc w:val="right"/>
        <w:rPr>
          <w:rStyle w:val="25"/>
          <w:rFonts w:hint="eastAsia" w:hAnsi="宋体"/>
          <w:color w:val="auto"/>
          <w:kern w:val="0"/>
          <w:sz w:val="21"/>
          <w:szCs w:val="21"/>
          <w:highlight w:val="none"/>
        </w:rPr>
      </w:pPr>
    </w:p>
    <w:p>
      <w:pPr>
        <w:snapToGrid w:val="0"/>
        <w:spacing w:line="440" w:lineRule="exact"/>
        <w:jc w:val="right"/>
        <w:rPr>
          <w:rStyle w:val="25"/>
          <w:rFonts w:hint="eastAsia" w:hAnsi="宋体"/>
          <w:color w:val="auto"/>
          <w:kern w:val="0"/>
          <w:sz w:val="21"/>
          <w:szCs w:val="21"/>
          <w:highlight w:val="none"/>
        </w:rPr>
      </w:pPr>
      <w:r>
        <w:rPr>
          <w:rStyle w:val="25"/>
          <w:rFonts w:hint="eastAsia" w:hAnsi="宋体"/>
          <w:color w:val="auto"/>
          <w:kern w:val="0"/>
          <w:sz w:val="21"/>
          <w:szCs w:val="21"/>
          <w:highlight w:val="none"/>
        </w:rPr>
        <w:t xml:space="preserve">                        法定代表人：</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（签字或盖章）</w:t>
      </w:r>
    </w:p>
    <w:p>
      <w:pPr>
        <w:snapToGrid w:val="0"/>
        <w:spacing w:line="440" w:lineRule="exact"/>
        <w:jc w:val="center"/>
        <w:rPr>
          <w:rStyle w:val="25"/>
          <w:rFonts w:hint="eastAsia" w:hAnsi="宋体"/>
          <w:color w:val="auto"/>
          <w:kern w:val="0"/>
          <w:sz w:val="21"/>
          <w:szCs w:val="21"/>
          <w:highlight w:val="none"/>
        </w:rPr>
      </w:pPr>
      <w:r>
        <w:rPr>
          <w:rStyle w:val="25"/>
          <w:rFonts w:hint="eastAsia" w:hAnsi="宋体"/>
          <w:color w:val="auto"/>
          <w:kern w:val="0"/>
          <w:sz w:val="21"/>
          <w:szCs w:val="21"/>
          <w:highlight w:val="none"/>
        </w:rPr>
        <w:t xml:space="preserve">                        </w:t>
      </w:r>
    </w:p>
    <w:p>
      <w:pPr>
        <w:snapToGrid w:val="0"/>
        <w:spacing w:line="440" w:lineRule="exact"/>
        <w:jc w:val="right"/>
        <w:rPr>
          <w:rStyle w:val="25"/>
          <w:rFonts w:hint="eastAsia" w:hAnsi="宋体"/>
          <w:color w:val="auto"/>
          <w:kern w:val="0"/>
          <w:sz w:val="21"/>
          <w:szCs w:val="21"/>
          <w:highlight w:val="none"/>
        </w:rPr>
      </w:pPr>
      <w:r>
        <w:rPr>
          <w:rStyle w:val="25"/>
          <w:rFonts w:hint="eastAsia" w:hAnsi="宋体"/>
          <w:color w:val="auto"/>
          <w:kern w:val="0"/>
          <w:sz w:val="21"/>
          <w:szCs w:val="21"/>
          <w:highlight w:val="none"/>
        </w:rPr>
        <w:t xml:space="preserve">                            </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年</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月</w:t>
      </w:r>
      <w:r>
        <w:rPr>
          <w:rStyle w:val="25"/>
          <w:rFonts w:hint="eastAsia" w:hAnsi="宋体"/>
          <w:color w:val="auto"/>
          <w:kern w:val="0"/>
          <w:sz w:val="21"/>
          <w:szCs w:val="21"/>
          <w:highlight w:val="none"/>
          <w:u w:val="single"/>
        </w:rPr>
        <w:t xml:space="preserve">      </w:t>
      </w:r>
      <w:r>
        <w:rPr>
          <w:rStyle w:val="25"/>
          <w:rFonts w:hint="eastAsia" w:hAnsi="宋体"/>
          <w:color w:val="auto"/>
          <w:kern w:val="0"/>
          <w:sz w:val="21"/>
          <w:szCs w:val="21"/>
          <w:highlight w:val="none"/>
        </w:rPr>
        <w:t xml:space="preserve">日       </w:t>
      </w:r>
    </w:p>
    <w:p>
      <w:pPr>
        <w:snapToGrid w:val="0"/>
        <w:spacing w:line="440" w:lineRule="exact"/>
        <w:ind w:firstLine="210" w:firstLineChars="100"/>
        <w:rPr>
          <w:rStyle w:val="25"/>
          <w:rFonts w:hint="eastAsia" w:hAnsi="宋体"/>
          <w:color w:val="auto"/>
          <w:kern w:val="0"/>
          <w:sz w:val="21"/>
          <w:szCs w:val="21"/>
          <w:highlight w:val="none"/>
        </w:rPr>
      </w:pPr>
      <w:r>
        <w:rPr>
          <w:rStyle w:val="25"/>
          <w:rFonts w:hint="eastAsia" w:hAnsi="宋体"/>
          <w:color w:val="auto"/>
          <w:kern w:val="0"/>
          <w:sz w:val="21"/>
          <w:szCs w:val="21"/>
          <w:highlight w:val="none"/>
        </w:rPr>
        <w:t xml:space="preserve">     </w:t>
      </w:r>
    </w:p>
    <w:p>
      <w:pPr>
        <w:snapToGrid w:val="0"/>
        <w:spacing w:line="440" w:lineRule="exact"/>
        <w:ind w:firstLine="630" w:firstLineChars="300"/>
        <w:rPr>
          <w:rStyle w:val="25"/>
          <w:rFonts w:hint="eastAsia" w:hAnsi="宋体"/>
          <w:i/>
          <w:iCs/>
          <w:color w:val="auto"/>
          <w:kern w:val="0"/>
          <w:sz w:val="21"/>
          <w:szCs w:val="21"/>
          <w:highlight w:val="none"/>
        </w:rPr>
      </w:pPr>
      <w:r>
        <w:rPr>
          <w:rStyle w:val="25"/>
          <w:rFonts w:hint="eastAsia" w:hAnsi="宋体"/>
          <w:color w:val="auto"/>
          <w:kern w:val="0"/>
          <w:sz w:val="21"/>
          <w:szCs w:val="21"/>
          <w:highlight w:val="none"/>
        </w:rPr>
        <w:t xml:space="preserve">  </w:t>
      </w:r>
      <w:r>
        <w:rPr>
          <w:rStyle w:val="25"/>
          <w:rFonts w:hint="eastAsia" w:hAnsi="宋体"/>
          <w:i/>
          <w:iCs/>
          <w:color w:val="auto"/>
          <w:kern w:val="0"/>
          <w:sz w:val="21"/>
          <w:szCs w:val="21"/>
          <w:highlight w:val="none"/>
        </w:rPr>
        <w:t xml:space="preserve"> </w:t>
      </w:r>
    </w:p>
    <w:p>
      <w:pPr>
        <w:snapToGrid w:val="0"/>
        <w:spacing w:line="440" w:lineRule="exact"/>
        <w:ind w:firstLine="720" w:firstLineChars="300"/>
        <w:rPr>
          <w:rStyle w:val="25"/>
          <w:rFonts w:hint="eastAsia" w:hAnsi="宋体"/>
          <w:i/>
          <w:iCs/>
          <w:color w:val="auto"/>
          <w:kern w:val="0"/>
          <w:highlight w:val="none"/>
        </w:rPr>
      </w:pPr>
    </w:p>
    <w:p>
      <w:pPr>
        <w:snapToGrid w:val="0"/>
        <w:spacing w:line="440" w:lineRule="exact"/>
        <w:ind w:firstLine="720" w:firstLineChars="300"/>
        <w:rPr>
          <w:rStyle w:val="25"/>
          <w:rFonts w:hint="eastAsia" w:hAnsi="宋体"/>
          <w:i/>
          <w:iCs/>
          <w:color w:val="auto"/>
          <w:kern w:val="0"/>
          <w:highlight w:val="none"/>
        </w:rPr>
      </w:pPr>
    </w:p>
    <w:p>
      <w:pPr>
        <w:snapToGrid w:val="0"/>
        <w:spacing w:line="440" w:lineRule="exact"/>
        <w:rPr>
          <w:rStyle w:val="25"/>
          <w:rFonts w:hint="eastAsia" w:hAnsi="宋体"/>
          <w:b/>
          <w:bCs/>
          <w:color w:val="auto"/>
          <w:kern w:val="0"/>
          <w:highlight w:val="none"/>
        </w:rPr>
      </w:pPr>
      <w:r>
        <w:rPr>
          <w:rFonts w:hint="eastAsia" w:hAnsi="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15240" b="11430"/>
                <wp:wrapNone/>
                <wp:docPr id="5" name="流程图: 可选过程 5"/>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Style w:val="25"/>
                                <w:rFonts w:cs="Times New Roman"/>
                              </w:rPr>
                            </w:pPr>
                          </w:p>
                          <w:p>
                            <w:pPr>
                              <w:jc w:val="center"/>
                              <w:rPr>
                                <w:rStyle w:val="25"/>
                                <w:rFonts w:cs="Times New Roman"/>
                              </w:rPr>
                            </w:pPr>
                          </w:p>
                          <w:p>
                            <w:pPr>
                              <w:jc w:val="center"/>
                              <w:rPr>
                                <w:rStyle w:val="25"/>
                                <w:rFonts w:cs="Times New Roman"/>
                              </w:rPr>
                            </w:pPr>
                          </w:p>
                          <w:p>
                            <w:pPr>
                              <w:jc w:val="center"/>
                              <w:rPr>
                                <w:rStyle w:val="25"/>
                                <w:rFonts w:cs="Times New Roman"/>
                              </w:rPr>
                            </w:pPr>
                            <w:r>
                              <w:rPr>
                                <w:rStyle w:val="25"/>
                                <w:rFonts w:hint="eastAsia"/>
                              </w:rPr>
                              <w:t>法定代表人身份证复印件正、反面</w:t>
                            </w:r>
                          </w:p>
                          <w:p>
                            <w:pPr>
                              <w:rPr>
                                <w:rStyle w:val="25"/>
                                <w:rFonts w:cs="Times New Roman"/>
                              </w:rPr>
                            </w:pPr>
                          </w:p>
                        </w:txbxContent>
                      </wps:txbx>
                      <wps:bodyPr upright="true"/>
                    </wps:wsp>
                  </a:graphicData>
                </a:graphic>
              </wp:anchor>
            </w:drawing>
          </mc:Choice>
          <mc:Fallback>
            <w:pict>
              <v:shape id="_x0000_s1026" o:spid="_x0000_s1026" o:spt="176" type="#_x0000_t176" style="position:absolute;left:0pt;margin-left:127.5pt;margin-top:1.6pt;height:124.75pt;width:222.45pt;z-index:251661312;mso-width-relative:page;mso-height-relative:page;" fillcolor="#FFFFFF" filled="t" stroked="t" coordsize="21600,21600" o:gfxdata="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AeFdSm2AAAAAkBAAAPAAAAAAAAAAEAIAAAADgAAABkcnMvZG93bnJldi54bWxQSwECFAAUAAAA&#10;CACHTuJAMwZvOBECAAAFBAAADgAAAAAAAAABACAAAAA9AQAAZHJzL2Uyb0RvYy54bWxQSwUGAAAA&#10;AAYABgBZAQAAwAUAAAAA&#10;">
                <v:fill on="t" focussize="0,0"/>
                <v:stroke color="#000000" joinstyle="miter"/>
                <v:imagedata o:title=""/>
                <o:lock v:ext="edit" aspectratio="f"/>
                <v:textbox>
                  <w:txbxContent>
                    <w:p>
                      <w:pPr>
                        <w:jc w:val="center"/>
                        <w:rPr>
                          <w:rStyle w:val="25"/>
                          <w:rFonts w:cs="Times New Roman"/>
                        </w:rPr>
                      </w:pPr>
                    </w:p>
                    <w:p>
                      <w:pPr>
                        <w:jc w:val="center"/>
                        <w:rPr>
                          <w:rStyle w:val="25"/>
                          <w:rFonts w:cs="Times New Roman"/>
                        </w:rPr>
                      </w:pPr>
                    </w:p>
                    <w:p>
                      <w:pPr>
                        <w:jc w:val="center"/>
                        <w:rPr>
                          <w:rStyle w:val="25"/>
                          <w:rFonts w:cs="Times New Roman"/>
                        </w:rPr>
                      </w:pPr>
                    </w:p>
                    <w:p>
                      <w:pPr>
                        <w:jc w:val="center"/>
                        <w:rPr>
                          <w:rStyle w:val="25"/>
                          <w:rFonts w:cs="Times New Roman"/>
                        </w:rPr>
                      </w:pPr>
                      <w:r>
                        <w:rPr>
                          <w:rStyle w:val="25"/>
                          <w:rFonts w:hint="eastAsia"/>
                        </w:rPr>
                        <w:t>法定代表人身份证复印件正、反面</w:t>
                      </w:r>
                    </w:p>
                    <w:p>
                      <w:pPr>
                        <w:rPr>
                          <w:rStyle w:val="25"/>
                          <w:rFonts w:cs="Times New Roman"/>
                        </w:rPr>
                      </w:pPr>
                    </w:p>
                  </w:txbxContent>
                </v:textbox>
              </v:shape>
            </w:pict>
          </mc:Fallback>
        </mc:AlternateContent>
      </w:r>
    </w:p>
    <w:p>
      <w:pPr>
        <w:tabs>
          <w:tab w:val="left" w:pos="654"/>
          <w:tab w:val="left" w:pos="1734"/>
          <w:tab w:val="left" w:pos="2814"/>
          <w:tab w:val="left" w:pos="3894"/>
          <w:tab w:val="left" w:pos="5334"/>
          <w:tab w:val="left" w:pos="6414"/>
          <w:tab w:val="left" w:pos="7254"/>
          <w:tab w:val="left" w:pos="8574"/>
          <w:tab w:val="left" w:pos="9654"/>
        </w:tabs>
        <w:snapToGrid w:val="0"/>
        <w:spacing w:line="440" w:lineRule="exact"/>
        <w:rPr>
          <w:rStyle w:val="25"/>
          <w:rFonts w:hint="eastAsia" w:hAnsi="宋体"/>
          <w:color w:val="auto"/>
          <w:kern w:val="0"/>
          <w:sz w:val="28"/>
          <w:szCs w:val="28"/>
          <w:highlight w:val="none"/>
        </w:rPr>
      </w:pPr>
    </w:p>
    <w:p>
      <w:pPr>
        <w:snapToGrid w:val="0"/>
        <w:spacing w:line="440" w:lineRule="exact"/>
        <w:jc w:val="center"/>
        <w:rPr>
          <w:rStyle w:val="25"/>
          <w:rFonts w:hint="eastAsia" w:hAnsi="宋体"/>
          <w:b/>
          <w:bCs/>
          <w:color w:val="auto"/>
          <w:kern w:val="0"/>
          <w:sz w:val="28"/>
          <w:szCs w:val="28"/>
          <w:highlight w:val="none"/>
        </w:rPr>
      </w:pPr>
    </w:p>
    <w:p>
      <w:pPr>
        <w:snapToGrid w:val="0"/>
        <w:spacing w:line="440" w:lineRule="exact"/>
        <w:jc w:val="center"/>
        <w:rPr>
          <w:rStyle w:val="25"/>
          <w:rFonts w:hint="eastAsia" w:hAnsi="宋体"/>
          <w:b/>
          <w:bCs/>
          <w:color w:val="auto"/>
          <w:kern w:val="0"/>
          <w:sz w:val="28"/>
          <w:szCs w:val="28"/>
          <w:highlight w:val="none"/>
        </w:rPr>
      </w:pPr>
    </w:p>
    <w:p>
      <w:pPr>
        <w:snapToGrid w:val="0"/>
        <w:spacing w:line="440" w:lineRule="exact"/>
        <w:jc w:val="center"/>
        <w:rPr>
          <w:rStyle w:val="25"/>
          <w:rFonts w:hint="eastAsia" w:hAnsi="宋体"/>
          <w:b/>
          <w:bCs/>
          <w:color w:val="auto"/>
          <w:kern w:val="0"/>
          <w:sz w:val="28"/>
          <w:szCs w:val="28"/>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pPr>
        <w:pStyle w:val="46"/>
        <w:snapToGrid w:val="0"/>
        <w:spacing w:line="440" w:lineRule="exact"/>
        <w:outlineLvl w:val="1"/>
        <w:rPr>
          <w:rStyle w:val="25"/>
          <w:rFonts w:hint="default" w:ascii="Times New Roman" w:hAnsi="宋体" w:eastAsia="宋体" w:cs="Times New Roman"/>
          <w:b/>
          <w:bCs/>
          <w:color w:val="auto"/>
          <w:sz w:val="24"/>
          <w:szCs w:val="24"/>
          <w:highlight w:val="none"/>
          <w:lang w:val="en-US" w:eastAsia="zh-CN"/>
        </w:rPr>
      </w:pPr>
      <w:bookmarkStart w:id="582" w:name="_Toc14643"/>
      <w:bookmarkStart w:id="583" w:name="_Toc27081"/>
      <w:bookmarkStart w:id="584" w:name="_Toc25930"/>
      <w:r>
        <w:rPr>
          <w:rStyle w:val="25"/>
          <w:rFonts w:hint="eastAsia" w:ascii="Times New Roman" w:hAnsi="宋体" w:eastAsia="宋体" w:cs="Times New Roman"/>
          <w:b/>
          <w:bCs/>
          <w:color w:val="auto"/>
          <w:sz w:val="24"/>
          <w:szCs w:val="24"/>
          <w:highlight w:val="none"/>
        </w:rPr>
        <w:t>格式</w:t>
      </w:r>
      <w:r>
        <w:rPr>
          <w:rStyle w:val="25"/>
          <w:rFonts w:hint="eastAsia" w:ascii="Times New Roman" w:hAnsi="宋体" w:eastAsia="宋体" w:cs="Times New Roman"/>
          <w:b/>
          <w:bCs/>
          <w:color w:val="auto"/>
          <w:sz w:val="24"/>
          <w:szCs w:val="24"/>
          <w:highlight w:val="none"/>
          <w:lang w:eastAsia="zh-CN"/>
        </w:rPr>
        <w:t>六</w:t>
      </w:r>
      <w:r>
        <w:rPr>
          <w:rStyle w:val="25"/>
          <w:rFonts w:hint="eastAsia" w:ascii="Times New Roman" w:hAnsi="宋体" w:eastAsia="宋体" w:cs="Times New Roman"/>
          <w:b/>
          <w:bCs/>
          <w:color w:val="auto"/>
          <w:sz w:val="24"/>
          <w:szCs w:val="24"/>
          <w:highlight w:val="none"/>
        </w:rPr>
        <w:t xml:space="preserve"> </w:t>
      </w:r>
      <w:bookmarkEnd w:id="571"/>
      <w:bookmarkEnd w:id="572"/>
      <w:bookmarkEnd w:id="573"/>
      <w:bookmarkEnd w:id="574"/>
      <w:bookmarkEnd w:id="575"/>
      <w:bookmarkEnd w:id="576"/>
      <w:bookmarkEnd w:id="577"/>
      <w:bookmarkEnd w:id="578"/>
      <w:bookmarkEnd w:id="579"/>
      <w:bookmarkEnd w:id="580"/>
      <w:bookmarkEnd w:id="581"/>
      <w:r>
        <w:rPr>
          <w:rStyle w:val="25"/>
          <w:rFonts w:hint="eastAsia" w:ascii="Times New Roman" w:hAnsi="宋体" w:eastAsia="宋体" w:cs="Times New Roman"/>
          <w:b/>
          <w:bCs/>
          <w:color w:val="auto"/>
          <w:sz w:val="24"/>
          <w:szCs w:val="24"/>
          <w:highlight w:val="none"/>
        </w:rPr>
        <w:t>联合体协议书</w:t>
      </w:r>
      <w:bookmarkEnd w:id="582"/>
      <w:bookmarkEnd w:id="583"/>
      <w:bookmarkEnd w:id="584"/>
      <w:r>
        <w:rPr>
          <w:rStyle w:val="25"/>
          <w:rFonts w:hint="eastAsia" w:ascii="Times New Roman" w:hAnsi="宋体" w:eastAsia="宋体" w:cs="Times New Roman"/>
          <w:b/>
          <w:bCs/>
          <w:color w:val="auto"/>
          <w:sz w:val="24"/>
          <w:szCs w:val="24"/>
          <w:highlight w:val="none"/>
          <w:lang w:val="en-US" w:eastAsia="zh-CN"/>
        </w:rPr>
        <w:t xml:space="preserve"> </w:t>
      </w:r>
    </w:p>
    <w:p>
      <w:pPr>
        <w:pStyle w:val="37"/>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1"/>
          <w:highlight w:val="none"/>
        </w:rPr>
      </w:pPr>
      <w:bookmarkStart w:id="585" w:name="_Toc2633"/>
      <w:bookmarkStart w:id="586" w:name="_Toc31837"/>
      <w:bookmarkStart w:id="587" w:name="_Toc18314"/>
      <w:bookmarkStart w:id="588" w:name="_Toc32195"/>
      <w:r>
        <w:rPr>
          <w:rFonts w:hint="eastAsia" w:ascii="宋体" w:hAnsi="宋体" w:eastAsia="宋体" w:cs="宋体"/>
          <w:b/>
          <w:snapToGrid w:val="0"/>
          <w:color w:val="auto"/>
          <w:sz w:val="24"/>
          <w:szCs w:val="24"/>
          <w:highlight w:val="none"/>
        </w:rPr>
        <w:t>联合体协议书</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牵头人名称：</w:t>
      </w:r>
      <w:r>
        <w:rPr>
          <w:rFonts w:hint="eastAsia" w:ascii="宋体" w:hAnsi="宋体" w:eastAsia="宋体" w:cs="宋体"/>
          <w:snapToGrid w:val="0"/>
          <w:color w:val="auto"/>
          <w:sz w:val="21"/>
          <w:szCs w:val="21"/>
          <w:highlight w:val="none"/>
          <w:u w:val="single"/>
        </w:rPr>
        <w:t xml:space="preserve">                                                  </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成员二名称：</w:t>
      </w:r>
      <w:r>
        <w:rPr>
          <w:rFonts w:hint="eastAsia" w:ascii="宋体" w:hAnsi="宋体" w:eastAsia="宋体" w:cs="宋体"/>
          <w:snapToGrid w:val="0"/>
          <w:color w:val="auto"/>
          <w:sz w:val="21"/>
          <w:szCs w:val="21"/>
          <w:highlight w:val="none"/>
          <w:u w:val="single"/>
        </w:rPr>
        <w:t xml:space="preserve">                                                  </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上述各成员单位经过友好协商，自愿组成联合体，共同参加</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（项目名称）（以下简称“本项目”）的施工投标并争取赢得本项目施工承包合同（以下简称合同）。现就联合体投标事宜订立如下协议：</w:t>
      </w:r>
    </w:p>
    <w:p>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1．</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（某成员单位名称）为联合体牵头人。</w:t>
      </w:r>
    </w:p>
    <w:p>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4．联合体各成员单位内部的职责分工如下：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。按照本条上述分工，联合体成员单位各自所承担的合同工作量比例如下：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w:t>
      </w:r>
    </w:p>
    <w:p>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5．投标工作和联合体在中标后工程实施过程中的有关费用按各自承担的工作量分摊。</w:t>
      </w:r>
    </w:p>
    <w:p>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6．联合体中标后，本联合体协议是合同的附件，对联合体各成员单位有合同约束力。</w:t>
      </w:r>
    </w:p>
    <w:p>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7．本协议书自签署之日起生效，联合体未中标或者中标时合同履行完毕后自动失效。</w:t>
      </w:r>
    </w:p>
    <w:p>
      <w:pPr>
        <w:pStyle w:val="37"/>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8．本协议书一式</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份，联合体成员和招标人各执一份。</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牵头人名称：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w:t>
      </w:r>
    </w:p>
    <w:p>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成员二名称：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pPr>
        <w:pStyle w:val="37"/>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w:t>
      </w:r>
    </w:p>
    <w:p>
      <w:pPr>
        <w:pStyle w:val="37"/>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pPr>
        <w:pStyle w:val="37"/>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年</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月</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日</w:t>
      </w:r>
    </w:p>
    <w:p>
      <w:pPr>
        <w:pStyle w:val="37"/>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p>
    <w:p>
      <w:pPr>
        <w:pStyle w:val="37"/>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1"/>
          <w:szCs w:val="21"/>
          <w:highlight w:val="none"/>
        </w:rPr>
        <w:t>说明：《联合体协议书》由委托代理人签字或盖章的，应附法定代表人签字或盖章的授权委托书。</w:t>
      </w:r>
    </w:p>
    <w:p>
      <w:pPr>
        <w:pStyle w:val="37"/>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440" w:right="1080" w:bottom="1440" w:left="1080" w:header="850" w:footer="544" w:gutter="0"/>
          <w:pgBorders>
            <w:top w:val="none" w:sz="0" w:space="0"/>
            <w:left w:val="none" w:sz="0" w:space="0"/>
            <w:bottom w:val="none" w:sz="0" w:space="0"/>
            <w:right w:val="none" w:sz="0" w:space="0"/>
          </w:pgBorders>
          <w:pgNumType w:fmt="decimal"/>
          <w:cols w:space="720" w:num="1"/>
          <w:rtlGutter w:val="0"/>
          <w:docGrid w:linePitch="327" w:charSpace="0"/>
        </w:sect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589" w:name="_Toc15973"/>
      <w:bookmarkStart w:id="590" w:name="_Toc6145"/>
      <w:bookmarkStart w:id="591" w:name="_Toc18643"/>
      <w:bookmarkStart w:id="592" w:name="_Toc5097"/>
      <w:bookmarkStart w:id="593" w:name="_Toc1116"/>
      <w:bookmarkStart w:id="594" w:name="_Toc21818"/>
      <w:bookmarkStart w:id="595" w:name="_Toc15472"/>
      <w:bookmarkStart w:id="596" w:name="_Toc16429"/>
      <w:bookmarkStart w:id="597" w:name="_Toc5313"/>
      <w:bookmarkStart w:id="598" w:name="_Toc28054"/>
      <w:r>
        <w:rPr>
          <w:rStyle w:val="25"/>
          <w:rFonts w:hint="eastAsia" w:ascii="Times New Roman" w:hAnsi="宋体" w:eastAsia="宋体" w:cs="Times New Roman"/>
          <w:b/>
          <w:bCs/>
          <w:color w:val="auto"/>
          <w:sz w:val="24"/>
          <w:szCs w:val="24"/>
          <w:highlight w:val="none"/>
        </w:rPr>
        <w:t>格式</w:t>
      </w:r>
      <w:r>
        <w:rPr>
          <w:rStyle w:val="25"/>
          <w:rFonts w:hint="eastAsia" w:ascii="Times New Roman" w:hAnsi="宋体" w:eastAsia="宋体" w:cs="Times New Roman"/>
          <w:b/>
          <w:bCs/>
          <w:color w:val="auto"/>
          <w:sz w:val="24"/>
          <w:szCs w:val="24"/>
          <w:highlight w:val="none"/>
          <w:lang w:val="en-US" w:eastAsia="zh-CN"/>
        </w:rPr>
        <w:t>七</w:t>
      </w:r>
      <w:r>
        <w:rPr>
          <w:rStyle w:val="25"/>
          <w:rFonts w:hint="eastAsia" w:ascii="Times New Roman" w:hAnsi="宋体" w:eastAsia="宋体" w:cs="Times New Roman"/>
          <w:b/>
          <w:bCs/>
          <w:color w:val="auto"/>
          <w:sz w:val="24"/>
          <w:szCs w:val="24"/>
          <w:highlight w:val="none"/>
        </w:rPr>
        <w:t xml:space="preserve"> 投标人基本情况表</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bidi w:val="0"/>
        <w:spacing w:line="440" w:lineRule="exact"/>
        <w:jc w:val="center"/>
        <w:rPr>
          <w:rFonts w:hint="eastAsia"/>
          <w:b/>
          <w:bCs/>
          <w:color w:val="auto"/>
          <w:highlight w:val="none"/>
        </w:rPr>
      </w:pPr>
      <w:r>
        <w:rPr>
          <w:rFonts w:hint="eastAsia"/>
          <w:b/>
          <w:bCs/>
          <w:color w:val="auto"/>
          <w:highlight w:val="none"/>
        </w:rPr>
        <w:t>投标人基本情况表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969"/>
        <w:gridCol w:w="1826"/>
        <w:gridCol w:w="870"/>
        <w:gridCol w:w="307"/>
        <w:gridCol w:w="1040"/>
        <w:gridCol w:w="278"/>
        <w:gridCol w:w="766"/>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投标人名称</w:t>
            </w:r>
          </w:p>
        </w:tc>
        <w:tc>
          <w:tcPr>
            <w:tcW w:w="7594" w:type="dxa"/>
            <w:gridSpan w:val="8"/>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注册地址</w:t>
            </w:r>
          </w:p>
        </w:tc>
        <w:tc>
          <w:tcPr>
            <w:tcW w:w="3665" w:type="dxa"/>
            <w:gridSpan w:val="3"/>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邮政编码</w:t>
            </w:r>
          </w:p>
        </w:tc>
        <w:tc>
          <w:tcPr>
            <w:tcW w:w="2582" w:type="dxa"/>
            <w:gridSpan w:val="3"/>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1605" w:type="dxa"/>
            <w:vMerge w:val="restart"/>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联系方式</w:t>
            </w:r>
          </w:p>
        </w:tc>
        <w:tc>
          <w:tcPr>
            <w:tcW w:w="969"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w:t>
            </w:r>
          </w:p>
        </w:tc>
        <w:tc>
          <w:tcPr>
            <w:tcW w:w="2696"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  话</w:t>
            </w:r>
          </w:p>
        </w:tc>
        <w:tc>
          <w:tcPr>
            <w:tcW w:w="2582" w:type="dxa"/>
            <w:gridSpan w:val="3"/>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605" w:type="dxa"/>
            <w:vMerge w:val="continue"/>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69"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传  真</w:t>
            </w:r>
          </w:p>
        </w:tc>
        <w:tc>
          <w:tcPr>
            <w:tcW w:w="2696"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电子邮箱</w:t>
            </w:r>
          </w:p>
        </w:tc>
        <w:tc>
          <w:tcPr>
            <w:tcW w:w="2582" w:type="dxa"/>
            <w:gridSpan w:val="3"/>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单位性质</w:t>
            </w:r>
          </w:p>
        </w:tc>
        <w:tc>
          <w:tcPr>
            <w:tcW w:w="7594" w:type="dxa"/>
            <w:gridSpan w:val="8"/>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法定代表人</w:t>
            </w:r>
          </w:p>
        </w:tc>
        <w:tc>
          <w:tcPr>
            <w:tcW w:w="969"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1826"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技术职称</w:t>
            </w:r>
          </w:p>
        </w:tc>
        <w:tc>
          <w:tcPr>
            <w:tcW w:w="1318"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766"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电话</w:t>
            </w:r>
          </w:p>
        </w:tc>
        <w:tc>
          <w:tcPr>
            <w:tcW w:w="1538"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成立时间</w:t>
            </w:r>
          </w:p>
        </w:tc>
        <w:tc>
          <w:tcPr>
            <w:tcW w:w="2795"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4799" w:type="dxa"/>
            <w:gridSpan w:val="6"/>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员工总人数（个）：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企业资质</w:t>
            </w:r>
          </w:p>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类型和等级</w:t>
            </w:r>
          </w:p>
        </w:tc>
        <w:tc>
          <w:tcPr>
            <w:tcW w:w="2795"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restart"/>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其中</w:t>
            </w:r>
          </w:p>
        </w:tc>
        <w:tc>
          <w:tcPr>
            <w:tcW w:w="2084" w:type="dxa"/>
            <w:gridSpan w:val="3"/>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538"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营业执照号</w:t>
            </w:r>
          </w:p>
        </w:tc>
        <w:tc>
          <w:tcPr>
            <w:tcW w:w="2795"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高级职称人员</w:t>
            </w:r>
          </w:p>
        </w:tc>
        <w:tc>
          <w:tcPr>
            <w:tcW w:w="1538"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注册资金</w:t>
            </w:r>
          </w:p>
        </w:tc>
        <w:tc>
          <w:tcPr>
            <w:tcW w:w="2795"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中级职称人员</w:t>
            </w:r>
          </w:p>
        </w:tc>
        <w:tc>
          <w:tcPr>
            <w:tcW w:w="1538"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开户银行</w:t>
            </w:r>
          </w:p>
        </w:tc>
        <w:tc>
          <w:tcPr>
            <w:tcW w:w="2795"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初级职称人员</w:t>
            </w:r>
          </w:p>
        </w:tc>
        <w:tc>
          <w:tcPr>
            <w:tcW w:w="1538"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银行账号</w:t>
            </w:r>
          </w:p>
        </w:tc>
        <w:tc>
          <w:tcPr>
            <w:tcW w:w="2795" w:type="dxa"/>
            <w:gridSpan w:val="2"/>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技术员</w:t>
            </w:r>
          </w:p>
        </w:tc>
        <w:tc>
          <w:tcPr>
            <w:tcW w:w="1538"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经营范围</w:t>
            </w:r>
          </w:p>
        </w:tc>
        <w:tc>
          <w:tcPr>
            <w:tcW w:w="7594" w:type="dxa"/>
            <w:gridSpan w:val="8"/>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left"/>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关联企业情况</w:t>
            </w:r>
          </w:p>
        </w:tc>
        <w:tc>
          <w:tcPr>
            <w:tcW w:w="7594" w:type="dxa"/>
            <w:gridSpan w:val="8"/>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包括但不限于与投标人存在以下关系的不同单位：</w:t>
            </w:r>
          </w:p>
          <w:p>
            <w:pPr>
              <w:pStyle w:val="52"/>
              <w:keepNext w:val="0"/>
              <w:keepLines w:val="0"/>
              <w:suppressLineNumbers w:val="0"/>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1．法定代表人为同一人的。</w:t>
            </w:r>
          </w:p>
          <w:p>
            <w:pPr>
              <w:pStyle w:val="52"/>
              <w:keepNext w:val="0"/>
              <w:keepLines w:val="0"/>
              <w:suppressLineNumbers w:val="0"/>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2．存在控股、管理关系的。</w:t>
            </w:r>
          </w:p>
          <w:p>
            <w:pPr>
              <w:pStyle w:val="52"/>
              <w:keepNext w:val="0"/>
              <w:keepLines w:val="0"/>
              <w:suppressLineNumbers w:val="0"/>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3．主要人员相互任职的。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605" w:type="dxa"/>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c>
          <w:tcPr>
            <w:tcW w:w="7594" w:type="dxa"/>
            <w:gridSpan w:val="8"/>
            <w:noWrap w:val="0"/>
            <w:vAlign w:val="center"/>
          </w:tcPr>
          <w:p>
            <w:pPr>
              <w:pStyle w:val="52"/>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bl>
    <w:p>
      <w:pPr>
        <w:pStyle w:val="52"/>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w:t>
      </w:r>
    </w:p>
    <w:p>
      <w:pPr>
        <w:pStyle w:val="52"/>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1．《投标人基本情况表》后应附以下资料：</w:t>
      </w:r>
    </w:p>
    <w:p>
      <w:pPr>
        <w:pStyle w:val="52"/>
        <w:wordWrap w:val="0"/>
        <w:adjustRightInd w:val="0"/>
        <w:snapToGrid w:val="0"/>
        <w:spacing w:line="44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（1）企业营业执照、资质证书、安全生产许可证的证书彩色扫描件；</w:t>
      </w:r>
      <w:r>
        <w:rPr>
          <w:rFonts w:hint="eastAsia" w:ascii="宋体" w:hAnsi="宋体" w:eastAsia="宋体" w:cs="宋体"/>
          <w:b/>
          <w:bCs/>
          <w:snapToGrid w:val="0"/>
          <w:color w:val="auto"/>
          <w:kern w:val="0"/>
          <w:sz w:val="21"/>
          <w:szCs w:val="21"/>
          <w:highlight w:val="none"/>
        </w:rPr>
        <w:t>（因推行电子证照，企业的营业执照、资质证书等可以提供电子证照。为实时掌握项目投标单位的是否具备企业安全生产条件，企业的安全生 产许可证需提供企业实时网页查询页，实时查询页的打印时间应在项目招标公告发布之日起至开标前。企业的安全生产许可证实时网页查询路径：登录“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w:t>
      </w:r>
      <w:r>
        <w:rPr>
          <w:rFonts w:hint="eastAsia" w:ascii="宋体" w:hAnsi="宋体" w:eastAsia="宋体" w:cs="宋体"/>
          <w:b/>
          <w:bCs/>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rPr>
        <w:t>//zlaq.mohurd.gov.cn，进入后点击“安全生产许可证信息”，输入企业名称和统一社会信用代码即可查询。如中标后，投标单位安全生产许可证发生被暂扣情形，需双方另行协商）</w:t>
      </w:r>
      <w:r>
        <w:rPr>
          <w:rFonts w:hint="eastAsia" w:ascii="宋体" w:hAnsi="宋体" w:eastAsia="宋体" w:cs="宋体"/>
          <w:snapToGrid w:val="0"/>
          <w:color w:val="auto"/>
          <w:kern w:val="0"/>
          <w:sz w:val="21"/>
          <w:szCs w:val="21"/>
          <w:highlight w:val="none"/>
          <w:lang w:eastAsia="zh-CN"/>
        </w:rPr>
        <w:t>；</w:t>
      </w:r>
    </w:p>
    <w:p>
      <w:pPr>
        <w:pStyle w:val="52"/>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（2）“进粤企业和人员诚信信息登记平台”企业信息情况。（适用于省外建筑企业）；</w:t>
      </w:r>
    </w:p>
    <w:p>
      <w:pPr>
        <w:pStyle w:val="52"/>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（3）《法人和非法人组织公共信用信息报告》（在“信用中国”网站企业查询界面中下载）。</w:t>
      </w:r>
    </w:p>
    <w:p>
      <w:pPr>
        <w:pStyle w:val="52"/>
        <w:wordWrap w:val="0"/>
        <w:adjustRightInd w:val="0"/>
        <w:snapToGrid w:val="0"/>
        <w:spacing w:line="440" w:lineRule="exact"/>
        <w:ind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2"/>
          <w:szCs w:val="28"/>
          <w:highlight w:val="none"/>
        </w:rPr>
        <w:t xml:space="preserve"> </w:t>
      </w:r>
      <w:r>
        <w:rPr>
          <w:rFonts w:hint="eastAsia" w:ascii="宋体" w:hAnsi="宋体" w:eastAsia="宋体" w:cs="宋体"/>
          <w:snapToGrid w:val="0"/>
          <w:color w:val="auto"/>
          <w:kern w:val="0"/>
          <w:sz w:val="22"/>
          <w:szCs w:val="22"/>
          <w:highlight w:val="none"/>
        </w:rPr>
        <w:t>2．联合体投标的，联合体成员单位均应填写《投标人基本情况表》并提供以上所需资料。</w:t>
      </w: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599" w:name="_Toc11202"/>
      <w:bookmarkStart w:id="600" w:name="_Toc1272"/>
      <w:bookmarkStart w:id="601" w:name="_Toc739"/>
      <w:bookmarkStart w:id="602" w:name="_Toc18827"/>
      <w:r>
        <w:rPr>
          <w:rStyle w:val="25"/>
          <w:rFonts w:hint="eastAsia" w:ascii="Times New Roman" w:hAnsi="宋体" w:eastAsia="宋体" w:cs="Times New Roman"/>
          <w:b/>
          <w:bCs/>
          <w:color w:val="auto"/>
          <w:sz w:val="24"/>
          <w:szCs w:val="24"/>
          <w:highlight w:val="none"/>
        </w:rPr>
        <w:t>格式</w:t>
      </w:r>
      <w:r>
        <w:rPr>
          <w:rStyle w:val="25"/>
          <w:rFonts w:hint="eastAsia" w:ascii="Times New Roman" w:hAnsi="宋体" w:eastAsia="宋体" w:cs="Times New Roman"/>
          <w:b/>
          <w:bCs/>
          <w:color w:val="auto"/>
          <w:sz w:val="24"/>
          <w:szCs w:val="24"/>
          <w:highlight w:val="none"/>
          <w:lang w:val="en-US" w:eastAsia="zh-CN"/>
        </w:rPr>
        <w:t>八</w:t>
      </w:r>
      <w:r>
        <w:rPr>
          <w:rStyle w:val="25"/>
          <w:rFonts w:hint="eastAsia" w:ascii="Times New Roman" w:hAnsi="宋体" w:eastAsia="宋体" w:cs="Times New Roman"/>
          <w:b/>
          <w:bCs/>
          <w:color w:val="auto"/>
          <w:sz w:val="24"/>
          <w:szCs w:val="24"/>
          <w:highlight w:val="none"/>
        </w:rPr>
        <w:t xml:space="preserve"> 项目经理简历表</w:t>
      </w:r>
      <w:bookmarkEnd w:id="599"/>
      <w:bookmarkEnd w:id="600"/>
      <w:bookmarkEnd w:id="601"/>
      <w:bookmarkEnd w:id="602"/>
    </w:p>
    <w:p>
      <w:pPr>
        <w:spacing w:line="440" w:lineRule="exact"/>
        <w:rPr>
          <w:rFonts w:hint="eastAsia" w:ascii="宋体" w:hAnsi="宋体" w:eastAsia="宋体" w:cs="宋体"/>
          <w:color w:val="auto"/>
          <w:highlight w:val="none"/>
        </w:rPr>
      </w:pPr>
    </w:p>
    <w:tbl>
      <w:tblPr>
        <w:tblStyle w:val="2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bl>
    <w:p>
      <w:pPr>
        <w:wordWrap w:val="0"/>
        <w:adjustRightInd w:val="0"/>
        <w:snapToGrid w:val="0"/>
        <w:spacing w:line="440" w:lineRule="exact"/>
        <w:jc w:val="center"/>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项目经理简历表</w:t>
      </w:r>
    </w:p>
    <w:p>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p>
    <w:p>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p>
    <w:p>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说明：《项目经理简历表》后应附拟派项目经理以下资料：</w:t>
      </w:r>
    </w:p>
    <w:p>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 xml:space="preserve">   2．建造师电子注册证书（在使用有效期内的有效电子证书）彩色扫描件；</w:t>
      </w:r>
    </w:p>
    <w:p>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3．B类安全生产考核合格证书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或广东省建筑施工企业管理人员安全生产考核系统考核合格信息彩色扫描件；</w:t>
      </w:r>
    </w:p>
    <w:p>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4．在本单位缴纳社保的证明（</w:t>
      </w:r>
      <w:r>
        <w:rPr>
          <w:rFonts w:hint="eastAsia" w:hAnsi="宋体" w:cs="宋体"/>
          <w:snapToGrid w:val="0"/>
          <w:color w:val="auto"/>
          <w:kern w:val="0"/>
          <w:sz w:val="21"/>
          <w:szCs w:val="28"/>
          <w:highlight w:val="none"/>
          <w:lang w:eastAsia="zh-CN"/>
        </w:rPr>
        <w:t>至少连续4个月，其中必须有2026年7月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。拟派项目经理为退休返聘人员无法提供社保证明的，提供退休证和劳动合同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40" w:lineRule="exact"/>
        <w:ind w:firstLine="210" w:firstLineChars="1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val="en-US" w:eastAsia="zh-CN"/>
        </w:rPr>
        <w:t>5．“进粤企业和人员诚信信息登记平台”个人（项目经理等）信息情况截图。（适用于省外建筑企业）。</w:t>
      </w:r>
    </w:p>
    <w:p>
      <w:pPr>
        <w:snapToGrid w:val="0"/>
        <w:spacing w:line="440" w:lineRule="exact"/>
        <w:rPr>
          <w:rStyle w:val="25"/>
          <w:rFonts w:hint="eastAsia" w:hAnsi="宋体"/>
          <w:color w:val="auto"/>
          <w:kern w:val="0"/>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603" w:name="_Toc10299"/>
      <w:bookmarkStart w:id="604" w:name="_Toc2497"/>
      <w:bookmarkStart w:id="605" w:name="_Toc31193"/>
      <w:bookmarkStart w:id="606" w:name="_Toc17422"/>
      <w:bookmarkStart w:id="607" w:name="_Toc11605"/>
      <w:bookmarkStart w:id="608" w:name="_Toc13202"/>
      <w:bookmarkStart w:id="609" w:name="_Toc28818"/>
      <w:bookmarkStart w:id="610" w:name="_Toc3726"/>
      <w:bookmarkStart w:id="611" w:name="_Toc13967"/>
      <w:bookmarkStart w:id="612" w:name="_Toc28584"/>
      <w:bookmarkStart w:id="613" w:name="_Toc22848"/>
      <w:bookmarkStart w:id="614" w:name="_Toc21844"/>
      <w:bookmarkStart w:id="615" w:name="_Toc4071"/>
      <w:bookmarkStart w:id="616" w:name="_Toc22871"/>
      <w:r>
        <w:rPr>
          <w:rStyle w:val="25"/>
          <w:rFonts w:hint="eastAsia" w:ascii="Times New Roman" w:hAnsi="宋体" w:eastAsia="宋体" w:cs="Times New Roman"/>
          <w:b/>
          <w:bCs/>
          <w:color w:val="auto"/>
          <w:sz w:val="24"/>
          <w:szCs w:val="24"/>
          <w:highlight w:val="none"/>
        </w:rPr>
        <w:t>格式</w:t>
      </w:r>
      <w:r>
        <w:rPr>
          <w:rStyle w:val="25"/>
          <w:rFonts w:hint="eastAsia" w:ascii="Times New Roman" w:hAnsi="宋体" w:eastAsia="宋体" w:cs="Times New Roman"/>
          <w:b/>
          <w:bCs/>
          <w:color w:val="auto"/>
          <w:sz w:val="24"/>
          <w:szCs w:val="24"/>
          <w:highlight w:val="none"/>
          <w:lang w:val="en-US" w:eastAsia="zh-CN"/>
        </w:rPr>
        <w:t>九</w:t>
      </w:r>
      <w:r>
        <w:rPr>
          <w:rStyle w:val="25"/>
          <w:rFonts w:hint="eastAsia" w:ascii="Times New Roman" w:hAnsi="宋体" w:eastAsia="宋体" w:cs="Times New Roman"/>
          <w:b/>
          <w:bCs/>
          <w:color w:val="auto"/>
          <w:sz w:val="24"/>
          <w:szCs w:val="24"/>
          <w:highlight w:val="none"/>
        </w:rPr>
        <w:t xml:space="preserve"> 项目经理任职声明</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snapToGrid w:val="0"/>
        <w:spacing w:line="440" w:lineRule="exact"/>
        <w:jc w:val="left"/>
        <w:rPr>
          <w:rStyle w:val="25"/>
          <w:rFonts w:hint="eastAsia" w:hAnsi="宋体"/>
          <w:b/>
          <w:bCs/>
          <w:color w:val="auto"/>
          <w:kern w:val="0"/>
          <w:highlight w:val="none"/>
        </w:rPr>
      </w:pPr>
    </w:p>
    <w:p>
      <w:pPr>
        <w:snapToGrid w:val="0"/>
        <w:spacing w:line="440" w:lineRule="exact"/>
        <w:ind w:firstLine="420" w:firstLineChars="200"/>
        <w:rPr>
          <w:rStyle w:val="25"/>
          <w:rFonts w:hint="eastAsia" w:hAnsi="宋体"/>
          <w:color w:val="auto"/>
          <w:kern w:val="0"/>
          <w:sz w:val="21"/>
          <w:szCs w:val="21"/>
          <w:highlight w:val="none"/>
        </w:rPr>
      </w:pPr>
    </w:p>
    <w:p>
      <w:pPr>
        <w:spacing w:before="98" w:line="440" w:lineRule="exact"/>
        <w:ind w:left="3338"/>
        <w:rPr>
          <w:rFonts w:hint="eastAsia" w:ascii="宋体" w:hAnsi="宋体" w:eastAsia="宋体" w:cs="宋体"/>
          <w:color w:val="auto"/>
          <w:sz w:val="30"/>
          <w:szCs w:val="30"/>
          <w:highlight w:val="none"/>
        </w:rPr>
      </w:pPr>
      <w:r>
        <w:rPr>
          <w:rFonts w:hint="eastAsia" w:ascii="宋体" w:hAnsi="宋体" w:eastAsia="宋体" w:cs="宋体"/>
          <w:b/>
          <w:bCs/>
          <w:color w:val="auto"/>
          <w:spacing w:val="-5"/>
          <w:sz w:val="24"/>
          <w:szCs w:val="24"/>
          <w:highlight w:val="none"/>
        </w:rPr>
        <w:t>项目经理任职声明</w:t>
      </w:r>
    </w:p>
    <w:p>
      <w:pPr>
        <w:pStyle w:val="8"/>
        <w:spacing w:line="440" w:lineRule="exact"/>
        <w:rPr>
          <w:rFonts w:hint="eastAsia" w:ascii="宋体" w:hAnsi="宋体" w:eastAsia="宋体" w:cs="宋体"/>
          <w:color w:val="auto"/>
          <w:highlight w:val="none"/>
        </w:rPr>
      </w:pPr>
    </w:p>
    <w:p>
      <w:pPr>
        <w:pStyle w:val="8"/>
        <w:spacing w:line="440" w:lineRule="exact"/>
        <w:rPr>
          <w:rFonts w:hint="eastAsia" w:ascii="宋体" w:hAnsi="宋体" w:eastAsia="宋体" w:cs="宋体"/>
          <w:color w:val="auto"/>
          <w:highlight w:val="none"/>
        </w:rPr>
      </w:pPr>
    </w:p>
    <w:p>
      <w:pPr>
        <w:spacing w:before="78" w:line="440" w:lineRule="exact"/>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致</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9"/>
          <w:sz w:val="21"/>
          <w:szCs w:val="21"/>
          <w:highlight w:val="none"/>
        </w:rPr>
        <w:t>招标人名称</w:t>
      </w:r>
      <w:r>
        <w:rPr>
          <w:rFonts w:hint="eastAsia" w:ascii="宋体" w:hAnsi="宋体" w:eastAsia="宋体" w:cs="宋体"/>
          <w:color w:val="auto"/>
          <w:spacing w:val="-17"/>
          <w:sz w:val="21"/>
          <w:szCs w:val="21"/>
          <w:highlight w:val="none"/>
        </w:rPr>
        <w:t>）：</w:t>
      </w:r>
    </w:p>
    <w:p>
      <w:pPr>
        <w:spacing w:before="155" w:line="44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我方在此声明，我方拟派往（项目名称）的项目经理（项目经理姓名）现阶段没有</w:t>
      </w:r>
      <w:r>
        <w:rPr>
          <w:rFonts w:hint="eastAsia" w:ascii="宋体" w:hAnsi="宋体" w:eastAsia="宋体" w:cs="宋体"/>
          <w:color w:val="auto"/>
          <w:sz w:val="21"/>
          <w:szCs w:val="21"/>
          <w:highlight w:val="none"/>
        </w:rPr>
        <w:t>担任任何在施（包括已中标未开工、已开工未竣工）</w:t>
      </w:r>
      <w:r>
        <w:rPr>
          <w:rFonts w:hint="eastAsia" w:ascii="宋体" w:hAnsi="宋体" w:eastAsia="宋体" w:cs="宋体"/>
          <w:color w:val="auto"/>
          <w:spacing w:val="-1"/>
          <w:sz w:val="21"/>
          <w:szCs w:val="21"/>
          <w:highlight w:val="none"/>
        </w:rPr>
        <w:t>建设工程项目的项目经理。</w:t>
      </w:r>
    </w:p>
    <w:p>
      <w:pPr>
        <w:spacing w:before="35" w:line="440" w:lineRule="exact"/>
        <w:ind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我方保证上述信息的真实和准确，并愿意承担因我方就此弄虚作假所引起的一切法</w:t>
      </w:r>
      <w:r>
        <w:rPr>
          <w:rFonts w:hint="eastAsia" w:ascii="宋体" w:hAnsi="宋体" w:eastAsia="宋体" w:cs="宋体"/>
          <w:color w:val="auto"/>
          <w:spacing w:val="-3"/>
          <w:sz w:val="21"/>
          <w:szCs w:val="21"/>
          <w:highlight w:val="none"/>
        </w:rPr>
        <w:t>律后果。</w:t>
      </w:r>
    </w:p>
    <w:p>
      <w:pPr>
        <w:pStyle w:val="8"/>
        <w:spacing w:line="440" w:lineRule="exact"/>
        <w:rPr>
          <w:rFonts w:hint="eastAsia" w:ascii="宋体" w:hAnsi="宋体" w:eastAsia="宋体" w:cs="宋体"/>
          <w:color w:val="auto"/>
          <w:sz w:val="21"/>
          <w:szCs w:val="21"/>
          <w:highlight w:val="none"/>
        </w:rPr>
      </w:pPr>
    </w:p>
    <w:p>
      <w:pPr>
        <w:spacing w:before="78" w:line="440" w:lineRule="exact"/>
        <w:ind w:left="48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特此承诺</w:t>
      </w:r>
    </w:p>
    <w:p>
      <w:pPr>
        <w:pStyle w:val="8"/>
        <w:spacing w:line="440" w:lineRule="exact"/>
        <w:rPr>
          <w:rFonts w:hint="eastAsia" w:ascii="宋体" w:hAnsi="宋体" w:eastAsia="宋体" w:cs="宋体"/>
          <w:color w:val="auto"/>
          <w:sz w:val="21"/>
          <w:szCs w:val="21"/>
          <w:highlight w:val="none"/>
        </w:rPr>
      </w:pPr>
    </w:p>
    <w:p>
      <w:pPr>
        <w:pStyle w:val="8"/>
        <w:spacing w:line="440" w:lineRule="exact"/>
        <w:rPr>
          <w:rFonts w:hint="eastAsia" w:ascii="宋体" w:hAnsi="宋体" w:eastAsia="宋体" w:cs="宋体"/>
          <w:color w:val="auto"/>
          <w:sz w:val="21"/>
          <w:szCs w:val="21"/>
          <w:highlight w:val="none"/>
        </w:rPr>
      </w:pPr>
    </w:p>
    <w:p>
      <w:pPr>
        <w:pStyle w:val="8"/>
        <w:spacing w:line="440" w:lineRule="exact"/>
        <w:rPr>
          <w:rFonts w:hint="eastAsia" w:ascii="宋体" w:hAnsi="宋体" w:eastAsia="宋体" w:cs="宋体"/>
          <w:color w:val="auto"/>
          <w:sz w:val="21"/>
          <w:szCs w:val="21"/>
          <w:highlight w:val="none"/>
        </w:rPr>
      </w:pPr>
    </w:p>
    <w:p>
      <w:pPr>
        <w:spacing w:before="79" w:line="44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盖单位章）</w:t>
      </w:r>
    </w:p>
    <w:p>
      <w:pPr>
        <w:pStyle w:val="8"/>
        <w:spacing w:line="440" w:lineRule="exact"/>
        <w:rPr>
          <w:rFonts w:hint="eastAsia" w:ascii="宋体" w:hAnsi="宋体" w:eastAsia="宋体" w:cs="宋体"/>
          <w:color w:val="auto"/>
          <w:sz w:val="21"/>
          <w:szCs w:val="21"/>
          <w:highlight w:val="none"/>
        </w:rPr>
      </w:pPr>
    </w:p>
    <w:p>
      <w:pPr>
        <w:pStyle w:val="8"/>
        <w:spacing w:line="440" w:lineRule="exact"/>
        <w:rPr>
          <w:rFonts w:hint="eastAsia" w:ascii="宋体" w:hAnsi="宋体" w:eastAsia="宋体" w:cs="宋体"/>
          <w:color w:val="auto"/>
          <w:sz w:val="21"/>
          <w:szCs w:val="21"/>
          <w:highlight w:val="none"/>
        </w:rPr>
      </w:pPr>
    </w:p>
    <w:p>
      <w:pPr>
        <w:pStyle w:val="8"/>
        <w:spacing w:line="440" w:lineRule="exact"/>
        <w:rPr>
          <w:rFonts w:hint="eastAsia" w:ascii="宋体" w:hAnsi="宋体" w:eastAsia="宋体" w:cs="宋体"/>
          <w:color w:val="auto"/>
          <w:sz w:val="21"/>
          <w:szCs w:val="21"/>
          <w:highlight w:val="none"/>
        </w:rPr>
      </w:pPr>
    </w:p>
    <w:p>
      <w:pPr>
        <w:spacing w:before="78" w:line="44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法定代表人或其委托代理人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
          <w:sz w:val="21"/>
          <w:szCs w:val="21"/>
          <w:highlight w:val="none"/>
        </w:rPr>
        <w:t>签字或盖章）</w:t>
      </w:r>
    </w:p>
    <w:p>
      <w:pPr>
        <w:pStyle w:val="8"/>
        <w:spacing w:line="440" w:lineRule="exact"/>
        <w:rPr>
          <w:rFonts w:hint="eastAsia" w:ascii="宋体" w:hAnsi="宋体" w:eastAsia="宋体" w:cs="宋体"/>
          <w:color w:val="auto"/>
          <w:sz w:val="21"/>
          <w:szCs w:val="21"/>
          <w:highlight w:val="none"/>
        </w:rPr>
      </w:pPr>
    </w:p>
    <w:p>
      <w:pPr>
        <w:pStyle w:val="8"/>
        <w:spacing w:line="440" w:lineRule="exact"/>
        <w:rPr>
          <w:rFonts w:hint="eastAsia" w:ascii="宋体" w:hAnsi="宋体" w:eastAsia="宋体" w:cs="宋体"/>
          <w:color w:val="auto"/>
          <w:sz w:val="21"/>
          <w:szCs w:val="21"/>
          <w:highlight w:val="none"/>
        </w:rPr>
      </w:pPr>
    </w:p>
    <w:p>
      <w:pPr>
        <w:spacing w:before="79" w:line="440" w:lineRule="exact"/>
        <w:ind w:left="627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9"/>
          <w:sz w:val="21"/>
          <w:szCs w:val="21"/>
          <w:highlight w:val="none"/>
        </w:rPr>
        <w:t>日</w:t>
      </w:r>
    </w:p>
    <w:p>
      <w:pPr>
        <w:spacing w:line="440" w:lineRule="exact"/>
        <w:rPr>
          <w:rFonts w:hint="eastAsia" w:ascii="宋体" w:hAnsi="宋体" w:eastAsia="宋体" w:cs="宋体"/>
          <w:color w:val="auto"/>
          <w:sz w:val="24"/>
          <w:szCs w:val="24"/>
          <w:highlight w:val="none"/>
        </w:rPr>
      </w:pPr>
    </w:p>
    <w:p>
      <w:pPr>
        <w:pStyle w:val="47"/>
        <w:snapToGrid w:val="0"/>
        <w:spacing w:line="440" w:lineRule="exact"/>
        <w:rPr>
          <w:rStyle w:val="25"/>
          <w:rFonts w:hint="eastAsia" w:hAnsi="宋体"/>
          <w:color w:val="auto"/>
          <w:sz w:val="21"/>
          <w:szCs w:val="21"/>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617" w:name="_Toc2397"/>
      <w:bookmarkStart w:id="618" w:name="_Toc12596"/>
      <w:bookmarkStart w:id="619" w:name="_Toc23472"/>
      <w:bookmarkStart w:id="620" w:name="_Toc14097"/>
      <w:bookmarkStart w:id="621" w:name="_Toc32297"/>
      <w:bookmarkStart w:id="622" w:name="_Toc23257"/>
      <w:bookmarkStart w:id="623" w:name="_Toc21596"/>
      <w:bookmarkStart w:id="624" w:name="_Toc30703"/>
      <w:bookmarkStart w:id="625" w:name="_Toc7992"/>
      <w:bookmarkStart w:id="626" w:name="_Toc19909"/>
      <w:bookmarkStart w:id="627" w:name="_Toc17998"/>
      <w:bookmarkStart w:id="628" w:name="_Toc22170"/>
      <w:bookmarkStart w:id="629" w:name="_Toc31329"/>
      <w:bookmarkStart w:id="630" w:name="_Toc2468"/>
      <w:r>
        <w:rPr>
          <w:rStyle w:val="25"/>
          <w:rFonts w:hint="eastAsia" w:ascii="Times New Roman" w:hAnsi="宋体" w:eastAsia="宋体" w:cs="Times New Roman"/>
          <w:b/>
          <w:bCs/>
          <w:color w:val="auto"/>
          <w:sz w:val="24"/>
          <w:szCs w:val="24"/>
          <w:highlight w:val="none"/>
        </w:rPr>
        <w:t>格式十 项目技术负责人简历表</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spacing w:line="440" w:lineRule="exact"/>
        <w:rPr>
          <w:rFonts w:hint="eastAsia" w:ascii="宋体" w:hAnsi="宋体" w:eastAsia="宋体" w:cs="宋体"/>
          <w:color w:val="auto"/>
          <w:highlight w:val="none"/>
        </w:rPr>
      </w:pPr>
    </w:p>
    <w:p>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 w:val="24"/>
          <w:szCs w:val="24"/>
          <w:highlight w:val="none"/>
        </w:rPr>
        <w:t>项目技术负责人简历表</w:t>
      </w:r>
    </w:p>
    <w:p>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姓   名</w:t>
            </w:r>
          </w:p>
        </w:tc>
        <w:tc>
          <w:tcPr>
            <w:tcW w:w="1232"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294"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性  别</w:t>
            </w:r>
          </w:p>
        </w:tc>
        <w:tc>
          <w:tcPr>
            <w:tcW w:w="1946"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33"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年   龄</w:t>
            </w:r>
          </w:p>
        </w:tc>
        <w:tc>
          <w:tcPr>
            <w:tcW w:w="1327"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职   务</w:t>
            </w:r>
          </w:p>
        </w:tc>
        <w:tc>
          <w:tcPr>
            <w:tcW w:w="1232"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294"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职  称</w:t>
            </w:r>
          </w:p>
        </w:tc>
        <w:tc>
          <w:tcPr>
            <w:tcW w:w="1946"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33"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学   历</w:t>
            </w:r>
          </w:p>
        </w:tc>
        <w:tc>
          <w:tcPr>
            <w:tcW w:w="1327"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参加工作时间</w:t>
            </w:r>
          </w:p>
        </w:tc>
        <w:tc>
          <w:tcPr>
            <w:tcW w:w="2526" w:type="dxa"/>
            <w:gridSpan w:val="3"/>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3679" w:type="dxa"/>
            <w:gridSpan w:val="3"/>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从事工程建设项目管理工作年限</w:t>
            </w:r>
          </w:p>
        </w:tc>
        <w:tc>
          <w:tcPr>
            <w:tcW w:w="1327"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9270" w:type="dxa"/>
            <w:gridSpan w:val="9"/>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以项目技术负责人身份参与过的主要业绩（已完工项目）</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序号</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项目名称</w:t>
            </w: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建设单位</w:t>
            </w: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建设内容和规模</w:t>
            </w:r>
          </w:p>
        </w:tc>
        <w:tc>
          <w:tcPr>
            <w:tcW w:w="1706"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开、竣工日期</w:t>
            </w:r>
          </w:p>
        </w:tc>
        <w:tc>
          <w:tcPr>
            <w:tcW w:w="1327"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质量等级</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p>
        </w:tc>
      </w:tr>
    </w:tbl>
    <w:p>
      <w:pPr>
        <w:pStyle w:val="38"/>
        <w:wordWrap w:val="0"/>
        <w:adjustRightInd w:val="0"/>
        <w:snapToGrid w:val="0"/>
        <w:spacing w:line="440" w:lineRule="exact"/>
        <w:jc w:val="both"/>
        <w:rPr>
          <w:rFonts w:hint="eastAsia" w:ascii="宋体" w:hAnsi="宋体" w:eastAsia="宋体" w:cs="宋体"/>
          <w:snapToGrid w:val="0"/>
          <w:color w:val="auto"/>
          <w:kern w:val="0"/>
          <w:highlight w:val="none"/>
        </w:rPr>
      </w:pPr>
    </w:p>
    <w:p>
      <w:pPr>
        <w:pStyle w:val="38"/>
        <w:wordWrap/>
        <w:adjustRightInd w:val="0"/>
        <w:snapToGrid w:val="0"/>
        <w:spacing w:line="440" w:lineRule="exact"/>
        <w:jc w:val="right"/>
        <w:rPr>
          <w:rFonts w:hint="eastAsia" w:ascii="宋体" w:hAnsi="宋体" w:eastAsia="宋体" w:cs="宋体"/>
          <w:snapToGrid w:val="0"/>
          <w:color w:val="auto"/>
          <w:kern w:val="0"/>
          <w:highlight w:val="none"/>
        </w:rPr>
      </w:pPr>
    </w:p>
    <w:p>
      <w:pPr>
        <w:pStyle w:val="38"/>
        <w:wordWrap/>
        <w:adjustRightInd w:val="0"/>
        <w:snapToGrid w:val="0"/>
        <w:spacing w:line="440" w:lineRule="exact"/>
        <w:jc w:val="right"/>
        <w:rPr>
          <w:rFonts w:hint="eastAsia" w:ascii="宋体" w:hAnsi="宋体" w:eastAsia="宋体" w:cs="宋体"/>
          <w:snapToGrid w:val="0"/>
          <w:color w:val="auto"/>
          <w:kern w:val="0"/>
          <w:highlight w:val="none"/>
        </w:rPr>
      </w:pPr>
    </w:p>
    <w:p>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p>
    <w:p>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说明：《项目技术负责人简历表》后应附拟派项目技术负责人以下资料：</w:t>
      </w:r>
    </w:p>
    <w:p>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4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3．在本单位缴纳社保的证明（</w:t>
      </w:r>
      <w:r>
        <w:rPr>
          <w:rFonts w:hint="eastAsia" w:hAnsi="宋体" w:cs="宋体"/>
          <w:snapToGrid w:val="0"/>
          <w:color w:val="auto"/>
          <w:kern w:val="0"/>
          <w:sz w:val="21"/>
          <w:szCs w:val="28"/>
          <w:highlight w:val="none"/>
          <w:lang w:eastAsia="zh-CN"/>
        </w:rPr>
        <w:t>至少连续4个月，其中必须有2026年7月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。拟派项目技术负责人为退休返聘人员无法提供社保证明的，提供退休证和劳动合同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40" w:lineRule="exact"/>
        <w:ind w:firstLine="210" w:firstLineChars="100"/>
        <w:rPr>
          <w:rFonts w:hint="eastAsia" w:ascii="宋体" w:hAnsi="宋体" w:eastAsia="宋体" w:cs="宋体"/>
          <w:snapToGrid w:val="0"/>
          <w:color w:val="auto"/>
          <w:sz w:val="21"/>
          <w:szCs w:val="28"/>
          <w:highlight w:val="none"/>
        </w:rPr>
        <w:sectPr>
          <w:endnotePr>
            <w:numFmt w:val="decimal"/>
          </w:endnotePr>
          <w:pgSz w:w="11906" w:h="16838"/>
          <w:pgMar w:top="1440" w:right="1080" w:bottom="1440" w:left="1080" w:header="850" w:footer="544" w:gutter="0"/>
          <w:pgBorders>
            <w:top w:val="none" w:sz="0" w:space="0"/>
            <w:left w:val="none" w:sz="0" w:space="0"/>
            <w:bottom w:val="none" w:sz="0" w:space="0"/>
            <w:right w:val="none" w:sz="0" w:space="0"/>
          </w:pgBorders>
          <w:pgNumType w:fmt="decimal"/>
          <w:cols w:space="720" w:num="1"/>
          <w:rtlGutter w:val="0"/>
          <w:docGrid w:linePitch="327" w:charSpace="0"/>
        </w:sectPr>
      </w:pPr>
      <w:r>
        <w:rPr>
          <w:rFonts w:hint="eastAsia" w:ascii="宋体" w:hAnsi="宋体" w:eastAsia="宋体" w:cs="宋体"/>
          <w:snapToGrid w:val="0"/>
          <w:color w:val="auto"/>
          <w:kern w:val="0"/>
          <w:sz w:val="21"/>
          <w:szCs w:val="28"/>
          <w:highlight w:val="none"/>
          <w:lang w:val="en-US" w:eastAsia="zh-CN"/>
        </w:rPr>
        <w:t>4．“进粤企业和人员诚信信息登记平台”个人（项目经理等）信息情况截图。（适用于省外建筑企业）。</w:t>
      </w: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631" w:name="_Toc4370"/>
      <w:bookmarkStart w:id="632" w:name="_Toc437"/>
      <w:bookmarkStart w:id="633" w:name="_Toc8959"/>
      <w:bookmarkStart w:id="634" w:name="_Toc28355"/>
      <w:bookmarkStart w:id="635" w:name="_Toc19125"/>
      <w:bookmarkStart w:id="636" w:name="_Toc7688"/>
      <w:bookmarkStart w:id="637" w:name="_Toc13261"/>
      <w:bookmarkStart w:id="638" w:name="_Toc25312"/>
      <w:bookmarkStart w:id="639" w:name="_Toc29544"/>
      <w:bookmarkStart w:id="640" w:name="_Toc29921"/>
      <w:bookmarkStart w:id="641" w:name="_Toc11642"/>
      <w:bookmarkStart w:id="642" w:name="_Toc31072"/>
      <w:bookmarkStart w:id="643" w:name="_Toc9476"/>
      <w:bookmarkStart w:id="644" w:name="_Toc6024"/>
      <w:bookmarkStart w:id="645" w:name="_Toc19829"/>
      <w:r>
        <w:rPr>
          <w:rStyle w:val="25"/>
          <w:rFonts w:hint="eastAsia" w:ascii="Times New Roman" w:hAnsi="宋体" w:eastAsia="宋体" w:cs="Times New Roman"/>
          <w:b/>
          <w:bCs/>
          <w:color w:val="auto"/>
          <w:sz w:val="24"/>
          <w:szCs w:val="24"/>
          <w:highlight w:val="none"/>
        </w:rPr>
        <w:t>格式十</w:t>
      </w:r>
      <w:r>
        <w:rPr>
          <w:rStyle w:val="25"/>
          <w:rFonts w:hint="eastAsia" w:ascii="Times New Roman" w:hAnsi="宋体" w:eastAsia="宋体" w:cs="Times New Roman"/>
          <w:b/>
          <w:bCs/>
          <w:color w:val="auto"/>
          <w:sz w:val="24"/>
          <w:szCs w:val="24"/>
          <w:highlight w:val="none"/>
          <w:lang w:val="en-US" w:eastAsia="zh-CN"/>
        </w:rPr>
        <w:t>一</w:t>
      </w:r>
      <w:r>
        <w:rPr>
          <w:rStyle w:val="25"/>
          <w:rFonts w:hint="eastAsia" w:ascii="Times New Roman" w:hAnsi="宋体" w:eastAsia="宋体" w:cs="Times New Roman"/>
          <w:b/>
          <w:bCs/>
          <w:color w:val="auto"/>
          <w:sz w:val="24"/>
          <w:szCs w:val="24"/>
          <w:highlight w:val="none"/>
        </w:rPr>
        <w:t xml:space="preserve"> 项目管理机构组成</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snapToGrid w:val="0"/>
        <w:spacing w:line="440" w:lineRule="exact"/>
        <w:jc w:val="left"/>
        <w:rPr>
          <w:rStyle w:val="25"/>
          <w:rFonts w:hint="eastAsia" w:ascii="Times New Roman" w:hAnsi="宋体" w:eastAsia="宋体" w:cs="Times New Roman"/>
          <w:b/>
          <w:bCs/>
          <w:color w:val="auto"/>
          <w:sz w:val="21"/>
          <w:szCs w:val="21"/>
          <w:highlight w:val="none"/>
        </w:rPr>
      </w:pPr>
    </w:p>
    <w:p>
      <w:pPr>
        <w:wordWrap w:val="0"/>
        <w:adjustRightInd w:val="0"/>
        <w:snapToGrid w:val="0"/>
        <w:spacing w:before="260" w:after="260" w:line="440" w:lineRule="exact"/>
        <w:jc w:val="center"/>
        <w:outlineLvl w:val="2"/>
        <w:rPr>
          <w:rFonts w:hint="eastAsia" w:ascii="宋体" w:hAnsi="宋体" w:eastAsia="宋体" w:cs="宋体"/>
          <w:b/>
          <w:snapToGrid w:val="0"/>
          <w:color w:val="auto"/>
          <w:kern w:val="0"/>
          <w:sz w:val="24"/>
          <w:szCs w:val="24"/>
          <w:highlight w:val="none"/>
        </w:rPr>
      </w:pPr>
      <w:bookmarkStart w:id="646" w:name="_Toc14261751"/>
      <w:r>
        <w:rPr>
          <w:rFonts w:hint="eastAsia" w:ascii="宋体" w:hAnsi="宋体" w:eastAsia="宋体" w:cs="宋体"/>
          <w:b/>
          <w:snapToGrid w:val="0"/>
          <w:color w:val="auto"/>
          <w:kern w:val="0"/>
          <w:sz w:val="24"/>
          <w:szCs w:val="24"/>
          <w:highlight w:val="none"/>
        </w:rPr>
        <w:t>项目管理机构组成表</w:t>
      </w:r>
      <w:bookmarkEnd w:id="646"/>
    </w:p>
    <w:tbl>
      <w:tblPr>
        <w:tblStyle w:val="20"/>
        <w:tblW w:w="93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78"/>
        <w:gridCol w:w="1488"/>
        <w:gridCol w:w="1418"/>
        <w:gridCol w:w="942"/>
        <w:gridCol w:w="855"/>
        <w:gridCol w:w="1610"/>
        <w:gridCol w:w="22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8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3"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8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6"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8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1" w:hRule="exact"/>
          <w:jc w:val="center"/>
        </w:trPr>
        <w:tc>
          <w:tcPr>
            <w:tcW w:w="778" w:type="dxa"/>
            <w:tcBorders>
              <w:top w:val="single" w:color="auto" w:sz="6" w:space="0"/>
              <w:left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88" w:type="dxa"/>
            <w:tcBorders>
              <w:top w:val="single" w:color="auto" w:sz="6" w:space="0"/>
              <w:left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48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48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48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48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48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9"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48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1"/>
                <w:szCs w:val="21"/>
                <w:highlight w:val="none"/>
              </w:rPr>
            </w:pPr>
          </w:p>
        </w:tc>
      </w:tr>
    </w:tbl>
    <w:p>
      <w:pPr>
        <w:pStyle w:val="37"/>
        <w:widowControl w:val="0"/>
        <w:wordWrap w:val="0"/>
        <w:adjustRightInd w:val="0"/>
        <w:snapToGrid w:val="0"/>
        <w:spacing w:line="440" w:lineRule="exac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说明：</w:t>
      </w:r>
    </w:p>
    <w:p>
      <w:pPr>
        <w:pStyle w:val="37"/>
        <w:widowControl w:val="0"/>
        <w:wordWrap w:val="0"/>
        <w:adjustRightInd w:val="0"/>
        <w:snapToGrid w:val="0"/>
        <w:spacing w:line="440" w:lineRule="exact"/>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rPr>
        <w:t>．</w:t>
      </w:r>
      <w:r>
        <w:rPr>
          <w:rFonts w:hint="eastAsia" w:ascii="宋体" w:hAnsi="宋体" w:eastAsia="宋体" w:cs="宋体"/>
          <w:snapToGrid w:val="0"/>
          <w:color w:val="auto"/>
          <w:sz w:val="21"/>
          <w:highlight w:val="none"/>
        </w:rPr>
        <w:t>《项目管理机构组成表》后应附表中拟派人员（项目经理、项目技术负责人除外）以下资料：</w:t>
      </w:r>
    </w:p>
    <w:p>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lang w:eastAsia="zh-CN"/>
        </w:rPr>
      </w:pPr>
      <w:r>
        <w:rPr>
          <w:rFonts w:hint="eastAsia" w:ascii="宋体" w:hAnsi="宋体" w:eastAsia="宋体" w:cs="宋体"/>
          <w:snapToGrid w:val="0"/>
          <w:color w:val="auto"/>
          <w:kern w:val="0"/>
          <w:sz w:val="21"/>
          <w:szCs w:val="28"/>
          <w:highlight w:val="none"/>
        </w:rPr>
        <w:t>（2）职称证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如有</w:t>
      </w:r>
      <w:r>
        <w:rPr>
          <w:rFonts w:hint="eastAsia" w:ascii="宋体" w:hAnsi="宋体" w:eastAsia="宋体" w:cs="宋体"/>
          <w:snapToGrid w:val="0"/>
          <w:color w:val="auto"/>
          <w:kern w:val="0"/>
          <w:sz w:val="21"/>
          <w:szCs w:val="28"/>
          <w:highlight w:val="none"/>
          <w:lang w:eastAsia="zh-CN"/>
        </w:rPr>
        <w:t>）</w:t>
      </w:r>
    </w:p>
    <w:p>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3</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在本单位缴纳社保的证明（</w:t>
      </w:r>
      <w:r>
        <w:rPr>
          <w:rFonts w:hint="eastAsia" w:hAnsi="宋体" w:cs="宋体"/>
          <w:snapToGrid w:val="0"/>
          <w:color w:val="auto"/>
          <w:kern w:val="0"/>
          <w:sz w:val="21"/>
          <w:szCs w:val="28"/>
          <w:highlight w:val="none"/>
          <w:lang w:eastAsia="zh-CN"/>
        </w:rPr>
        <w:t>至少连续4个月，其中必须有2026年7月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。拟派人员为退休返聘人员无法提供社保证明的，提供退休证和劳动合同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40" w:lineRule="exact"/>
        <w:ind w:firstLine="210" w:firstLineChars="100"/>
        <w:rPr>
          <w:rFonts w:hint="eastAsia" w:ascii="宋体" w:hAnsi="宋体" w:eastAsia="宋体" w:cs="宋体"/>
          <w:snapToGrid w:val="0"/>
          <w:color w:val="auto"/>
          <w:kern w:val="0"/>
          <w:sz w:val="21"/>
          <w:szCs w:val="28"/>
          <w:highlight w:val="none"/>
        </w:rPr>
      </w:pPr>
      <w:bookmarkStart w:id="647" w:name="_Hlt68774664"/>
      <w:bookmarkEnd w:id="647"/>
      <w:bookmarkStart w:id="648" w:name="_附件二十五：综合评审合理低价法"/>
      <w:bookmarkEnd w:id="648"/>
      <w:bookmarkStart w:id="649" w:name="_附件十：单项工程费汇总表"/>
      <w:bookmarkEnd w:id="649"/>
      <w:bookmarkStart w:id="650" w:name="_附件二十四：技术标提问单"/>
      <w:bookmarkEnd w:id="650"/>
      <w:bookmarkStart w:id="651" w:name="_Hlt69116778"/>
      <w:bookmarkEnd w:id="651"/>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sz w:val="21"/>
          <w:highlight w:val="none"/>
          <w:lang w:val="en-US" w:eastAsia="zh-CN"/>
        </w:rPr>
        <w:t>4</w:t>
      </w:r>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kern w:val="0"/>
          <w:sz w:val="21"/>
          <w:szCs w:val="28"/>
          <w:highlight w:val="none"/>
          <w:lang w:val="en-US" w:eastAsia="zh-CN"/>
        </w:rPr>
        <w:t>“进粤企业和人员诚信信息登记平台”个人（项目经理等）信息情况截图。（适用于省外建筑企业）。</w:t>
      </w:r>
    </w:p>
    <w:p>
      <w:pPr>
        <w:keepNext w:val="0"/>
        <w:keepLines w:val="0"/>
        <w:widowControl/>
        <w:suppressLineNumbers w:val="0"/>
        <w:spacing w:line="440" w:lineRule="exact"/>
        <w:jc w:val="lef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 xml:space="preserve">    2．联合体投标的，《项目管理机构组成表》应包括联合体成员单位参与项目管理机构的人员，并提供以上所需资料。</w:t>
      </w:r>
    </w:p>
    <w:p>
      <w:pPr>
        <w:spacing w:line="440" w:lineRule="exact"/>
        <w:rPr>
          <w:rFonts w:hint="eastAsia"/>
          <w:color w:val="auto"/>
          <w:highlight w:val="none"/>
        </w:rPr>
      </w:pPr>
    </w:p>
    <w:p>
      <w:pPr>
        <w:spacing w:line="440" w:lineRule="exact"/>
        <w:rPr>
          <w:rFonts w:hint="eastAsia"/>
          <w:color w:val="auto"/>
          <w:highlight w:val="none"/>
        </w:rPr>
      </w:pPr>
    </w:p>
    <w:p>
      <w:pPr>
        <w:spacing w:line="440" w:lineRule="exact"/>
        <w:rPr>
          <w:rFonts w:hint="eastAsia"/>
          <w:color w:val="auto"/>
          <w:highlight w:val="none"/>
        </w:rPr>
      </w:pPr>
    </w:p>
    <w:p>
      <w:pPr>
        <w:pStyle w:val="36"/>
        <w:keepNext w:val="0"/>
        <w:keepLines w:val="0"/>
        <w:widowControl w:val="0"/>
        <w:wordWrap w:val="0"/>
        <w:adjustRightInd w:val="0"/>
        <w:snapToGrid w:val="0"/>
        <w:spacing w:before="0" w:after="0" w:line="440" w:lineRule="exact"/>
        <w:ind w:left="3189" w:leftChars="15" w:hanging="3153" w:hangingChars="1496"/>
        <w:jc w:val="both"/>
        <w:rPr>
          <w:rStyle w:val="53"/>
          <w:rFonts w:hint="eastAsia" w:ascii="宋体" w:hAnsi="宋体" w:eastAsia="宋体" w:cs="宋体"/>
          <w:bCs/>
          <w:color w:val="auto"/>
          <w:kern w:val="2"/>
          <w:sz w:val="21"/>
          <w:szCs w:val="21"/>
          <w:highlight w:val="none"/>
        </w:rPr>
      </w:pPr>
      <w:bookmarkStart w:id="652" w:name="_Toc30931"/>
      <w:bookmarkStart w:id="653" w:name="_Toc36804690"/>
      <w:bookmarkStart w:id="654" w:name="_Toc26904"/>
      <w:bookmarkStart w:id="655" w:name="_Toc14136"/>
      <w:bookmarkStart w:id="656" w:name="_Toc23831"/>
      <w:bookmarkStart w:id="657" w:name="_Toc9224"/>
      <w:bookmarkStart w:id="658" w:name="_Toc28494"/>
      <w:bookmarkStart w:id="659" w:name="_Toc29671"/>
      <w:bookmarkStart w:id="660" w:name="_Toc19935"/>
      <w:bookmarkStart w:id="661" w:name="_Toc18297"/>
      <w:bookmarkStart w:id="662" w:name="_Toc6379"/>
      <w:bookmarkStart w:id="663" w:name="_Toc14143"/>
      <w:bookmarkStart w:id="664" w:name="_Toc18504"/>
    </w:p>
    <w:p>
      <w:pPr>
        <w:pStyle w:val="36"/>
        <w:keepNext w:val="0"/>
        <w:keepLines w:val="0"/>
        <w:widowControl w:val="0"/>
        <w:wordWrap w:val="0"/>
        <w:adjustRightInd w:val="0"/>
        <w:snapToGrid w:val="0"/>
        <w:spacing w:before="0" w:after="0" w:line="440" w:lineRule="exact"/>
        <w:ind w:left="3189" w:leftChars="15" w:hanging="3153" w:hangingChars="1496"/>
        <w:jc w:val="both"/>
        <w:rPr>
          <w:rStyle w:val="53"/>
          <w:rFonts w:hint="eastAsia" w:ascii="宋体" w:hAnsi="宋体" w:eastAsia="宋体" w:cs="宋体"/>
          <w:bCs/>
          <w:color w:val="auto"/>
          <w:kern w:val="2"/>
          <w:sz w:val="21"/>
          <w:szCs w:val="21"/>
          <w:highlight w:val="none"/>
        </w:rPr>
      </w:pPr>
    </w:p>
    <w:p>
      <w:pPr>
        <w:pStyle w:val="36"/>
        <w:keepNext w:val="0"/>
        <w:keepLines w:val="0"/>
        <w:widowControl w:val="0"/>
        <w:wordWrap w:val="0"/>
        <w:adjustRightInd w:val="0"/>
        <w:snapToGrid w:val="0"/>
        <w:spacing w:before="0" w:after="0" w:line="440" w:lineRule="exact"/>
        <w:ind w:left="3189" w:leftChars="15" w:hanging="3153" w:hangingChars="1496"/>
        <w:jc w:val="both"/>
        <w:rPr>
          <w:rStyle w:val="53"/>
          <w:rFonts w:hint="eastAsia" w:ascii="宋体" w:hAnsi="宋体" w:eastAsia="宋体" w:cs="宋体"/>
          <w:bCs/>
          <w:color w:val="auto"/>
          <w:kern w:val="2"/>
          <w:sz w:val="21"/>
          <w:szCs w:val="21"/>
          <w:highlight w:val="none"/>
        </w:rPr>
      </w:pPr>
    </w:p>
    <w:p>
      <w:pPr>
        <w:pStyle w:val="36"/>
        <w:keepNext w:val="0"/>
        <w:keepLines w:val="0"/>
        <w:widowControl w:val="0"/>
        <w:wordWrap w:val="0"/>
        <w:adjustRightInd w:val="0"/>
        <w:snapToGrid w:val="0"/>
        <w:spacing w:before="0" w:after="0" w:line="440" w:lineRule="exact"/>
        <w:ind w:left="3189" w:leftChars="15" w:hanging="3153" w:hangingChars="1496"/>
        <w:jc w:val="both"/>
        <w:rPr>
          <w:rStyle w:val="53"/>
          <w:rFonts w:hint="eastAsia" w:ascii="宋体" w:hAnsi="宋体" w:eastAsia="宋体" w:cs="宋体"/>
          <w:bCs/>
          <w:color w:val="auto"/>
          <w:kern w:val="2"/>
          <w:sz w:val="21"/>
          <w:szCs w:val="21"/>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665" w:name="_Toc30542"/>
      <w:bookmarkStart w:id="666" w:name="_Toc22111"/>
      <w:bookmarkStart w:id="667" w:name="_Toc21170"/>
      <w:r>
        <w:rPr>
          <w:rStyle w:val="25"/>
          <w:rFonts w:hint="eastAsia" w:ascii="Times New Roman" w:hAnsi="宋体" w:eastAsia="宋体" w:cs="Times New Roman"/>
          <w:b/>
          <w:bCs/>
          <w:color w:val="auto"/>
          <w:sz w:val="24"/>
          <w:szCs w:val="24"/>
          <w:highlight w:val="none"/>
        </w:rPr>
        <w:t>格式十</w:t>
      </w:r>
      <w:r>
        <w:rPr>
          <w:rStyle w:val="25"/>
          <w:rFonts w:hint="eastAsia" w:ascii="Times New Roman" w:hAnsi="宋体" w:eastAsia="宋体" w:cs="Times New Roman"/>
          <w:b/>
          <w:bCs/>
          <w:color w:val="auto"/>
          <w:sz w:val="24"/>
          <w:szCs w:val="24"/>
          <w:highlight w:val="none"/>
          <w:lang w:val="en-US" w:eastAsia="zh-CN"/>
        </w:rPr>
        <w:t>二</w:t>
      </w:r>
      <w:r>
        <w:rPr>
          <w:rStyle w:val="25"/>
          <w:rFonts w:hint="eastAsia" w:ascii="Times New Roman" w:hAnsi="宋体" w:eastAsia="宋体" w:cs="Times New Roman"/>
          <w:b/>
          <w:bCs/>
          <w:color w:val="auto"/>
          <w:sz w:val="24"/>
          <w:szCs w:val="24"/>
          <w:highlight w:val="none"/>
        </w:rPr>
        <w:t xml:space="preserve"> 建造师查询页（有效期+建造师签字）</w:t>
      </w:r>
      <w:bookmarkEnd w:id="652"/>
      <w:bookmarkEnd w:id="653"/>
      <w:bookmarkEnd w:id="654"/>
      <w:bookmarkEnd w:id="665"/>
      <w:bookmarkEnd w:id="666"/>
      <w:bookmarkEnd w:id="667"/>
    </w:p>
    <w:p>
      <w:pPr>
        <w:pStyle w:val="47"/>
        <w:snapToGrid w:val="0"/>
        <w:spacing w:line="440" w:lineRule="exact"/>
        <w:outlineLvl w:val="1"/>
        <w:rPr>
          <w:rStyle w:val="25"/>
          <w:rFonts w:hint="eastAsia" w:ascii="Times New Roman" w:hAnsi="宋体" w:eastAsia="宋体" w:cs="Times New Roman"/>
          <w:b/>
          <w:bCs/>
          <w:color w:val="auto"/>
          <w:sz w:val="21"/>
          <w:szCs w:val="21"/>
          <w:highlight w:val="none"/>
        </w:rPr>
      </w:pPr>
      <w:r>
        <w:rPr>
          <w:rFonts w:hint="eastAsia" w:ascii="宋体" w:hAnsi="宋体" w:eastAsia="宋体" w:cs="宋体"/>
          <w:color w:val="auto"/>
          <w:position w:val="-235"/>
          <w:highlight w:val="none"/>
        </w:rPr>
        <w:drawing>
          <wp:anchor distT="0" distB="0" distL="114300" distR="114300" simplePos="0" relativeHeight="251663360" behindDoc="0" locked="0" layoutInCell="1" allowOverlap="1">
            <wp:simplePos x="0" y="0"/>
            <wp:positionH relativeFrom="column">
              <wp:posOffset>128905</wp:posOffset>
            </wp:positionH>
            <wp:positionV relativeFrom="paragraph">
              <wp:posOffset>5715</wp:posOffset>
            </wp:positionV>
            <wp:extent cx="5790565" cy="7996555"/>
            <wp:effectExtent l="0" t="0" r="635" b="4445"/>
            <wp:wrapNone/>
            <wp:docPr id="8" name="图片 13"/>
            <wp:cNvGraphicFramePr/>
            <a:graphic xmlns:a="http://schemas.openxmlformats.org/drawingml/2006/main">
              <a:graphicData uri="http://schemas.openxmlformats.org/drawingml/2006/picture">
                <pic:pic xmlns:pic="http://schemas.openxmlformats.org/drawingml/2006/picture">
                  <pic:nvPicPr>
                    <pic:cNvPr id="8" name="图片 13"/>
                    <pic:cNvPicPr/>
                  </pic:nvPicPr>
                  <pic:blipFill>
                    <a:blip r:embed="rId34"/>
                    <a:stretch>
                      <a:fillRect/>
                    </a:stretch>
                  </pic:blipFill>
                  <pic:spPr>
                    <a:xfrm>
                      <a:off x="0" y="0"/>
                      <a:ext cx="5790565" cy="7996555"/>
                    </a:xfrm>
                    <a:prstGeom prst="rect">
                      <a:avLst/>
                    </a:prstGeom>
                    <a:noFill/>
                    <a:ln>
                      <a:noFill/>
                    </a:ln>
                  </pic:spPr>
                </pic:pic>
              </a:graphicData>
            </a:graphic>
          </wp:anchor>
        </w:drawing>
      </w:r>
    </w:p>
    <w:bookmarkEnd w:id="655"/>
    <w:bookmarkEnd w:id="656"/>
    <w:bookmarkEnd w:id="657"/>
    <w:bookmarkEnd w:id="658"/>
    <w:bookmarkEnd w:id="659"/>
    <w:bookmarkEnd w:id="660"/>
    <w:bookmarkEnd w:id="661"/>
    <w:bookmarkEnd w:id="662"/>
    <w:bookmarkEnd w:id="663"/>
    <w:bookmarkEnd w:id="664"/>
    <w:p>
      <w:pPr>
        <w:spacing w:line="440" w:lineRule="exact"/>
        <w:contextualSpacing/>
        <w:jc w:val="left"/>
        <w:rPr>
          <w:rFonts w:hint="eastAsia" w:ascii="宋体" w:hAnsi="宋体" w:eastAsia="宋体" w:cs="宋体"/>
          <w:color w:val="auto"/>
          <w:position w:val="-235"/>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668" w:name="_Toc11422"/>
      <w:bookmarkStart w:id="669" w:name="_Toc3048"/>
      <w:bookmarkStart w:id="670" w:name="_Toc2975"/>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671" w:name="_Toc20563"/>
      <w:r>
        <w:rPr>
          <w:rStyle w:val="25"/>
          <w:rFonts w:hint="eastAsia" w:ascii="Times New Roman" w:hAnsi="宋体" w:eastAsia="宋体" w:cs="Times New Roman"/>
          <w:b/>
          <w:bCs/>
          <w:color w:val="auto"/>
          <w:sz w:val="24"/>
          <w:szCs w:val="24"/>
          <w:highlight w:val="none"/>
        </w:rPr>
        <w:t>格式十三</w:t>
      </w:r>
      <w:bookmarkEnd w:id="668"/>
      <w:bookmarkEnd w:id="669"/>
      <w:r>
        <w:rPr>
          <w:rStyle w:val="25"/>
          <w:rFonts w:hint="eastAsia" w:ascii="Times New Roman" w:hAnsi="宋体" w:eastAsia="宋体" w:cs="Times New Roman"/>
          <w:b/>
          <w:bCs/>
          <w:color w:val="auto"/>
          <w:sz w:val="24"/>
          <w:szCs w:val="24"/>
          <w:highlight w:val="none"/>
          <w:lang w:val="en-US" w:eastAsia="zh-CN"/>
        </w:rPr>
        <w:t xml:space="preserve"> </w:t>
      </w:r>
      <w:r>
        <w:rPr>
          <w:rStyle w:val="25"/>
          <w:rFonts w:hint="eastAsia" w:ascii="Times New Roman" w:hAnsi="宋体" w:eastAsia="宋体" w:cs="Times New Roman"/>
          <w:b/>
          <w:bCs/>
          <w:color w:val="auto"/>
          <w:sz w:val="24"/>
          <w:szCs w:val="24"/>
          <w:highlight w:val="none"/>
        </w:rPr>
        <w:t>危险性较大的分部分项工程清单及超过一定规模的危险性较大的分部分项工程清单</w:t>
      </w:r>
      <w:bookmarkEnd w:id="670"/>
      <w:bookmarkEnd w:id="671"/>
    </w:p>
    <w:p>
      <w:pPr>
        <w:pStyle w:val="47"/>
        <w:snapToGrid w:val="0"/>
        <w:spacing w:line="440" w:lineRule="exact"/>
        <w:outlineLvl w:val="1"/>
        <w:rPr>
          <w:rStyle w:val="25"/>
          <w:rFonts w:hint="eastAsia" w:ascii="Times New Roman" w:hAnsi="宋体" w:eastAsia="宋体" w:cs="Times New Roman"/>
          <w:b/>
          <w:bCs/>
          <w:color w:val="auto"/>
          <w:sz w:val="21"/>
          <w:szCs w:val="21"/>
          <w:highlight w:val="none"/>
        </w:rPr>
      </w:pPr>
    </w:p>
    <w:p>
      <w:pPr>
        <w:pStyle w:val="8"/>
        <w:spacing w:before="6" w:line="440" w:lineRule="exact"/>
        <w:ind w:left="5" w:firstLine="49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1、根据中华人民共和国住房和城乡建设部令第37号《危险性较大的分部分项工程</w:t>
      </w:r>
      <w:r>
        <w:rPr>
          <w:rFonts w:hint="eastAsia" w:ascii="宋体" w:hAnsi="宋体" w:eastAsia="宋体" w:cs="宋体"/>
          <w:color w:val="auto"/>
          <w:spacing w:val="-2"/>
          <w:sz w:val="21"/>
          <w:szCs w:val="21"/>
          <w:highlight w:val="none"/>
        </w:rPr>
        <w:t>安全管理规定》（以下简称“37号文</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投标人在投标时须补充完善危大工程清单并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明确相应的安全管理措施。</w:t>
      </w:r>
    </w:p>
    <w:p>
      <w:pPr>
        <w:pStyle w:val="8"/>
        <w:spacing w:before="208" w:line="440" w:lineRule="exact"/>
        <w:ind w:left="1"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1"/>
          <w:szCs w:val="21"/>
          <w:highlight w:val="none"/>
        </w:rPr>
        <w:t>险性较大的分部分项工程清单</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”中与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本招标项目相关的清单项，具体详见第5点“打</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”标识。</w:t>
      </w:r>
    </w:p>
    <w:p>
      <w:pPr>
        <w:pStyle w:val="8"/>
        <w:spacing w:before="208" w:line="440" w:lineRule="exact"/>
        <w:ind w:left="3" w:right="72" w:firstLine="48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（1）投标单位同意建设单位在清单中标识的该</w:t>
      </w:r>
      <w:r>
        <w:rPr>
          <w:rFonts w:hint="eastAsia" w:ascii="宋体" w:hAnsi="宋体" w:eastAsia="宋体" w:cs="宋体"/>
          <w:color w:val="auto"/>
          <w:spacing w:val="-4"/>
          <w:sz w:val="21"/>
          <w:szCs w:val="21"/>
          <w:highlight w:val="none"/>
        </w:rPr>
        <w:t>项请在对应项打“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”标识，并与</w:t>
      </w:r>
      <w:r>
        <w:rPr>
          <w:rFonts w:hint="eastAsia" w:ascii="宋体" w:hAnsi="宋体" w:eastAsia="宋体" w:cs="宋体"/>
          <w:color w:val="auto"/>
          <w:spacing w:val="-1"/>
          <w:sz w:val="21"/>
          <w:szCs w:val="21"/>
          <w:highlight w:val="none"/>
        </w:rPr>
        <w:t>投标文件中提供相应的安全管理措施。</w:t>
      </w:r>
    </w:p>
    <w:p>
      <w:pPr>
        <w:pStyle w:val="8"/>
        <w:spacing w:before="206" w:line="440" w:lineRule="exact"/>
        <w:ind w:left="2" w:right="72" w:firstLine="48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（2）投标单位对清单中认为需要补充的该项请</w:t>
      </w:r>
      <w:r>
        <w:rPr>
          <w:rFonts w:hint="eastAsia" w:ascii="宋体" w:hAnsi="宋体" w:eastAsia="宋体" w:cs="宋体"/>
          <w:color w:val="auto"/>
          <w:spacing w:val="-4"/>
          <w:sz w:val="21"/>
          <w:szCs w:val="21"/>
          <w:highlight w:val="none"/>
        </w:rPr>
        <w:t>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”标识，并与投标</w:t>
      </w:r>
      <w:r>
        <w:rPr>
          <w:rFonts w:hint="eastAsia" w:ascii="宋体" w:hAnsi="宋体" w:eastAsia="宋体" w:cs="宋体"/>
          <w:color w:val="auto"/>
          <w:spacing w:val="-1"/>
          <w:sz w:val="21"/>
          <w:szCs w:val="21"/>
          <w:highlight w:val="none"/>
        </w:rPr>
        <w:t>文件中提供相应的安全管理措施。</w:t>
      </w:r>
    </w:p>
    <w:p>
      <w:pPr>
        <w:pStyle w:val="8"/>
        <w:spacing w:before="208" w:line="440" w:lineRule="exact"/>
        <w:ind w:right="72" w:firstLine="49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（3）投标单位不同意建设单位在清单中标识的该项请在对应项打“</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”标识，并</w:t>
      </w:r>
      <w:r>
        <w:rPr>
          <w:rFonts w:hint="eastAsia" w:ascii="宋体" w:hAnsi="宋体" w:eastAsia="宋体" w:cs="宋体"/>
          <w:color w:val="auto"/>
          <w:spacing w:val="-1"/>
          <w:sz w:val="21"/>
          <w:szCs w:val="21"/>
          <w:highlight w:val="none"/>
        </w:rPr>
        <w:t>在备注栏填上相关说明。</w:t>
      </w:r>
    </w:p>
    <w:p>
      <w:pPr>
        <w:pStyle w:val="8"/>
        <w:spacing w:before="210" w:line="440" w:lineRule="exact"/>
        <w:ind w:firstLine="484"/>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u w:val="single" w:color="auto"/>
        </w:rPr>
        <w:t>3、投标单位应当在投标时根据招标人提供的下述第5点清单，</w:t>
      </w:r>
      <w:r>
        <w:rPr>
          <w:rFonts w:hint="eastAsia" w:ascii="宋体" w:hAnsi="宋体" w:eastAsia="宋体" w:cs="宋体"/>
          <w:b/>
          <w:bCs/>
          <w:color w:val="auto"/>
          <w:spacing w:val="-5"/>
          <w:sz w:val="21"/>
          <w:szCs w:val="21"/>
          <w:highlight w:val="none"/>
          <w:u w:val="single" w:color="auto"/>
        </w:rPr>
        <w:t>在投标施工组织中回</w:t>
      </w:r>
      <w:r>
        <w:rPr>
          <w:rFonts w:hint="eastAsia" w:ascii="宋体" w:hAnsi="宋体" w:eastAsia="宋体" w:cs="宋体"/>
          <w:b/>
          <w:bCs/>
          <w:color w:val="auto"/>
          <w:spacing w:val="-4"/>
          <w:sz w:val="21"/>
          <w:szCs w:val="21"/>
          <w:highlight w:val="none"/>
          <w:u w:val="single" w:color="auto"/>
        </w:rPr>
        <w:t>应建设单位提供的危大工程清单，补充相应的安全管理措施。（为减轻标书编制</w:t>
      </w:r>
      <w:r>
        <w:rPr>
          <w:rFonts w:hint="eastAsia" w:ascii="宋体" w:hAnsi="宋体" w:eastAsia="宋体" w:cs="宋体"/>
          <w:b/>
          <w:bCs/>
          <w:color w:val="auto"/>
          <w:spacing w:val="-5"/>
          <w:sz w:val="21"/>
          <w:szCs w:val="21"/>
          <w:highlight w:val="none"/>
          <w:u w:val="single" w:color="auto"/>
        </w:rPr>
        <w:t>的工作</w:t>
      </w:r>
      <w:r>
        <w:rPr>
          <w:rFonts w:hint="eastAsia" w:ascii="宋体" w:hAnsi="宋体" w:eastAsia="宋体" w:cs="宋体"/>
          <w:b/>
          <w:bCs/>
          <w:color w:val="auto"/>
          <w:spacing w:val="-2"/>
          <w:sz w:val="21"/>
          <w:szCs w:val="21"/>
          <w:highlight w:val="none"/>
          <w:u w:val="single" w:color="auto"/>
        </w:rPr>
        <w:t>量，投标单位回应的危大工程清单该部分的页数应控制在3页内）</w:t>
      </w:r>
    </w:p>
    <w:p>
      <w:pPr>
        <w:pStyle w:val="8"/>
        <w:spacing w:before="37" w:line="440" w:lineRule="exact"/>
        <w:ind w:left="1"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4、对于超过一定规模的危大工程，中标单位应当组织召开</w:t>
      </w:r>
      <w:r>
        <w:rPr>
          <w:rFonts w:hint="eastAsia" w:ascii="宋体" w:hAnsi="宋体" w:eastAsia="宋体" w:cs="宋体"/>
          <w:color w:val="auto"/>
          <w:spacing w:val="-1"/>
          <w:sz w:val="21"/>
          <w:szCs w:val="21"/>
          <w:highlight w:val="none"/>
        </w:rPr>
        <w:t>专家论证会对专项施工</w:t>
      </w:r>
      <w:r>
        <w:rPr>
          <w:rFonts w:hint="eastAsia" w:ascii="宋体" w:hAnsi="宋体" w:eastAsia="宋体" w:cs="宋体"/>
          <w:color w:val="auto"/>
          <w:spacing w:val="-2"/>
          <w:sz w:val="21"/>
          <w:szCs w:val="21"/>
          <w:highlight w:val="none"/>
        </w:rPr>
        <w:t>方案进行论证。实行施工总承包的，由施工总承包单位组织召开专家论证会。专家论证</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
          <w:sz w:val="21"/>
          <w:szCs w:val="21"/>
          <w:highlight w:val="none"/>
        </w:rPr>
        <w:t>前专项施工方案应当通过施工总承包单位审核和总监理工程师审查。</w:t>
      </w:r>
    </w:p>
    <w:p>
      <w:pPr>
        <w:pStyle w:val="8"/>
        <w:spacing w:before="205" w:line="440" w:lineRule="exact"/>
        <w:ind w:firstLine="48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5、危险性较大的分部分项工程清单及超过一</w:t>
      </w:r>
      <w:r>
        <w:rPr>
          <w:rFonts w:hint="eastAsia" w:ascii="宋体" w:hAnsi="宋体" w:eastAsia="宋体" w:cs="宋体"/>
          <w:color w:val="auto"/>
          <w:spacing w:val="1"/>
          <w:sz w:val="21"/>
          <w:szCs w:val="21"/>
          <w:highlight w:val="none"/>
        </w:rPr>
        <w:t>定规模的危险性较大的分部分项工程</w:t>
      </w:r>
      <w:r>
        <w:rPr>
          <w:rFonts w:hint="eastAsia" w:ascii="宋体" w:hAnsi="宋体" w:eastAsia="宋体" w:cs="宋体"/>
          <w:color w:val="auto"/>
          <w:spacing w:val="-4"/>
          <w:sz w:val="21"/>
          <w:szCs w:val="21"/>
          <w:highlight w:val="none"/>
        </w:rPr>
        <w:t>清单：</w:t>
      </w:r>
    </w:p>
    <w:p>
      <w:pPr>
        <w:spacing w:line="440" w:lineRule="exact"/>
        <w:rPr>
          <w:rFonts w:hint="eastAsia" w:ascii="宋体" w:hAnsi="宋体" w:eastAsia="宋体" w:cs="宋体"/>
          <w:color w:val="auto"/>
          <w:sz w:val="21"/>
          <w:szCs w:val="21"/>
          <w:highlight w:val="none"/>
        </w:rPr>
      </w:pPr>
    </w:p>
    <w:tbl>
      <w:tblPr>
        <w:tblStyle w:val="55"/>
        <w:tblW w:w="93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
        <w:gridCol w:w="5535"/>
        <w:gridCol w:w="15"/>
        <w:gridCol w:w="8"/>
        <w:gridCol w:w="690"/>
        <w:gridCol w:w="125"/>
        <w:gridCol w:w="497"/>
        <w:gridCol w:w="17"/>
        <w:gridCol w:w="745"/>
        <w:gridCol w:w="128"/>
        <w:gridCol w:w="475"/>
        <w:gridCol w:w="4"/>
        <w:gridCol w:w="1046"/>
        <w:gridCol w:w="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501" w:hRule="atLeast"/>
          <w:jc w:val="center"/>
        </w:trPr>
        <w:tc>
          <w:tcPr>
            <w:tcW w:w="5535" w:type="dxa"/>
            <w:noWrap w:val="0"/>
            <w:vAlign w:val="top"/>
          </w:tcPr>
          <w:p>
            <w:pPr>
              <w:pStyle w:val="54"/>
              <w:spacing w:before="132" w:line="440" w:lineRule="exact"/>
              <w:ind w:left="62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一、危险性较大的分部分项工程清单</w:t>
            </w:r>
          </w:p>
        </w:tc>
        <w:tc>
          <w:tcPr>
            <w:tcW w:w="1352" w:type="dxa"/>
            <w:gridSpan w:val="6"/>
            <w:noWrap w:val="0"/>
            <w:vAlign w:val="top"/>
          </w:tcPr>
          <w:p>
            <w:pPr>
              <w:pStyle w:val="54"/>
              <w:spacing w:before="132" w:line="440" w:lineRule="exact"/>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352" w:type="dxa"/>
            <w:gridSpan w:val="4"/>
            <w:noWrap w:val="0"/>
            <w:vAlign w:val="top"/>
          </w:tcPr>
          <w:p>
            <w:pPr>
              <w:pStyle w:val="54"/>
              <w:spacing w:before="132" w:line="440" w:lineRule="exact"/>
              <w:ind w:left="205"/>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1061" w:type="dxa"/>
            <w:gridSpan w:val="2"/>
            <w:noWrap w:val="0"/>
            <w:vAlign w:val="top"/>
          </w:tcPr>
          <w:p>
            <w:pPr>
              <w:pStyle w:val="54"/>
              <w:spacing w:before="131" w:line="440" w:lineRule="exact"/>
              <w:ind w:left="3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498" w:hRule="atLeast"/>
          <w:jc w:val="center"/>
        </w:trPr>
        <w:tc>
          <w:tcPr>
            <w:tcW w:w="5535" w:type="dxa"/>
            <w:noWrap w:val="0"/>
            <w:vAlign w:val="top"/>
          </w:tcPr>
          <w:p>
            <w:pPr>
              <w:pStyle w:val="54"/>
              <w:spacing w:before="130" w:line="440" w:lineRule="exact"/>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一、基坑支护</w:t>
            </w:r>
          </w:p>
        </w:tc>
        <w:tc>
          <w:tcPr>
            <w:tcW w:w="1352" w:type="dxa"/>
            <w:gridSpan w:val="6"/>
            <w:noWrap w:val="0"/>
            <w:vAlign w:val="top"/>
          </w:tcPr>
          <w:p>
            <w:pPr>
              <w:pStyle w:val="54"/>
              <w:spacing w:before="130" w:line="440" w:lineRule="exact"/>
              <w:ind w:left="5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52" w:type="dxa"/>
            <w:gridSpan w:val="4"/>
            <w:noWrap w:val="0"/>
            <w:vAlign w:val="top"/>
          </w:tcPr>
          <w:p>
            <w:pPr>
              <w:pStyle w:val="54"/>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990" w:hRule="atLeast"/>
          <w:jc w:val="center"/>
        </w:trPr>
        <w:tc>
          <w:tcPr>
            <w:tcW w:w="5535" w:type="dxa"/>
            <w:noWrap w:val="0"/>
            <w:vAlign w:val="top"/>
          </w:tcPr>
          <w:p>
            <w:pPr>
              <w:pStyle w:val="54"/>
              <w:spacing w:before="129" w:line="440" w:lineRule="exact"/>
              <w:ind w:left="135" w:right="68" w:hanging="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（一）开挖深度超过</w:t>
            </w:r>
            <w:r>
              <w:rPr>
                <w:rFonts w:hint="eastAsia" w:ascii="宋体" w:hAnsi="宋体" w:eastAsia="宋体" w:cs="宋体"/>
                <w:color w:val="auto"/>
                <w:spacing w:val="-29"/>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3m（含</w:t>
            </w:r>
            <w:r>
              <w:rPr>
                <w:rFonts w:hint="eastAsia" w:ascii="宋体" w:hAnsi="宋体" w:eastAsia="宋体" w:cs="宋体"/>
                <w:color w:val="auto"/>
                <w:spacing w:val="-46"/>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3m）的基坑（槽）</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的土方开挖、支护、降水工程。</w:t>
            </w:r>
          </w:p>
        </w:tc>
        <w:tc>
          <w:tcPr>
            <w:tcW w:w="1352" w:type="dxa"/>
            <w:gridSpan w:val="6"/>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96"/>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cs="宋体"/>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cs="宋体"/>
                <w:color w:val="auto"/>
                <w:spacing w:val="-19"/>
                <w:w w:val="94"/>
                <w:sz w:val="21"/>
                <w:szCs w:val="21"/>
                <w:highlight w:val="none"/>
                <w:lang w:val="en-US" w:eastAsia="zh-CN"/>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52"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500" w:hRule="atLeast"/>
          <w:jc w:val="center"/>
        </w:trPr>
        <w:tc>
          <w:tcPr>
            <w:tcW w:w="5535" w:type="dxa"/>
            <w:noWrap w:val="0"/>
            <w:vAlign w:val="top"/>
          </w:tcPr>
          <w:p>
            <w:pPr>
              <w:pStyle w:val="54"/>
              <w:spacing w:before="132"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（二）开挖深度虽未超过</w:t>
            </w:r>
            <w:r>
              <w:rPr>
                <w:rFonts w:hint="eastAsia" w:ascii="宋体" w:hAnsi="宋体" w:eastAsia="宋体" w:cs="宋体"/>
                <w:color w:val="auto"/>
                <w:spacing w:val="-30"/>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3m，但地质条件、周围环境和地下管线复杂，或影响毗邻建、构筑</w:t>
            </w:r>
            <w:r>
              <w:rPr>
                <w:rFonts w:hint="eastAsia" w:ascii="宋体" w:hAnsi="宋体" w:eastAsia="宋体" w:cs="宋体"/>
                <w:color w:val="auto"/>
                <w:spacing w:val="-1"/>
                <w:sz w:val="21"/>
                <w:szCs w:val="21"/>
                <w:highlight w:val="none"/>
                <w:lang w:eastAsia="zh-CN"/>
              </w:rPr>
              <w:t>物安全的基坑（槽）的土方开挖、支护、降水</w:t>
            </w:r>
            <w:r>
              <w:rPr>
                <w:rFonts w:hint="eastAsia" w:ascii="宋体" w:hAnsi="宋体" w:eastAsia="宋体" w:cs="宋体"/>
                <w:color w:val="auto"/>
                <w:spacing w:val="-4"/>
                <w:sz w:val="21"/>
                <w:szCs w:val="21"/>
                <w:highlight w:val="none"/>
                <w:lang w:eastAsia="zh-CN"/>
              </w:rPr>
              <w:t>工程。</w:t>
            </w:r>
          </w:p>
        </w:tc>
        <w:tc>
          <w:tcPr>
            <w:tcW w:w="1352" w:type="dxa"/>
            <w:gridSpan w:val="6"/>
            <w:noWrap w:val="0"/>
            <w:vAlign w:val="top"/>
          </w:tcPr>
          <w:p>
            <w:pPr>
              <w:pStyle w:val="54"/>
              <w:spacing w:before="132"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52" w:type="dxa"/>
            <w:gridSpan w:val="4"/>
            <w:noWrap w:val="0"/>
            <w:vAlign w:val="top"/>
          </w:tcPr>
          <w:p>
            <w:pPr>
              <w:pStyle w:val="54"/>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pPr>
              <w:pStyle w:val="54"/>
              <w:spacing w:before="127" w:line="440" w:lineRule="exact"/>
              <w:ind w:left="1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二、模板工程及支撑体系</w:t>
            </w:r>
          </w:p>
        </w:tc>
        <w:tc>
          <w:tcPr>
            <w:tcW w:w="1320" w:type="dxa"/>
            <w:gridSpan w:val="4"/>
            <w:noWrap w:val="0"/>
            <w:vAlign w:val="top"/>
          </w:tcPr>
          <w:p>
            <w:pPr>
              <w:pStyle w:val="54"/>
              <w:spacing w:before="126"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26"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50" w:type="dxa"/>
            <w:gridSpan w:val="2"/>
            <w:noWrap w:val="0"/>
            <w:vAlign w:val="top"/>
          </w:tcPr>
          <w:p>
            <w:pPr>
              <w:pStyle w:val="54"/>
              <w:spacing w:before="128" w:line="440" w:lineRule="exact"/>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2285" w:hRule="atLeast"/>
          <w:jc w:val="center"/>
        </w:trPr>
        <w:tc>
          <w:tcPr>
            <w:tcW w:w="5550" w:type="dxa"/>
            <w:gridSpan w:val="2"/>
            <w:noWrap w:val="0"/>
            <w:vAlign w:val="top"/>
          </w:tcPr>
          <w:p>
            <w:pPr>
              <w:pStyle w:val="54"/>
              <w:spacing w:before="131" w:line="440" w:lineRule="exact"/>
              <w:ind w:left="115" w:right="10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（二）混凝土模板支撑工程：搭设高度</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及以</w:t>
            </w:r>
            <w:r>
              <w:rPr>
                <w:rFonts w:hint="eastAsia" w:ascii="宋体" w:hAnsi="宋体" w:eastAsia="宋体" w:cs="宋体"/>
                <w:color w:val="auto"/>
                <w:spacing w:val="-10"/>
                <w:sz w:val="21"/>
                <w:szCs w:val="21"/>
                <w:highlight w:val="none"/>
                <w:lang w:eastAsia="zh-CN"/>
              </w:rPr>
              <w:t>上，或搭设跨度</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10m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及以上，或施工总荷</w:t>
            </w:r>
            <w:r>
              <w:rPr>
                <w:rFonts w:hint="eastAsia" w:ascii="宋体" w:hAnsi="宋体" w:eastAsia="宋体" w:cs="宋体"/>
                <w:color w:val="auto"/>
                <w:spacing w:val="-11"/>
                <w:sz w:val="21"/>
                <w:szCs w:val="21"/>
                <w:highlight w:val="none"/>
                <w:lang w:eastAsia="zh-CN"/>
              </w:rPr>
              <w:t>载（荷</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载效应基本组合的设计值，以下简称设计值）</w:t>
            </w:r>
            <w:r>
              <w:rPr>
                <w:rFonts w:hint="eastAsia" w:ascii="宋体" w:hAnsi="宋体" w:eastAsia="宋体" w:cs="宋体"/>
                <w:color w:val="auto"/>
                <w:spacing w:val="-14"/>
                <w:sz w:val="21"/>
                <w:szCs w:val="21"/>
                <w:highlight w:val="none"/>
                <w:lang w:eastAsia="zh-CN"/>
              </w:rPr>
              <w:t>10kN/m2</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14"/>
                <w:sz w:val="21"/>
                <w:szCs w:val="21"/>
                <w:highlight w:val="none"/>
                <w:lang w:eastAsia="zh-CN"/>
              </w:rPr>
              <w:t>及以上，或集中线荷载（设计值）15kN/m</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及以上，或高度大于支撑水平投影宽度且相对</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独立无联系构件的混凝土模板支撑工程。</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717" w:hRule="atLeast"/>
          <w:jc w:val="center"/>
        </w:trPr>
        <w:tc>
          <w:tcPr>
            <w:tcW w:w="5550" w:type="dxa"/>
            <w:gridSpan w:val="2"/>
            <w:noWrap w:val="0"/>
            <w:vAlign w:val="top"/>
          </w:tcPr>
          <w:p>
            <w:pPr>
              <w:pStyle w:val="54"/>
              <w:spacing w:before="131"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w:t>
            </w:r>
            <w:r>
              <w:rPr>
                <w:rFonts w:hint="eastAsia" w:ascii="宋体" w:hAnsi="宋体" w:eastAsia="宋体" w:cs="宋体"/>
                <w:color w:val="auto"/>
                <w:spacing w:val="-3"/>
                <w:sz w:val="21"/>
                <w:szCs w:val="21"/>
                <w:highlight w:val="none"/>
                <w:lang w:eastAsia="zh-CN"/>
              </w:rPr>
              <w:t>支撑体系。</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pPr>
              <w:pStyle w:val="54"/>
              <w:spacing w:before="131" w:line="440" w:lineRule="exact"/>
              <w:ind w:left="35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三、起重吊装及起重机械安装拆卸工程</w:t>
            </w:r>
          </w:p>
        </w:tc>
        <w:tc>
          <w:tcPr>
            <w:tcW w:w="1320" w:type="dxa"/>
            <w:gridSpan w:val="4"/>
            <w:noWrap w:val="0"/>
            <w:vAlign w:val="top"/>
          </w:tcPr>
          <w:p>
            <w:pPr>
              <w:pStyle w:val="54"/>
              <w:spacing w:before="130"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50" w:type="dxa"/>
            <w:gridSpan w:val="2"/>
            <w:noWrap w:val="0"/>
            <w:vAlign w:val="top"/>
          </w:tcPr>
          <w:p>
            <w:pPr>
              <w:pStyle w:val="54"/>
              <w:spacing w:before="130" w:line="440" w:lineRule="exact"/>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及以上的起重吊装工程。</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pPr>
              <w:pStyle w:val="54"/>
              <w:spacing w:before="131"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（二）采用起重机械进行安装的工程。</w:t>
            </w:r>
          </w:p>
        </w:tc>
        <w:tc>
          <w:tcPr>
            <w:tcW w:w="1320" w:type="dxa"/>
            <w:gridSpan w:val="4"/>
            <w:noWrap w:val="0"/>
            <w:vAlign w:val="top"/>
          </w:tcPr>
          <w:p>
            <w:pPr>
              <w:pStyle w:val="54"/>
              <w:spacing w:before="130"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pPr>
              <w:pStyle w:val="54"/>
              <w:spacing w:before="132"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（三）起重机械安装和拆卸工程。</w:t>
            </w:r>
          </w:p>
        </w:tc>
        <w:tc>
          <w:tcPr>
            <w:tcW w:w="1320" w:type="dxa"/>
            <w:gridSpan w:val="4"/>
            <w:noWrap w:val="0"/>
            <w:vAlign w:val="top"/>
          </w:tcPr>
          <w:p>
            <w:pPr>
              <w:pStyle w:val="54"/>
              <w:spacing w:before="131"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pPr>
              <w:pStyle w:val="54"/>
              <w:spacing w:before="132" w:line="440" w:lineRule="exact"/>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1320" w:type="dxa"/>
            <w:gridSpan w:val="4"/>
            <w:noWrap w:val="0"/>
            <w:vAlign w:val="top"/>
          </w:tcPr>
          <w:p>
            <w:pPr>
              <w:pStyle w:val="54"/>
              <w:spacing w:before="131" w:line="440" w:lineRule="exact"/>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50" w:type="dxa"/>
            <w:gridSpan w:val="2"/>
            <w:noWrap w:val="0"/>
            <w:vAlign w:val="top"/>
          </w:tcPr>
          <w:p>
            <w:pPr>
              <w:pStyle w:val="54"/>
              <w:spacing w:before="133"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（一）搭设高度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24m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及以上的落地式钢管脚手</w:t>
            </w:r>
            <w:r>
              <w:rPr>
                <w:rFonts w:hint="eastAsia" w:ascii="宋体" w:hAnsi="宋体" w:eastAsia="宋体" w:cs="宋体"/>
                <w:color w:val="auto"/>
                <w:spacing w:val="-1"/>
                <w:sz w:val="21"/>
                <w:szCs w:val="21"/>
                <w:highlight w:val="none"/>
                <w:lang w:eastAsia="zh-CN"/>
              </w:rPr>
              <w:t>架工程（包括采光井、电梯井脚手架）。</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pPr>
              <w:pStyle w:val="54"/>
              <w:spacing w:before="133"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（二）附着式升降脚手架工程。</w:t>
            </w:r>
          </w:p>
        </w:tc>
        <w:tc>
          <w:tcPr>
            <w:tcW w:w="1320" w:type="dxa"/>
            <w:gridSpan w:val="4"/>
            <w:noWrap w:val="0"/>
            <w:vAlign w:val="top"/>
          </w:tcPr>
          <w:p>
            <w:pPr>
              <w:pStyle w:val="54"/>
              <w:spacing w:before="132" w:line="440" w:lineRule="exact"/>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pPr>
              <w:pStyle w:val="54"/>
              <w:spacing w:before="133"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（三）悬挑式脚手架工程。</w:t>
            </w:r>
          </w:p>
        </w:tc>
        <w:tc>
          <w:tcPr>
            <w:tcW w:w="1320" w:type="dxa"/>
            <w:gridSpan w:val="4"/>
            <w:noWrap w:val="0"/>
            <w:vAlign w:val="top"/>
          </w:tcPr>
          <w:p>
            <w:pPr>
              <w:pStyle w:val="54"/>
              <w:spacing w:before="132" w:line="440" w:lineRule="exact"/>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pPr>
              <w:pStyle w:val="54"/>
              <w:spacing w:before="133"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（四）高处作业吊篮。</w:t>
            </w:r>
          </w:p>
        </w:tc>
        <w:tc>
          <w:tcPr>
            <w:tcW w:w="1320" w:type="dxa"/>
            <w:gridSpan w:val="4"/>
            <w:noWrap w:val="0"/>
            <w:vAlign w:val="top"/>
          </w:tcPr>
          <w:p>
            <w:pPr>
              <w:pStyle w:val="54"/>
              <w:spacing w:before="133"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3"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pPr>
              <w:pStyle w:val="54"/>
              <w:spacing w:before="131" w:line="440" w:lineRule="exact"/>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（五）卸料平台、操作平台工程。</w:t>
            </w:r>
          </w:p>
        </w:tc>
        <w:tc>
          <w:tcPr>
            <w:tcW w:w="1320" w:type="dxa"/>
            <w:gridSpan w:val="4"/>
            <w:noWrap w:val="0"/>
            <w:vAlign w:val="top"/>
          </w:tcPr>
          <w:p>
            <w:pPr>
              <w:pStyle w:val="54"/>
              <w:spacing w:before="131" w:line="440" w:lineRule="exact"/>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pPr>
              <w:pStyle w:val="54"/>
              <w:spacing w:before="132"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（六）异型脚手架工程。</w:t>
            </w:r>
          </w:p>
        </w:tc>
        <w:tc>
          <w:tcPr>
            <w:tcW w:w="1320" w:type="dxa"/>
            <w:gridSpan w:val="4"/>
            <w:noWrap w:val="0"/>
            <w:vAlign w:val="top"/>
          </w:tcPr>
          <w:p>
            <w:pPr>
              <w:pStyle w:val="54"/>
              <w:spacing w:before="132"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50" w:type="dxa"/>
            <w:gridSpan w:val="2"/>
            <w:noWrap w:val="0"/>
            <w:vAlign w:val="top"/>
          </w:tcPr>
          <w:p>
            <w:pPr>
              <w:pStyle w:val="54"/>
              <w:spacing w:before="132" w:line="440" w:lineRule="exact"/>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1320" w:type="dxa"/>
            <w:gridSpan w:val="4"/>
            <w:noWrap w:val="0"/>
            <w:vAlign w:val="top"/>
          </w:tcPr>
          <w:p>
            <w:pPr>
              <w:pStyle w:val="54"/>
              <w:spacing w:before="132" w:line="440" w:lineRule="exact"/>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2"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50" w:type="dxa"/>
            <w:gridSpan w:val="2"/>
            <w:noWrap w:val="0"/>
            <w:vAlign w:val="top"/>
          </w:tcPr>
          <w:p>
            <w:pPr>
              <w:pStyle w:val="54"/>
              <w:spacing w:before="130" w:line="440" w:lineRule="exact"/>
              <w:ind w:left="117" w:leftChars="0" w:right="168" w:righ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lang w:eastAsia="zh-CN"/>
              </w:rPr>
              <w:t>可能影响行人、交通、电力设施、通讯设施或其它建、构筑物安全的拆除工程。</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05"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50" w:type="dxa"/>
            <w:gridSpan w:val="2"/>
            <w:noWrap w:val="0"/>
            <w:vAlign w:val="top"/>
          </w:tcPr>
          <w:p>
            <w:pPr>
              <w:pStyle w:val="54"/>
              <w:spacing w:before="130" w:line="440" w:lineRule="exact"/>
              <w:ind w:left="117" w:leftChars="0" w:right="168" w:rightChars="0"/>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2"/>
                <w:sz w:val="21"/>
                <w:szCs w:val="21"/>
                <w:highlight w:val="none"/>
              </w:rPr>
              <w:t>六、暗挖工程</w:t>
            </w:r>
          </w:p>
        </w:tc>
        <w:tc>
          <w:tcPr>
            <w:tcW w:w="1320" w:type="dxa"/>
            <w:gridSpan w:val="4"/>
            <w:noWrap w:val="0"/>
            <w:vAlign w:val="top"/>
          </w:tcPr>
          <w:p>
            <w:pPr>
              <w:pStyle w:val="54"/>
              <w:spacing w:before="78" w:line="440" w:lineRule="exact"/>
              <w:ind w:left="305" w:leftChars="0"/>
              <w:rPr>
                <w:rFonts w:hint="eastAsia" w:ascii="宋体" w:hAnsi="宋体" w:eastAsia="宋体" w:cs="宋体"/>
                <w:color w:val="auto"/>
                <w:spacing w:val="-19"/>
                <w:w w:val="94"/>
                <w:sz w:val="21"/>
                <w:szCs w:val="21"/>
                <w:highlight w:val="none"/>
              </w:rPr>
            </w:pPr>
          </w:p>
        </w:tc>
        <w:tc>
          <w:tcPr>
            <w:tcW w:w="1365" w:type="dxa"/>
            <w:gridSpan w:val="4"/>
            <w:noWrap w:val="0"/>
            <w:vAlign w:val="top"/>
          </w:tcPr>
          <w:p>
            <w:pPr>
              <w:pStyle w:val="54"/>
              <w:spacing w:before="78" w:line="440" w:lineRule="exact"/>
              <w:ind w:left="367" w:leftChars="0"/>
              <w:rPr>
                <w:rFonts w:hint="eastAsia" w:ascii="宋体" w:hAnsi="宋体" w:eastAsia="宋体" w:cs="宋体"/>
                <w:color w:val="auto"/>
                <w:spacing w:val="-19"/>
                <w:w w:val="94"/>
                <w:sz w:val="21"/>
                <w:szCs w:val="21"/>
                <w:highlight w:val="none"/>
              </w:rPr>
            </w:pP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4" w:hRule="atLeast"/>
          <w:jc w:val="center"/>
        </w:trPr>
        <w:tc>
          <w:tcPr>
            <w:tcW w:w="5550" w:type="dxa"/>
            <w:gridSpan w:val="2"/>
            <w:noWrap w:val="0"/>
            <w:vAlign w:val="top"/>
          </w:tcPr>
          <w:p>
            <w:pPr>
              <w:pStyle w:val="54"/>
              <w:spacing w:before="125" w:line="440" w:lineRule="exact"/>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4"/>
                <w:sz w:val="21"/>
                <w:szCs w:val="21"/>
                <w:highlight w:val="none"/>
                <w:lang w:eastAsia="zh-CN"/>
              </w:rPr>
              <w:t>室工程。</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pPr>
              <w:pStyle w:val="54"/>
              <w:spacing w:before="128" w:line="440" w:lineRule="exact"/>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1320" w:type="dxa"/>
            <w:gridSpan w:val="4"/>
            <w:noWrap w:val="0"/>
            <w:vAlign w:val="top"/>
          </w:tcPr>
          <w:p>
            <w:pPr>
              <w:pStyle w:val="54"/>
              <w:spacing w:before="12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2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pPr>
              <w:pStyle w:val="54"/>
              <w:spacing w:before="130"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（一）建筑幕墙安装工程。</w:t>
            </w:r>
          </w:p>
        </w:tc>
        <w:tc>
          <w:tcPr>
            <w:tcW w:w="1320" w:type="dxa"/>
            <w:gridSpan w:val="4"/>
            <w:noWrap w:val="0"/>
            <w:vAlign w:val="top"/>
          </w:tcPr>
          <w:p>
            <w:pPr>
              <w:pStyle w:val="54"/>
              <w:spacing w:before="129"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29"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pPr>
              <w:pStyle w:val="54"/>
              <w:spacing w:before="127"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（二）钢结构、网架和索膜结构安装工程。</w:t>
            </w:r>
          </w:p>
        </w:tc>
        <w:tc>
          <w:tcPr>
            <w:tcW w:w="1320" w:type="dxa"/>
            <w:gridSpan w:val="4"/>
            <w:noWrap w:val="0"/>
            <w:vAlign w:val="top"/>
          </w:tcPr>
          <w:p>
            <w:pPr>
              <w:pStyle w:val="54"/>
              <w:spacing w:before="127"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27"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pPr>
              <w:pStyle w:val="54"/>
              <w:spacing w:before="128"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（三）人工挖孔桩工程。</w:t>
            </w:r>
          </w:p>
        </w:tc>
        <w:tc>
          <w:tcPr>
            <w:tcW w:w="1320" w:type="dxa"/>
            <w:gridSpan w:val="4"/>
            <w:noWrap w:val="0"/>
            <w:vAlign w:val="top"/>
          </w:tcPr>
          <w:p>
            <w:pPr>
              <w:pStyle w:val="54"/>
              <w:spacing w:before="12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2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pPr>
              <w:pStyle w:val="54"/>
              <w:spacing w:before="128"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1320" w:type="dxa"/>
            <w:gridSpan w:val="4"/>
            <w:noWrap w:val="0"/>
            <w:vAlign w:val="top"/>
          </w:tcPr>
          <w:p>
            <w:pPr>
              <w:pStyle w:val="54"/>
              <w:spacing w:before="12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2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pPr>
              <w:pStyle w:val="54"/>
              <w:spacing w:before="129"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（五）装配式建筑混凝土预制构件安装工程。</w:t>
            </w:r>
          </w:p>
        </w:tc>
        <w:tc>
          <w:tcPr>
            <w:tcW w:w="1320" w:type="dxa"/>
            <w:gridSpan w:val="4"/>
            <w:noWrap w:val="0"/>
            <w:vAlign w:val="top"/>
          </w:tcPr>
          <w:p>
            <w:pPr>
              <w:pStyle w:val="54"/>
              <w:spacing w:before="129"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29"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78" w:hRule="atLeast"/>
          <w:jc w:val="center"/>
        </w:trPr>
        <w:tc>
          <w:tcPr>
            <w:tcW w:w="5550" w:type="dxa"/>
            <w:gridSpan w:val="2"/>
            <w:noWrap w:val="0"/>
            <w:vAlign w:val="top"/>
          </w:tcPr>
          <w:p>
            <w:pPr>
              <w:pStyle w:val="54"/>
              <w:spacing w:before="128" w:line="440" w:lineRule="exact"/>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方技术标准的分部分项工程。</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4" w:hRule="atLeast"/>
          <w:jc w:val="center"/>
        </w:trPr>
        <w:tc>
          <w:tcPr>
            <w:tcW w:w="5550" w:type="dxa"/>
            <w:gridSpan w:val="2"/>
            <w:noWrap w:val="0"/>
            <w:vAlign w:val="top"/>
          </w:tcPr>
          <w:p>
            <w:pPr>
              <w:pStyle w:val="54"/>
              <w:spacing w:before="130" w:line="440" w:lineRule="exact"/>
              <w:ind w:left="115" w:right="108" w:firstLine="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二、超过一定规模的危险性较大的分部分项工</w:t>
            </w:r>
            <w:r>
              <w:rPr>
                <w:rFonts w:hint="eastAsia" w:ascii="宋体" w:hAnsi="宋体" w:eastAsia="宋体" w:cs="宋体"/>
                <w:color w:val="auto"/>
                <w:spacing w:val="15"/>
                <w:sz w:val="21"/>
                <w:szCs w:val="21"/>
                <w:highlight w:val="none"/>
                <w:lang w:eastAsia="zh-CN"/>
              </w:rPr>
              <w:t xml:space="preserve"> </w:t>
            </w:r>
            <w:r>
              <w:rPr>
                <w:rFonts w:hint="eastAsia" w:ascii="宋体" w:hAnsi="宋体" w:eastAsia="宋体" w:cs="宋体"/>
                <w:b/>
                <w:bCs/>
                <w:color w:val="auto"/>
                <w:spacing w:val="-5"/>
                <w:sz w:val="21"/>
                <w:szCs w:val="21"/>
                <w:highlight w:val="none"/>
                <w:lang w:eastAsia="zh-CN"/>
              </w:rPr>
              <w:t>程清单</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119"/>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pPr>
              <w:pStyle w:val="54"/>
              <w:spacing w:before="130" w:line="440" w:lineRule="exact"/>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一、深基坑工程</w:t>
            </w:r>
          </w:p>
        </w:tc>
        <w:tc>
          <w:tcPr>
            <w:tcW w:w="1320" w:type="dxa"/>
            <w:gridSpan w:val="4"/>
            <w:noWrap w:val="0"/>
            <w:vAlign w:val="top"/>
          </w:tcPr>
          <w:p>
            <w:pPr>
              <w:pStyle w:val="54"/>
              <w:spacing w:before="130"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5" w:hRule="atLeast"/>
          <w:jc w:val="center"/>
        </w:trPr>
        <w:tc>
          <w:tcPr>
            <w:tcW w:w="5550" w:type="dxa"/>
            <w:gridSpan w:val="2"/>
            <w:noWrap w:val="0"/>
            <w:vAlign w:val="top"/>
          </w:tcPr>
          <w:p>
            <w:pPr>
              <w:pStyle w:val="54"/>
              <w:spacing w:before="131" w:line="440" w:lineRule="exact"/>
              <w:ind w:left="117" w:right="10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开挖深度超过</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5m（含</w:t>
            </w:r>
            <w:r>
              <w:rPr>
                <w:rFonts w:hint="eastAsia" w:ascii="宋体" w:hAnsi="宋体" w:eastAsia="宋体" w:cs="宋体"/>
                <w:color w:val="auto"/>
                <w:spacing w:val="-45"/>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5m）的基坑（槽）的土方</w:t>
            </w:r>
            <w:r>
              <w:rPr>
                <w:rFonts w:hint="eastAsia" w:ascii="宋体" w:hAnsi="宋体" w:eastAsia="宋体" w:cs="宋体"/>
                <w:color w:val="auto"/>
                <w:spacing w:val="-1"/>
                <w:sz w:val="21"/>
                <w:szCs w:val="21"/>
                <w:highlight w:val="none"/>
                <w:lang w:eastAsia="zh-CN"/>
              </w:rPr>
              <w:t>开挖、支护、降水工程。</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pPr>
              <w:pStyle w:val="54"/>
              <w:spacing w:before="130" w:line="440" w:lineRule="exact"/>
              <w:ind w:left="1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二、模板工程及支撑体系</w:t>
            </w:r>
          </w:p>
        </w:tc>
        <w:tc>
          <w:tcPr>
            <w:tcW w:w="1320" w:type="dxa"/>
            <w:gridSpan w:val="4"/>
            <w:noWrap w:val="0"/>
            <w:vAlign w:val="top"/>
          </w:tcPr>
          <w:p>
            <w:pPr>
              <w:pStyle w:val="54"/>
              <w:spacing w:before="129"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pStyle w:val="54"/>
              <w:spacing w:before="129"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5" w:hRule="atLeast"/>
          <w:jc w:val="center"/>
        </w:trPr>
        <w:tc>
          <w:tcPr>
            <w:tcW w:w="5550" w:type="dxa"/>
            <w:gridSpan w:val="2"/>
            <w:noWrap w:val="0"/>
            <w:vAlign w:val="top"/>
          </w:tcPr>
          <w:p>
            <w:pPr>
              <w:pStyle w:val="54"/>
              <w:spacing w:before="131" w:line="440" w:lineRule="exact"/>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1302" w:hRule="atLeast"/>
          <w:jc w:val="center"/>
        </w:trPr>
        <w:tc>
          <w:tcPr>
            <w:tcW w:w="5550" w:type="dxa"/>
            <w:gridSpan w:val="2"/>
            <w:noWrap w:val="0"/>
            <w:vAlign w:val="top"/>
          </w:tcPr>
          <w:p>
            <w:pPr>
              <w:pStyle w:val="54"/>
              <w:spacing w:before="132" w:line="440" w:lineRule="exact"/>
              <w:ind w:left="116" w:right="6" w:firstLine="11"/>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（二）混凝土模板支撑工程：搭设高度8m</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w:t>
            </w:r>
            <w:r>
              <w:rPr>
                <w:rFonts w:hint="eastAsia" w:ascii="宋体" w:hAnsi="宋体" w:eastAsia="宋体" w:cs="宋体"/>
                <w:color w:val="auto"/>
                <w:spacing w:val="-11"/>
                <w:sz w:val="21"/>
                <w:szCs w:val="21"/>
                <w:highlight w:val="none"/>
                <w:lang w:eastAsia="zh-CN"/>
              </w:rPr>
              <w:t>上，或搭设跨度</w:t>
            </w:r>
            <w:r>
              <w:rPr>
                <w:rFonts w:hint="eastAsia" w:ascii="宋体" w:hAnsi="宋体" w:eastAsia="宋体" w:cs="宋体"/>
                <w:color w:val="auto"/>
                <w:spacing w:val="-15"/>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18m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及以上，或施工总荷载（设</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计值）15kN/m2</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及以上，或集中线荷载（设</w:t>
            </w:r>
            <w:r>
              <w:rPr>
                <w:rFonts w:hint="eastAsia" w:ascii="宋体" w:hAnsi="宋体" w:eastAsia="宋体" w:cs="宋体"/>
                <w:color w:val="auto"/>
                <w:spacing w:val="-12"/>
                <w:sz w:val="21"/>
                <w:szCs w:val="21"/>
                <w:highlight w:val="none"/>
                <w:lang w:eastAsia="zh-CN"/>
              </w:rPr>
              <w:t>计值）</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20kN/m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6" w:hRule="atLeast"/>
          <w:jc w:val="center"/>
        </w:trPr>
        <w:tc>
          <w:tcPr>
            <w:tcW w:w="5550" w:type="dxa"/>
            <w:gridSpan w:val="2"/>
            <w:noWrap w:val="0"/>
            <w:vAlign w:val="top"/>
          </w:tcPr>
          <w:p>
            <w:pPr>
              <w:pStyle w:val="54"/>
              <w:spacing w:before="131"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（三）承重支撑体系：用于钢结构安装等满堂支撑体系，承受单点集中荷载</w:t>
            </w:r>
            <w:r>
              <w:rPr>
                <w:rFonts w:hint="eastAsia" w:ascii="宋体" w:hAnsi="宋体" w:eastAsia="宋体" w:cs="宋体"/>
                <w:color w:val="auto"/>
                <w:spacing w:val="-40"/>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7kN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w:t>
            </w:r>
          </w:p>
        </w:tc>
        <w:tc>
          <w:tcPr>
            <w:tcW w:w="1320" w:type="dxa"/>
            <w:gridSpan w:val="4"/>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4" w:hRule="atLeast"/>
          <w:jc w:val="center"/>
        </w:trPr>
        <w:tc>
          <w:tcPr>
            <w:tcW w:w="5588" w:type="dxa"/>
            <w:gridSpan w:val="4"/>
            <w:noWrap w:val="0"/>
            <w:vAlign w:val="top"/>
          </w:tcPr>
          <w:p>
            <w:pPr>
              <w:pStyle w:val="54"/>
              <w:spacing w:before="132" w:line="440" w:lineRule="exact"/>
              <w:ind w:left="35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三、起重吊装及起重机械安装拆卸工程</w:t>
            </w:r>
          </w:p>
        </w:tc>
        <w:tc>
          <w:tcPr>
            <w:tcW w:w="1312" w:type="dxa"/>
            <w:gridSpan w:val="3"/>
            <w:noWrap w:val="0"/>
            <w:vAlign w:val="top"/>
          </w:tcPr>
          <w:p>
            <w:pPr>
              <w:pStyle w:val="54"/>
              <w:spacing w:before="131"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z w:val="21"/>
                <w:szCs w:val="21"/>
                <w:highlight w:val="none"/>
              </w:rPr>
              <w:t>)</w:t>
            </w:r>
          </w:p>
        </w:tc>
        <w:tc>
          <w:tcPr>
            <w:tcW w:w="1365" w:type="dxa"/>
            <w:gridSpan w:val="4"/>
            <w:noWrap w:val="0"/>
            <w:vAlign w:val="top"/>
          </w:tcPr>
          <w:p>
            <w:pPr>
              <w:pStyle w:val="54"/>
              <w:spacing w:before="131" w:line="440" w:lineRule="exact"/>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pPr>
              <w:pStyle w:val="54"/>
              <w:spacing w:before="126" w:line="440" w:lineRule="exact"/>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吊重量在100kN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及以上的起重吊装工程。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978" w:hRule="atLeast"/>
          <w:jc w:val="center"/>
        </w:trPr>
        <w:tc>
          <w:tcPr>
            <w:tcW w:w="5588" w:type="dxa"/>
            <w:gridSpan w:val="4"/>
            <w:noWrap w:val="0"/>
            <w:vAlign w:val="top"/>
          </w:tcPr>
          <w:p>
            <w:pPr>
              <w:pStyle w:val="54"/>
              <w:spacing w:before="128" w:line="440" w:lineRule="exact"/>
              <w:ind w:left="115" w:right="105" w:firstLine="1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（二）起重量</w:t>
            </w:r>
            <w:r>
              <w:rPr>
                <w:rFonts w:hint="eastAsia" w:ascii="宋体" w:hAnsi="宋体" w:eastAsia="宋体" w:cs="宋体"/>
                <w:color w:val="auto"/>
                <w:spacing w:val="-41"/>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300kN</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及以上，或搭设总高度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200m</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及以上，或搭设基础标高在</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200m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机械安装和拆卸工程。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1" w:hRule="atLeast"/>
          <w:jc w:val="center"/>
        </w:trPr>
        <w:tc>
          <w:tcPr>
            <w:tcW w:w="5588" w:type="dxa"/>
            <w:gridSpan w:val="4"/>
            <w:noWrap w:val="0"/>
            <w:vAlign w:val="top"/>
          </w:tcPr>
          <w:p>
            <w:pPr>
              <w:pStyle w:val="54"/>
              <w:spacing w:before="130" w:line="440" w:lineRule="exact"/>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690" w:type="dxa"/>
            <w:tcBorders>
              <w:right w:val="nil"/>
            </w:tcBorders>
            <w:noWrap w:val="0"/>
            <w:vAlign w:val="top"/>
          </w:tcPr>
          <w:p>
            <w:pPr>
              <w:pStyle w:val="54"/>
              <w:spacing w:before="130"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pStyle w:val="54"/>
              <w:spacing w:before="130"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pStyle w:val="54"/>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pStyle w:val="54"/>
              <w:spacing w:before="130"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pPr>
              <w:pStyle w:val="54"/>
              <w:spacing w:before="129"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（一）搭设高度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50m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及以上的落地式钢管脚手架工程。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pPr>
              <w:pStyle w:val="54"/>
              <w:spacing w:before="129" w:line="440" w:lineRule="exact"/>
              <w:ind w:left="116" w:right="105"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（二）提升高度在</w:t>
            </w:r>
            <w:r>
              <w:rPr>
                <w:rFonts w:hint="eastAsia" w:ascii="宋体" w:hAnsi="宋体" w:eastAsia="宋体" w:cs="宋体"/>
                <w:color w:val="auto"/>
                <w:spacing w:val="-16"/>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150m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及以上的附着式升降脚</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手架工程或附着式升降操作平台工程。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pPr>
              <w:pStyle w:val="54"/>
              <w:spacing w:before="129" w:line="440" w:lineRule="exact"/>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（三）分段架体搭设高度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及以上的悬挑式</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脚手架工程。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67" w:hRule="atLeast"/>
          <w:jc w:val="center"/>
        </w:trPr>
        <w:tc>
          <w:tcPr>
            <w:tcW w:w="5588" w:type="dxa"/>
            <w:gridSpan w:val="4"/>
            <w:noWrap w:val="0"/>
            <w:vAlign w:val="top"/>
          </w:tcPr>
          <w:p>
            <w:pPr>
              <w:pStyle w:val="54"/>
              <w:spacing w:before="129" w:line="440" w:lineRule="exact"/>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690" w:type="dxa"/>
            <w:tcBorders>
              <w:right w:val="nil"/>
            </w:tcBorders>
            <w:noWrap w:val="0"/>
            <w:vAlign w:val="top"/>
          </w:tcPr>
          <w:p>
            <w:pPr>
              <w:pStyle w:val="54"/>
              <w:spacing w:before="156" w:line="440" w:lineRule="exact"/>
              <w:ind w:left="4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pStyle w:val="54"/>
              <w:spacing w:before="156" w:line="440" w:lineRule="exact"/>
              <w:ind w:left="1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pStyle w:val="54"/>
              <w:spacing w:before="156"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pStyle w:val="54"/>
              <w:spacing w:before="156"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991" w:hRule="atLeast"/>
          <w:jc w:val="center"/>
        </w:trPr>
        <w:tc>
          <w:tcPr>
            <w:tcW w:w="5588" w:type="dxa"/>
            <w:gridSpan w:val="4"/>
            <w:noWrap w:val="0"/>
            <w:vAlign w:val="top"/>
          </w:tcPr>
          <w:p>
            <w:pPr>
              <w:pStyle w:val="54"/>
              <w:spacing w:before="127" w:line="440" w:lineRule="exact"/>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（一）码头、桥梁、高架、烟囱、水塔或拆除</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中容易引起有毒有害气（液）体或粉尘扩散、易燃易爆事故发生的特殊建、构筑物的拆除工</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4" w:hRule="atLeast"/>
          <w:jc w:val="center"/>
        </w:trPr>
        <w:tc>
          <w:tcPr>
            <w:tcW w:w="5588" w:type="dxa"/>
            <w:gridSpan w:val="4"/>
            <w:noWrap w:val="0"/>
            <w:vAlign w:val="top"/>
          </w:tcPr>
          <w:p>
            <w:pPr>
              <w:pStyle w:val="54"/>
              <w:spacing w:before="130" w:line="440" w:lineRule="exact"/>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（二）文物保护建筑、优秀历史建筑或历史文</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化风貌区影响范围内的拆除工程。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44" w:hRule="atLeast"/>
          <w:jc w:val="center"/>
        </w:trPr>
        <w:tc>
          <w:tcPr>
            <w:tcW w:w="5588" w:type="dxa"/>
            <w:gridSpan w:val="4"/>
            <w:noWrap w:val="0"/>
            <w:vAlign w:val="top"/>
          </w:tcPr>
          <w:p>
            <w:pPr>
              <w:pStyle w:val="54"/>
              <w:spacing w:before="130" w:line="440" w:lineRule="exact"/>
              <w:ind w:left="11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六、暗挖工程</w:t>
            </w:r>
          </w:p>
        </w:tc>
        <w:tc>
          <w:tcPr>
            <w:tcW w:w="690" w:type="dxa"/>
            <w:tcBorders>
              <w:right w:val="nil"/>
            </w:tcBorders>
            <w:noWrap w:val="0"/>
            <w:vAlign w:val="top"/>
          </w:tcPr>
          <w:p>
            <w:pPr>
              <w:pStyle w:val="54"/>
              <w:spacing w:before="139"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pStyle w:val="54"/>
              <w:spacing w:before="139"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pStyle w:val="54"/>
              <w:spacing w:before="139"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pStyle w:val="54"/>
              <w:spacing w:before="139"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4" w:hRule="atLeast"/>
          <w:jc w:val="center"/>
        </w:trPr>
        <w:tc>
          <w:tcPr>
            <w:tcW w:w="5588" w:type="dxa"/>
            <w:gridSpan w:val="4"/>
            <w:noWrap w:val="0"/>
            <w:vAlign w:val="top"/>
          </w:tcPr>
          <w:p>
            <w:pPr>
              <w:pStyle w:val="54"/>
              <w:spacing w:before="130" w:line="440" w:lineRule="exact"/>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室工程。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1" w:hRule="atLeast"/>
          <w:jc w:val="center"/>
        </w:trPr>
        <w:tc>
          <w:tcPr>
            <w:tcW w:w="5588" w:type="dxa"/>
            <w:gridSpan w:val="4"/>
            <w:noWrap w:val="0"/>
            <w:vAlign w:val="top"/>
          </w:tcPr>
          <w:p>
            <w:pPr>
              <w:pStyle w:val="54"/>
              <w:spacing w:before="130" w:line="440" w:lineRule="exact"/>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690" w:type="dxa"/>
            <w:tcBorders>
              <w:right w:val="nil"/>
            </w:tcBorders>
            <w:noWrap w:val="0"/>
            <w:vAlign w:val="top"/>
          </w:tcPr>
          <w:p>
            <w:pPr>
              <w:pStyle w:val="54"/>
              <w:spacing w:before="130"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pStyle w:val="54"/>
              <w:spacing w:before="130"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pStyle w:val="54"/>
              <w:spacing w:before="130"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pStyle w:val="54"/>
              <w:spacing w:before="130"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498" w:hRule="atLeast"/>
          <w:jc w:val="center"/>
        </w:trPr>
        <w:tc>
          <w:tcPr>
            <w:tcW w:w="5588" w:type="dxa"/>
            <w:gridSpan w:val="4"/>
            <w:noWrap w:val="0"/>
            <w:vAlign w:val="top"/>
          </w:tcPr>
          <w:p>
            <w:pPr>
              <w:pStyle w:val="54"/>
              <w:spacing w:before="131" w:line="440" w:lineRule="exact"/>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（一）施工高度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50m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及以上的建筑幕墙安装工</w:t>
            </w:r>
            <w:r>
              <w:rPr>
                <w:rFonts w:hint="eastAsia" w:ascii="宋体" w:hAnsi="宋体" w:eastAsia="宋体" w:cs="宋体"/>
                <w:color w:val="auto"/>
                <w:spacing w:val="-5"/>
                <w:sz w:val="21"/>
                <w:szCs w:val="21"/>
                <w:highlight w:val="none"/>
                <w:lang w:eastAsia="zh-CN"/>
              </w:rPr>
              <w:t>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9" w:hRule="atLeast"/>
          <w:jc w:val="center"/>
        </w:trPr>
        <w:tc>
          <w:tcPr>
            <w:tcW w:w="5588" w:type="dxa"/>
            <w:gridSpan w:val="4"/>
            <w:noWrap w:val="0"/>
            <w:vAlign w:val="top"/>
          </w:tcPr>
          <w:p>
            <w:pPr>
              <w:pStyle w:val="54"/>
              <w:spacing w:before="133" w:line="440" w:lineRule="exact"/>
              <w:ind w:left="116" w:right="168"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（二）跨度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36m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及以上的钢结构安装工程，或</w:t>
            </w:r>
            <w:r>
              <w:rPr>
                <w:rFonts w:hint="eastAsia" w:ascii="宋体" w:hAnsi="宋体" w:eastAsia="宋体" w:cs="宋体"/>
                <w:color w:val="auto"/>
                <w:spacing w:val="-2"/>
                <w:sz w:val="21"/>
                <w:szCs w:val="21"/>
                <w:highlight w:val="none"/>
                <w:lang w:eastAsia="zh-CN"/>
              </w:rPr>
              <w:t>跨度</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60m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及以上的网架和索膜结构安装工程。</w:t>
            </w:r>
          </w:p>
        </w:tc>
        <w:tc>
          <w:tcPr>
            <w:tcW w:w="690" w:type="dxa"/>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268" w:hRule="atLeast"/>
          <w:jc w:val="center"/>
        </w:trPr>
        <w:tc>
          <w:tcPr>
            <w:tcW w:w="5588" w:type="dxa"/>
            <w:gridSpan w:val="4"/>
            <w:noWrap w:val="0"/>
            <w:vAlign w:val="top"/>
          </w:tcPr>
          <w:p>
            <w:pPr>
              <w:pStyle w:val="54"/>
              <w:spacing w:before="131" w:line="44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（三）开挖深度</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16m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及以上的人工挖孔桩工程。</w:t>
            </w:r>
          </w:p>
        </w:tc>
        <w:tc>
          <w:tcPr>
            <w:tcW w:w="815" w:type="dxa"/>
            <w:gridSpan w:val="2"/>
            <w:tcBorders>
              <w:right w:val="nil"/>
            </w:tcBorders>
            <w:noWrap w:val="0"/>
            <w:vAlign w:val="top"/>
          </w:tcPr>
          <w:p>
            <w:pPr>
              <w:pStyle w:val="54"/>
              <w:spacing w:before="131"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pPr>
              <w:pStyle w:val="54"/>
              <w:spacing w:before="131"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pPr>
              <w:pStyle w:val="54"/>
              <w:spacing w:before="13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pPr>
              <w:pStyle w:val="54"/>
              <w:spacing w:before="131"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268" w:hRule="atLeast"/>
          <w:jc w:val="center"/>
        </w:trPr>
        <w:tc>
          <w:tcPr>
            <w:tcW w:w="5588" w:type="dxa"/>
            <w:gridSpan w:val="4"/>
            <w:noWrap w:val="0"/>
            <w:vAlign w:val="top"/>
          </w:tcPr>
          <w:p>
            <w:pPr>
              <w:pStyle w:val="54"/>
              <w:spacing w:before="127" w:line="440" w:lineRule="exact"/>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815" w:type="dxa"/>
            <w:gridSpan w:val="2"/>
            <w:tcBorders>
              <w:right w:val="nil"/>
            </w:tcBorders>
            <w:noWrap w:val="0"/>
            <w:vAlign w:val="top"/>
          </w:tcPr>
          <w:p>
            <w:pPr>
              <w:pStyle w:val="54"/>
              <w:spacing w:before="161"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pPr>
              <w:pStyle w:val="54"/>
              <w:spacing w:before="161"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pPr>
              <w:pStyle w:val="54"/>
              <w:spacing w:before="161"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pPr>
              <w:pStyle w:val="54"/>
              <w:spacing w:before="161"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559" w:hRule="atLeast"/>
          <w:jc w:val="center"/>
        </w:trPr>
        <w:tc>
          <w:tcPr>
            <w:tcW w:w="5588" w:type="dxa"/>
            <w:gridSpan w:val="4"/>
            <w:noWrap w:val="0"/>
            <w:vAlign w:val="top"/>
          </w:tcPr>
          <w:p>
            <w:pPr>
              <w:pStyle w:val="54"/>
              <w:spacing w:before="129" w:line="440" w:lineRule="exact"/>
              <w:ind w:left="115" w:right="2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（五）重量</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1000kN及以上的大型结构整体顶升、</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平移、转体等施工工艺。</w:t>
            </w:r>
          </w:p>
        </w:tc>
        <w:tc>
          <w:tcPr>
            <w:tcW w:w="815"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845" w:hRule="atLeast"/>
          <w:jc w:val="center"/>
        </w:trPr>
        <w:tc>
          <w:tcPr>
            <w:tcW w:w="5588" w:type="dxa"/>
            <w:gridSpan w:val="4"/>
            <w:noWrap w:val="0"/>
            <w:vAlign w:val="top"/>
          </w:tcPr>
          <w:p>
            <w:pPr>
              <w:pStyle w:val="54"/>
              <w:spacing w:before="128" w:line="440" w:lineRule="exact"/>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方技术标准的分部分项工程。</w:t>
            </w:r>
          </w:p>
        </w:tc>
        <w:tc>
          <w:tcPr>
            <w:tcW w:w="815" w:type="dxa"/>
            <w:gridSpan w:val="2"/>
            <w:tcBorders>
              <w:right w:val="nil"/>
            </w:tcBorders>
            <w:noWrap w:val="0"/>
            <w:vAlign w:val="top"/>
          </w:tcPr>
          <w:p>
            <w:pPr>
              <w:spacing w:line="440" w:lineRule="exact"/>
              <w:rPr>
                <w:rFonts w:hint="eastAsia" w:ascii="宋体" w:hAnsi="宋体" w:eastAsia="宋体" w:cs="宋体"/>
                <w:color w:val="auto"/>
                <w:sz w:val="21"/>
                <w:szCs w:val="21"/>
                <w:highlight w:val="none"/>
                <w:lang w:eastAsia="zh-CN"/>
              </w:rPr>
            </w:pPr>
          </w:p>
          <w:p>
            <w:pPr>
              <w:spacing w:line="440" w:lineRule="exact"/>
              <w:rPr>
                <w:rFonts w:hint="eastAsia" w:ascii="宋体" w:hAnsi="宋体" w:eastAsia="宋体" w:cs="宋体"/>
                <w:color w:val="auto"/>
                <w:sz w:val="21"/>
                <w:szCs w:val="21"/>
                <w:highlight w:val="none"/>
                <w:lang w:eastAsia="zh-CN"/>
              </w:rPr>
            </w:pPr>
          </w:p>
          <w:p>
            <w:pPr>
              <w:pStyle w:val="54"/>
              <w:spacing w:before="78" w:line="440" w:lineRule="exact"/>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pPr>
              <w:spacing w:line="440" w:lineRule="exact"/>
              <w:rPr>
                <w:rFonts w:hint="eastAsia" w:ascii="宋体" w:hAnsi="宋体" w:eastAsia="宋体" w:cs="宋体"/>
                <w:color w:val="auto"/>
                <w:sz w:val="21"/>
                <w:szCs w:val="21"/>
                <w:highlight w:val="none"/>
              </w:rPr>
            </w:pPr>
          </w:p>
          <w:p>
            <w:pPr>
              <w:spacing w:line="440" w:lineRule="exact"/>
              <w:rPr>
                <w:rFonts w:hint="eastAsia" w:ascii="宋体" w:hAnsi="宋体" w:eastAsia="宋体" w:cs="宋体"/>
                <w:color w:val="auto"/>
                <w:sz w:val="21"/>
                <w:szCs w:val="21"/>
                <w:highlight w:val="none"/>
              </w:rPr>
            </w:pPr>
          </w:p>
          <w:p>
            <w:pPr>
              <w:pStyle w:val="54"/>
              <w:spacing w:before="78" w:line="440" w:lineRule="exact"/>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pPr>
              <w:spacing w:line="440" w:lineRule="exact"/>
              <w:rPr>
                <w:rFonts w:hint="eastAsia" w:ascii="宋体" w:hAnsi="宋体" w:eastAsia="宋体" w:cs="宋体"/>
                <w:color w:val="auto"/>
                <w:sz w:val="21"/>
                <w:szCs w:val="21"/>
                <w:highlight w:val="none"/>
              </w:rPr>
            </w:pPr>
          </w:p>
        </w:tc>
      </w:tr>
    </w:tbl>
    <w:p>
      <w:pPr>
        <w:spacing w:line="440" w:lineRule="exact"/>
        <w:rPr>
          <w:rFonts w:hint="eastAsia" w:ascii="宋体" w:hAnsi="宋体" w:eastAsia="宋体" w:cs="宋体"/>
          <w:color w:val="auto"/>
          <w:sz w:val="21"/>
          <w:highlight w:val="none"/>
        </w:rPr>
      </w:pPr>
    </w:p>
    <w:p>
      <w:pPr>
        <w:bidi w:val="0"/>
        <w:spacing w:line="440" w:lineRule="exact"/>
        <w:rPr>
          <w:rFonts w:hint="eastAsia"/>
          <w:color w:val="auto"/>
          <w:sz w:val="21"/>
          <w:szCs w:val="21"/>
          <w:highlight w:val="none"/>
        </w:rPr>
      </w:pPr>
      <w:r>
        <w:rPr>
          <w:rFonts w:hint="eastAsia"/>
          <w:color w:val="auto"/>
          <w:sz w:val="21"/>
          <w:szCs w:val="21"/>
          <w:highlight w:val="none"/>
        </w:rPr>
        <w:t>备注：1.根据《危险性较大的分部分项工程安全管理规定》，该《危险性较大的分部分项工程清单及超过一定规模的危险性较大的分部分项工程清单》应由建设单位 组织勘察、设计等单位在招标文件中先行 “勾选（对应项打“ √ ”标识） ”危险性较大的分部分项工程。</w:t>
      </w:r>
    </w:p>
    <w:p>
      <w:pPr>
        <w:bidi w:val="0"/>
        <w:spacing w:line="440" w:lineRule="exact"/>
        <w:rPr>
          <w:rFonts w:hint="eastAsia"/>
          <w:color w:val="auto"/>
          <w:sz w:val="21"/>
          <w:szCs w:val="21"/>
          <w:highlight w:val="none"/>
        </w:rPr>
      </w:pPr>
      <w:r>
        <w:rPr>
          <w:rFonts w:hint="eastAsia"/>
          <w:color w:val="auto"/>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检查办法》相关规定开展检查。</w:t>
      </w:r>
    </w:p>
    <w:p>
      <w:pPr>
        <w:bidi w:val="0"/>
        <w:spacing w:line="440" w:lineRule="exact"/>
        <w:rPr>
          <w:rFonts w:hint="eastAsia"/>
          <w:color w:val="auto"/>
          <w:sz w:val="21"/>
          <w:szCs w:val="21"/>
          <w:highlight w:val="none"/>
        </w:rPr>
      </w:pPr>
      <w:bookmarkStart w:id="672" w:name="_Toc7813"/>
      <w:r>
        <w:rPr>
          <w:rFonts w:hint="eastAsia"/>
          <w:color w:val="auto"/>
          <w:sz w:val="21"/>
          <w:szCs w:val="21"/>
          <w:highlight w:val="none"/>
        </w:rPr>
        <w:t>3.如果需要（如需要通过计算编制专项方案，或者需要专家论证），可中标后提供详细版。</w:t>
      </w:r>
      <w:bookmarkEnd w:id="672"/>
    </w:p>
    <w:p>
      <w:pPr>
        <w:pStyle w:val="36"/>
        <w:keepNext w:val="0"/>
        <w:keepLines w:val="0"/>
        <w:widowControl w:val="0"/>
        <w:wordWrap w:val="0"/>
        <w:adjustRightInd w:val="0"/>
        <w:snapToGrid w:val="0"/>
        <w:spacing w:before="0" w:after="0" w:line="440" w:lineRule="exact"/>
        <w:ind w:left="3189" w:leftChars="15" w:hanging="3153" w:hangingChars="1496"/>
        <w:jc w:val="both"/>
        <w:rPr>
          <w:rStyle w:val="53"/>
          <w:rFonts w:hint="eastAsia" w:ascii="宋体" w:hAnsi="宋体" w:eastAsia="宋体" w:cs="宋体"/>
          <w:bCs/>
          <w:color w:val="auto"/>
          <w:kern w:val="2"/>
          <w:sz w:val="21"/>
          <w:szCs w:val="21"/>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bookmarkStart w:id="673" w:name="_Toc346"/>
      <w:bookmarkStart w:id="674" w:name="_Toc168059330"/>
      <w:bookmarkStart w:id="675" w:name="_Toc10203"/>
    </w:p>
    <w:p>
      <w:pPr>
        <w:pStyle w:val="37"/>
        <w:spacing w:line="440" w:lineRule="exact"/>
        <w:rPr>
          <w:rStyle w:val="53"/>
          <w:rFonts w:hint="eastAsia" w:ascii="宋体" w:hAnsi="宋体" w:eastAsia="宋体" w:cs="宋体"/>
          <w:bCs/>
          <w:color w:val="auto"/>
          <w:kern w:val="2"/>
          <w:sz w:val="21"/>
          <w:szCs w:val="21"/>
          <w:highlight w:val="none"/>
        </w:rPr>
      </w:pPr>
    </w:p>
    <w:p>
      <w:pPr>
        <w:pStyle w:val="46"/>
        <w:snapToGrid w:val="0"/>
        <w:spacing w:line="440" w:lineRule="exact"/>
        <w:outlineLvl w:val="1"/>
        <w:rPr>
          <w:rStyle w:val="25"/>
          <w:rFonts w:hint="eastAsia" w:ascii="Times New Roman" w:hAnsi="宋体" w:eastAsia="宋体" w:cs="Times New Roman"/>
          <w:b/>
          <w:bCs/>
          <w:color w:val="auto"/>
          <w:sz w:val="24"/>
          <w:szCs w:val="24"/>
          <w:highlight w:val="none"/>
        </w:rPr>
      </w:pPr>
      <w:bookmarkStart w:id="676" w:name="_Toc4644"/>
      <w:bookmarkStart w:id="677" w:name="_Toc5854"/>
      <w:bookmarkStart w:id="678" w:name="_Toc18924"/>
      <w:r>
        <w:rPr>
          <w:rStyle w:val="25"/>
          <w:rFonts w:hint="eastAsia" w:ascii="Times New Roman" w:hAnsi="宋体" w:eastAsia="宋体" w:cs="Times New Roman"/>
          <w:b/>
          <w:bCs/>
          <w:color w:val="auto"/>
          <w:sz w:val="24"/>
          <w:szCs w:val="24"/>
          <w:highlight w:val="none"/>
        </w:rPr>
        <w:t>格式十四  投标保证金信用承诺函</w:t>
      </w:r>
      <w:bookmarkEnd w:id="676"/>
      <w:bookmarkEnd w:id="677"/>
      <w:bookmarkEnd w:id="678"/>
    </w:p>
    <w:p>
      <w:pPr>
        <w:pStyle w:val="36"/>
        <w:keepNext w:val="0"/>
        <w:keepLines w:val="0"/>
        <w:widowControl w:val="0"/>
        <w:wordWrap w:val="0"/>
        <w:adjustRightInd w:val="0"/>
        <w:snapToGrid w:val="0"/>
        <w:spacing w:before="0" w:after="0" w:line="440" w:lineRule="exact"/>
        <w:ind w:left="3189" w:leftChars="15" w:hanging="3153" w:hangingChars="1496"/>
        <w:jc w:val="both"/>
        <w:rPr>
          <w:rStyle w:val="53"/>
          <w:rFonts w:hint="eastAsia" w:ascii="宋体" w:hAnsi="宋体" w:eastAsia="宋体" w:cs="宋体"/>
          <w:bCs/>
          <w:color w:val="auto"/>
          <w:kern w:val="2"/>
          <w:sz w:val="21"/>
          <w:szCs w:val="21"/>
          <w:highlight w:val="none"/>
        </w:rPr>
      </w:pPr>
    </w:p>
    <w:p>
      <w:pPr>
        <w:pStyle w:val="36"/>
        <w:keepNext w:val="0"/>
        <w:keepLines w:val="0"/>
        <w:widowControl w:val="0"/>
        <w:wordWrap w:val="0"/>
        <w:adjustRightInd w:val="0"/>
        <w:snapToGrid w:val="0"/>
        <w:spacing w:before="0" w:after="0" w:line="440" w:lineRule="exact"/>
        <w:ind w:left="3189" w:leftChars="15" w:hanging="3153" w:hangingChars="1496"/>
        <w:jc w:val="both"/>
        <w:rPr>
          <w:rStyle w:val="53"/>
          <w:rFonts w:hint="eastAsia" w:ascii="宋体" w:hAnsi="宋体" w:eastAsia="宋体" w:cs="宋体"/>
          <w:bCs/>
          <w:color w:val="auto"/>
          <w:kern w:val="2"/>
          <w:sz w:val="21"/>
          <w:szCs w:val="21"/>
          <w:highlight w:val="none"/>
        </w:rPr>
      </w:pPr>
    </w:p>
    <w:p>
      <w:pPr>
        <w:snapToGrid w:val="0"/>
        <w:spacing w:line="440" w:lineRule="exact"/>
        <w:jc w:val="center"/>
        <w:rPr>
          <w:rStyle w:val="25"/>
          <w:rFonts w:hint="eastAsia" w:ascii="Times New Roman" w:hAnsi="宋体" w:eastAsia="宋体" w:cs="Times New Roman"/>
          <w:b/>
          <w:bCs/>
          <w:color w:val="auto"/>
          <w:kern w:val="0"/>
          <w:sz w:val="24"/>
          <w:szCs w:val="24"/>
          <w:highlight w:val="none"/>
        </w:rPr>
      </w:pPr>
      <w:r>
        <w:rPr>
          <w:rStyle w:val="25"/>
          <w:rFonts w:hint="eastAsia" w:ascii="Times New Roman" w:hAnsi="宋体" w:eastAsia="宋体" w:cs="Times New Roman"/>
          <w:b/>
          <w:bCs/>
          <w:color w:val="auto"/>
          <w:kern w:val="0"/>
          <w:sz w:val="24"/>
          <w:szCs w:val="24"/>
          <w:highlight w:val="none"/>
        </w:rPr>
        <w:t>投标保证金信用承诺函</w:t>
      </w:r>
    </w:p>
    <w:p>
      <w:pPr>
        <w:pStyle w:val="37"/>
        <w:spacing w:line="440" w:lineRule="exact"/>
        <w:rPr>
          <w:rStyle w:val="53"/>
          <w:rFonts w:hint="eastAsia" w:ascii="宋体" w:hAnsi="宋体" w:eastAsia="宋体" w:cs="宋体"/>
          <w:b w:val="0"/>
          <w:bCs w:val="0"/>
          <w:color w:val="auto"/>
          <w:kern w:val="2"/>
          <w:sz w:val="21"/>
          <w:szCs w:val="21"/>
          <w:highlight w:val="none"/>
        </w:rPr>
      </w:pPr>
    </w:p>
    <w:p>
      <w:pPr>
        <w:pStyle w:val="37"/>
        <w:spacing w:line="440" w:lineRule="exact"/>
        <w:rPr>
          <w:rStyle w:val="53"/>
          <w:rFonts w:hint="eastAsia" w:ascii="宋体" w:hAnsi="宋体" w:eastAsia="宋体" w:cs="宋体"/>
          <w:b w:val="0"/>
          <w:bCs w:val="0"/>
          <w:color w:val="auto"/>
          <w:kern w:val="2"/>
          <w:sz w:val="21"/>
          <w:szCs w:val="21"/>
          <w:highlight w:val="none"/>
        </w:rPr>
      </w:pPr>
    </w:p>
    <w:p>
      <w:pPr>
        <w:spacing w:line="440" w:lineRule="exact"/>
        <w:ind w:firstLine="420" w:firstLineChars="200"/>
        <w:rPr>
          <w:rFonts w:hint="eastAsia"/>
          <w:color w:val="auto"/>
          <w:sz w:val="21"/>
          <w:szCs w:val="21"/>
          <w:highlight w:val="none"/>
        </w:rPr>
      </w:pPr>
      <w:bookmarkStart w:id="679" w:name="_Toc30561"/>
      <w:bookmarkStart w:id="680" w:name="_Toc20291"/>
      <w:bookmarkStart w:id="681" w:name="_Toc25468"/>
      <w:r>
        <w:rPr>
          <w:rFonts w:hint="eastAsia"/>
          <w:color w:val="auto"/>
          <w:sz w:val="21"/>
          <w:szCs w:val="21"/>
          <w:highlight w:val="none"/>
        </w:rPr>
        <w:t>一、我单位参加</w:t>
      </w:r>
      <w:r>
        <w:rPr>
          <w:rFonts w:hint="eastAsia"/>
          <w:color w:val="auto"/>
          <w:sz w:val="21"/>
          <w:szCs w:val="21"/>
          <w:highlight w:val="none"/>
          <w:u w:val="single"/>
        </w:rPr>
        <w:t xml:space="preserve">  （工程项目名称）   </w:t>
      </w:r>
      <w:r>
        <w:rPr>
          <w:rFonts w:hint="eastAsia"/>
          <w:color w:val="auto"/>
          <w:sz w:val="21"/>
          <w:szCs w:val="21"/>
          <w:highlight w:val="none"/>
        </w:rPr>
        <w:t>的投标活动，现承 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w:t>
      </w:r>
      <w:r>
        <w:rPr>
          <w:rFonts w:hint="eastAsia"/>
          <w:color w:val="auto"/>
          <w:sz w:val="21"/>
          <w:szCs w:val="21"/>
          <w:highlight w:val="none"/>
          <w:u w:val="single"/>
        </w:rPr>
        <w:t xml:space="preserve">       </w:t>
      </w:r>
      <w:r>
        <w:rPr>
          <w:rFonts w:hint="eastAsia"/>
          <w:color w:val="auto"/>
          <w:sz w:val="21"/>
          <w:szCs w:val="21"/>
          <w:highlight w:val="none"/>
        </w:rPr>
        <w:t>元。</w:t>
      </w:r>
    </w:p>
    <w:bookmarkEnd w:id="679"/>
    <w:bookmarkEnd w:id="680"/>
    <w:bookmarkEnd w:id="681"/>
    <w:p>
      <w:pPr>
        <w:spacing w:line="440" w:lineRule="exact"/>
        <w:ind w:firstLine="420" w:firstLineChars="200"/>
        <w:rPr>
          <w:rFonts w:hint="eastAsia"/>
          <w:color w:val="auto"/>
          <w:sz w:val="21"/>
          <w:szCs w:val="21"/>
          <w:highlight w:val="none"/>
        </w:rPr>
      </w:pPr>
      <w:bookmarkStart w:id="682" w:name="_Toc24529"/>
      <w:bookmarkStart w:id="683" w:name="_Toc27836"/>
      <w:bookmarkStart w:id="684" w:name="_Toc16779"/>
      <w:r>
        <w:rPr>
          <w:rFonts w:hint="eastAsia"/>
          <w:color w:val="auto"/>
          <w:sz w:val="21"/>
          <w:szCs w:val="21"/>
          <w:highlight w:val="none"/>
        </w:rPr>
        <w:t>二、至投标文件提交当天，本公司无严重不良信用记录或存 在曾作出虚假承诺的情形，且不属于韶关市建筑市场信用管理平 台公布的信用等级为 B 级、C 级、D 级的企业。</w:t>
      </w:r>
    </w:p>
    <w:bookmarkEnd w:id="682"/>
    <w:bookmarkEnd w:id="683"/>
    <w:bookmarkEnd w:id="684"/>
    <w:p>
      <w:pPr>
        <w:spacing w:line="440" w:lineRule="exact"/>
        <w:rPr>
          <w:rFonts w:hint="eastAsia"/>
          <w:color w:val="auto"/>
          <w:sz w:val="21"/>
          <w:szCs w:val="21"/>
          <w:highlight w:val="none"/>
        </w:rPr>
      </w:pPr>
      <w:bookmarkStart w:id="685" w:name="_Toc18526"/>
      <w:bookmarkStart w:id="686" w:name="_Toc30737"/>
      <w:bookmarkStart w:id="687" w:name="_Toc8094"/>
      <w:r>
        <w:rPr>
          <w:rFonts w:hint="eastAsia"/>
          <w:color w:val="auto"/>
          <w:sz w:val="21"/>
          <w:szCs w:val="21"/>
          <w:highlight w:val="none"/>
        </w:rPr>
        <w:t>本企业对以上承诺和声明负责。如有虚假，愿接受行政主管 部门作出的处罚，并承担以下后果：</w:t>
      </w:r>
    </w:p>
    <w:bookmarkEnd w:id="685"/>
    <w:bookmarkEnd w:id="686"/>
    <w:bookmarkEnd w:id="687"/>
    <w:p>
      <w:pPr>
        <w:spacing w:line="440" w:lineRule="exact"/>
        <w:ind w:firstLine="420" w:firstLineChars="200"/>
        <w:rPr>
          <w:rFonts w:hint="eastAsia"/>
          <w:color w:val="auto"/>
          <w:sz w:val="21"/>
          <w:szCs w:val="21"/>
          <w:highlight w:val="none"/>
        </w:rPr>
      </w:pPr>
      <w:bookmarkStart w:id="688" w:name="_Toc21842"/>
      <w:bookmarkStart w:id="689" w:name="_Toc22558"/>
      <w:bookmarkStart w:id="690" w:name="_Toc12420"/>
      <w:r>
        <w:rPr>
          <w:rFonts w:hint="eastAsia"/>
          <w:color w:val="auto"/>
          <w:sz w:val="21"/>
          <w:szCs w:val="21"/>
          <w:highlight w:val="none"/>
        </w:rPr>
        <w:t>（一）取消本单位在本项目中的投标资格或中标资格；</w:t>
      </w:r>
    </w:p>
    <w:bookmarkEnd w:id="688"/>
    <w:bookmarkEnd w:id="689"/>
    <w:bookmarkEnd w:id="690"/>
    <w:p>
      <w:pPr>
        <w:spacing w:line="440" w:lineRule="exact"/>
        <w:ind w:firstLine="420" w:firstLineChars="200"/>
        <w:rPr>
          <w:rFonts w:hint="eastAsia"/>
          <w:color w:val="auto"/>
          <w:sz w:val="21"/>
          <w:szCs w:val="21"/>
          <w:highlight w:val="none"/>
        </w:rPr>
      </w:pPr>
      <w:bookmarkStart w:id="691" w:name="_Toc23264"/>
      <w:bookmarkStart w:id="692" w:name="_Toc222"/>
      <w:bookmarkStart w:id="693" w:name="_Toc1455"/>
      <w:r>
        <w:rPr>
          <w:rFonts w:hint="eastAsia"/>
          <w:color w:val="auto"/>
          <w:sz w:val="21"/>
          <w:szCs w:val="21"/>
          <w:highlight w:val="none"/>
        </w:rPr>
        <w:t>（二）将本单位不良行为纳入信用信息管理系统；</w:t>
      </w:r>
    </w:p>
    <w:bookmarkEnd w:id="691"/>
    <w:bookmarkEnd w:id="692"/>
    <w:bookmarkEnd w:id="693"/>
    <w:p>
      <w:pPr>
        <w:spacing w:line="440" w:lineRule="exact"/>
        <w:ind w:firstLine="420" w:firstLineChars="200"/>
        <w:rPr>
          <w:rFonts w:hint="eastAsia"/>
          <w:color w:val="auto"/>
          <w:sz w:val="21"/>
          <w:szCs w:val="21"/>
          <w:highlight w:val="none"/>
        </w:rPr>
      </w:pPr>
      <w:bookmarkStart w:id="694" w:name="_Toc21222"/>
      <w:bookmarkStart w:id="695" w:name="_Toc32324"/>
      <w:bookmarkStart w:id="696" w:name="_Toc27359"/>
      <w:r>
        <w:rPr>
          <w:rFonts w:hint="eastAsia"/>
          <w:color w:val="auto"/>
          <w:sz w:val="21"/>
          <w:szCs w:val="21"/>
          <w:highlight w:val="none"/>
        </w:rPr>
        <w:t>（三）主动在产生不良行为所在的各县（市、区）行政区域 内不参加房建市政工程项目的投标活动一年；</w:t>
      </w:r>
    </w:p>
    <w:bookmarkEnd w:id="694"/>
    <w:bookmarkEnd w:id="695"/>
    <w:bookmarkEnd w:id="696"/>
    <w:p>
      <w:pPr>
        <w:spacing w:line="440" w:lineRule="exact"/>
        <w:ind w:firstLine="420" w:firstLineChars="200"/>
        <w:rPr>
          <w:rFonts w:hint="eastAsia"/>
          <w:color w:val="auto"/>
          <w:sz w:val="21"/>
          <w:szCs w:val="21"/>
          <w:highlight w:val="none"/>
        </w:rPr>
      </w:pPr>
      <w:bookmarkStart w:id="697" w:name="_Toc26357"/>
      <w:bookmarkStart w:id="698" w:name="_Toc4443"/>
      <w:bookmarkStart w:id="699" w:name="_Toc12066"/>
      <w:r>
        <w:rPr>
          <w:rFonts w:hint="eastAsia"/>
          <w:color w:val="auto"/>
          <w:sz w:val="21"/>
          <w:szCs w:val="21"/>
          <w:highlight w:val="none"/>
        </w:rPr>
        <w:t>（四）应付的赔偿责任和相应法律责任。</w:t>
      </w:r>
    </w:p>
    <w:bookmarkEnd w:id="697"/>
    <w:bookmarkEnd w:id="698"/>
    <w:bookmarkEnd w:id="699"/>
    <w:p>
      <w:pPr>
        <w:spacing w:line="440" w:lineRule="exact"/>
        <w:rPr>
          <w:rFonts w:hint="eastAsia"/>
          <w:color w:val="auto"/>
          <w:sz w:val="21"/>
          <w:szCs w:val="21"/>
          <w:highlight w:val="none"/>
        </w:rPr>
      </w:pPr>
    </w:p>
    <w:p>
      <w:pPr>
        <w:spacing w:line="440" w:lineRule="exact"/>
        <w:ind w:firstLine="2730" w:firstLineChars="1300"/>
        <w:rPr>
          <w:rFonts w:hint="eastAsia"/>
          <w:color w:val="auto"/>
          <w:sz w:val="21"/>
          <w:szCs w:val="21"/>
          <w:highlight w:val="none"/>
        </w:rPr>
      </w:pPr>
      <w:bookmarkStart w:id="700" w:name="_Toc13271"/>
      <w:bookmarkStart w:id="701" w:name="_Toc8067"/>
      <w:bookmarkStart w:id="702" w:name="_Toc24886"/>
      <w:r>
        <w:rPr>
          <w:rFonts w:hint="eastAsia"/>
          <w:color w:val="auto"/>
          <w:sz w:val="21"/>
          <w:szCs w:val="21"/>
          <w:highlight w:val="none"/>
        </w:rPr>
        <w:t>单位名称（公章）：</w:t>
      </w:r>
    </w:p>
    <w:bookmarkEnd w:id="700"/>
    <w:bookmarkEnd w:id="701"/>
    <w:bookmarkEnd w:id="702"/>
    <w:p>
      <w:pPr>
        <w:spacing w:line="440" w:lineRule="exact"/>
        <w:rPr>
          <w:rFonts w:hint="eastAsia"/>
          <w:color w:val="auto"/>
          <w:sz w:val="21"/>
          <w:szCs w:val="21"/>
          <w:highlight w:val="none"/>
        </w:rPr>
      </w:pPr>
    </w:p>
    <w:p>
      <w:pPr>
        <w:spacing w:line="440" w:lineRule="exact"/>
        <w:ind w:firstLine="2730" w:firstLineChars="1300"/>
        <w:rPr>
          <w:rFonts w:hint="eastAsia"/>
          <w:color w:val="auto"/>
          <w:sz w:val="21"/>
          <w:szCs w:val="21"/>
          <w:highlight w:val="none"/>
        </w:rPr>
      </w:pPr>
      <w:bookmarkStart w:id="703" w:name="_Toc9462"/>
      <w:bookmarkStart w:id="704" w:name="_Toc31158"/>
      <w:bookmarkStart w:id="705" w:name="_Toc32078"/>
      <w:r>
        <w:rPr>
          <w:rFonts w:hint="eastAsia"/>
          <w:color w:val="auto"/>
          <w:sz w:val="21"/>
          <w:szCs w:val="21"/>
          <w:highlight w:val="none"/>
        </w:rPr>
        <w:t>统一社会信用代码：</w:t>
      </w:r>
    </w:p>
    <w:bookmarkEnd w:id="703"/>
    <w:bookmarkEnd w:id="704"/>
    <w:bookmarkEnd w:id="705"/>
    <w:p>
      <w:pPr>
        <w:spacing w:line="440" w:lineRule="exact"/>
        <w:rPr>
          <w:rFonts w:hint="eastAsia"/>
          <w:color w:val="auto"/>
          <w:sz w:val="21"/>
          <w:szCs w:val="21"/>
          <w:highlight w:val="none"/>
        </w:rPr>
      </w:pPr>
    </w:p>
    <w:p>
      <w:pPr>
        <w:spacing w:line="440" w:lineRule="exact"/>
        <w:ind w:firstLine="2730" w:firstLineChars="1300"/>
        <w:rPr>
          <w:rFonts w:hint="eastAsia"/>
          <w:color w:val="auto"/>
          <w:sz w:val="21"/>
          <w:szCs w:val="21"/>
          <w:highlight w:val="none"/>
        </w:rPr>
      </w:pPr>
      <w:bookmarkStart w:id="706" w:name="_Toc17724"/>
      <w:bookmarkStart w:id="707" w:name="_Toc12871"/>
      <w:bookmarkStart w:id="708" w:name="_Toc2935"/>
      <w:r>
        <w:rPr>
          <w:rFonts w:hint="eastAsia"/>
          <w:color w:val="auto"/>
          <w:sz w:val="21"/>
          <w:szCs w:val="21"/>
          <w:highlight w:val="none"/>
        </w:rPr>
        <w:t xml:space="preserve">法定代表人（签字）： </w:t>
      </w:r>
    </w:p>
    <w:bookmarkEnd w:id="706"/>
    <w:bookmarkEnd w:id="707"/>
    <w:bookmarkEnd w:id="708"/>
    <w:p>
      <w:pPr>
        <w:spacing w:line="440" w:lineRule="exact"/>
        <w:rPr>
          <w:rFonts w:hint="eastAsia"/>
          <w:color w:val="auto"/>
          <w:sz w:val="21"/>
          <w:szCs w:val="21"/>
          <w:highlight w:val="none"/>
        </w:rPr>
      </w:pPr>
      <w:bookmarkStart w:id="709" w:name="_Toc16191"/>
      <w:bookmarkStart w:id="710" w:name="_Toc26886"/>
      <w:bookmarkStart w:id="711" w:name="_Toc12612"/>
    </w:p>
    <w:p>
      <w:pPr>
        <w:spacing w:line="440" w:lineRule="exact"/>
        <w:ind w:firstLine="3360" w:firstLineChars="1600"/>
        <w:rPr>
          <w:rFonts w:hint="eastAsia"/>
          <w:color w:val="auto"/>
          <w:sz w:val="21"/>
          <w:szCs w:val="21"/>
          <w:highlight w:val="none"/>
        </w:rPr>
      </w:pPr>
      <w:r>
        <w:rPr>
          <w:rFonts w:hint="eastAsia"/>
          <w:color w:val="auto"/>
          <w:sz w:val="21"/>
          <w:szCs w:val="21"/>
          <w:highlight w:val="none"/>
        </w:rPr>
        <w:t xml:space="preserve">年   月 </w:t>
      </w:r>
      <w:r>
        <w:rPr>
          <w:rFonts w:hint="eastAsia"/>
          <w:color w:val="auto"/>
          <w:sz w:val="21"/>
          <w:szCs w:val="21"/>
          <w:highlight w:val="none"/>
          <w:lang w:val="en-US" w:eastAsia="zh-CN"/>
        </w:rPr>
        <w:t xml:space="preserve"> </w:t>
      </w:r>
      <w:r>
        <w:rPr>
          <w:rFonts w:hint="eastAsia"/>
          <w:color w:val="auto"/>
          <w:sz w:val="21"/>
          <w:szCs w:val="21"/>
          <w:highlight w:val="none"/>
        </w:rPr>
        <w:t xml:space="preserve"> 日</w:t>
      </w:r>
    </w:p>
    <w:bookmarkEnd w:id="709"/>
    <w:bookmarkEnd w:id="710"/>
    <w:bookmarkEnd w:id="711"/>
    <w:p>
      <w:pPr>
        <w:spacing w:line="440" w:lineRule="exact"/>
        <w:rPr>
          <w:rFonts w:hint="eastAsia"/>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Style w:val="53"/>
          <w:rFonts w:hint="eastAsia" w:ascii="宋体" w:hAnsi="宋体" w:eastAsia="宋体" w:cs="宋体"/>
          <w:bCs/>
          <w:color w:val="auto"/>
          <w:kern w:val="2"/>
          <w:sz w:val="21"/>
          <w:szCs w:val="21"/>
          <w:highlight w:val="none"/>
        </w:rPr>
      </w:pPr>
      <w:bookmarkStart w:id="712" w:name="_Toc31994"/>
    </w:p>
    <w:bookmarkEnd w:id="712"/>
    <w:p>
      <w:pPr>
        <w:pStyle w:val="36"/>
        <w:keepNext w:val="0"/>
        <w:keepLines w:val="0"/>
        <w:widowControl w:val="0"/>
        <w:suppressLineNumbers w:val="0"/>
        <w:wordWrap w:val="0"/>
        <w:spacing w:before="0" w:beforeAutospacing="0" w:after="0" w:afterAutospacing="0" w:line="440" w:lineRule="exact"/>
        <w:ind w:left="0" w:right="0" w:firstLine="0"/>
        <w:jc w:val="both"/>
        <w:outlineLvl w:val="1"/>
        <w:rPr>
          <w:rStyle w:val="53"/>
          <w:rFonts w:hint="eastAsia" w:ascii="宋体" w:hAnsi="宋体" w:eastAsia="宋体" w:cs="宋体"/>
          <w:bCs/>
          <w:color w:val="auto"/>
          <w:kern w:val="2"/>
          <w:sz w:val="21"/>
          <w:szCs w:val="21"/>
          <w:highlight w:val="none"/>
        </w:rPr>
      </w:pPr>
      <w:bookmarkStart w:id="713" w:name="_Toc30092"/>
    </w:p>
    <w:p>
      <w:pPr>
        <w:pStyle w:val="46"/>
        <w:snapToGrid w:val="0"/>
        <w:spacing w:line="440" w:lineRule="exact"/>
        <w:outlineLvl w:val="1"/>
        <w:rPr>
          <w:rStyle w:val="25"/>
          <w:rFonts w:hint="eastAsia" w:ascii="Times New Roman" w:hAnsi="宋体" w:eastAsia="宋体" w:cs="Times New Roman"/>
          <w:b/>
          <w:bCs/>
          <w:color w:val="auto"/>
          <w:sz w:val="24"/>
          <w:szCs w:val="24"/>
          <w:highlight w:val="none"/>
          <w:lang w:val="en-US" w:eastAsia="zh-CN"/>
        </w:rPr>
      </w:pPr>
      <w:bookmarkStart w:id="714" w:name="_Toc26309"/>
      <w:bookmarkStart w:id="715" w:name="_Toc26104"/>
      <w:bookmarkStart w:id="716" w:name="_Toc32759"/>
    </w:p>
    <w:p>
      <w:pPr>
        <w:pStyle w:val="46"/>
        <w:snapToGrid w:val="0"/>
        <w:spacing w:line="440" w:lineRule="exact"/>
        <w:outlineLvl w:val="1"/>
        <w:rPr>
          <w:rStyle w:val="25"/>
          <w:rFonts w:hint="eastAsia" w:ascii="Times New Roman" w:hAnsi="宋体" w:eastAsia="宋体" w:cs="Times New Roman"/>
          <w:b/>
          <w:bCs/>
          <w:color w:val="auto"/>
          <w:sz w:val="24"/>
          <w:szCs w:val="24"/>
          <w:highlight w:val="none"/>
          <w:lang w:val="en-US" w:eastAsia="zh-CN"/>
        </w:rPr>
      </w:pPr>
      <w:r>
        <w:rPr>
          <w:rStyle w:val="25"/>
          <w:rFonts w:hint="eastAsia" w:ascii="Times New Roman" w:hAnsi="宋体" w:eastAsia="宋体" w:cs="Times New Roman"/>
          <w:b/>
          <w:bCs/>
          <w:color w:val="auto"/>
          <w:sz w:val="24"/>
          <w:szCs w:val="24"/>
          <w:highlight w:val="none"/>
          <w:lang w:val="en-US" w:eastAsia="zh-CN"/>
        </w:rPr>
        <w:t>格式十五 定标因素评审资料</w:t>
      </w:r>
      <w:bookmarkEnd w:id="713"/>
      <w:bookmarkEnd w:id="714"/>
      <w:bookmarkEnd w:id="715"/>
      <w:bookmarkEnd w:id="716"/>
    </w:p>
    <w:p>
      <w:pPr>
        <w:spacing w:line="440" w:lineRule="exact"/>
        <w:jc w:val="center"/>
        <w:rPr>
          <w:rFonts w:hint="eastAsia" w:ascii="宋体" w:hAnsi="宋体" w:eastAsia="宋体" w:cs="宋体"/>
          <w:b/>
          <w:bCs/>
          <w:color w:val="auto"/>
          <w:sz w:val="24"/>
          <w:szCs w:val="24"/>
          <w:highlight w:val="none"/>
          <w:lang w:eastAsia="zh-CN"/>
        </w:rPr>
      </w:pPr>
    </w:p>
    <w:p>
      <w:pPr>
        <w:spacing w:line="440" w:lineRule="exact"/>
        <w:jc w:val="center"/>
        <w:rPr>
          <w:rFonts w:hint="eastAsia" w:ascii="宋体" w:hAnsi="宋体" w:eastAsia="宋体" w:cs="宋体"/>
          <w:b/>
          <w:bCs/>
          <w:color w:val="auto"/>
          <w:sz w:val="24"/>
          <w:szCs w:val="24"/>
          <w:highlight w:val="none"/>
          <w:lang w:eastAsia="zh-CN"/>
        </w:rPr>
      </w:pPr>
    </w:p>
    <w:p>
      <w:pPr>
        <w:spacing w:line="44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pPr>
        <w:spacing w:line="440" w:lineRule="exact"/>
        <w:jc w:val="left"/>
        <w:rPr>
          <w:rFonts w:hint="eastAsia" w:ascii="宋体" w:hAnsi="宋体" w:eastAsia="宋体" w:cs="宋体"/>
          <w:color w:val="auto"/>
          <w:sz w:val="24"/>
          <w:highlight w:val="none"/>
          <w:lang w:eastAsia="zh-CN"/>
        </w:rPr>
      </w:pPr>
    </w:p>
    <w:p>
      <w:pPr>
        <w:pStyle w:val="37"/>
        <w:spacing w:line="440" w:lineRule="exact"/>
        <w:ind w:left="0" w:leftChars="0" w:firstLine="0" w:firstLineChars="0"/>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投标人根据“</w:t>
      </w:r>
      <w:r>
        <w:rPr>
          <w:rFonts w:hint="eastAsia" w:ascii="宋体" w:hAnsi="宋体" w:eastAsia="宋体" w:cs="宋体"/>
          <w:b w:val="0"/>
          <w:bCs w:val="0"/>
          <w:color w:val="auto"/>
          <w:sz w:val="21"/>
          <w:szCs w:val="21"/>
          <w:highlight w:val="none"/>
        </w:rPr>
        <w:t>第</w:t>
      </w:r>
      <w:r>
        <w:rPr>
          <w:rFonts w:hint="eastAsia" w:ascii="宋体" w:hAnsi="宋体" w:eastAsia="宋体" w:cs="宋体"/>
          <w:b w:val="0"/>
          <w:bCs w:val="0"/>
          <w:color w:val="auto"/>
          <w:sz w:val="21"/>
          <w:szCs w:val="21"/>
          <w:highlight w:val="none"/>
          <w:lang w:val="en-US" w:eastAsia="zh-CN"/>
        </w:rPr>
        <w:t>一</w:t>
      </w:r>
      <w:r>
        <w:rPr>
          <w:rFonts w:hint="eastAsia" w:ascii="宋体" w:hAnsi="宋体" w:eastAsia="宋体" w:cs="宋体"/>
          <w:b w:val="0"/>
          <w:bCs w:val="0"/>
          <w:color w:val="auto"/>
          <w:sz w:val="21"/>
          <w:szCs w:val="21"/>
          <w:highlight w:val="none"/>
        </w:rPr>
        <w:t>章 第</w:t>
      </w:r>
      <w:r>
        <w:rPr>
          <w:rFonts w:hint="eastAsia" w:ascii="宋体" w:hAnsi="宋体" w:eastAsia="宋体" w:cs="宋体"/>
          <w:b w:val="0"/>
          <w:bCs w:val="0"/>
          <w:color w:val="auto"/>
          <w:sz w:val="21"/>
          <w:szCs w:val="21"/>
          <w:highlight w:val="none"/>
          <w:lang w:val="en-US" w:eastAsia="zh-CN"/>
        </w:rPr>
        <w:t>五</w:t>
      </w:r>
      <w:r>
        <w:rPr>
          <w:rFonts w:hint="eastAsia" w:ascii="宋体" w:hAnsi="宋体" w:eastAsia="宋体" w:cs="宋体"/>
          <w:b w:val="0"/>
          <w:bCs w:val="0"/>
          <w:color w:val="auto"/>
          <w:sz w:val="21"/>
          <w:szCs w:val="21"/>
          <w:highlight w:val="none"/>
        </w:rPr>
        <w:t>节 定标</w:t>
      </w:r>
      <w:r>
        <w:rPr>
          <w:rFonts w:hint="eastAsia" w:ascii="宋体" w:hAnsi="宋体" w:eastAsia="宋体" w:cs="宋体"/>
          <w:b w:val="0"/>
          <w:bCs w:val="0"/>
          <w:color w:val="auto"/>
          <w:sz w:val="21"/>
          <w:szCs w:val="21"/>
          <w:highlight w:val="none"/>
          <w:lang w:eastAsia="zh-CN"/>
        </w:rPr>
        <w:t>规定</w:t>
      </w:r>
      <w:r>
        <w:rPr>
          <w:rFonts w:hint="eastAsia" w:ascii="宋体" w:hAnsi="宋体" w:eastAsia="宋体" w:cs="宋体"/>
          <w:b w:val="0"/>
          <w:bCs w:val="0"/>
          <w:color w:val="auto"/>
          <w:sz w:val="21"/>
          <w:szCs w:val="21"/>
          <w:highlight w:val="none"/>
          <w:lang w:val="en-US" w:eastAsia="zh-CN"/>
        </w:rPr>
        <w:t>及细则”载明的</w:t>
      </w:r>
      <w:r>
        <w:rPr>
          <w:rFonts w:hint="eastAsia" w:ascii="宋体" w:hAnsi="宋体" w:eastAsia="宋体" w:cs="宋体"/>
          <w:b w:val="0"/>
          <w:bCs w:val="0"/>
          <w:color w:val="auto"/>
          <w:sz w:val="21"/>
          <w:szCs w:val="21"/>
          <w:highlight w:val="none"/>
          <w:lang w:eastAsia="zh-CN"/>
        </w:rPr>
        <w:t>定标因素，</w:t>
      </w:r>
      <w:r>
        <w:rPr>
          <w:rFonts w:hint="eastAsia" w:ascii="宋体" w:hAnsi="宋体" w:eastAsia="宋体" w:cs="宋体"/>
          <w:b w:val="0"/>
          <w:bCs w:val="0"/>
          <w:color w:val="auto"/>
          <w:sz w:val="21"/>
          <w:szCs w:val="21"/>
          <w:highlight w:val="none"/>
          <w:lang w:val="en-US" w:eastAsia="zh-CN"/>
        </w:rPr>
        <w:t>提交</w:t>
      </w:r>
      <w:r>
        <w:rPr>
          <w:rFonts w:hint="eastAsia" w:ascii="宋体" w:hAnsi="宋体" w:eastAsia="宋体" w:cs="宋体"/>
          <w:b w:val="0"/>
          <w:bCs w:val="0"/>
          <w:color w:val="auto"/>
          <w:sz w:val="21"/>
          <w:szCs w:val="21"/>
          <w:highlight w:val="none"/>
          <w:lang w:eastAsia="zh-CN"/>
        </w:rPr>
        <w:t>评审资料。</w:t>
      </w:r>
    </w:p>
    <w:p>
      <w:pPr>
        <w:pStyle w:val="37"/>
        <w:spacing w:line="440" w:lineRule="exact"/>
        <w:ind w:left="0" w:leftChars="0" w:firstLine="0" w:firstLineChars="0"/>
        <w:jc w:val="center"/>
        <w:rPr>
          <w:rStyle w:val="53"/>
          <w:rFonts w:hint="default" w:ascii="宋体" w:hAnsi="宋体" w:eastAsia="宋体" w:cs="宋体"/>
          <w:bCs/>
          <w:color w:val="auto"/>
          <w:kern w:val="2"/>
          <w:sz w:val="21"/>
          <w:szCs w:val="21"/>
          <w:highlight w:val="none"/>
          <w:lang w:val="en-US"/>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评标报告除外）</w:t>
      </w:r>
    </w:p>
    <w:p>
      <w:pPr>
        <w:pStyle w:val="37"/>
        <w:spacing w:line="440" w:lineRule="exact"/>
        <w:ind w:left="0" w:leftChars="0" w:firstLine="0" w:firstLineChars="0"/>
        <w:rPr>
          <w:rStyle w:val="53"/>
          <w:rFonts w:hint="eastAsia" w:ascii="宋体" w:hAnsi="宋体" w:eastAsia="宋体" w:cs="宋体"/>
          <w:bCs/>
          <w:color w:val="auto"/>
          <w:kern w:val="2"/>
          <w:sz w:val="21"/>
          <w:szCs w:val="21"/>
          <w:highlight w:val="none"/>
        </w:rPr>
      </w:pPr>
    </w:p>
    <w:p>
      <w:pPr>
        <w:pStyle w:val="37"/>
        <w:spacing w:line="440" w:lineRule="exact"/>
        <w:ind w:left="0" w:leftChars="0" w:firstLine="0" w:firstLineChars="0"/>
        <w:rPr>
          <w:rStyle w:val="53"/>
          <w:rFonts w:hint="eastAsia" w:ascii="宋体" w:hAnsi="宋体" w:eastAsia="宋体" w:cs="宋体"/>
          <w:bCs/>
          <w:color w:val="auto"/>
          <w:kern w:val="2"/>
          <w:sz w:val="21"/>
          <w:szCs w:val="21"/>
          <w:highlight w:val="none"/>
        </w:rPr>
      </w:pPr>
    </w:p>
    <w:p>
      <w:pPr>
        <w:pStyle w:val="37"/>
        <w:spacing w:line="440" w:lineRule="exact"/>
        <w:ind w:left="0" w:leftChars="0" w:firstLine="0" w:firstLineChars="0"/>
        <w:rPr>
          <w:rStyle w:val="53"/>
          <w:rFonts w:hint="eastAsia" w:ascii="宋体" w:hAnsi="宋体" w:eastAsia="宋体" w:cs="宋体"/>
          <w:bCs/>
          <w:color w:val="auto"/>
          <w:kern w:val="2"/>
          <w:sz w:val="21"/>
          <w:szCs w:val="21"/>
          <w:highlight w:val="none"/>
        </w:rPr>
      </w:pPr>
      <w:r>
        <w:rPr>
          <w:rStyle w:val="53"/>
          <w:rFonts w:hint="eastAsia" w:ascii="宋体" w:hAnsi="宋体" w:eastAsia="宋体" w:cs="宋体"/>
          <w:bCs/>
          <w:color w:val="auto"/>
          <w:kern w:val="2"/>
          <w:sz w:val="21"/>
          <w:szCs w:val="21"/>
          <w:highlight w:val="none"/>
        </w:rPr>
        <w:br w:type="page"/>
      </w:r>
    </w:p>
    <w:p>
      <w:pPr>
        <w:pStyle w:val="46"/>
        <w:snapToGrid w:val="0"/>
        <w:spacing w:line="440" w:lineRule="exact"/>
        <w:outlineLvl w:val="1"/>
        <w:rPr>
          <w:rStyle w:val="25"/>
          <w:rFonts w:hint="eastAsia" w:ascii="Times New Roman" w:hAnsi="宋体" w:eastAsia="宋体" w:cs="Times New Roman"/>
          <w:b/>
          <w:bCs/>
          <w:color w:val="auto"/>
          <w:sz w:val="24"/>
          <w:szCs w:val="24"/>
          <w:highlight w:val="none"/>
          <w:lang w:val="en-US" w:eastAsia="zh-CN"/>
        </w:rPr>
      </w:pPr>
      <w:r>
        <w:rPr>
          <w:rStyle w:val="25"/>
          <w:rFonts w:hint="eastAsia" w:ascii="Times New Roman" w:hAnsi="宋体" w:eastAsia="宋体" w:cs="Times New Roman"/>
          <w:b/>
          <w:bCs/>
          <w:color w:val="auto"/>
          <w:sz w:val="24"/>
          <w:szCs w:val="24"/>
          <w:highlight w:val="none"/>
          <w:lang w:val="en-US" w:eastAsia="zh-CN"/>
        </w:rPr>
        <w:t xml:space="preserve"> </w:t>
      </w:r>
      <w:bookmarkStart w:id="717" w:name="_Toc11602"/>
      <w:bookmarkStart w:id="718" w:name="_Toc17594"/>
      <w:r>
        <w:rPr>
          <w:rStyle w:val="25"/>
          <w:rFonts w:hint="eastAsia" w:ascii="Times New Roman" w:hAnsi="宋体" w:eastAsia="宋体" w:cs="Times New Roman"/>
          <w:b/>
          <w:bCs/>
          <w:color w:val="auto"/>
          <w:sz w:val="24"/>
          <w:szCs w:val="24"/>
          <w:highlight w:val="none"/>
          <w:lang w:val="en-US" w:eastAsia="zh-CN"/>
        </w:rPr>
        <w:t>格式十六   原件一览表</w:t>
      </w:r>
      <w:bookmarkEnd w:id="673"/>
      <w:bookmarkEnd w:id="674"/>
      <w:r>
        <w:rPr>
          <w:rStyle w:val="25"/>
          <w:rFonts w:hint="eastAsia" w:ascii="Times New Roman" w:hAnsi="宋体" w:eastAsia="宋体" w:cs="Times New Roman"/>
          <w:b/>
          <w:bCs/>
          <w:color w:val="auto"/>
          <w:sz w:val="24"/>
          <w:szCs w:val="24"/>
          <w:highlight w:val="none"/>
          <w:lang w:val="en-US" w:eastAsia="zh-CN"/>
        </w:rPr>
        <w:t>（如有）</w:t>
      </w:r>
      <w:bookmarkEnd w:id="717"/>
      <w:bookmarkEnd w:id="718"/>
    </w:p>
    <w:tbl>
      <w:tblPr>
        <w:tblStyle w:val="20"/>
        <w:tblpPr w:leftFromText="180" w:rightFromText="180" w:vertAnchor="text" w:horzAnchor="page" w:tblpX="1038" w:tblpY="438"/>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348"/>
        <w:gridCol w:w="1646"/>
        <w:gridCol w:w="1625"/>
        <w:gridCol w:w="754"/>
        <w:gridCol w:w="958"/>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trPr>
        <w:tc>
          <w:tcPr>
            <w:tcW w:w="9108" w:type="dxa"/>
            <w:gridSpan w:val="8"/>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b/>
                <w:color w:val="auto"/>
                <w:sz w:val="21"/>
                <w:szCs w:val="21"/>
                <w:highlight w:val="none"/>
              </w:rPr>
              <w:t>原件一览表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3" w:hRule="atLeast"/>
        </w:trPr>
        <w:tc>
          <w:tcPr>
            <w:tcW w:w="2555" w:type="dxa"/>
            <w:gridSpan w:val="3"/>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工程名称</w:t>
            </w:r>
          </w:p>
        </w:tc>
        <w:tc>
          <w:tcPr>
            <w:tcW w:w="6553" w:type="dxa"/>
            <w:gridSpan w:val="5"/>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555" w:type="dxa"/>
            <w:gridSpan w:val="3"/>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投标人名称                (请务必填写单位全称)</w:t>
            </w:r>
          </w:p>
        </w:tc>
        <w:tc>
          <w:tcPr>
            <w:tcW w:w="6553" w:type="dxa"/>
            <w:gridSpan w:val="5"/>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555" w:type="dxa"/>
            <w:gridSpan w:val="3"/>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default" w:hAnsi="宋体" w:cs="宋体"/>
                <w:color w:val="auto"/>
                <w:sz w:val="21"/>
                <w:szCs w:val="21"/>
                <w:highlight w:val="none"/>
              </w:rPr>
              <w:t>投标人法定代表人或其</w:t>
            </w:r>
          </w:p>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委托代理人签名</w:t>
            </w:r>
          </w:p>
        </w:tc>
        <w:tc>
          <w:tcPr>
            <w:tcW w:w="3271"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c>
          <w:tcPr>
            <w:tcW w:w="754"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手机号码</w:t>
            </w:r>
          </w:p>
        </w:tc>
        <w:tc>
          <w:tcPr>
            <w:tcW w:w="2528"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9108" w:type="dxa"/>
            <w:gridSpan w:val="8"/>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递交的证明材料原件如下：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序号</w:t>
            </w:r>
          </w:p>
        </w:tc>
        <w:tc>
          <w:tcPr>
            <w:tcW w:w="5125" w:type="dxa"/>
            <w:gridSpan w:val="4"/>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证明材料原件名称</w:t>
            </w:r>
          </w:p>
        </w:tc>
        <w:tc>
          <w:tcPr>
            <w:tcW w:w="1712"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单位</w:t>
            </w:r>
          </w:p>
        </w:tc>
        <w:tc>
          <w:tcPr>
            <w:tcW w:w="1570"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3" w:hRule="atLeast"/>
        </w:trPr>
        <w:tc>
          <w:tcPr>
            <w:tcW w:w="701"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1</w:t>
            </w:r>
          </w:p>
        </w:tc>
        <w:tc>
          <w:tcPr>
            <w:tcW w:w="5125" w:type="dxa"/>
            <w:gridSpan w:val="4"/>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4" w:hRule="atLeast"/>
        </w:trPr>
        <w:tc>
          <w:tcPr>
            <w:tcW w:w="701"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2</w:t>
            </w:r>
          </w:p>
        </w:tc>
        <w:tc>
          <w:tcPr>
            <w:tcW w:w="5125" w:type="dxa"/>
            <w:gridSpan w:val="4"/>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0" w:hRule="atLeast"/>
        </w:trPr>
        <w:tc>
          <w:tcPr>
            <w:tcW w:w="701"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3</w:t>
            </w:r>
          </w:p>
        </w:tc>
        <w:tc>
          <w:tcPr>
            <w:tcW w:w="5125" w:type="dxa"/>
            <w:gridSpan w:val="4"/>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w:t>
            </w:r>
          </w:p>
        </w:tc>
        <w:tc>
          <w:tcPr>
            <w:tcW w:w="5125" w:type="dxa"/>
            <w:gridSpan w:val="4"/>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8" w:right="0" w:hanging="94"/>
              <w:jc w:val="center"/>
              <w:rPr>
                <w:rFonts w:hint="eastAsia" w:hAnsi="宋体" w:cs="宋体"/>
                <w:color w:val="auto"/>
                <w:sz w:val="21"/>
                <w:szCs w:val="21"/>
                <w:highlight w:val="none"/>
              </w:rPr>
            </w:pPr>
            <w:r>
              <w:rPr>
                <w:rFonts w:hint="eastAsia" w:hAnsi="宋体" w:cs="宋体"/>
                <w:color w:val="auto"/>
                <w:sz w:val="21"/>
                <w:szCs w:val="21"/>
                <w:highlight w:val="none"/>
              </w:rPr>
              <w:t>注意：</w:t>
            </w:r>
          </w:p>
        </w:tc>
        <w:tc>
          <w:tcPr>
            <w:tcW w:w="8407" w:type="dxa"/>
            <w:gridSpan w:val="7"/>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firstLine="480"/>
              <w:rPr>
                <w:rFonts w:hint="eastAsia" w:hAnsi="宋体" w:cs="宋体"/>
                <w:color w:val="auto"/>
                <w:sz w:val="21"/>
                <w:szCs w:val="21"/>
                <w:highlight w:val="none"/>
              </w:rPr>
            </w:pPr>
            <w:r>
              <w:rPr>
                <w:rFonts w:hint="eastAsia" w:hAnsi="宋体" w:cs="宋体"/>
                <w:color w:val="auto"/>
                <w:sz w:val="21"/>
                <w:szCs w:val="21"/>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07"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接收原件经办人(招标代理)：</w:t>
            </w:r>
          </w:p>
        </w:tc>
        <w:tc>
          <w:tcPr>
            <w:tcW w:w="1994"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p>
        </w:tc>
        <w:tc>
          <w:tcPr>
            <w:tcW w:w="1625"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接收时间：</w:t>
            </w:r>
          </w:p>
        </w:tc>
        <w:tc>
          <w:tcPr>
            <w:tcW w:w="3282" w:type="dxa"/>
            <w:gridSpan w:val="3"/>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firstLine="630" w:firstLineChars="300"/>
              <w:jc w:val="left"/>
              <w:rPr>
                <w:rFonts w:hint="eastAsia" w:hAnsi="宋体" w:cs="宋体"/>
                <w:color w:val="auto"/>
                <w:sz w:val="21"/>
                <w:szCs w:val="21"/>
                <w:highlight w:val="none"/>
              </w:rPr>
            </w:pPr>
            <w:r>
              <w:rPr>
                <w:rFonts w:hint="eastAsia" w:hAnsi="宋体" w:cs="宋体"/>
                <w:color w:val="auto"/>
                <w:sz w:val="21"/>
                <w:szCs w:val="21"/>
                <w:highlight w:val="none"/>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07"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退还原件接收人(投标人)：</w:t>
            </w:r>
          </w:p>
        </w:tc>
        <w:tc>
          <w:tcPr>
            <w:tcW w:w="1994" w:type="dxa"/>
            <w:gridSpan w:val="2"/>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p>
        </w:tc>
        <w:tc>
          <w:tcPr>
            <w:tcW w:w="1625" w:type="dxa"/>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退还时间：</w:t>
            </w:r>
          </w:p>
        </w:tc>
        <w:tc>
          <w:tcPr>
            <w:tcW w:w="3282" w:type="dxa"/>
            <w:gridSpan w:val="3"/>
            <w:noWrap w:val="0"/>
            <w:tcMar>
              <w:left w:w="108" w:type="dxa"/>
              <w:right w:w="108" w:type="dxa"/>
            </w:tcMar>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firstLine="630" w:firstLineChars="300"/>
              <w:jc w:val="left"/>
              <w:rPr>
                <w:rFonts w:hint="eastAsia" w:hAnsi="宋体" w:cs="宋体"/>
                <w:color w:val="auto"/>
                <w:sz w:val="21"/>
                <w:szCs w:val="21"/>
                <w:highlight w:val="none"/>
              </w:rPr>
            </w:pPr>
            <w:r>
              <w:rPr>
                <w:rFonts w:hint="eastAsia" w:hAnsi="宋体" w:cs="宋体"/>
                <w:color w:val="auto"/>
                <w:sz w:val="21"/>
                <w:szCs w:val="21"/>
                <w:highlight w:val="none"/>
              </w:rPr>
              <w:t>年   月   日   时   分</w:t>
            </w:r>
          </w:p>
        </w:tc>
      </w:tr>
    </w:tbl>
    <w:p>
      <w:pPr>
        <w:pStyle w:val="27"/>
        <w:snapToGrid w:val="0"/>
        <w:spacing w:line="440" w:lineRule="exact"/>
        <w:jc w:val="center"/>
        <w:outlineLvl w:val="0"/>
        <w:rPr>
          <w:rStyle w:val="25"/>
          <w:rFonts w:hint="eastAsia" w:hAnsi="宋体"/>
          <w:b/>
          <w:bCs/>
          <w:color w:val="auto"/>
          <w:sz w:val="24"/>
          <w:szCs w:val="24"/>
          <w:highlight w:val="none"/>
        </w:rPr>
      </w:pPr>
      <w:bookmarkStart w:id="719" w:name="_Toc27446"/>
      <w:bookmarkStart w:id="720" w:name="_Toc31416"/>
      <w:bookmarkStart w:id="721" w:name="_Toc23839"/>
      <w:bookmarkStart w:id="722" w:name="_Toc2641"/>
      <w:bookmarkStart w:id="723" w:name="_Toc9142"/>
      <w:bookmarkStart w:id="724" w:name="_Toc31153"/>
      <w:bookmarkStart w:id="725" w:name="_Toc14444"/>
      <w:bookmarkStart w:id="726" w:name="_Toc30888"/>
      <w:bookmarkStart w:id="727" w:name="_Toc16478"/>
      <w:bookmarkStart w:id="728" w:name="_Toc10942"/>
    </w:p>
    <w:p>
      <w:pPr>
        <w:spacing w:line="440" w:lineRule="exact"/>
        <w:rPr>
          <w:rStyle w:val="25"/>
          <w:rFonts w:hint="eastAsia" w:hAnsi="宋体"/>
          <w:b/>
          <w:bCs/>
          <w:color w:val="auto"/>
          <w:sz w:val="24"/>
          <w:szCs w:val="24"/>
          <w:highlight w:val="none"/>
        </w:rPr>
      </w:pPr>
    </w:p>
    <w:p>
      <w:pPr>
        <w:spacing w:line="440" w:lineRule="exact"/>
        <w:rPr>
          <w:rStyle w:val="25"/>
          <w:rFonts w:hint="eastAsia" w:hAnsi="宋体"/>
          <w:b/>
          <w:bCs/>
          <w:color w:val="auto"/>
          <w:sz w:val="24"/>
          <w:szCs w:val="24"/>
          <w:highlight w:val="none"/>
        </w:rPr>
      </w:pPr>
    </w:p>
    <w:p>
      <w:pPr>
        <w:spacing w:line="440" w:lineRule="exact"/>
        <w:rPr>
          <w:rStyle w:val="25"/>
          <w:rFonts w:hint="eastAsia" w:hAnsi="宋体"/>
          <w:b/>
          <w:bCs/>
          <w:color w:val="auto"/>
          <w:sz w:val="24"/>
          <w:szCs w:val="24"/>
          <w:highlight w:val="none"/>
        </w:rPr>
      </w:pPr>
    </w:p>
    <w:p>
      <w:pPr>
        <w:pStyle w:val="27"/>
        <w:snapToGrid w:val="0"/>
        <w:spacing w:line="440" w:lineRule="exact"/>
        <w:jc w:val="center"/>
        <w:outlineLvl w:val="0"/>
        <w:rPr>
          <w:rStyle w:val="25"/>
          <w:rFonts w:hint="eastAsia" w:hAnsi="宋体"/>
          <w:b/>
          <w:bCs/>
          <w:color w:val="auto"/>
          <w:sz w:val="24"/>
          <w:szCs w:val="24"/>
          <w:highlight w:val="none"/>
        </w:rPr>
      </w:pPr>
      <w:bookmarkStart w:id="729" w:name="_Toc25533"/>
      <w:bookmarkStart w:id="730" w:name="_Toc22798"/>
      <w:bookmarkStart w:id="731" w:name="_Toc1936"/>
      <w:r>
        <w:rPr>
          <w:rStyle w:val="25"/>
          <w:rFonts w:hint="eastAsia" w:hAnsi="宋体"/>
          <w:b/>
          <w:bCs/>
          <w:color w:val="auto"/>
          <w:sz w:val="24"/>
          <w:szCs w:val="24"/>
          <w:highlight w:val="none"/>
        </w:rPr>
        <w:t>第七章 建设工程施工合同</w:t>
      </w:r>
      <w:bookmarkEnd w:id="675"/>
      <w:bookmarkEnd w:id="719"/>
      <w:bookmarkEnd w:id="720"/>
      <w:bookmarkEnd w:id="721"/>
      <w:bookmarkEnd w:id="722"/>
      <w:bookmarkEnd w:id="723"/>
      <w:bookmarkEnd w:id="724"/>
      <w:bookmarkEnd w:id="725"/>
      <w:bookmarkEnd w:id="726"/>
      <w:bookmarkEnd w:id="727"/>
      <w:bookmarkEnd w:id="728"/>
      <w:bookmarkEnd w:id="729"/>
      <w:bookmarkEnd w:id="730"/>
      <w:bookmarkEnd w:id="731"/>
    </w:p>
    <w:p>
      <w:pPr>
        <w:snapToGrid w:val="0"/>
        <w:spacing w:line="440" w:lineRule="exact"/>
        <w:rPr>
          <w:rStyle w:val="25"/>
          <w:rFonts w:hint="eastAsia" w:hAnsi="宋体"/>
          <w:color w:val="auto"/>
          <w:kern w:val="0"/>
          <w:highlight w:val="none"/>
        </w:rPr>
      </w:pPr>
    </w:p>
    <w:p>
      <w:pPr>
        <w:snapToGrid w:val="0"/>
        <w:spacing w:line="440" w:lineRule="exact"/>
        <w:rPr>
          <w:rStyle w:val="25"/>
          <w:rFonts w:hint="eastAsia" w:hAnsi="宋体"/>
          <w:strike/>
          <w:color w:val="auto"/>
          <w:kern w:val="0"/>
          <w:highlight w:val="none"/>
        </w:rPr>
      </w:pPr>
      <w:r>
        <w:rPr>
          <w:rStyle w:val="25"/>
          <w:rFonts w:hint="eastAsia" w:hAnsi="宋体"/>
          <w:color w:val="auto"/>
          <w:kern w:val="0"/>
          <w:sz w:val="21"/>
          <w:szCs w:val="21"/>
          <w:highlight w:val="none"/>
        </w:rPr>
        <w:t xml:space="preserve">    </w:t>
      </w:r>
      <w:r>
        <w:rPr>
          <w:rFonts w:hint="eastAsia" w:hAnsi="宋体"/>
          <w:snapToGrid w:val="0"/>
          <w:color w:val="auto"/>
          <w:kern w:val="0"/>
          <w:sz w:val="21"/>
          <w:szCs w:val="21"/>
          <w:highlight w:val="none"/>
        </w:rPr>
        <w:t>（略），按《广东省建设工程标准施工合同》（2009年版）或《建设工程施工合同（示范文本）》（GF—2017—0201）执行。</w:t>
      </w:r>
    </w:p>
    <w:p>
      <w:pPr>
        <w:pStyle w:val="35"/>
        <w:spacing w:line="440" w:lineRule="exact"/>
        <w:ind w:firstLine="480"/>
        <w:rPr>
          <w:rStyle w:val="25"/>
          <w:rFonts w:hint="eastAsia" w:hAnsi="宋体"/>
          <w:color w:val="auto"/>
          <w:highlight w:val="none"/>
        </w:rPr>
      </w:pPr>
    </w:p>
    <w:p>
      <w:pPr>
        <w:bidi w:val="0"/>
        <w:spacing w:line="440" w:lineRule="exact"/>
        <w:ind w:firstLine="276" w:firstLineChars="0"/>
        <w:jc w:val="left"/>
        <w:rPr>
          <w:color w:val="auto"/>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2010609030101010101"/>
    <w:charset w:val="86"/>
    <w:family w:val="modern"/>
    <w:pitch w:val="default"/>
    <w:sig w:usb0="00000000" w:usb1="00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仿宋_GB2312">
    <w:altName w:val="方正仿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Style w:val="25"/>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1"/>
                            <w:rPr>
                              <w:rStyle w:val="25"/>
                            </w:rPr>
                          </w:pPr>
                        </w:p>
                        <w:p>
                          <w:pPr>
                            <w:rPr>
                              <w:rStyle w:val="25"/>
                              <w:rFonts w:cs="Times New Roman"/>
                            </w:rPr>
                          </w:pPr>
                        </w:p>
                      </w:txbxContent>
                    </wps:txbx>
                    <wps:bodyPr lIns="0" tIns="0" rIns="0" bIns="0" upright="true"/>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BYAAABkcnMvUEsBAhQAFAAAAAgAh07iQFmk9kDSAAAA&#10;BQEAAA8AAAAAAAAAAQAgAAAAOAAAAGRycy9kb3ducmV2LnhtbFBLAQIUABQAAAAIAIdO4kARu9ik&#10;mwEAACsDAAAOAAAAAAAAAAEAIAAAADcBAABkcnMvZTJvRG9jLnhtbFBLBQYAAAAABgAGAFkBAABE&#10;BQAAAAA=&#10;">
              <v:fill on="f" focussize="0,0"/>
              <v:stroke on="f"/>
              <v:imagedata o:title=""/>
              <o:lock v:ext="edit" aspectratio="f"/>
              <v:textbox inset="0mm,0mm,0mm,0mm">
                <w:txbxContent>
                  <w:p>
                    <w:pPr>
                      <w:pStyle w:val="11"/>
                      <w:rPr>
                        <w:rStyle w:val="25"/>
                      </w:rPr>
                    </w:pPr>
                  </w:p>
                  <w:p>
                    <w:pPr>
                      <w:rPr>
                        <w:rStyle w:val="25"/>
                        <w:rFonts w:cs="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Style w:val="25"/>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Style w:val="25"/>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Style w:val="25"/>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4Oo3+0AQAAUgMAAA4AAABkcnMv&#10;ZTJvRG9jLnhtbK1TzW4TMRC+I/EOlu/Em1RC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rg6jf7QBAABSAwAADgAAAAAAAAABACAAAAA0AQAAZHJzL2Uyb0Rv&#10;Yy54bWxQSwUGAAAAAAYABgBZAQAAWgU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897CB"/>
    <w:multiLevelType w:val="singleLevel"/>
    <w:tmpl w:val="817897CB"/>
    <w:lvl w:ilvl="0" w:tentative="0">
      <w:start w:val="1"/>
      <w:numFmt w:val="decimal"/>
      <w:suff w:val="nothing"/>
      <w:lvlText w:val="（%1）"/>
      <w:lvlJc w:val="left"/>
    </w:lvl>
  </w:abstractNum>
  <w:abstractNum w:abstractNumId="1">
    <w:nsid w:val="8B3CBB8F"/>
    <w:multiLevelType w:val="singleLevel"/>
    <w:tmpl w:val="8B3CBB8F"/>
    <w:lvl w:ilvl="0" w:tentative="0">
      <w:start w:val="1"/>
      <w:numFmt w:val="decimal"/>
      <w:lvlText w:val="(%1)"/>
      <w:lvlJc w:val="left"/>
      <w:pPr>
        <w:ind w:left="425" w:hanging="425"/>
      </w:pPr>
      <w:rPr>
        <w:rFonts w:hint="default"/>
      </w:rPr>
    </w:lvl>
  </w:abstractNum>
  <w:abstractNum w:abstractNumId="2">
    <w:nsid w:val="A7690D61"/>
    <w:multiLevelType w:val="singleLevel"/>
    <w:tmpl w:val="A7690D61"/>
    <w:lvl w:ilvl="0" w:tentative="0">
      <w:start w:val="2"/>
      <w:numFmt w:val="decimal"/>
      <w:lvlText w:val="%1."/>
      <w:lvlJc w:val="left"/>
      <w:pPr>
        <w:tabs>
          <w:tab w:val="left" w:pos="312"/>
        </w:tabs>
      </w:pPr>
    </w:lvl>
  </w:abstractNum>
  <w:abstractNum w:abstractNumId="3">
    <w:nsid w:val="DCC6AA46"/>
    <w:multiLevelType w:val="singleLevel"/>
    <w:tmpl w:val="DCC6AA46"/>
    <w:lvl w:ilvl="0" w:tentative="0">
      <w:start w:val="1"/>
      <w:numFmt w:val="decimal"/>
      <w:lvlText w:val="%1."/>
      <w:lvlJc w:val="left"/>
      <w:pPr>
        <w:tabs>
          <w:tab w:val="left" w:pos="312"/>
        </w:tabs>
      </w:pPr>
    </w:lvl>
  </w:abstractNum>
  <w:abstractNum w:abstractNumId="4">
    <w:nsid w:val="DD3FE1DB"/>
    <w:multiLevelType w:val="singleLevel"/>
    <w:tmpl w:val="DD3FE1DB"/>
    <w:lvl w:ilvl="0" w:tentative="0">
      <w:start w:val="10"/>
      <w:numFmt w:val="decimal"/>
      <w:suff w:val="nothing"/>
      <w:lvlText w:val="%1．"/>
      <w:lvlJc w:val="left"/>
    </w:lvl>
  </w:abstractNum>
  <w:abstractNum w:abstractNumId="5">
    <w:nsid w:val="00000004"/>
    <w:multiLevelType w:val="singleLevel"/>
    <w:tmpl w:val="00000004"/>
    <w:lvl w:ilvl="0" w:tentative="0">
      <w:start w:val="2"/>
      <w:numFmt w:val="decimal"/>
      <w:suff w:val="nothing"/>
      <w:lvlText w:val="%1．"/>
      <w:lvlJc w:val="left"/>
    </w:lvl>
  </w:abstractNum>
  <w:abstractNum w:abstractNumId="6">
    <w:nsid w:val="31880AD5"/>
    <w:multiLevelType w:val="singleLevel"/>
    <w:tmpl w:val="31880AD5"/>
    <w:lvl w:ilvl="0" w:tentative="0">
      <w:start w:val="2"/>
      <w:numFmt w:val="decimal"/>
      <w:lvlText w:val="(%1)"/>
      <w:lvlJc w:val="left"/>
      <w:pPr>
        <w:tabs>
          <w:tab w:val="left" w:pos="312"/>
        </w:tabs>
      </w:pPr>
    </w:lvl>
  </w:abstractNum>
  <w:num w:numId="1">
    <w:abstractNumId w:val="5"/>
  </w:num>
  <w:num w:numId="2">
    <w:abstractNumId w:val="4"/>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922E3B"/>
    <w:rsid w:val="00BE1545"/>
    <w:rsid w:val="011843E4"/>
    <w:rsid w:val="011937D7"/>
    <w:rsid w:val="01C9356B"/>
    <w:rsid w:val="042C0EBC"/>
    <w:rsid w:val="04623685"/>
    <w:rsid w:val="04FF6300"/>
    <w:rsid w:val="05145BD8"/>
    <w:rsid w:val="052E6A0B"/>
    <w:rsid w:val="056113E2"/>
    <w:rsid w:val="065D2980"/>
    <w:rsid w:val="079A3CFA"/>
    <w:rsid w:val="09B0594A"/>
    <w:rsid w:val="09F75AC8"/>
    <w:rsid w:val="0AAE1995"/>
    <w:rsid w:val="0AC42D6E"/>
    <w:rsid w:val="0B552AA6"/>
    <w:rsid w:val="0C561AA0"/>
    <w:rsid w:val="0CA535B9"/>
    <w:rsid w:val="0D820963"/>
    <w:rsid w:val="0DC12675"/>
    <w:rsid w:val="0E963B01"/>
    <w:rsid w:val="10C5247C"/>
    <w:rsid w:val="110B08A7"/>
    <w:rsid w:val="110C5206"/>
    <w:rsid w:val="11496C09"/>
    <w:rsid w:val="11B629F6"/>
    <w:rsid w:val="138C4F41"/>
    <w:rsid w:val="13AE369B"/>
    <w:rsid w:val="147D6BCA"/>
    <w:rsid w:val="155E4C4D"/>
    <w:rsid w:val="15D63504"/>
    <w:rsid w:val="16157A01"/>
    <w:rsid w:val="16346BB8"/>
    <w:rsid w:val="172D32CF"/>
    <w:rsid w:val="17B06DAB"/>
    <w:rsid w:val="18AA5EF9"/>
    <w:rsid w:val="18D137AA"/>
    <w:rsid w:val="18E3103A"/>
    <w:rsid w:val="19CC487B"/>
    <w:rsid w:val="1ADA4B90"/>
    <w:rsid w:val="1B083813"/>
    <w:rsid w:val="1CEC2B3E"/>
    <w:rsid w:val="1CFC6C19"/>
    <w:rsid w:val="1F2E4F81"/>
    <w:rsid w:val="1F325180"/>
    <w:rsid w:val="1F6C4A49"/>
    <w:rsid w:val="1FC205C7"/>
    <w:rsid w:val="1FE53500"/>
    <w:rsid w:val="205502DB"/>
    <w:rsid w:val="20FE2DD3"/>
    <w:rsid w:val="216929AF"/>
    <w:rsid w:val="21A74719"/>
    <w:rsid w:val="223648E7"/>
    <w:rsid w:val="237B4BAF"/>
    <w:rsid w:val="24F15196"/>
    <w:rsid w:val="258506D6"/>
    <w:rsid w:val="259D77B8"/>
    <w:rsid w:val="25F0544D"/>
    <w:rsid w:val="27D112AE"/>
    <w:rsid w:val="27D54EC0"/>
    <w:rsid w:val="282669AC"/>
    <w:rsid w:val="28687E65"/>
    <w:rsid w:val="288F719F"/>
    <w:rsid w:val="28CB0B53"/>
    <w:rsid w:val="29612606"/>
    <w:rsid w:val="2A444D3E"/>
    <w:rsid w:val="2B595F25"/>
    <w:rsid w:val="2D463356"/>
    <w:rsid w:val="2E21674A"/>
    <w:rsid w:val="2EF35FAE"/>
    <w:rsid w:val="2EFF4396"/>
    <w:rsid w:val="2F4E1C49"/>
    <w:rsid w:val="301F6D95"/>
    <w:rsid w:val="304A60A2"/>
    <w:rsid w:val="310B651C"/>
    <w:rsid w:val="318B6972"/>
    <w:rsid w:val="327F1EE7"/>
    <w:rsid w:val="32F512C4"/>
    <w:rsid w:val="331F7B69"/>
    <w:rsid w:val="334F6D3D"/>
    <w:rsid w:val="336C586C"/>
    <w:rsid w:val="33AF0781"/>
    <w:rsid w:val="3518289E"/>
    <w:rsid w:val="3579545F"/>
    <w:rsid w:val="36877708"/>
    <w:rsid w:val="36CF1E2D"/>
    <w:rsid w:val="370E607B"/>
    <w:rsid w:val="37920A5A"/>
    <w:rsid w:val="38284A63"/>
    <w:rsid w:val="38C2764A"/>
    <w:rsid w:val="39032EFB"/>
    <w:rsid w:val="3BE92C13"/>
    <w:rsid w:val="3C0B72FC"/>
    <w:rsid w:val="3C2854E9"/>
    <w:rsid w:val="3CAD1E92"/>
    <w:rsid w:val="3D096F2F"/>
    <w:rsid w:val="3D93368F"/>
    <w:rsid w:val="3F45714D"/>
    <w:rsid w:val="41167794"/>
    <w:rsid w:val="415624BA"/>
    <w:rsid w:val="42692E28"/>
    <w:rsid w:val="43295CF2"/>
    <w:rsid w:val="4379487C"/>
    <w:rsid w:val="444430DC"/>
    <w:rsid w:val="446600ED"/>
    <w:rsid w:val="44F57442"/>
    <w:rsid w:val="450A77AD"/>
    <w:rsid w:val="453A1357"/>
    <w:rsid w:val="476C4CAF"/>
    <w:rsid w:val="47C243AB"/>
    <w:rsid w:val="48380768"/>
    <w:rsid w:val="48B9793B"/>
    <w:rsid w:val="48F04C20"/>
    <w:rsid w:val="4AB723F2"/>
    <w:rsid w:val="4ACC5C76"/>
    <w:rsid w:val="4B187071"/>
    <w:rsid w:val="4C1930A0"/>
    <w:rsid w:val="4CE37324"/>
    <w:rsid w:val="4D703ABA"/>
    <w:rsid w:val="4D897DB2"/>
    <w:rsid w:val="4F691A58"/>
    <w:rsid w:val="4F8627FB"/>
    <w:rsid w:val="4F987C3B"/>
    <w:rsid w:val="50395ABF"/>
    <w:rsid w:val="5076884A"/>
    <w:rsid w:val="518652B3"/>
    <w:rsid w:val="52614E59"/>
    <w:rsid w:val="5348349A"/>
    <w:rsid w:val="537D6BF3"/>
    <w:rsid w:val="53F664F1"/>
    <w:rsid w:val="54D26EF7"/>
    <w:rsid w:val="55476EE1"/>
    <w:rsid w:val="56226D97"/>
    <w:rsid w:val="58431C43"/>
    <w:rsid w:val="5A284778"/>
    <w:rsid w:val="5A966493"/>
    <w:rsid w:val="5AA35A4C"/>
    <w:rsid w:val="5BC326E1"/>
    <w:rsid w:val="5D2C562A"/>
    <w:rsid w:val="5E617F0B"/>
    <w:rsid w:val="5FD787B7"/>
    <w:rsid w:val="60575D7D"/>
    <w:rsid w:val="611F03B9"/>
    <w:rsid w:val="616E1E31"/>
    <w:rsid w:val="62C751AC"/>
    <w:rsid w:val="63576530"/>
    <w:rsid w:val="63874633"/>
    <w:rsid w:val="63D61C77"/>
    <w:rsid w:val="646D53D2"/>
    <w:rsid w:val="64CE2223"/>
    <w:rsid w:val="64F06072"/>
    <w:rsid w:val="65933F07"/>
    <w:rsid w:val="666920D7"/>
    <w:rsid w:val="66795D12"/>
    <w:rsid w:val="66C11F13"/>
    <w:rsid w:val="68B97536"/>
    <w:rsid w:val="68F96CA6"/>
    <w:rsid w:val="6906099B"/>
    <w:rsid w:val="695C7325"/>
    <w:rsid w:val="696EB941"/>
    <w:rsid w:val="6ADB0EDF"/>
    <w:rsid w:val="6ADC0CCE"/>
    <w:rsid w:val="6B673F9B"/>
    <w:rsid w:val="6C5F6456"/>
    <w:rsid w:val="6CEE3336"/>
    <w:rsid w:val="6D3FD269"/>
    <w:rsid w:val="6D6141DB"/>
    <w:rsid w:val="6E936207"/>
    <w:rsid w:val="6ED15156"/>
    <w:rsid w:val="6FC22B43"/>
    <w:rsid w:val="70695EC0"/>
    <w:rsid w:val="71464968"/>
    <w:rsid w:val="71C1726B"/>
    <w:rsid w:val="722649B3"/>
    <w:rsid w:val="7238577F"/>
    <w:rsid w:val="72423D68"/>
    <w:rsid w:val="74FA4F6E"/>
    <w:rsid w:val="75C13CDD"/>
    <w:rsid w:val="76AF1D88"/>
    <w:rsid w:val="77440722"/>
    <w:rsid w:val="775B7C77"/>
    <w:rsid w:val="79144124"/>
    <w:rsid w:val="796255CA"/>
    <w:rsid w:val="79BB2AAC"/>
    <w:rsid w:val="7A2D36EF"/>
    <w:rsid w:val="7A5030FC"/>
    <w:rsid w:val="7B6E0463"/>
    <w:rsid w:val="7B701F7E"/>
    <w:rsid w:val="7BBF38D3"/>
    <w:rsid w:val="7C4C347A"/>
    <w:rsid w:val="7CCA16C9"/>
    <w:rsid w:val="7D8305FC"/>
    <w:rsid w:val="7DBB7264"/>
    <w:rsid w:val="7DD77B7F"/>
    <w:rsid w:val="7E4F6965"/>
    <w:rsid w:val="7E625AC2"/>
    <w:rsid w:val="7EF902E7"/>
    <w:rsid w:val="7F7D2A23"/>
    <w:rsid w:val="7F88193F"/>
    <w:rsid w:val="7F9D7C7F"/>
    <w:rsid w:val="9FDB41F7"/>
    <w:rsid w:val="9FFD3E5D"/>
    <w:rsid w:val="9FFE0372"/>
    <w:rsid w:val="AFBE5103"/>
    <w:rsid w:val="BDFDEDA0"/>
    <w:rsid w:val="BEDC29E6"/>
    <w:rsid w:val="BFAF3935"/>
    <w:rsid w:val="C7FD7DE0"/>
    <w:rsid w:val="DFFF58C2"/>
    <w:rsid w:val="E9FEA9C4"/>
    <w:rsid w:val="EB7FE3F7"/>
    <w:rsid w:val="F739C063"/>
    <w:rsid w:val="F7EBE3BB"/>
    <w:rsid w:val="F7FFA717"/>
    <w:rsid w:val="FA5CC981"/>
    <w:rsid w:val="FBEB9459"/>
    <w:rsid w:val="FF5FD308"/>
    <w:rsid w:val="FFB51AD7"/>
    <w:rsid w:val="FFCAD2EE"/>
    <w:rsid w:val="FFEC88BD"/>
    <w:rsid w:val="FFEF513A"/>
    <w:rsid w:val="FFFBBD1F"/>
    <w:rsid w:val="FFFFF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jc w:val="both"/>
      <w:textAlignment w:val="baseline"/>
    </w:pPr>
    <w:rPr>
      <w:rFonts w:ascii="宋体" w:hAnsi="Times New Roman" w:eastAsia="宋体" w:cs="宋体"/>
      <w:kern w:val="2"/>
      <w:sz w:val="24"/>
      <w:szCs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link w:val="53"/>
    <w:qFormat/>
    <w:uiPriority w:val="0"/>
    <w:pPr>
      <w:keepNext/>
      <w:keepLines/>
      <w:spacing w:before="260" w:beforeLines="0" w:beforeAutospacing="0" w:after="260" w:afterLines="0" w:afterAutospacing="0" w:line="413" w:lineRule="auto"/>
      <w:outlineLvl w:val="1"/>
    </w:pPr>
    <w:rPr>
      <w:rFonts w:ascii="Arial" w:hAnsi="Arial" w:eastAsia="黑体" w:cs="Times New Roman"/>
      <w:b/>
      <w:kern w:val="0"/>
      <w:sz w:val="32"/>
      <w:szCs w:val="20"/>
    </w:rPr>
  </w:style>
  <w:style w:type="paragraph" w:styleId="5">
    <w:name w:val="heading 3"/>
    <w:basedOn w:val="6"/>
    <w:next w:val="6"/>
    <w:qFormat/>
    <w:uiPriority w:val="0"/>
    <w:pPr>
      <w:keepNext/>
      <w:keepLines/>
      <w:spacing w:before="260" w:beforeLines="0" w:beforeAutospacing="0" w:after="260" w:afterLines="0" w:afterAutospacing="0" w:line="413" w:lineRule="auto"/>
      <w:outlineLvl w:val="2"/>
    </w:pPr>
    <w:rPr>
      <w:rFonts w:ascii="Times New Roman" w:cs="Times New Roman"/>
      <w:b/>
      <w:kern w:val="0"/>
      <w:sz w:val="32"/>
      <w:szCs w:val="20"/>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qFormat/>
    <w:uiPriority w:val="99"/>
    <w:pPr>
      <w:adjustRightInd w:val="0"/>
      <w:spacing w:line="360" w:lineRule="atLeast"/>
      <w:jc w:val="left"/>
    </w:pPr>
    <w:rPr>
      <w:rFonts w:cs="Times New Roman"/>
      <w:kern w:val="0"/>
    </w:rPr>
  </w:style>
  <w:style w:type="paragraph" w:styleId="8">
    <w:name w:val="Body Text"/>
    <w:basedOn w:val="1"/>
    <w:next w:val="1"/>
    <w:qFormat/>
    <w:uiPriority w:val="99"/>
    <w:rPr>
      <w:rFonts w:cs="Times New Roman"/>
      <w:kern w:val="0"/>
    </w:rPr>
  </w:style>
  <w:style w:type="paragraph" w:styleId="9">
    <w:name w:val="Body Text Indent"/>
    <w:basedOn w:val="1"/>
    <w:next w:val="10"/>
    <w:qFormat/>
    <w:uiPriority w:val="0"/>
    <w:pPr>
      <w:ind w:firstLine="560" w:firstLineChars="200"/>
    </w:pPr>
  </w:style>
  <w:style w:type="paragraph" w:styleId="10">
    <w:name w:val="header"/>
    <w:basedOn w:val="1"/>
    <w:next w:val="11"/>
    <w:qFormat/>
    <w:uiPriority w:val="0"/>
    <w:pPr>
      <w:widowControl/>
      <w:pBdr>
        <w:bottom w:val="single" w:color="auto" w:sz="6" w:space="1"/>
      </w:pBdr>
      <w:tabs>
        <w:tab w:val="center" w:pos="4153"/>
        <w:tab w:val="right" w:pos="8306"/>
      </w:tabs>
      <w:snapToGrid w:val="0"/>
      <w:jc w:val="center"/>
    </w:pPr>
    <w:rPr>
      <w:kern w:val="0"/>
      <w:sz w:val="18"/>
    </w:rPr>
  </w:style>
  <w:style w:type="paragraph" w:styleId="11">
    <w:name w:val="footer"/>
    <w:basedOn w:val="1"/>
    <w:qFormat/>
    <w:uiPriority w:val="99"/>
    <w:pPr>
      <w:tabs>
        <w:tab w:val="center" w:pos="4153"/>
        <w:tab w:val="right" w:pos="8306"/>
      </w:tabs>
      <w:snapToGrid w:val="0"/>
      <w:jc w:val="left"/>
    </w:pPr>
    <w:rPr>
      <w:rFonts w:cs="Times New Roman"/>
      <w:kern w:val="0"/>
      <w:sz w:val="18"/>
      <w:szCs w:val="18"/>
    </w:rPr>
  </w:style>
  <w:style w:type="paragraph" w:styleId="12">
    <w:name w:val="Plain Text"/>
    <w:basedOn w:val="1"/>
    <w:qFormat/>
    <w:uiPriority w:val="0"/>
    <w:pPr>
      <w:ind w:firstLine="200" w:firstLineChars="200"/>
    </w:pPr>
    <w:rPr>
      <w:rFonts w:ascii="宋体" w:hAnsi="Courier New"/>
      <w:szCs w:val="21"/>
    </w:rPr>
  </w:style>
  <w:style w:type="paragraph" w:styleId="13">
    <w:name w:val="Body Text Indent 2"/>
    <w:basedOn w:val="1"/>
    <w:qFormat/>
    <w:uiPriority w:val="0"/>
    <w:pPr>
      <w:spacing w:line="480" w:lineRule="auto"/>
      <w:ind w:firstLine="561"/>
    </w:pPr>
    <w:rPr>
      <w:rFonts w:ascii="宋体"/>
    </w:rPr>
  </w:style>
  <w:style w:type="paragraph" w:styleId="14">
    <w:name w:val="toc 1"/>
    <w:basedOn w:val="1"/>
    <w:next w:val="1"/>
    <w:qFormat/>
    <w:uiPriority w:val="99"/>
  </w:style>
  <w:style w:type="paragraph" w:styleId="15">
    <w:name w:val="toc 2"/>
    <w:basedOn w:val="1"/>
    <w:next w:val="1"/>
    <w:qFormat/>
    <w:uiPriority w:val="99"/>
    <w:pPr>
      <w:ind w:left="420" w:leftChars="200"/>
    </w:pPr>
  </w:style>
  <w:style w:type="paragraph" w:styleId="16">
    <w:name w:val="Body Text 2"/>
    <w:basedOn w:val="1"/>
    <w:next w:val="8"/>
    <w:qFormat/>
    <w:uiPriority w:val="0"/>
    <w:pPr>
      <w:spacing w:line="500" w:lineRule="exact"/>
    </w:pPr>
    <w:rPr>
      <w:rFonts w:eastAsia="Times New Roman"/>
    </w:r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8">
    <w:name w:val="Body Text First Indent"/>
    <w:basedOn w:val="8"/>
    <w:qFormat/>
    <w:uiPriority w:val="0"/>
    <w:pPr>
      <w:ind w:firstLine="420"/>
    </w:pPr>
  </w:style>
  <w:style w:type="paragraph" w:styleId="19">
    <w:name w:val="Body Text First Indent 2"/>
    <w:basedOn w:val="9"/>
    <w:qFormat/>
    <w:uiPriority w:val="0"/>
    <w:pPr>
      <w:ind w:firstLine="420" w:firstLineChars="200"/>
    </w:pPr>
    <w:rPr>
      <w:rFonts w:ascii="宋体" w:hAnsi="宋体"/>
      <w:spacing w:val="-20"/>
      <w:kern w:val="21"/>
      <w:sz w:val="28"/>
    </w:rPr>
  </w:style>
  <w:style w:type="table" w:styleId="21">
    <w:name w:val="Table Grid"/>
    <w:basedOn w:val="20"/>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Emphasis"/>
    <w:basedOn w:val="22"/>
    <w:qFormat/>
    <w:uiPriority w:val="0"/>
    <w:rPr>
      <w:i/>
    </w:rPr>
  </w:style>
  <w:style w:type="paragraph" w:customStyle="1" w:styleId="24">
    <w:name w:val="UserStyle_95"/>
    <w:qFormat/>
    <w:uiPriority w:val="99"/>
    <w:pPr>
      <w:jc w:val="both"/>
      <w:textAlignment w:val="baseline"/>
    </w:pPr>
    <w:rPr>
      <w:rFonts w:ascii="Times New Roman" w:hAnsi="Times New Roman" w:eastAsia="楷体_GB2312" w:cs="Times New Roman"/>
      <w:kern w:val="2"/>
      <w:sz w:val="21"/>
      <w:szCs w:val="21"/>
      <w:lang w:val="en-US" w:eastAsia="zh-CN" w:bidi="ar-SA"/>
    </w:rPr>
  </w:style>
  <w:style w:type="character" w:customStyle="1" w:styleId="25">
    <w:name w:val="NormalCharacter"/>
    <w:qFormat/>
    <w:uiPriority w:val="99"/>
  </w:style>
  <w:style w:type="paragraph" w:customStyle="1" w:styleId="26">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27">
    <w:name w:val="Heading1"/>
    <w:basedOn w:val="1"/>
    <w:next w:val="1"/>
    <w:qFormat/>
    <w:uiPriority w:val="99"/>
    <w:pPr>
      <w:jc w:val="left"/>
    </w:pPr>
    <w:rPr>
      <w:kern w:val="0"/>
      <w:sz w:val="30"/>
      <w:szCs w:val="30"/>
    </w:rPr>
  </w:style>
  <w:style w:type="paragraph" w:customStyle="1" w:styleId="28">
    <w:name w:val="Heading2"/>
    <w:basedOn w:val="1"/>
    <w:next w:val="1"/>
    <w:qFormat/>
    <w:uiPriority w:val="99"/>
    <w:pPr>
      <w:jc w:val="left"/>
    </w:pPr>
    <w:rPr>
      <w:kern w:val="0"/>
    </w:rPr>
  </w:style>
  <w:style w:type="paragraph" w:customStyle="1" w:styleId="29">
    <w:name w:val="正文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30">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1">
    <w:name w:val="UserStyle_62"/>
    <w:basedOn w:val="1"/>
    <w:next w:val="1"/>
    <w:qFormat/>
    <w:uiPriority w:val="99"/>
    <w:pPr>
      <w:jc w:val="center"/>
    </w:pPr>
    <w:rPr>
      <w:rFonts w:ascii="Times New Roman" w:cs="Times New Roman"/>
      <w:b/>
      <w:bCs/>
    </w:rPr>
  </w:style>
  <w:style w:type="paragraph" w:customStyle="1" w:styleId="32">
    <w:name w:val="BodyTextIndent"/>
    <w:basedOn w:val="1"/>
    <w:qFormat/>
    <w:uiPriority w:val="99"/>
    <w:pPr>
      <w:ind w:firstLine="560" w:firstLineChars="200"/>
    </w:pPr>
    <w:rPr>
      <w:rFonts w:cs="Times New Roman"/>
    </w:rPr>
  </w:style>
  <w:style w:type="paragraph" w:customStyle="1" w:styleId="33">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AnnotationText"/>
    <w:basedOn w:val="1"/>
    <w:qFormat/>
    <w:uiPriority w:val="99"/>
    <w:pPr>
      <w:spacing w:line="360" w:lineRule="atLeast"/>
      <w:jc w:val="left"/>
    </w:pPr>
    <w:rPr>
      <w:kern w:val="0"/>
    </w:rPr>
  </w:style>
  <w:style w:type="paragraph" w:customStyle="1" w:styleId="36">
    <w:name w:val="标题 3 New New"/>
    <w:basedOn w:val="37"/>
    <w:next w:val="37"/>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37">
    <w:name w:val="正文缩进 New"/>
    <w:basedOn w:val="38"/>
    <w:qFormat/>
    <w:uiPriority w:val="0"/>
    <w:pPr>
      <w:widowControl/>
      <w:ind w:firstLine="420"/>
      <w:jc w:val="left"/>
    </w:pPr>
    <w:rPr>
      <w:rFonts w:ascii="Times New Roman" w:hAnsi="Times New Roman" w:eastAsia="宋体" w:cs="Times New Roman"/>
      <w:kern w:val="0"/>
      <w:sz w:val="20"/>
    </w:rPr>
  </w:style>
  <w:style w:type="paragraph" w:customStyle="1" w:styleId="38">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9">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0">
    <w:name w:val="UserStyle_44"/>
    <w:basedOn w:val="41"/>
    <w:qFormat/>
    <w:uiPriority w:val="99"/>
    <w:rPr>
      <w:sz w:val="24"/>
      <w:szCs w:val="24"/>
    </w:rPr>
  </w:style>
  <w:style w:type="paragraph" w:customStyle="1" w:styleId="41">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2">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3">
    <w:name w:val="正文缩进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44">
    <w:name w:val="UserStyle_90"/>
    <w:basedOn w:val="1"/>
    <w:qFormat/>
    <w:uiPriority w:val="99"/>
    <w:pPr>
      <w:topLinePunct/>
      <w:ind w:firstLine="420" w:firstLineChars="200"/>
    </w:pPr>
    <w:rPr>
      <w:rFonts w:hAnsi="宋体"/>
    </w:rPr>
  </w:style>
  <w:style w:type="paragraph" w:customStyle="1" w:styleId="45">
    <w:name w:val="Heading3"/>
    <w:basedOn w:val="46"/>
    <w:next w:val="46"/>
    <w:qFormat/>
    <w:uiPriority w:val="99"/>
    <w:pPr>
      <w:keepNext/>
      <w:keepLines/>
      <w:spacing w:before="120" w:after="120"/>
      <w:jc w:val="center"/>
    </w:pPr>
    <w:rPr>
      <w:sz w:val="24"/>
      <w:szCs w:val="24"/>
    </w:rPr>
  </w:style>
  <w:style w:type="paragraph" w:customStyle="1" w:styleId="46">
    <w:name w:val="NormalIndent"/>
    <w:basedOn w:val="1"/>
    <w:qFormat/>
    <w:uiPriority w:val="99"/>
    <w:pPr>
      <w:ind w:firstLine="420"/>
      <w:jc w:val="left"/>
    </w:pPr>
    <w:rPr>
      <w:kern w:val="0"/>
      <w:sz w:val="20"/>
      <w:szCs w:val="20"/>
    </w:rPr>
  </w:style>
  <w:style w:type="paragraph" w:customStyle="1" w:styleId="47">
    <w:name w:val="UserStyle_76"/>
    <w:basedOn w:val="48"/>
    <w:qFormat/>
    <w:uiPriority w:val="99"/>
    <w:pPr>
      <w:ind w:firstLine="420"/>
      <w:jc w:val="left"/>
    </w:pPr>
    <w:rPr>
      <w:kern w:val="0"/>
      <w:sz w:val="20"/>
      <w:szCs w:val="20"/>
    </w:rPr>
  </w:style>
  <w:style w:type="paragraph" w:customStyle="1" w:styleId="48">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9">
    <w:name w:val="正文文本缩进 New"/>
    <w:basedOn w:val="38"/>
    <w:qFormat/>
    <w:uiPriority w:val="0"/>
    <w:pPr>
      <w:ind w:firstLine="560" w:firstLineChars="200"/>
    </w:pPr>
    <w:rPr>
      <w:rFonts w:ascii="宋体"/>
      <w:kern w:val="2"/>
      <w:sz w:val="24"/>
    </w:rPr>
  </w:style>
  <w:style w:type="paragraph" w:customStyle="1" w:styleId="50">
    <w:name w:val="正文 New"/>
    <w:qFormat/>
    <w:uiPriority w:val="0"/>
    <w:pPr>
      <w:widowControl w:val="0"/>
      <w:spacing w:line="360" w:lineRule="auto"/>
      <w:jc w:val="both"/>
    </w:pPr>
    <w:rPr>
      <w:rFonts w:ascii="宋体" w:hAnsi="Calibri" w:eastAsia="微软雅黑" w:cs="Times New Roman"/>
      <w:kern w:val="2"/>
      <w:sz w:val="24"/>
      <w:lang w:val="en-US" w:eastAsia="zh-CN" w:bidi="ar-SA"/>
    </w:rPr>
  </w:style>
  <w:style w:type="paragraph" w:customStyle="1" w:styleId="51">
    <w:name w:val="BodyText"/>
    <w:basedOn w:val="1"/>
    <w:qFormat/>
    <w:uiPriority w:val="99"/>
    <w:pPr>
      <w:spacing w:after="120"/>
    </w:pPr>
  </w:style>
  <w:style w:type="paragraph" w:customStyle="1" w:styleId="52">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3">
    <w:name w:val="标题 2 字符"/>
    <w:link w:val="4"/>
    <w:qFormat/>
    <w:uiPriority w:val="0"/>
    <w:rPr>
      <w:rFonts w:ascii="Arial" w:hAnsi="Arial" w:eastAsia="黑体" w:cs="Times New Roman"/>
      <w:b/>
      <w:kern w:val="0"/>
      <w:sz w:val="32"/>
      <w:szCs w:val="20"/>
    </w:rPr>
  </w:style>
  <w:style w:type="paragraph" w:customStyle="1" w:styleId="54">
    <w:name w:val="Table Text"/>
    <w:basedOn w:val="1"/>
    <w:semiHidden/>
    <w:qFormat/>
    <w:uiPriority w:val="0"/>
    <w:rPr>
      <w:rFonts w:ascii="宋体" w:hAnsi="宋体" w:eastAsia="宋体" w:cs="宋体"/>
      <w:sz w:val="19"/>
      <w:szCs w:val="19"/>
      <w:lang w:val="en-US" w:eastAsia="en-US" w:bidi="ar-SA"/>
    </w:rPr>
  </w:style>
  <w:style w:type="table" w:customStyle="1" w:styleId="55">
    <w:name w:val="Table Normal"/>
    <w:unhideWhenUsed/>
    <w:qFormat/>
    <w:uiPriority w:val="0"/>
    <w:tblPr>
      <w:tblCellMar>
        <w:top w:w="0" w:type="dxa"/>
        <w:left w:w="0" w:type="dxa"/>
        <w:bottom w:w="0" w:type="dxa"/>
        <w:right w:w="0" w:type="dxa"/>
      </w:tblCellMar>
    </w:tblPr>
  </w:style>
  <w:style w:type="paragraph" w:customStyle="1" w:styleId="5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3.jpeg"/><Relationship Id="rId33" Type="http://schemas.openxmlformats.org/officeDocument/2006/relationships/image" Target="media/image12.wmf"/><Relationship Id="rId32" Type="http://schemas.openxmlformats.org/officeDocument/2006/relationships/oleObject" Target="embeddings/oleObject12.bin"/><Relationship Id="rId31" Type="http://schemas.openxmlformats.org/officeDocument/2006/relationships/image" Target="media/image11.wmf"/><Relationship Id="rId30" Type="http://schemas.openxmlformats.org/officeDocument/2006/relationships/oleObject" Target="embeddings/oleObject11.bin"/><Relationship Id="rId3" Type="http://schemas.openxmlformats.org/officeDocument/2006/relationships/footnotes" Target="footnotes.xml"/><Relationship Id="rId29" Type="http://schemas.openxmlformats.org/officeDocument/2006/relationships/image" Target="media/image10.wmf"/><Relationship Id="rId28" Type="http://schemas.openxmlformats.org/officeDocument/2006/relationships/oleObject" Target="embeddings/oleObject10.bin"/><Relationship Id="rId27" Type="http://schemas.openxmlformats.org/officeDocument/2006/relationships/image" Target="media/image9.wmf"/><Relationship Id="rId26" Type="http://schemas.openxmlformats.org/officeDocument/2006/relationships/oleObject" Target="embeddings/oleObject9.bin"/><Relationship Id="rId25" Type="http://schemas.openxmlformats.org/officeDocument/2006/relationships/image" Target="media/image8.wmf"/><Relationship Id="rId24" Type="http://schemas.openxmlformats.org/officeDocument/2006/relationships/oleObject" Target="embeddings/oleObject8.bin"/><Relationship Id="rId23" Type="http://schemas.openxmlformats.org/officeDocument/2006/relationships/image" Target="media/image7.wmf"/><Relationship Id="rId22" Type="http://schemas.openxmlformats.org/officeDocument/2006/relationships/oleObject" Target="embeddings/oleObject7.bin"/><Relationship Id="rId21" Type="http://schemas.openxmlformats.org/officeDocument/2006/relationships/image" Target="media/image6.w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88</Pages>
  <Words>8682</Words>
  <Characters>9346</Characters>
  <Lines>1</Lines>
  <Paragraphs>1</Paragraphs>
  <TotalTime>178</TotalTime>
  <ScaleCrop>false</ScaleCrop>
  <LinksUpToDate>false</LinksUpToDate>
  <CharactersWithSpaces>9669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2026-04-21T12:05:00Z</dcterms:created>
  <dc:creator>韶关绿萝</dc:creator>
  <cp:lastModifiedBy>user13</cp:lastModifiedBy>
  <cp:lastPrinted>2026-08-29T06:40:00Z</cp:lastPrinted>
  <dcterms:modified xsi:type="dcterms:W3CDTF">2026-08-28T16:28:38Z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EBD3433B602E4E87A266D249B6E0764B_13</vt:lpwstr>
  </property>
  <property fmtid="{D5CDD505-2E9C-101B-9397-08002B2CF9AE}" pid="4" name="KSOTemplateDocerSaveRecord">
    <vt:lpwstr>eyJoZGlkIjoiYjY2ZWFhOWZmNmEwZTAzMzI1OGU0NjI5YWNlOWI0ZjEiLCJ1c2VySWQiOiIzNjAyMTQ3MTkifQ==</vt:lpwstr>
  </property>
</Properties>
</file>