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6F4DCC8">
      <w:pPr>
        <w:rPr>
          <w:rFonts w:hint="default" w:ascii="宋体" w:hAnsi="宋体" w:eastAsia="宋体" w:cs="宋体"/>
          <w:lang w:val="en-US" w:eastAsia="zh-CN"/>
        </w:rPr>
      </w:pPr>
      <w:r>
        <w:rPr>
          <w:rFonts w:hint="eastAsia" w:ascii="宋体" w:hAnsi="宋体" w:cs="宋体"/>
          <w:lang w:val="en-US" w:eastAsia="zh-CN"/>
        </w:rPr>
        <w:t xml:space="preserve">             </w:t>
      </w:r>
    </w:p>
    <w:p w14:paraId="5DEF711E">
      <w:pPr>
        <w:rPr>
          <w:rFonts w:hint="eastAsia" w:ascii="宋体" w:hAnsi="宋体" w:eastAsia="宋体" w:cs="宋体"/>
        </w:rPr>
      </w:pPr>
    </w:p>
    <w:p w14:paraId="490537D3">
      <w:pPr>
        <w:rPr>
          <w:rFonts w:hint="eastAsia" w:ascii="宋体" w:hAnsi="宋体" w:eastAsia="宋体" w:cs="宋体"/>
        </w:rPr>
      </w:pPr>
    </w:p>
    <w:p w14:paraId="2577FE11">
      <w:pPr>
        <w:pStyle w:val="171"/>
        <w:spacing w:line="360" w:lineRule="auto"/>
        <w:jc w:val="center"/>
        <w:rPr>
          <w:rFonts w:hint="eastAsia" w:ascii="宋体" w:hAnsi="宋体" w:eastAsia="宋体" w:cs="宋体"/>
          <w:b/>
          <w:bCs/>
          <w:color w:val="auto"/>
          <w:sz w:val="44"/>
          <w:szCs w:val="44"/>
          <w:highlight w:val="none"/>
          <w:lang w:eastAsia="zh-CN"/>
        </w:rPr>
      </w:pPr>
      <w:r>
        <w:rPr>
          <w:rFonts w:hint="eastAsia" w:ascii="宋体" w:hAnsi="宋体" w:eastAsia="宋体" w:cs="宋体"/>
          <w:b/>
          <w:bCs/>
          <w:color w:val="auto"/>
          <w:sz w:val="44"/>
          <w:szCs w:val="44"/>
          <w:highlight w:val="none"/>
          <w:lang w:eastAsia="zh-CN"/>
        </w:rPr>
        <w:t>韶关市浈江区大数据产业基础设施工程勘察、设计</w:t>
      </w:r>
    </w:p>
    <w:p w14:paraId="137D4CEC">
      <w:pPr>
        <w:rPr>
          <w:rFonts w:hint="eastAsia" w:ascii="宋体" w:hAnsi="宋体" w:eastAsia="宋体" w:cs="宋体"/>
        </w:rPr>
      </w:pPr>
    </w:p>
    <w:p w14:paraId="31A5EA10">
      <w:pPr>
        <w:rPr>
          <w:rFonts w:hint="eastAsia" w:ascii="宋体" w:hAnsi="宋体" w:eastAsia="宋体" w:cs="宋体"/>
        </w:rPr>
      </w:pPr>
    </w:p>
    <w:p w14:paraId="785F72D9">
      <w:pPr>
        <w:rPr>
          <w:rFonts w:hint="eastAsia" w:ascii="宋体" w:hAnsi="宋体" w:eastAsia="宋体" w:cs="宋体"/>
        </w:rPr>
      </w:pPr>
    </w:p>
    <w:p w14:paraId="7ECB570C">
      <w:pPr>
        <w:pStyle w:val="171"/>
        <w:spacing w:line="360" w:lineRule="auto"/>
        <w:jc w:val="cente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68059910">
      <w:pPr>
        <w:rPr>
          <w:rFonts w:hint="eastAsia" w:ascii="宋体" w:hAnsi="宋体" w:eastAsia="宋体" w:cs="宋体"/>
        </w:rPr>
      </w:pPr>
    </w:p>
    <w:p w14:paraId="12CE50CC">
      <w:pPr>
        <w:rPr>
          <w:rFonts w:hint="eastAsia" w:ascii="宋体" w:hAnsi="宋体" w:eastAsia="宋体" w:cs="宋体"/>
        </w:rPr>
      </w:pPr>
    </w:p>
    <w:p w14:paraId="09E18A6D">
      <w:pPr>
        <w:rPr>
          <w:rFonts w:hint="eastAsia" w:ascii="宋体" w:hAnsi="宋体" w:eastAsia="宋体" w:cs="宋体"/>
        </w:rPr>
      </w:pPr>
    </w:p>
    <w:tbl>
      <w:tblPr>
        <w:tblStyle w:val="33"/>
        <w:tblpPr w:leftFromText="180" w:rightFromText="180" w:vertAnchor="text" w:horzAnchor="page" w:tblpX="1312" w:tblpY="423"/>
        <w:tblOverlap w:val="never"/>
        <w:tblW w:w="9564" w:type="dxa"/>
        <w:tblInd w:w="0" w:type="dxa"/>
        <w:tblLayout w:type="fixed"/>
        <w:tblCellMar>
          <w:top w:w="0" w:type="dxa"/>
          <w:left w:w="0" w:type="dxa"/>
          <w:bottom w:w="0" w:type="dxa"/>
          <w:right w:w="0" w:type="dxa"/>
        </w:tblCellMar>
      </w:tblPr>
      <w:tblGrid>
        <w:gridCol w:w="4768"/>
        <w:gridCol w:w="4796"/>
      </w:tblGrid>
      <w:tr w14:paraId="70FD84ED">
        <w:tblPrEx>
          <w:tblCellMar>
            <w:top w:w="0" w:type="dxa"/>
            <w:left w:w="0" w:type="dxa"/>
            <w:bottom w:w="0" w:type="dxa"/>
            <w:right w:w="0" w:type="dxa"/>
          </w:tblCellMar>
        </w:tblPrEx>
        <w:trPr>
          <w:trHeight w:val="854" w:hRule="atLeast"/>
        </w:trPr>
        <w:tc>
          <w:tcPr>
            <w:tcW w:w="4768" w:type="dxa"/>
            <w:noWrap w:val="0"/>
            <w:vAlign w:val="center"/>
          </w:tcPr>
          <w:p w14:paraId="2294D2A5">
            <w:pPr>
              <w:pStyle w:val="195"/>
              <w:spacing w:line="24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招        标        人（盖 章）：</w:t>
            </w:r>
          </w:p>
        </w:tc>
        <w:tc>
          <w:tcPr>
            <w:tcW w:w="4796" w:type="dxa"/>
            <w:noWrap w:val="0"/>
            <w:vAlign w:val="center"/>
          </w:tcPr>
          <w:p w14:paraId="53C38594">
            <w:pPr>
              <w:pStyle w:val="195"/>
              <w:spacing w:line="240" w:lineRule="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韶关市浈江区鸿通投资有限公司</w:t>
            </w:r>
          </w:p>
        </w:tc>
      </w:tr>
      <w:tr w14:paraId="38669481">
        <w:tblPrEx>
          <w:tblCellMar>
            <w:top w:w="0" w:type="dxa"/>
            <w:left w:w="0" w:type="dxa"/>
            <w:bottom w:w="0" w:type="dxa"/>
            <w:right w:w="0" w:type="dxa"/>
          </w:tblCellMar>
        </w:tblPrEx>
        <w:trPr>
          <w:trHeight w:val="936" w:hRule="atLeast"/>
        </w:trPr>
        <w:tc>
          <w:tcPr>
            <w:tcW w:w="4768" w:type="dxa"/>
            <w:noWrap w:val="0"/>
            <w:vAlign w:val="center"/>
          </w:tcPr>
          <w:p w14:paraId="755E07A4">
            <w:pPr>
              <w:pStyle w:val="195"/>
              <w:spacing w:line="240" w:lineRule="auto"/>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rPr>
              <w:t xml:space="preserve"> 招标人工作领导小组负责人（签字）：</w:t>
            </w:r>
          </w:p>
        </w:tc>
        <w:tc>
          <w:tcPr>
            <w:tcW w:w="4796" w:type="dxa"/>
            <w:noWrap w:val="0"/>
            <w:vAlign w:val="center"/>
          </w:tcPr>
          <w:p w14:paraId="5FF17A66">
            <w:pPr>
              <w:pStyle w:val="195"/>
              <w:spacing w:line="240" w:lineRule="auto"/>
              <w:rPr>
                <w:rFonts w:hint="eastAsia" w:ascii="宋体" w:hAnsi="宋体" w:eastAsia="宋体" w:cs="宋体"/>
                <w:color w:val="auto"/>
                <w:sz w:val="28"/>
                <w:szCs w:val="28"/>
                <w:highlight w:val="none"/>
              </w:rPr>
            </w:pPr>
          </w:p>
        </w:tc>
      </w:tr>
      <w:tr w14:paraId="1D096A91">
        <w:tblPrEx>
          <w:tblCellMar>
            <w:top w:w="0" w:type="dxa"/>
            <w:left w:w="0" w:type="dxa"/>
            <w:bottom w:w="0" w:type="dxa"/>
            <w:right w:w="0" w:type="dxa"/>
          </w:tblCellMar>
        </w:tblPrEx>
        <w:trPr>
          <w:trHeight w:val="875" w:hRule="atLeast"/>
        </w:trPr>
        <w:tc>
          <w:tcPr>
            <w:tcW w:w="4768" w:type="dxa"/>
            <w:noWrap w:val="0"/>
            <w:vAlign w:val="center"/>
          </w:tcPr>
          <w:p w14:paraId="54340BF5">
            <w:pPr>
              <w:pStyle w:val="195"/>
              <w:spacing w:line="240" w:lineRule="auto"/>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rPr>
              <w:t xml:space="preserve"> 招  标  代  理  机  构（盖 章）：</w:t>
            </w:r>
          </w:p>
        </w:tc>
        <w:tc>
          <w:tcPr>
            <w:tcW w:w="4796" w:type="dxa"/>
            <w:noWrap w:val="0"/>
            <w:vAlign w:val="center"/>
          </w:tcPr>
          <w:p w14:paraId="34A1ABF4">
            <w:pPr>
              <w:pStyle w:val="195"/>
              <w:spacing w:line="240" w:lineRule="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广东合正项目管理有限公司</w:t>
            </w:r>
          </w:p>
        </w:tc>
      </w:tr>
      <w:tr w14:paraId="5A0C7F02">
        <w:tblPrEx>
          <w:tblCellMar>
            <w:top w:w="0" w:type="dxa"/>
            <w:left w:w="0" w:type="dxa"/>
            <w:bottom w:w="0" w:type="dxa"/>
            <w:right w:w="0" w:type="dxa"/>
          </w:tblCellMar>
        </w:tblPrEx>
        <w:trPr>
          <w:trHeight w:val="963" w:hRule="atLeast"/>
        </w:trPr>
        <w:tc>
          <w:tcPr>
            <w:tcW w:w="4768" w:type="dxa"/>
            <w:noWrap w:val="0"/>
            <w:vAlign w:val="center"/>
          </w:tcPr>
          <w:p w14:paraId="0FEA023A">
            <w:pPr>
              <w:pStyle w:val="195"/>
              <w:spacing w:line="240" w:lineRule="auto"/>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rPr>
              <w:t xml:space="preserve"> 招 标 文  件 编 制  人 （签字）：</w:t>
            </w:r>
          </w:p>
        </w:tc>
        <w:tc>
          <w:tcPr>
            <w:tcW w:w="4796" w:type="dxa"/>
            <w:noWrap w:val="0"/>
            <w:vAlign w:val="center"/>
          </w:tcPr>
          <w:p w14:paraId="29C6D429">
            <w:pPr>
              <w:pStyle w:val="195"/>
              <w:spacing w:line="240" w:lineRule="auto"/>
              <w:rPr>
                <w:rFonts w:hint="eastAsia" w:ascii="宋体" w:hAnsi="宋体" w:eastAsia="宋体" w:cs="宋体"/>
                <w:color w:val="auto"/>
                <w:sz w:val="28"/>
                <w:szCs w:val="28"/>
                <w:highlight w:val="none"/>
              </w:rPr>
            </w:pPr>
          </w:p>
        </w:tc>
      </w:tr>
      <w:tr w14:paraId="50C58583">
        <w:tblPrEx>
          <w:tblCellMar>
            <w:top w:w="0" w:type="dxa"/>
            <w:left w:w="0" w:type="dxa"/>
            <w:bottom w:w="0" w:type="dxa"/>
            <w:right w:w="0" w:type="dxa"/>
          </w:tblCellMar>
        </w:tblPrEx>
        <w:trPr>
          <w:trHeight w:val="983" w:hRule="atLeast"/>
        </w:trPr>
        <w:tc>
          <w:tcPr>
            <w:tcW w:w="4768" w:type="dxa"/>
            <w:noWrap w:val="0"/>
            <w:vAlign w:val="center"/>
          </w:tcPr>
          <w:p w14:paraId="378F0693">
            <w:pPr>
              <w:pStyle w:val="195"/>
              <w:wordWrap w:val="0"/>
              <w:spacing w:line="240" w:lineRule="auto"/>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rPr>
              <w:t xml:space="preserve"> 招标代理机构项目负责人 （签字）：</w:t>
            </w:r>
          </w:p>
        </w:tc>
        <w:tc>
          <w:tcPr>
            <w:tcW w:w="4796" w:type="dxa"/>
            <w:noWrap w:val="0"/>
            <w:vAlign w:val="center"/>
          </w:tcPr>
          <w:p w14:paraId="6F17ABDF">
            <w:pPr>
              <w:pStyle w:val="195"/>
              <w:spacing w:line="240" w:lineRule="auto"/>
              <w:rPr>
                <w:rFonts w:hint="eastAsia" w:ascii="宋体" w:hAnsi="宋体" w:eastAsia="宋体" w:cs="宋体"/>
                <w:color w:val="auto"/>
                <w:sz w:val="28"/>
                <w:szCs w:val="28"/>
                <w:highlight w:val="none"/>
              </w:rPr>
            </w:pPr>
          </w:p>
        </w:tc>
      </w:tr>
      <w:tr w14:paraId="608FFCB9">
        <w:tblPrEx>
          <w:tblCellMar>
            <w:top w:w="0" w:type="dxa"/>
            <w:left w:w="0" w:type="dxa"/>
            <w:bottom w:w="0" w:type="dxa"/>
            <w:right w:w="0" w:type="dxa"/>
          </w:tblCellMar>
        </w:tblPrEx>
        <w:trPr>
          <w:trHeight w:val="768" w:hRule="atLeast"/>
        </w:trPr>
        <w:tc>
          <w:tcPr>
            <w:tcW w:w="4768" w:type="dxa"/>
            <w:noWrap w:val="0"/>
            <w:vAlign w:val="center"/>
          </w:tcPr>
          <w:p w14:paraId="7C384E87">
            <w:pPr>
              <w:pStyle w:val="195"/>
              <w:wordWrap w:val="0"/>
              <w:spacing w:line="240" w:lineRule="auto"/>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rPr>
              <w:t xml:space="preserve"> 招  标  文  件  编  制  日  期： </w:t>
            </w:r>
          </w:p>
        </w:tc>
        <w:tc>
          <w:tcPr>
            <w:tcW w:w="4796" w:type="dxa"/>
            <w:noWrap w:val="0"/>
            <w:vAlign w:val="center"/>
          </w:tcPr>
          <w:p w14:paraId="1C40AEB4">
            <w:pPr>
              <w:pStyle w:val="195"/>
              <w:spacing w:line="240" w:lineRule="auto"/>
              <w:rPr>
                <w:rFonts w:hint="eastAsia" w:ascii="宋体" w:hAnsi="宋体" w:eastAsia="宋体" w:cs="宋体"/>
                <w:color w:val="auto"/>
                <w:sz w:val="28"/>
                <w:highlight w:val="none"/>
              </w:rPr>
            </w:pPr>
            <w:r>
              <w:rPr>
                <w:rFonts w:hint="eastAsia" w:ascii="宋体" w:hAnsi="宋体" w:eastAsia="宋体" w:cs="宋体"/>
                <w:color w:val="auto"/>
                <w:sz w:val="28"/>
                <w:highlight w:val="none"/>
                <w:lang w:val="en-US" w:eastAsia="zh-CN"/>
              </w:rPr>
              <w:t xml:space="preserve">    </w:t>
            </w:r>
            <w:r>
              <w:rPr>
                <w:rFonts w:hint="eastAsia" w:hAnsi="宋体" w:cs="宋体"/>
                <w:color w:val="auto"/>
                <w:sz w:val="28"/>
                <w:highlight w:val="none"/>
                <w:lang w:val="en-US" w:eastAsia="zh-CN"/>
              </w:rPr>
              <w:t>2026</w:t>
            </w:r>
            <w:r>
              <w:rPr>
                <w:rFonts w:hint="eastAsia" w:ascii="宋体" w:hAnsi="宋体" w:eastAsia="宋体" w:cs="宋体"/>
                <w:color w:val="auto"/>
                <w:sz w:val="28"/>
                <w:highlight w:val="none"/>
              </w:rPr>
              <w:t>年</w:t>
            </w:r>
            <w:r>
              <w:rPr>
                <w:rFonts w:hint="eastAsia" w:hAnsi="宋体" w:cs="宋体"/>
                <w:color w:val="auto"/>
                <w:sz w:val="28"/>
                <w:highlight w:val="none"/>
                <w:lang w:val="en-US" w:eastAsia="zh-CN"/>
              </w:rPr>
              <w:t>6</w:t>
            </w:r>
            <w:r>
              <w:rPr>
                <w:rFonts w:hint="eastAsia" w:ascii="宋体" w:hAnsi="宋体" w:eastAsia="宋体" w:cs="宋体"/>
                <w:color w:val="auto"/>
                <w:sz w:val="28"/>
                <w:highlight w:val="none"/>
              </w:rPr>
              <w:t>月</w:t>
            </w:r>
          </w:p>
        </w:tc>
      </w:tr>
    </w:tbl>
    <w:p w14:paraId="6FEFD667">
      <w:pPr>
        <w:rPr>
          <w:rFonts w:hint="eastAsia" w:ascii="宋体" w:hAnsi="宋体" w:eastAsia="宋体" w:cs="宋体"/>
        </w:rPr>
      </w:pPr>
    </w:p>
    <w:p w14:paraId="0A230A20">
      <w:pPr>
        <w:rPr>
          <w:rFonts w:hint="eastAsia" w:ascii="宋体" w:hAnsi="宋体" w:eastAsia="宋体" w:cs="宋体"/>
        </w:rPr>
      </w:pPr>
    </w:p>
    <w:p w14:paraId="560E0E21">
      <w:pPr>
        <w:rPr>
          <w:rFonts w:hint="eastAsia" w:ascii="宋体" w:hAnsi="宋体" w:eastAsia="宋体" w:cs="宋体"/>
        </w:rPr>
      </w:pPr>
    </w:p>
    <w:p w14:paraId="05F101DE">
      <w:pPr>
        <w:rPr>
          <w:rFonts w:hint="eastAsia" w:ascii="宋体" w:hAnsi="宋体" w:eastAsia="宋体" w:cs="宋体"/>
        </w:rPr>
        <w:sectPr>
          <w:headerReference r:id="rId3" w:type="default"/>
          <w:footerReference r:id="rId4" w:type="default"/>
          <w:endnotePr>
            <w:numFmt w:val="decimal"/>
          </w:endnotePr>
          <w:type w:val="continuous"/>
          <w:pgSz w:w="11907" w:h="16840"/>
          <w:pgMar w:top="1134" w:right="1134" w:bottom="1134" w:left="1134" w:header="850" w:footer="850" w:gutter="0"/>
          <w:pgBorders>
            <w:top w:val="none" w:sz="0" w:space="0"/>
            <w:left w:val="none" w:sz="0" w:space="0"/>
            <w:bottom w:val="none" w:sz="0" w:space="0"/>
            <w:right w:val="none" w:sz="0" w:space="0"/>
          </w:pgBorders>
          <w:pgNumType w:fmt="decimal"/>
          <w:cols w:space="0" w:num="1"/>
          <w:rtlGutter w:val="0"/>
          <w:docGrid w:type="lines" w:linePitch="272" w:charSpace="0"/>
        </w:sectPr>
      </w:pPr>
    </w:p>
    <w:p w14:paraId="54FC5108">
      <w:pPr>
        <w:pStyle w:val="31"/>
        <w:rPr>
          <w:rFonts w:hint="eastAsia"/>
        </w:rPr>
      </w:pPr>
    </w:p>
    <w:p w14:paraId="667F5FB2">
      <w:pPr>
        <w:rPr>
          <w:rFonts w:hint="eastAsia" w:ascii="宋体" w:hAnsi="宋体" w:eastAsia="宋体" w:cs="宋体"/>
        </w:rPr>
      </w:pPr>
    </w:p>
    <w:p w14:paraId="7861FFF2">
      <w:pPr>
        <w:rPr>
          <w:rFonts w:hint="eastAsia" w:ascii="宋体" w:hAnsi="宋体" w:eastAsia="宋体" w:cs="宋体"/>
        </w:rPr>
      </w:pPr>
    </w:p>
    <w:p w14:paraId="733DC403">
      <w:pPr>
        <w:rPr>
          <w:rFonts w:hint="eastAsia" w:ascii="宋体" w:hAnsi="宋体" w:eastAsia="宋体" w:cs="宋体"/>
        </w:rPr>
      </w:pPr>
    </w:p>
    <w:p w14:paraId="506AE066">
      <w:pPr>
        <w:rPr>
          <w:rFonts w:hint="eastAsia" w:ascii="宋体" w:hAnsi="宋体" w:eastAsia="宋体" w:cs="宋体"/>
        </w:rPr>
      </w:pPr>
    </w:p>
    <w:p w14:paraId="7681FFC5">
      <w:pPr>
        <w:rPr>
          <w:rFonts w:hint="eastAsia" w:ascii="宋体" w:hAnsi="宋体" w:eastAsia="宋体" w:cs="宋体"/>
        </w:rPr>
      </w:pPr>
    </w:p>
    <w:p w14:paraId="62A0C331">
      <w:pPr>
        <w:rPr>
          <w:rFonts w:hint="eastAsia" w:ascii="宋体" w:hAnsi="宋体" w:eastAsia="宋体" w:cs="宋体"/>
        </w:rPr>
      </w:pPr>
    </w:p>
    <w:p w14:paraId="6B216A83">
      <w:pPr>
        <w:rPr>
          <w:rFonts w:hint="eastAsia" w:ascii="宋体" w:hAnsi="宋体" w:eastAsia="宋体" w:cs="宋体"/>
        </w:rPr>
      </w:pPr>
    </w:p>
    <w:p w14:paraId="58036D95">
      <w:pPr>
        <w:rPr>
          <w:rFonts w:hint="eastAsia" w:ascii="宋体" w:hAnsi="宋体" w:eastAsia="宋体" w:cs="宋体"/>
        </w:rPr>
      </w:pPr>
    </w:p>
    <w:p w14:paraId="7EF66B0E">
      <w:pPr>
        <w:rPr>
          <w:rFonts w:hint="eastAsia" w:ascii="宋体" w:hAnsi="宋体" w:eastAsia="宋体" w:cs="宋体"/>
        </w:rPr>
      </w:pPr>
    </w:p>
    <w:p w14:paraId="49CBC2F6">
      <w:pPr>
        <w:rPr>
          <w:rFonts w:hint="eastAsia" w:ascii="宋体" w:hAnsi="宋体" w:eastAsia="宋体" w:cs="宋体"/>
        </w:rPr>
      </w:pPr>
    </w:p>
    <w:p w14:paraId="5F24F4E6">
      <w:pPr>
        <w:rPr>
          <w:rFonts w:hint="eastAsia" w:ascii="宋体" w:hAnsi="宋体" w:eastAsia="宋体" w:cs="宋体"/>
        </w:rPr>
      </w:pPr>
    </w:p>
    <w:p w14:paraId="56F87ECE">
      <w:pPr>
        <w:rPr>
          <w:rFonts w:hint="eastAsia" w:ascii="宋体" w:hAnsi="宋体" w:eastAsia="宋体" w:cs="宋体"/>
        </w:rPr>
      </w:pPr>
    </w:p>
    <w:p w14:paraId="01B03645">
      <w:pPr>
        <w:rPr>
          <w:rFonts w:hint="eastAsia" w:ascii="宋体" w:hAnsi="宋体" w:eastAsia="宋体" w:cs="宋体"/>
        </w:rPr>
      </w:pPr>
    </w:p>
    <w:p w14:paraId="5857B227">
      <w:pPr>
        <w:rPr>
          <w:rFonts w:hint="eastAsia" w:ascii="宋体" w:hAnsi="宋体" w:eastAsia="宋体" w:cs="宋体"/>
        </w:rPr>
      </w:pPr>
    </w:p>
    <w:p w14:paraId="2FD65A0F">
      <w:pPr>
        <w:rPr>
          <w:rFonts w:hint="eastAsia" w:ascii="宋体" w:hAnsi="宋体" w:eastAsia="宋体" w:cs="宋体"/>
        </w:rPr>
      </w:pPr>
    </w:p>
    <w:p w14:paraId="0BFA0F35">
      <w:pPr>
        <w:rPr>
          <w:rFonts w:hint="eastAsia" w:ascii="宋体" w:hAnsi="宋体" w:eastAsia="宋体" w:cs="宋体"/>
        </w:rPr>
      </w:pPr>
    </w:p>
    <w:p w14:paraId="711FE1FC">
      <w:pPr>
        <w:rPr>
          <w:rFonts w:hint="eastAsia" w:ascii="宋体" w:hAnsi="宋体" w:eastAsia="宋体" w:cs="宋体"/>
        </w:rPr>
      </w:pPr>
    </w:p>
    <w:p w14:paraId="06BBD91C">
      <w:pPr>
        <w:rPr>
          <w:rFonts w:hint="eastAsia" w:ascii="宋体" w:hAnsi="宋体" w:eastAsia="宋体" w:cs="宋体"/>
        </w:rPr>
      </w:pPr>
    </w:p>
    <w:p w14:paraId="51169C13">
      <w:pPr>
        <w:rPr>
          <w:rFonts w:hint="eastAsia" w:ascii="宋体" w:hAnsi="宋体" w:eastAsia="宋体" w:cs="宋体"/>
        </w:rPr>
      </w:pPr>
    </w:p>
    <w:p w14:paraId="58DD89BF">
      <w:pPr>
        <w:rPr>
          <w:rFonts w:hint="eastAsia" w:ascii="宋体" w:hAnsi="宋体" w:eastAsia="宋体" w:cs="宋体"/>
        </w:rPr>
      </w:pPr>
    </w:p>
    <w:p w14:paraId="58CD4728">
      <w:pPr>
        <w:rPr>
          <w:rFonts w:hint="eastAsia" w:ascii="宋体" w:hAnsi="宋体" w:eastAsia="宋体" w:cs="宋体"/>
        </w:rPr>
      </w:pPr>
    </w:p>
    <w:p w14:paraId="0BD34E58">
      <w:pPr>
        <w:rPr>
          <w:rFonts w:hint="eastAsia" w:ascii="宋体" w:hAnsi="宋体" w:eastAsia="宋体" w:cs="宋体"/>
        </w:rPr>
      </w:pPr>
    </w:p>
    <w:p w14:paraId="67824719">
      <w:pPr>
        <w:rPr>
          <w:rFonts w:hint="eastAsia" w:ascii="宋体" w:hAnsi="宋体" w:eastAsia="宋体" w:cs="宋体"/>
        </w:rPr>
      </w:pPr>
    </w:p>
    <w:p w14:paraId="7F4EB722">
      <w:pPr>
        <w:rPr>
          <w:rFonts w:hint="eastAsia" w:ascii="宋体" w:hAnsi="宋体" w:eastAsia="宋体" w:cs="宋体"/>
        </w:rPr>
      </w:pPr>
    </w:p>
    <w:p w14:paraId="692052C6">
      <w:pPr>
        <w:rPr>
          <w:rFonts w:hint="eastAsia" w:ascii="宋体" w:hAnsi="宋体" w:eastAsia="宋体" w:cs="宋体"/>
        </w:rPr>
      </w:pPr>
    </w:p>
    <w:p w14:paraId="5C5130E9">
      <w:pPr>
        <w:jc w:val="center"/>
        <w:rPr>
          <w:rFonts w:hint="eastAsia" w:ascii="宋体" w:hAnsi="宋体" w:eastAsia="宋体" w:cs="宋体"/>
          <w:b/>
          <w:color w:val="auto"/>
          <w:sz w:val="32"/>
          <w:szCs w:val="32"/>
          <w:highlight w:val="none"/>
        </w:rPr>
        <w:sectPr>
          <w:footerReference r:id="rId5" w:type="default"/>
          <w:endnotePr>
            <w:numFmt w:val="decimal"/>
          </w:endnotePr>
          <w:pgSz w:w="11907" w:h="16840"/>
          <w:pgMar w:top="1134" w:right="1134" w:bottom="1134" w:left="1134" w:header="850" w:footer="850" w:gutter="0"/>
          <w:pgBorders>
            <w:top w:val="none" w:sz="0" w:space="0"/>
            <w:left w:val="none" w:sz="0" w:space="0"/>
            <w:bottom w:val="none" w:sz="0" w:space="0"/>
            <w:right w:val="none" w:sz="0" w:space="0"/>
          </w:pgBorders>
          <w:pgNumType w:fmt="decimal" w:start="1"/>
          <w:cols w:space="0" w:num="1"/>
          <w:rtlGutter w:val="0"/>
          <w:docGrid w:type="lines" w:linePitch="272" w:charSpace="0"/>
        </w:sectPr>
      </w:pPr>
    </w:p>
    <w:p w14:paraId="3D43F1EC">
      <w:pPr>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b/>
          <w:color w:val="auto"/>
          <w:sz w:val="32"/>
          <w:szCs w:val="32"/>
          <w:highlight w:val="none"/>
        </w:rPr>
        <w:t>目    录</w:t>
      </w:r>
      <w:bookmarkStart w:id="0" w:name="_Hlt68775471"/>
      <w:bookmarkStart w:id="1" w:name="_Hlt69333523"/>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TOC \o "1-4" \h \z </w:instrText>
      </w:r>
      <w:r>
        <w:rPr>
          <w:rFonts w:hint="eastAsia" w:ascii="宋体" w:hAnsi="宋体" w:eastAsia="宋体" w:cs="宋体"/>
          <w:color w:val="auto"/>
          <w:sz w:val="24"/>
          <w:szCs w:val="24"/>
          <w:highlight w:val="none"/>
        </w:rPr>
        <w:fldChar w:fldCharType="separate"/>
      </w:r>
    </w:p>
    <w:p w14:paraId="314A300A">
      <w:pPr>
        <w:pStyle w:val="24"/>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_Toc14401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highlight w:val="none"/>
        </w:rPr>
        <w:t xml:space="preserve">第一章 </w:t>
      </w:r>
      <w:r>
        <w:rPr>
          <w:rFonts w:hint="eastAsia" w:ascii="宋体" w:hAnsi="宋体" w:eastAsia="宋体" w:cs="宋体"/>
          <w:kern w:val="2"/>
          <w:sz w:val="24"/>
          <w:szCs w:val="24"/>
          <w:highlight w:val="none"/>
          <w:lang w:val="en-US" w:eastAsia="zh-CN"/>
        </w:rPr>
        <w:t xml:space="preserve">  </w:t>
      </w:r>
      <w:r>
        <w:rPr>
          <w:rFonts w:hint="eastAsia" w:ascii="宋体" w:hAnsi="宋体" w:eastAsia="宋体" w:cs="宋体"/>
          <w:kern w:val="2"/>
          <w:sz w:val="24"/>
          <w:szCs w:val="24"/>
          <w:highlight w:val="none"/>
        </w:rPr>
        <w:t>投标人须知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_Toc14401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AD6C369">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_Toc11217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第一节   投标人须知前附表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_Toc11217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C08C22B">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_Toc32054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第二节   重要事项时间地点一览表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_Toc32054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805C08C">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_Toc29051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第三节   投标人须知正文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_Toc29051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F267D4A">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_Toc21821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1．项目概况、招标范围和标段划分、投标费用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_Toc21821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BA68094">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_Toc14971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2．投标人资格要求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_Toc14971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9F4E847">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_Toc8869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3．招标文件获取</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_Toc8869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B622F01">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_Toc1576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4．工期要求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_Toc1576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81F1FE0">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_Toc7308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val="en-US" w:eastAsia="zh-CN"/>
        </w:rPr>
        <w:t>5</w:t>
      </w:r>
      <w:r>
        <w:rPr>
          <w:rFonts w:hint="eastAsia" w:ascii="宋体" w:hAnsi="宋体" w:eastAsia="宋体" w:cs="宋体"/>
          <w:bCs/>
          <w:kern w:val="0"/>
          <w:sz w:val="24"/>
          <w:szCs w:val="24"/>
          <w:highlight w:val="none"/>
        </w:rPr>
        <w:t>．勘察、设计工程内容和质量标准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_Toc7308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7D4EFBB">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_Toc6084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6．现场踏勘</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_Toc6084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E525447">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_Toc10080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7．招标文件的提问和答疑</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_Toc10080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8EA5150">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_Toc32628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8．最高投标限价的确定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_Toc32628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CA7420E">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_Toc626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9．投标报价的约定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_Toc626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2B4412D">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_Toc14329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10．投标文件的编制要求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_Toc14329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D4ACBE9">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_Toc31569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11．电子投标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_Toc31569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A3C6CC5">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_Toc26419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12．投标文件的递交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_Toc26419 \h </w:instrText>
      </w:r>
      <w:r>
        <w:rPr>
          <w:rFonts w:hint="eastAsia" w:ascii="宋体" w:hAnsi="宋体" w:eastAsia="宋体" w:cs="宋体"/>
          <w:sz w:val="24"/>
          <w:szCs w:val="24"/>
        </w:rPr>
        <w:fldChar w:fldCharType="separate"/>
      </w:r>
      <w:r>
        <w:rPr>
          <w:rFonts w:hint="eastAsia" w:ascii="宋体" w:hAnsi="宋体" w:eastAsia="宋体" w:cs="宋体"/>
          <w:sz w:val="24"/>
          <w:szCs w:val="24"/>
        </w:rPr>
        <w:t>28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EB4AD50">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_Toc7360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13．投标有效期</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_Toc7360 \h </w:instrText>
      </w:r>
      <w:r>
        <w:rPr>
          <w:rFonts w:hint="eastAsia" w:ascii="宋体" w:hAnsi="宋体" w:eastAsia="宋体" w:cs="宋体"/>
          <w:sz w:val="24"/>
          <w:szCs w:val="24"/>
        </w:rPr>
        <w:fldChar w:fldCharType="separate"/>
      </w:r>
      <w:r>
        <w:rPr>
          <w:rFonts w:hint="eastAsia" w:ascii="宋体" w:hAnsi="宋体" w:eastAsia="宋体" w:cs="宋体"/>
          <w:sz w:val="24"/>
          <w:szCs w:val="24"/>
        </w:rPr>
        <w:t>28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0905A71">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_Toc32690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14．开标规定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_Toc32690 \h </w:instrText>
      </w:r>
      <w:r>
        <w:rPr>
          <w:rFonts w:hint="eastAsia" w:ascii="宋体" w:hAnsi="宋体" w:eastAsia="宋体" w:cs="宋体"/>
          <w:sz w:val="24"/>
          <w:szCs w:val="24"/>
        </w:rPr>
        <w:fldChar w:fldCharType="separate"/>
      </w:r>
      <w:r>
        <w:rPr>
          <w:rFonts w:hint="eastAsia" w:ascii="宋体" w:hAnsi="宋体" w:eastAsia="宋体" w:cs="宋体"/>
          <w:sz w:val="24"/>
          <w:szCs w:val="24"/>
        </w:rPr>
        <w:t>28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01F2756">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_Toc15996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15．评标</w:t>
      </w:r>
      <w:r>
        <w:rPr>
          <w:rFonts w:hint="eastAsia" w:ascii="宋体" w:hAnsi="宋体" w:eastAsia="宋体" w:cs="宋体"/>
          <w:bCs/>
          <w:kern w:val="0"/>
          <w:sz w:val="24"/>
          <w:szCs w:val="24"/>
          <w:highlight w:val="none"/>
          <w:lang w:eastAsia="zh-CN"/>
        </w:rPr>
        <w:t>规定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_Toc15996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8E533F6">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_Toc13287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val="en-US" w:eastAsia="zh-CN"/>
        </w:rPr>
        <w:t>16</w:t>
      </w:r>
      <w:r>
        <w:rPr>
          <w:rFonts w:hint="eastAsia" w:ascii="宋体" w:hAnsi="宋体" w:eastAsia="宋体" w:cs="宋体"/>
          <w:bCs/>
          <w:kern w:val="0"/>
          <w:sz w:val="24"/>
          <w:szCs w:val="24"/>
          <w:highlight w:val="none"/>
        </w:rPr>
        <w:t>．中标确认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_Toc13287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3E07CEF">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_Toc17469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val="en-US" w:eastAsia="zh-CN"/>
        </w:rPr>
        <w:t>17．电子管理规定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_Toc17469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F9418B8">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_Toc28586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val="en-US" w:eastAsia="zh-CN"/>
        </w:rPr>
        <w:t>18．相关规定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_Toc28586 \h </w:instrText>
      </w:r>
      <w:r>
        <w:rPr>
          <w:rFonts w:hint="eastAsia" w:ascii="宋体" w:hAnsi="宋体" w:eastAsia="宋体" w:cs="宋体"/>
          <w:sz w:val="24"/>
          <w:szCs w:val="24"/>
        </w:rPr>
        <w:fldChar w:fldCharType="separate"/>
      </w:r>
      <w:r>
        <w:rPr>
          <w:rFonts w:hint="eastAsia" w:ascii="宋体" w:hAnsi="宋体" w:eastAsia="宋体" w:cs="宋体"/>
          <w:sz w:val="24"/>
          <w:szCs w:val="24"/>
        </w:rPr>
        <w:t>35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6D23D5C">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_Toc3462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val="en-US" w:eastAsia="zh-CN"/>
        </w:rPr>
        <w:t>19．其他</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_Toc3462 \h </w:instrText>
      </w:r>
      <w:r>
        <w:rPr>
          <w:rFonts w:hint="eastAsia" w:ascii="宋体" w:hAnsi="宋体" w:eastAsia="宋体" w:cs="宋体"/>
          <w:sz w:val="24"/>
          <w:szCs w:val="24"/>
        </w:rPr>
        <w:fldChar w:fldCharType="separate"/>
      </w:r>
      <w:r>
        <w:rPr>
          <w:rFonts w:hint="eastAsia" w:ascii="宋体" w:hAnsi="宋体" w:eastAsia="宋体" w:cs="宋体"/>
          <w:sz w:val="24"/>
          <w:szCs w:val="24"/>
        </w:rPr>
        <w:t>36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8BF4E0F">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_Toc29495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第四节   评标定标办法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_Toc29495 \h </w:instrText>
      </w:r>
      <w:r>
        <w:rPr>
          <w:rFonts w:hint="eastAsia" w:ascii="宋体" w:hAnsi="宋体" w:eastAsia="宋体" w:cs="宋体"/>
          <w:sz w:val="24"/>
          <w:szCs w:val="24"/>
        </w:rPr>
        <w:fldChar w:fldCharType="separate"/>
      </w:r>
      <w:r>
        <w:rPr>
          <w:rFonts w:hint="eastAsia" w:ascii="宋体" w:hAnsi="宋体" w:eastAsia="宋体" w:cs="宋体"/>
          <w:sz w:val="24"/>
          <w:szCs w:val="24"/>
        </w:rPr>
        <w:t>38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4BBFB8A">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_Toc25930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一、评标</w:t>
      </w:r>
      <w:r>
        <w:rPr>
          <w:rFonts w:hint="eastAsia" w:ascii="宋体" w:hAnsi="宋体" w:eastAsia="宋体" w:cs="宋体"/>
          <w:bCs/>
          <w:kern w:val="0"/>
          <w:sz w:val="24"/>
          <w:szCs w:val="24"/>
          <w:highlight w:val="none"/>
          <w:lang w:eastAsia="zh-CN"/>
        </w:rPr>
        <w:t>定标</w:t>
      </w:r>
      <w:r>
        <w:rPr>
          <w:rFonts w:hint="eastAsia" w:ascii="宋体" w:hAnsi="宋体" w:eastAsia="宋体" w:cs="宋体"/>
          <w:bCs/>
          <w:kern w:val="0"/>
          <w:sz w:val="24"/>
          <w:szCs w:val="24"/>
          <w:highlight w:val="none"/>
        </w:rPr>
        <w:t>原则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_Toc25930 \h </w:instrText>
      </w:r>
      <w:r>
        <w:rPr>
          <w:rFonts w:hint="eastAsia" w:ascii="宋体" w:hAnsi="宋体" w:eastAsia="宋体" w:cs="宋体"/>
          <w:sz w:val="24"/>
          <w:szCs w:val="24"/>
        </w:rPr>
        <w:fldChar w:fldCharType="separate"/>
      </w:r>
      <w:r>
        <w:rPr>
          <w:rFonts w:hint="eastAsia" w:ascii="宋体" w:hAnsi="宋体" w:eastAsia="宋体" w:cs="宋体"/>
          <w:sz w:val="24"/>
          <w:szCs w:val="24"/>
        </w:rPr>
        <w:t>38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2D39E61">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_Toc17102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eastAsia="zh-CN"/>
        </w:rPr>
        <w:t>二</w:t>
      </w:r>
      <w:r>
        <w:rPr>
          <w:rFonts w:hint="eastAsia" w:ascii="宋体" w:hAnsi="宋体" w:eastAsia="宋体" w:cs="宋体"/>
          <w:bCs/>
          <w:kern w:val="0"/>
          <w:sz w:val="24"/>
          <w:szCs w:val="24"/>
          <w:highlight w:val="none"/>
        </w:rPr>
        <w:t>、</w:t>
      </w:r>
      <w:r>
        <w:rPr>
          <w:rFonts w:hint="eastAsia" w:ascii="宋体" w:hAnsi="宋体" w:eastAsia="宋体" w:cs="宋体"/>
          <w:bCs/>
          <w:kern w:val="0"/>
          <w:sz w:val="24"/>
          <w:szCs w:val="24"/>
          <w:highlight w:val="none"/>
          <w:lang w:val="en-US" w:eastAsia="zh-CN"/>
        </w:rPr>
        <w:t>定标</w:t>
      </w:r>
      <w:r>
        <w:rPr>
          <w:rFonts w:hint="eastAsia" w:ascii="宋体" w:hAnsi="宋体" w:eastAsia="宋体" w:cs="宋体"/>
          <w:bCs/>
          <w:kern w:val="0"/>
          <w:sz w:val="24"/>
          <w:szCs w:val="24"/>
          <w:highlight w:val="none"/>
          <w:lang w:eastAsia="zh-CN"/>
        </w:rPr>
        <w:t>规则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_Toc17102 \h </w:instrText>
      </w:r>
      <w:r>
        <w:rPr>
          <w:rFonts w:hint="eastAsia" w:ascii="宋体" w:hAnsi="宋体" w:eastAsia="宋体" w:cs="宋体"/>
          <w:sz w:val="24"/>
          <w:szCs w:val="24"/>
        </w:rPr>
        <w:fldChar w:fldCharType="separate"/>
      </w:r>
      <w:r>
        <w:rPr>
          <w:rFonts w:hint="eastAsia" w:ascii="宋体" w:hAnsi="宋体" w:eastAsia="宋体" w:cs="宋体"/>
          <w:sz w:val="24"/>
          <w:szCs w:val="24"/>
        </w:rPr>
        <w:t>38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39E4A80">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_Toc30580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eastAsia="zh-CN"/>
        </w:rPr>
        <w:t>三、评标细则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_Toc30580 \h </w:instrText>
      </w:r>
      <w:r>
        <w:rPr>
          <w:rFonts w:hint="eastAsia" w:ascii="宋体" w:hAnsi="宋体" w:eastAsia="宋体" w:cs="宋体"/>
          <w:sz w:val="24"/>
          <w:szCs w:val="24"/>
        </w:rPr>
        <w:fldChar w:fldCharType="separate"/>
      </w:r>
      <w:r>
        <w:rPr>
          <w:rFonts w:hint="eastAsia" w:ascii="宋体" w:hAnsi="宋体" w:eastAsia="宋体" w:cs="宋体"/>
          <w:sz w:val="24"/>
          <w:szCs w:val="24"/>
        </w:rPr>
        <w:t>38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DA0EAAE">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_Toc30876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第五节   否决投标条件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_Toc30876 \h </w:instrText>
      </w:r>
      <w:r>
        <w:rPr>
          <w:rFonts w:hint="eastAsia" w:ascii="宋体" w:hAnsi="宋体" w:eastAsia="宋体" w:cs="宋体"/>
          <w:sz w:val="24"/>
          <w:szCs w:val="24"/>
        </w:rPr>
        <w:fldChar w:fldCharType="separate"/>
      </w:r>
      <w:r>
        <w:rPr>
          <w:rFonts w:hint="eastAsia" w:ascii="宋体" w:hAnsi="宋体" w:eastAsia="宋体" w:cs="宋体"/>
          <w:sz w:val="24"/>
          <w:szCs w:val="24"/>
        </w:rPr>
        <w:t>47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BC7847F">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_Toc17350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1．资格评审环节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_Toc17350 \h </w:instrText>
      </w:r>
      <w:r>
        <w:rPr>
          <w:rFonts w:hint="eastAsia" w:ascii="宋体" w:hAnsi="宋体" w:eastAsia="宋体" w:cs="宋体"/>
          <w:sz w:val="24"/>
          <w:szCs w:val="24"/>
        </w:rPr>
        <w:fldChar w:fldCharType="separate"/>
      </w:r>
      <w:r>
        <w:rPr>
          <w:rFonts w:hint="eastAsia" w:ascii="宋体" w:hAnsi="宋体" w:eastAsia="宋体" w:cs="宋体"/>
          <w:sz w:val="24"/>
          <w:szCs w:val="24"/>
        </w:rPr>
        <w:t>47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86633F3">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_Toc12948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2．形式评审环节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_Toc12948 \h </w:instrText>
      </w:r>
      <w:r>
        <w:rPr>
          <w:rFonts w:hint="eastAsia" w:ascii="宋体" w:hAnsi="宋体" w:eastAsia="宋体" w:cs="宋体"/>
          <w:sz w:val="24"/>
          <w:szCs w:val="24"/>
        </w:rPr>
        <w:fldChar w:fldCharType="separate"/>
      </w:r>
      <w:r>
        <w:rPr>
          <w:rFonts w:hint="eastAsia" w:ascii="宋体" w:hAnsi="宋体" w:eastAsia="宋体" w:cs="宋体"/>
          <w:sz w:val="24"/>
          <w:szCs w:val="24"/>
        </w:rPr>
        <w:t>48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7983AE8">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_Toc182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3．响应性评审环节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_Toc182 \h </w:instrText>
      </w:r>
      <w:r>
        <w:rPr>
          <w:rFonts w:hint="eastAsia" w:ascii="宋体" w:hAnsi="宋体" w:eastAsia="宋体" w:cs="宋体"/>
          <w:sz w:val="24"/>
          <w:szCs w:val="24"/>
        </w:rPr>
        <w:fldChar w:fldCharType="separate"/>
      </w:r>
      <w:r>
        <w:rPr>
          <w:rFonts w:hint="eastAsia" w:ascii="宋体" w:hAnsi="宋体" w:eastAsia="宋体" w:cs="宋体"/>
          <w:sz w:val="24"/>
          <w:szCs w:val="24"/>
        </w:rPr>
        <w:t>48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0C2F9AC">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_Toc25694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rPr>
        <w:t>4．其他</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_Toc25694 \h </w:instrText>
      </w:r>
      <w:r>
        <w:rPr>
          <w:rFonts w:hint="eastAsia" w:ascii="宋体" w:hAnsi="宋体" w:eastAsia="宋体" w:cs="宋体"/>
          <w:sz w:val="24"/>
          <w:szCs w:val="24"/>
        </w:rPr>
        <w:fldChar w:fldCharType="separate"/>
      </w:r>
      <w:r>
        <w:rPr>
          <w:rFonts w:hint="eastAsia" w:ascii="宋体" w:hAnsi="宋体" w:eastAsia="宋体" w:cs="宋体"/>
          <w:sz w:val="24"/>
          <w:szCs w:val="24"/>
        </w:rPr>
        <w:t>48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6001A3F">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_Toc13872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第六节   定标规定及细则（本项目采用票决数量法定标）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_Toc13872 \h </w:instrText>
      </w:r>
      <w:r>
        <w:rPr>
          <w:rFonts w:hint="eastAsia" w:ascii="宋体" w:hAnsi="宋体" w:eastAsia="宋体" w:cs="宋体"/>
          <w:sz w:val="24"/>
          <w:szCs w:val="24"/>
        </w:rPr>
        <w:fldChar w:fldCharType="separate"/>
      </w:r>
      <w:r>
        <w:rPr>
          <w:rFonts w:hint="eastAsia" w:ascii="宋体" w:hAnsi="宋体" w:eastAsia="宋体" w:cs="宋体"/>
          <w:sz w:val="24"/>
          <w:szCs w:val="24"/>
        </w:rPr>
        <w:t>50</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8C9A571">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_Toc21902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val="en-US" w:eastAsia="zh-CN"/>
        </w:rPr>
        <w:t>1</w:t>
      </w:r>
      <w:r>
        <w:rPr>
          <w:rFonts w:hint="eastAsia" w:ascii="宋体" w:hAnsi="宋体" w:eastAsia="宋体" w:cs="宋体"/>
          <w:bCs/>
          <w:kern w:val="0"/>
          <w:sz w:val="24"/>
          <w:szCs w:val="24"/>
          <w:highlight w:val="none"/>
        </w:rPr>
        <w:t>．</w:t>
      </w:r>
      <w:r>
        <w:rPr>
          <w:rFonts w:hint="eastAsia" w:ascii="宋体" w:hAnsi="宋体" w:eastAsia="宋体" w:cs="宋体"/>
          <w:bCs/>
          <w:kern w:val="0"/>
          <w:sz w:val="24"/>
          <w:szCs w:val="24"/>
          <w:highlight w:val="none"/>
          <w:lang w:eastAsia="zh-CN"/>
        </w:rPr>
        <w:t>确定</w:t>
      </w:r>
      <w:r>
        <w:rPr>
          <w:rFonts w:hint="eastAsia" w:ascii="宋体" w:hAnsi="宋体" w:eastAsia="宋体" w:cs="宋体"/>
          <w:bCs/>
          <w:kern w:val="0"/>
          <w:sz w:val="24"/>
          <w:szCs w:val="24"/>
          <w:highlight w:val="none"/>
        </w:rPr>
        <w:t>定标时间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_Toc21902 \h </w:instrText>
      </w:r>
      <w:r>
        <w:rPr>
          <w:rFonts w:hint="eastAsia" w:ascii="宋体" w:hAnsi="宋体" w:eastAsia="宋体" w:cs="宋体"/>
          <w:sz w:val="24"/>
          <w:szCs w:val="24"/>
        </w:rPr>
        <w:fldChar w:fldCharType="separate"/>
      </w:r>
      <w:r>
        <w:rPr>
          <w:rFonts w:hint="eastAsia" w:ascii="宋体" w:hAnsi="宋体" w:eastAsia="宋体" w:cs="宋体"/>
          <w:sz w:val="24"/>
          <w:szCs w:val="24"/>
        </w:rPr>
        <w:t>50</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164A144">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_Toc22372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val="en-US" w:eastAsia="zh-CN"/>
        </w:rPr>
        <w:t>2</w:t>
      </w:r>
      <w:r>
        <w:rPr>
          <w:rFonts w:hint="eastAsia" w:ascii="宋体" w:hAnsi="宋体" w:eastAsia="宋体" w:cs="宋体"/>
          <w:bCs/>
          <w:kern w:val="0"/>
          <w:sz w:val="24"/>
          <w:szCs w:val="24"/>
          <w:highlight w:val="none"/>
        </w:rPr>
        <w:t>．</w:t>
      </w:r>
      <w:r>
        <w:rPr>
          <w:rFonts w:hint="eastAsia" w:ascii="宋体" w:hAnsi="宋体" w:eastAsia="宋体" w:cs="宋体"/>
          <w:bCs/>
          <w:kern w:val="0"/>
          <w:sz w:val="24"/>
          <w:szCs w:val="24"/>
          <w:highlight w:val="none"/>
          <w:lang w:val="en-US" w:eastAsia="zh-CN"/>
        </w:rPr>
        <w:t>定标委员会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_Toc22372 \h </w:instrText>
      </w:r>
      <w:r>
        <w:rPr>
          <w:rFonts w:hint="eastAsia" w:ascii="宋体" w:hAnsi="宋体" w:eastAsia="宋体" w:cs="宋体"/>
          <w:sz w:val="24"/>
          <w:szCs w:val="24"/>
        </w:rPr>
        <w:fldChar w:fldCharType="separate"/>
      </w:r>
      <w:r>
        <w:rPr>
          <w:rFonts w:hint="eastAsia" w:ascii="宋体" w:hAnsi="宋体" w:eastAsia="宋体" w:cs="宋体"/>
          <w:sz w:val="24"/>
          <w:szCs w:val="24"/>
        </w:rPr>
        <w:t>50</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D05CA71">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_Toc5823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val="en-US" w:eastAsia="zh-CN"/>
        </w:rPr>
        <w:t>3</w:t>
      </w:r>
      <w:r>
        <w:rPr>
          <w:rFonts w:hint="eastAsia" w:ascii="宋体" w:hAnsi="宋体" w:eastAsia="宋体" w:cs="宋体"/>
          <w:bCs/>
          <w:kern w:val="0"/>
          <w:sz w:val="24"/>
          <w:szCs w:val="24"/>
          <w:highlight w:val="none"/>
        </w:rPr>
        <w:t>．</w:t>
      </w:r>
      <w:r>
        <w:rPr>
          <w:rFonts w:hint="eastAsia" w:ascii="宋体" w:hAnsi="宋体" w:eastAsia="宋体" w:cs="宋体"/>
          <w:bCs/>
          <w:kern w:val="0"/>
          <w:sz w:val="24"/>
          <w:szCs w:val="24"/>
          <w:highlight w:val="none"/>
          <w:lang w:val="en-US" w:eastAsia="zh-CN"/>
        </w:rPr>
        <w:t>组建招标监督小组</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_Toc5823 \h </w:instrText>
      </w:r>
      <w:r>
        <w:rPr>
          <w:rFonts w:hint="eastAsia" w:ascii="宋体" w:hAnsi="宋体" w:eastAsia="宋体" w:cs="宋体"/>
          <w:sz w:val="24"/>
          <w:szCs w:val="24"/>
        </w:rPr>
        <w:fldChar w:fldCharType="separate"/>
      </w:r>
      <w:r>
        <w:rPr>
          <w:rFonts w:hint="eastAsia" w:ascii="宋体" w:hAnsi="宋体" w:eastAsia="宋体" w:cs="宋体"/>
          <w:sz w:val="24"/>
          <w:szCs w:val="24"/>
        </w:rPr>
        <w:t>50</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875F674">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_Toc7179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val="en-US" w:eastAsia="zh-CN"/>
        </w:rPr>
        <w:t>4</w:t>
      </w:r>
      <w:r>
        <w:rPr>
          <w:rFonts w:hint="eastAsia" w:ascii="宋体" w:hAnsi="宋体" w:eastAsia="宋体" w:cs="宋体"/>
          <w:bCs/>
          <w:kern w:val="0"/>
          <w:sz w:val="24"/>
          <w:szCs w:val="24"/>
          <w:highlight w:val="none"/>
        </w:rPr>
        <w:t>．</w:t>
      </w:r>
      <w:r>
        <w:rPr>
          <w:rFonts w:hint="eastAsia" w:ascii="宋体" w:hAnsi="宋体" w:eastAsia="宋体" w:cs="宋体"/>
          <w:bCs/>
          <w:kern w:val="0"/>
          <w:sz w:val="24"/>
          <w:szCs w:val="24"/>
          <w:highlight w:val="none"/>
          <w:lang w:val="en-US" w:eastAsia="zh-CN"/>
        </w:rPr>
        <w:t>定标办法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_Toc7179 \h </w:instrText>
      </w:r>
      <w:r>
        <w:rPr>
          <w:rFonts w:hint="eastAsia" w:ascii="宋体" w:hAnsi="宋体" w:eastAsia="宋体" w:cs="宋体"/>
          <w:sz w:val="24"/>
          <w:szCs w:val="24"/>
        </w:rPr>
        <w:fldChar w:fldCharType="separate"/>
      </w:r>
      <w:r>
        <w:rPr>
          <w:rFonts w:hint="eastAsia" w:ascii="宋体" w:hAnsi="宋体" w:eastAsia="宋体" w:cs="宋体"/>
          <w:sz w:val="24"/>
          <w:szCs w:val="24"/>
        </w:rPr>
        <w:t>51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8423969">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_Toc19519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val="en-US" w:eastAsia="zh-CN"/>
        </w:rPr>
        <w:t>5．定标细则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_Toc19519 \h </w:instrText>
      </w:r>
      <w:r>
        <w:rPr>
          <w:rFonts w:hint="eastAsia" w:ascii="宋体" w:hAnsi="宋体" w:eastAsia="宋体" w:cs="宋体"/>
          <w:sz w:val="24"/>
          <w:szCs w:val="24"/>
        </w:rPr>
        <w:fldChar w:fldCharType="separate"/>
      </w:r>
      <w:r>
        <w:rPr>
          <w:rFonts w:hint="eastAsia" w:ascii="宋体" w:hAnsi="宋体" w:eastAsia="宋体" w:cs="宋体"/>
          <w:sz w:val="24"/>
          <w:szCs w:val="24"/>
        </w:rPr>
        <w:t>51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6BB6FC4">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_Toc7367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val="en-US" w:eastAsia="zh-CN"/>
        </w:rPr>
        <w:t>6．定标结果公示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_Toc7367 \h </w:instrText>
      </w:r>
      <w:r>
        <w:rPr>
          <w:rFonts w:hint="eastAsia" w:ascii="宋体" w:hAnsi="宋体" w:eastAsia="宋体" w:cs="宋体"/>
          <w:sz w:val="24"/>
          <w:szCs w:val="24"/>
        </w:rPr>
        <w:fldChar w:fldCharType="separate"/>
      </w:r>
      <w:r>
        <w:rPr>
          <w:rFonts w:hint="eastAsia" w:ascii="宋体" w:hAnsi="宋体" w:eastAsia="宋体" w:cs="宋体"/>
          <w:sz w:val="24"/>
          <w:szCs w:val="24"/>
        </w:rPr>
        <w:t>52</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70F0675">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_Toc25461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第七节   中标确认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_Toc25461 \h </w:instrText>
      </w:r>
      <w:r>
        <w:rPr>
          <w:rFonts w:hint="eastAsia" w:ascii="宋体" w:hAnsi="宋体" w:eastAsia="宋体" w:cs="宋体"/>
          <w:sz w:val="24"/>
          <w:szCs w:val="24"/>
        </w:rPr>
        <w:fldChar w:fldCharType="separate"/>
      </w:r>
      <w:r>
        <w:rPr>
          <w:rFonts w:hint="eastAsia" w:ascii="宋体" w:hAnsi="宋体" w:eastAsia="宋体" w:cs="宋体"/>
          <w:sz w:val="24"/>
          <w:szCs w:val="24"/>
        </w:rPr>
        <w:t>53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24C5622">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_Toc4999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val="en-US" w:eastAsia="zh-CN"/>
        </w:rPr>
        <w:t>1</w:t>
      </w:r>
      <w:r>
        <w:rPr>
          <w:rFonts w:hint="eastAsia" w:ascii="宋体" w:hAnsi="宋体" w:eastAsia="宋体" w:cs="宋体"/>
          <w:bCs/>
          <w:kern w:val="0"/>
          <w:sz w:val="24"/>
          <w:szCs w:val="24"/>
          <w:highlight w:val="none"/>
        </w:rPr>
        <w:t>．</w:t>
      </w:r>
      <w:r>
        <w:rPr>
          <w:rFonts w:hint="eastAsia" w:ascii="宋体" w:hAnsi="宋体" w:eastAsia="宋体" w:cs="宋体"/>
          <w:bCs/>
          <w:kern w:val="0"/>
          <w:sz w:val="24"/>
          <w:szCs w:val="24"/>
          <w:highlight w:val="none"/>
          <w:lang w:val="en-US" w:eastAsia="zh-CN"/>
        </w:rPr>
        <w:t>中标人确定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_Toc4999 \h </w:instrText>
      </w:r>
      <w:r>
        <w:rPr>
          <w:rFonts w:hint="eastAsia" w:ascii="宋体" w:hAnsi="宋体" w:eastAsia="宋体" w:cs="宋体"/>
          <w:sz w:val="24"/>
          <w:szCs w:val="24"/>
        </w:rPr>
        <w:fldChar w:fldCharType="separate"/>
      </w:r>
      <w:r>
        <w:rPr>
          <w:rFonts w:hint="eastAsia" w:ascii="宋体" w:hAnsi="宋体" w:eastAsia="宋体" w:cs="宋体"/>
          <w:sz w:val="24"/>
          <w:szCs w:val="24"/>
        </w:rPr>
        <w:t>53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EB5DD31">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_Toc12333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val="en-US" w:eastAsia="zh-CN"/>
        </w:rPr>
        <w:t>2</w:t>
      </w:r>
      <w:r>
        <w:rPr>
          <w:rFonts w:hint="eastAsia" w:ascii="宋体" w:hAnsi="宋体" w:eastAsia="宋体" w:cs="宋体"/>
          <w:bCs/>
          <w:kern w:val="0"/>
          <w:sz w:val="24"/>
          <w:szCs w:val="24"/>
          <w:highlight w:val="none"/>
        </w:rPr>
        <w:t>．</w:t>
      </w:r>
      <w:r>
        <w:rPr>
          <w:rFonts w:hint="eastAsia" w:ascii="宋体" w:hAnsi="宋体" w:eastAsia="宋体" w:cs="宋体"/>
          <w:bCs/>
          <w:kern w:val="0"/>
          <w:sz w:val="24"/>
          <w:szCs w:val="24"/>
          <w:highlight w:val="none"/>
          <w:lang w:val="en-US" w:eastAsia="zh-CN"/>
        </w:rPr>
        <w:t>异议和投诉</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_Toc12333 \h </w:instrText>
      </w:r>
      <w:r>
        <w:rPr>
          <w:rFonts w:hint="eastAsia" w:ascii="宋体" w:hAnsi="宋体" w:eastAsia="宋体" w:cs="宋体"/>
          <w:sz w:val="24"/>
          <w:szCs w:val="24"/>
        </w:rPr>
        <w:fldChar w:fldCharType="separate"/>
      </w:r>
      <w:r>
        <w:rPr>
          <w:rFonts w:hint="eastAsia" w:ascii="宋体" w:hAnsi="宋体" w:eastAsia="宋体" w:cs="宋体"/>
          <w:sz w:val="24"/>
          <w:szCs w:val="24"/>
        </w:rPr>
        <w:t>53</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200873F">
      <w:pPr>
        <w:pStyle w:val="1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_Toc26651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highlight w:val="none"/>
          <w:lang w:val="en-US" w:eastAsia="zh-CN"/>
        </w:rPr>
        <w:t>3</w:t>
      </w:r>
      <w:r>
        <w:rPr>
          <w:rFonts w:hint="eastAsia" w:ascii="宋体" w:hAnsi="宋体" w:eastAsia="宋体" w:cs="宋体"/>
          <w:bCs/>
          <w:kern w:val="0"/>
          <w:sz w:val="24"/>
          <w:szCs w:val="24"/>
          <w:highlight w:val="none"/>
        </w:rPr>
        <w:t>．</w:t>
      </w:r>
      <w:r>
        <w:rPr>
          <w:rFonts w:hint="eastAsia" w:ascii="宋体" w:hAnsi="宋体" w:eastAsia="宋体" w:cs="宋体"/>
          <w:bCs/>
          <w:kern w:val="0"/>
          <w:sz w:val="24"/>
          <w:szCs w:val="24"/>
          <w:highlight w:val="none"/>
          <w:lang w:val="en-US" w:eastAsia="zh-CN"/>
        </w:rPr>
        <w:t>废除授标及授标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_Toc26651 \h </w:instrText>
      </w:r>
      <w:r>
        <w:rPr>
          <w:rFonts w:hint="eastAsia" w:ascii="宋体" w:hAnsi="宋体" w:eastAsia="宋体" w:cs="宋体"/>
          <w:sz w:val="24"/>
          <w:szCs w:val="24"/>
        </w:rPr>
        <w:fldChar w:fldCharType="separate"/>
      </w:r>
      <w:r>
        <w:rPr>
          <w:rFonts w:hint="eastAsia" w:ascii="宋体" w:hAnsi="宋体" w:eastAsia="宋体" w:cs="宋体"/>
          <w:sz w:val="24"/>
          <w:szCs w:val="24"/>
        </w:rPr>
        <w:t>54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78DB948">
      <w:pPr>
        <w:pStyle w:val="24"/>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_Toc6494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highlight w:val="none"/>
        </w:rPr>
        <w:t xml:space="preserve">第二章 </w:t>
      </w:r>
      <w:r>
        <w:rPr>
          <w:rFonts w:hint="eastAsia" w:ascii="宋体" w:hAnsi="宋体" w:eastAsia="宋体" w:cs="宋体"/>
          <w:kern w:val="2"/>
          <w:sz w:val="24"/>
          <w:szCs w:val="24"/>
          <w:highlight w:val="none"/>
          <w:lang w:val="en-US" w:eastAsia="zh-CN"/>
        </w:rPr>
        <w:t xml:space="preserve">  </w:t>
      </w:r>
      <w:r>
        <w:rPr>
          <w:rFonts w:hint="eastAsia" w:ascii="宋体" w:hAnsi="宋体" w:eastAsia="宋体" w:cs="宋体"/>
          <w:kern w:val="2"/>
          <w:sz w:val="24"/>
          <w:szCs w:val="24"/>
          <w:highlight w:val="none"/>
        </w:rPr>
        <w:t>中标人须知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_Toc6494 \h </w:instrText>
      </w:r>
      <w:r>
        <w:rPr>
          <w:rFonts w:hint="eastAsia" w:ascii="宋体" w:hAnsi="宋体" w:eastAsia="宋体" w:cs="宋体"/>
          <w:sz w:val="24"/>
          <w:szCs w:val="24"/>
        </w:rPr>
        <w:fldChar w:fldCharType="separate"/>
      </w:r>
      <w:r>
        <w:rPr>
          <w:rFonts w:hint="eastAsia" w:ascii="宋体" w:hAnsi="宋体" w:eastAsia="宋体" w:cs="宋体"/>
          <w:sz w:val="24"/>
          <w:szCs w:val="24"/>
        </w:rPr>
        <w:t>56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8CA1BF7">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_Toc12893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1．中标通知书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_Toc12893 \h </w:instrText>
      </w:r>
      <w:r>
        <w:rPr>
          <w:rFonts w:hint="eastAsia" w:ascii="宋体" w:hAnsi="宋体" w:eastAsia="宋体" w:cs="宋体"/>
          <w:sz w:val="24"/>
          <w:szCs w:val="24"/>
        </w:rPr>
        <w:fldChar w:fldCharType="separate"/>
      </w:r>
      <w:r>
        <w:rPr>
          <w:rFonts w:hint="eastAsia" w:ascii="宋体" w:hAnsi="宋体" w:eastAsia="宋体" w:cs="宋体"/>
          <w:sz w:val="24"/>
          <w:szCs w:val="24"/>
        </w:rPr>
        <w:t>56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CF15D5E">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_Toc31031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2．中标结果公示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_Toc31031 \h </w:instrText>
      </w:r>
      <w:r>
        <w:rPr>
          <w:rFonts w:hint="eastAsia" w:ascii="宋体" w:hAnsi="宋体" w:eastAsia="宋体" w:cs="宋体"/>
          <w:sz w:val="24"/>
          <w:szCs w:val="24"/>
        </w:rPr>
        <w:fldChar w:fldCharType="separate"/>
      </w:r>
      <w:r>
        <w:rPr>
          <w:rFonts w:hint="eastAsia" w:ascii="宋体" w:hAnsi="宋体" w:eastAsia="宋体" w:cs="宋体"/>
          <w:sz w:val="24"/>
          <w:szCs w:val="24"/>
        </w:rPr>
        <w:t>56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48469D6">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_Toc26259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3．履约保证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_Toc26259 \h </w:instrText>
      </w:r>
      <w:r>
        <w:rPr>
          <w:rFonts w:hint="eastAsia" w:ascii="宋体" w:hAnsi="宋体" w:eastAsia="宋体" w:cs="宋体"/>
          <w:sz w:val="24"/>
          <w:szCs w:val="24"/>
        </w:rPr>
        <w:fldChar w:fldCharType="separate"/>
      </w:r>
      <w:r>
        <w:rPr>
          <w:rFonts w:hint="eastAsia" w:ascii="宋体" w:hAnsi="宋体" w:eastAsia="宋体" w:cs="宋体"/>
          <w:sz w:val="24"/>
          <w:szCs w:val="24"/>
        </w:rPr>
        <w:t>56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2CB243E">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_Toc12912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4．合同订立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_Toc12912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713AC78">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_Toc17915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5．放弃中标的处理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_Toc17915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37C7DA0">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_Toc19753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6．专业工程分包</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_Toc19753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9DDB9D1">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_Toc15518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7．项目管理机构</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_Toc15518 \h </w:instrText>
      </w:r>
      <w:r>
        <w:rPr>
          <w:rFonts w:hint="eastAsia" w:ascii="宋体" w:hAnsi="宋体" w:eastAsia="宋体" w:cs="宋体"/>
          <w:sz w:val="24"/>
          <w:szCs w:val="24"/>
        </w:rPr>
        <w:fldChar w:fldCharType="separate"/>
      </w:r>
      <w:r>
        <w:rPr>
          <w:rFonts w:hint="eastAsia" w:ascii="宋体" w:hAnsi="宋体" w:eastAsia="宋体" w:cs="宋体"/>
          <w:sz w:val="24"/>
          <w:szCs w:val="24"/>
        </w:rPr>
        <w:t>58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7F56C42">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_Toc16367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8．监督实施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_Toc16367 \h </w:instrText>
      </w:r>
      <w:r>
        <w:rPr>
          <w:rFonts w:hint="eastAsia" w:ascii="宋体" w:hAnsi="宋体" w:eastAsia="宋体" w:cs="宋体"/>
          <w:sz w:val="24"/>
          <w:szCs w:val="24"/>
        </w:rPr>
        <w:fldChar w:fldCharType="separate"/>
      </w:r>
      <w:r>
        <w:rPr>
          <w:rFonts w:hint="eastAsia" w:ascii="宋体" w:hAnsi="宋体" w:eastAsia="宋体" w:cs="宋体"/>
          <w:sz w:val="24"/>
          <w:szCs w:val="24"/>
        </w:rPr>
        <w:t>58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A82E7A2">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_Toc24289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9．其他事项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_Toc24289 \h </w:instrText>
      </w:r>
      <w:r>
        <w:rPr>
          <w:rFonts w:hint="eastAsia" w:ascii="宋体" w:hAnsi="宋体" w:eastAsia="宋体" w:cs="宋体"/>
          <w:sz w:val="24"/>
          <w:szCs w:val="24"/>
        </w:rPr>
        <w:fldChar w:fldCharType="separate"/>
      </w:r>
      <w:r>
        <w:rPr>
          <w:rFonts w:hint="eastAsia" w:ascii="宋体" w:hAnsi="宋体" w:eastAsia="宋体" w:cs="宋体"/>
          <w:sz w:val="24"/>
          <w:szCs w:val="24"/>
        </w:rPr>
        <w:t>58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B4F0394">
      <w:pPr>
        <w:pStyle w:val="24"/>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_Toc28046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highlight w:val="none"/>
        </w:rPr>
        <w:t xml:space="preserve">第三章 </w:t>
      </w:r>
      <w:r>
        <w:rPr>
          <w:rFonts w:hint="eastAsia" w:ascii="宋体" w:hAnsi="宋体" w:eastAsia="宋体" w:cs="宋体"/>
          <w:kern w:val="2"/>
          <w:sz w:val="24"/>
          <w:szCs w:val="24"/>
          <w:highlight w:val="none"/>
          <w:lang w:val="en-US" w:eastAsia="zh-CN"/>
        </w:rPr>
        <w:t xml:space="preserve">  </w:t>
      </w:r>
      <w:r>
        <w:rPr>
          <w:rFonts w:hint="eastAsia" w:ascii="宋体" w:hAnsi="宋体" w:eastAsia="宋体" w:cs="宋体"/>
          <w:kern w:val="2"/>
          <w:sz w:val="24"/>
          <w:szCs w:val="24"/>
          <w:highlight w:val="none"/>
        </w:rPr>
        <w:t>拟签订合同的主要条款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_Toc28046 \h </w:instrText>
      </w:r>
      <w:r>
        <w:rPr>
          <w:rFonts w:hint="eastAsia" w:ascii="宋体" w:hAnsi="宋体" w:eastAsia="宋体" w:cs="宋体"/>
          <w:sz w:val="24"/>
          <w:szCs w:val="24"/>
        </w:rPr>
        <w:fldChar w:fldCharType="separate"/>
      </w:r>
      <w:r>
        <w:rPr>
          <w:rFonts w:hint="eastAsia" w:ascii="宋体" w:hAnsi="宋体" w:eastAsia="宋体" w:cs="宋体"/>
          <w:sz w:val="24"/>
          <w:szCs w:val="24"/>
        </w:rPr>
        <w:t>64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F4A042E">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_Toc3177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1．承包方式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_Toc3177 \h </w:instrText>
      </w:r>
      <w:r>
        <w:rPr>
          <w:rFonts w:hint="eastAsia" w:ascii="宋体" w:hAnsi="宋体" w:eastAsia="宋体" w:cs="宋体"/>
          <w:sz w:val="24"/>
          <w:szCs w:val="24"/>
        </w:rPr>
        <w:fldChar w:fldCharType="separate"/>
      </w:r>
      <w:r>
        <w:rPr>
          <w:rFonts w:hint="eastAsia" w:ascii="宋体" w:hAnsi="宋体" w:eastAsia="宋体" w:cs="宋体"/>
          <w:sz w:val="24"/>
          <w:szCs w:val="24"/>
        </w:rPr>
        <w:t>64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9B54B82">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_Toc26338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2．合同价款支付办法及结算原则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_Toc26338 \h </w:instrText>
      </w:r>
      <w:r>
        <w:rPr>
          <w:rFonts w:hint="eastAsia" w:ascii="宋体" w:hAnsi="宋体" w:eastAsia="宋体" w:cs="宋体"/>
          <w:sz w:val="24"/>
          <w:szCs w:val="24"/>
        </w:rPr>
        <w:fldChar w:fldCharType="separate"/>
      </w:r>
      <w:r>
        <w:rPr>
          <w:rFonts w:hint="eastAsia" w:ascii="宋体" w:hAnsi="宋体" w:eastAsia="宋体" w:cs="宋体"/>
          <w:sz w:val="24"/>
          <w:szCs w:val="24"/>
        </w:rPr>
        <w:t>64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F5CFB26">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_Toc11083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3．最终以合同签订为准（由招标人自行补充）</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_Toc11083 \h </w:instrText>
      </w:r>
      <w:r>
        <w:rPr>
          <w:rFonts w:hint="eastAsia" w:ascii="宋体" w:hAnsi="宋体" w:eastAsia="宋体" w:cs="宋体"/>
          <w:sz w:val="24"/>
          <w:szCs w:val="24"/>
        </w:rPr>
        <w:fldChar w:fldCharType="separate"/>
      </w:r>
      <w:r>
        <w:rPr>
          <w:rFonts w:hint="eastAsia" w:ascii="宋体" w:hAnsi="宋体" w:eastAsia="宋体" w:cs="宋体"/>
          <w:sz w:val="24"/>
          <w:szCs w:val="24"/>
        </w:rPr>
        <w:t>65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77C98F5">
      <w:pPr>
        <w:pStyle w:val="24"/>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_Toc14278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highlight w:val="none"/>
          <w:lang w:val="en-US" w:eastAsia="zh-CN"/>
        </w:rPr>
        <w:t>第四章   技术要求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_Toc14278 \h </w:instrText>
      </w:r>
      <w:r>
        <w:rPr>
          <w:rFonts w:hint="eastAsia" w:ascii="宋体" w:hAnsi="宋体" w:eastAsia="宋体" w:cs="宋体"/>
          <w:sz w:val="24"/>
          <w:szCs w:val="24"/>
        </w:rPr>
        <w:fldChar w:fldCharType="separate"/>
      </w:r>
      <w:r>
        <w:rPr>
          <w:rFonts w:hint="eastAsia" w:ascii="宋体" w:hAnsi="宋体" w:eastAsia="宋体" w:cs="宋体"/>
          <w:sz w:val="24"/>
          <w:szCs w:val="24"/>
        </w:rPr>
        <w:t>66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77136DBE">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_Toc17829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1．工程的技术要求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_Toc17829 \h </w:instrText>
      </w:r>
      <w:r>
        <w:rPr>
          <w:rFonts w:hint="eastAsia" w:ascii="宋体" w:hAnsi="宋体" w:eastAsia="宋体" w:cs="宋体"/>
          <w:sz w:val="24"/>
          <w:szCs w:val="24"/>
        </w:rPr>
        <w:fldChar w:fldCharType="separate"/>
      </w:r>
      <w:r>
        <w:rPr>
          <w:rFonts w:hint="eastAsia" w:ascii="宋体" w:hAnsi="宋体" w:eastAsia="宋体" w:cs="宋体"/>
          <w:sz w:val="24"/>
          <w:szCs w:val="24"/>
        </w:rPr>
        <w:t>66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0FB048B">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_Toc199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2．备查要求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_Toc199 \h </w:instrText>
      </w:r>
      <w:r>
        <w:rPr>
          <w:rFonts w:hint="eastAsia" w:ascii="宋体" w:hAnsi="宋体" w:eastAsia="宋体" w:cs="宋体"/>
          <w:sz w:val="24"/>
          <w:szCs w:val="24"/>
        </w:rPr>
        <w:fldChar w:fldCharType="separate"/>
      </w:r>
      <w:r>
        <w:rPr>
          <w:rFonts w:hint="eastAsia" w:ascii="宋体" w:hAnsi="宋体" w:eastAsia="宋体" w:cs="宋体"/>
          <w:sz w:val="24"/>
          <w:szCs w:val="24"/>
        </w:rPr>
        <w:t>67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B7B0792">
      <w:pPr>
        <w:pStyle w:val="24"/>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_Toc25872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highlight w:val="none"/>
          <w:lang w:val="en-US" w:eastAsia="zh-CN"/>
        </w:rPr>
        <w:t>第五章   投标文件格式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_Toc25872 \h </w:instrText>
      </w:r>
      <w:r>
        <w:rPr>
          <w:rFonts w:hint="eastAsia" w:ascii="宋体" w:hAnsi="宋体" w:eastAsia="宋体" w:cs="宋体"/>
          <w:sz w:val="24"/>
          <w:szCs w:val="24"/>
        </w:rPr>
        <w:fldChar w:fldCharType="separate"/>
      </w:r>
      <w:r>
        <w:rPr>
          <w:rFonts w:hint="eastAsia" w:ascii="宋体" w:hAnsi="宋体" w:eastAsia="宋体" w:cs="宋体"/>
          <w:sz w:val="24"/>
          <w:szCs w:val="24"/>
        </w:rPr>
        <w:t>68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8C5CC90">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_Toc27480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格式一   封面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_Toc27480 \h </w:instrText>
      </w:r>
      <w:r>
        <w:rPr>
          <w:rFonts w:hint="eastAsia" w:ascii="宋体" w:hAnsi="宋体" w:eastAsia="宋体" w:cs="宋体"/>
          <w:sz w:val="24"/>
          <w:szCs w:val="24"/>
        </w:rPr>
        <w:fldChar w:fldCharType="separate"/>
      </w:r>
      <w:r>
        <w:rPr>
          <w:rFonts w:hint="eastAsia" w:ascii="宋体" w:hAnsi="宋体" w:eastAsia="宋体" w:cs="宋体"/>
          <w:sz w:val="24"/>
          <w:szCs w:val="24"/>
        </w:rPr>
        <w:t>68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3D7E865">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_Toc8842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格式二   投标函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_Toc8842 \h </w:instrText>
      </w:r>
      <w:r>
        <w:rPr>
          <w:rFonts w:hint="eastAsia" w:ascii="宋体" w:hAnsi="宋体" w:eastAsia="宋体" w:cs="宋体"/>
          <w:sz w:val="24"/>
          <w:szCs w:val="24"/>
        </w:rPr>
        <w:fldChar w:fldCharType="separate"/>
      </w:r>
      <w:r>
        <w:rPr>
          <w:rFonts w:hint="eastAsia" w:ascii="宋体" w:hAnsi="宋体" w:eastAsia="宋体" w:cs="宋体"/>
          <w:sz w:val="24"/>
          <w:szCs w:val="24"/>
        </w:rPr>
        <w:t>69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945AF3F">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_Toc13446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格式三   工程项目报价表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_Toc13446 \h </w:instrText>
      </w:r>
      <w:r>
        <w:rPr>
          <w:rFonts w:hint="eastAsia" w:ascii="宋体" w:hAnsi="宋体" w:eastAsia="宋体" w:cs="宋体"/>
          <w:sz w:val="24"/>
          <w:szCs w:val="24"/>
        </w:rPr>
        <w:fldChar w:fldCharType="separate"/>
      </w:r>
      <w:r>
        <w:rPr>
          <w:rFonts w:hint="eastAsia" w:ascii="宋体" w:hAnsi="宋体" w:eastAsia="宋体" w:cs="宋体"/>
          <w:sz w:val="24"/>
          <w:szCs w:val="24"/>
        </w:rPr>
        <w:t>70</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705448F">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_Toc22218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格式四   各项承诺一览表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_Toc22218 \h </w:instrText>
      </w:r>
      <w:r>
        <w:rPr>
          <w:rFonts w:hint="eastAsia" w:ascii="宋体" w:hAnsi="宋体" w:eastAsia="宋体" w:cs="宋体"/>
          <w:sz w:val="24"/>
          <w:szCs w:val="24"/>
        </w:rPr>
        <w:fldChar w:fldCharType="separate"/>
      </w:r>
      <w:r>
        <w:rPr>
          <w:rFonts w:hint="eastAsia" w:ascii="宋体" w:hAnsi="宋体" w:eastAsia="宋体" w:cs="宋体"/>
          <w:sz w:val="24"/>
          <w:szCs w:val="24"/>
        </w:rPr>
        <w:t>71</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043E5D3">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_Toc10889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格式五   授权委托书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_Toc10889 \h </w:instrText>
      </w:r>
      <w:r>
        <w:rPr>
          <w:rFonts w:hint="eastAsia" w:ascii="宋体" w:hAnsi="宋体" w:eastAsia="宋体" w:cs="宋体"/>
          <w:sz w:val="24"/>
          <w:szCs w:val="24"/>
        </w:rPr>
        <w:fldChar w:fldCharType="separate"/>
      </w:r>
      <w:r>
        <w:rPr>
          <w:rFonts w:hint="eastAsia" w:ascii="宋体" w:hAnsi="宋体" w:eastAsia="宋体" w:cs="宋体"/>
          <w:sz w:val="24"/>
          <w:szCs w:val="24"/>
        </w:rPr>
        <w:t>74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7454888">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_Toc30236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格式六   法定代表人身份证明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_Toc30236 \h </w:instrText>
      </w:r>
      <w:r>
        <w:rPr>
          <w:rFonts w:hint="eastAsia" w:ascii="宋体" w:hAnsi="宋体" w:eastAsia="宋体" w:cs="宋体"/>
          <w:sz w:val="24"/>
          <w:szCs w:val="24"/>
        </w:rPr>
        <w:fldChar w:fldCharType="separate"/>
      </w:r>
      <w:r>
        <w:rPr>
          <w:rFonts w:hint="eastAsia" w:ascii="宋体" w:hAnsi="宋体" w:eastAsia="宋体" w:cs="宋体"/>
          <w:sz w:val="24"/>
          <w:szCs w:val="24"/>
        </w:rPr>
        <w:t>75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3EA9E66">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_Toc7076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格式七   联合体协议书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_Toc7076 \h </w:instrText>
      </w:r>
      <w:r>
        <w:rPr>
          <w:rFonts w:hint="eastAsia" w:ascii="宋体" w:hAnsi="宋体" w:eastAsia="宋体" w:cs="宋体"/>
          <w:sz w:val="24"/>
          <w:szCs w:val="24"/>
        </w:rPr>
        <w:fldChar w:fldCharType="separate"/>
      </w:r>
      <w:r>
        <w:rPr>
          <w:rFonts w:hint="eastAsia" w:ascii="宋体" w:hAnsi="宋体" w:eastAsia="宋体" w:cs="宋体"/>
          <w:sz w:val="24"/>
          <w:szCs w:val="24"/>
        </w:rPr>
        <w:t>76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447F4B3">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_Toc15415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格式八   投标人基本情况表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_Toc15415 \h </w:instrText>
      </w:r>
      <w:r>
        <w:rPr>
          <w:rFonts w:hint="eastAsia" w:ascii="宋体" w:hAnsi="宋体" w:eastAsia="宋体" w:cs="宋体"/>
          <w:sz w:val="24"/>
          <w:szCs w:val="24"/>
        </w:rPr>
        <w:fldChar w:fldCharType="separate"/>
      </w:r>
      <w:r>
        <w:rPr>
          <w:rFonts w:hint="eastAsia" w:ascii="宋体" w:hAnsi="宋体" w:eastAsia="宋体" w:cs="宋体"/>
          <w:sz w:val="24"/>
          <w:szCs w:val="24"/>
        </w:rPr>
        <w:t>77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AFCA443">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_Toc26925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格式九   设计/勘察负责人简历表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_Toc26925 \h </w:instrText>
      </w:r>
      <w:r>
        <w:rPr>
          <w:rFonts w:hint="eastAsia" w:ascii="宋体" w:hAnsi="宋体" w:eastAsia="宋体" w:cs="宋体"/>
          <w:sz w:val="24"/>
          <w:szCs w:val="24"/>
        </w:rPr>
        <w:fldChar w:fldCharType="separate"/>
      </w:r>
      <w:r>
        <w:rPr>
          <w:rFonts w:hint="eastAsia" w:ascii="宋体" w:hAnsi="宋体" w:eastAsia="宋体" w:cs="宋体"/>
          <w:sz w:val="24"/>
          <w:szCs w:val="24"/>
        </w:rPr>
        <w:t>78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60E9AB6">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_Toc12205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格式十   本项目拟投入的人员基本情况表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_Toc12205 \h </w:instrText>
      </w:r>
      <w:r>
        <w:rPr>
          <w:rFonts w:hint="eastAsia" w:ascii="宋体" w:hAnsi="宋体" w:eastAsia="宋体" w:cs="宋体"/>
          <w:sz w:val="24"/>
          <w:szCs w:val="24"/>
        </w:rPr>
        <w:fldChar w:fldCharType="separate"/>
      </w:r>
      <w:r>
        <w:rPr>
          <w:rFonts w:hint="eastAsia" w:ascii="宋体" w:hAnsi="宋体" w:eastAsia="宋体" w:cs="宋体"/>
          <w:sz w:val="24"/>
          <w:szCs w:val="24"/>
        </w:rPr>
        <w:t>79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6546F6A">
      <w:pPr>
        <w:pStyle w:val="26"/>
        <w:tabs>
          <w:tab w:val="right" w:leader="dot" w:pos="9639"/>
        </w:tabs>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_Toc18361 </w:instrText>
      </w:r>
      <w:r>
        <w:rPr>
          <w:rFonts w:hint="eastAsia" w:ascii="宋体" w:hAnsi="宋体" w:eastAsia="宋体" w:cs="宋体"/>
          <w:sz w:val="24"/>
          <w:szCs w:val="24"/>
          <w:highlight w:val="none"/>
        </w:rPr>
        <w:fldChar w:fldCharType="separate"/>
      </w:r>
      <w:r>
        <w:rPr>
          <w:rFonts w:hint="eastAsia" w:ascii="宋体" w:hAnsi="宋体" w:eastAsia="宋体" w:cs="宋体"/>
          <w:kern w:val="2"/>
          <w:sz w:val="24"/>
          <w:szCs w:val="24"/>
          <w:lang w:val="en-US" w:eastAsia="zh-CN"/>
        </w:rPr>
        <w:t>格式十一   定标因素评审资料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_Toc18361 \h </w:instrText>
      </w:r>
      <w:r>
        <w:rPr>
          <w:rFonts w:hint="eastAsia" w:ascii="宋体" w:hAnsi="宋体" w:eastAsia="宋体" w:cs="宋体"/>
          <w:sz w:val="24"/>
          <w:szCs w:val="24"/>
        </w:rPr>
        <w:fldChar w:fldCharType="separate"/>
      </w:r>
      <w:r>
        <w:rPr>
          <w:rFonts w:hint="eastAsia" w:ascii="宋体" w:hAnsi="宋体" w:eastAsia="宋体" w:cs="宋体"/>
          <w:sz w:val="24"/>
          <w:szCs w:val="24"/>
        </w:rPr>
        <w:t>80</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1FD1341">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fldChar w:fldCharType="end"/>
      </w:r>
      <w:bookmarkEnd w:id="0"/>
      <w:bookmarkEnd w:id="1"/>
    </w:p>
    <w:p w14:paraId="4B5A2CAA">
      <w:pPr>
        <w:rPr>
          <w:rFonts w:hint="eastAsia" w:ascii="宋体" w:hAnsi="宋体" w:eastAsia="宋体" w:cs="宋体"/>
        </w:rPr>
      </w:pPr>
    </w:p>
    <w:p w14:paraId="7C38E9C9">
      <w:pPr>
        <w:rPr>
          <w:rFonts w:hint="eastAsia" w:ascii="宋体" w:hAnsi="宋体" w:eastAsia="宋体" w:cs="宋体"/>
        </w:rPr>
      </w:pPr>
    </w:p>
    <w:p w14:paraId="3B26C671">
      <w:pPr>
        <w:rPr>
          <w:rFonts w:hint="eastAsia" w:ascii="宋体" w:hAnsi="宋体" w:eastAsia="宋体" w:cs="宋体"/>
        </w:rPr>
      </w:pPr>
    </w:p>
    <w:p w14:paraId="0975CCC7">
      <w:pPr>
        <w:rPr>
          <w:rFonts w:hint="eastAsia" w:ascii="宋体" w:hAnsi="宋体" w:eastAsia="宋体" w:cs="宋体"/>
        </w:rPr>
      </w:pPr>
    </w:p>
    <w:p w14:paraId="3DD45294">
      <w:pPr>
        <w:rPr>
          <w:rFonts w:hint="eastAsia" w:ascii="宋体" w:hAnsi="宋体" w:eastAsia="宋体" w:cs="宋体"/>
        </w:rPr>
      </w:pPr>
    </w:p>
    <w:p w14:paraId="1F3841D8">
      <w:pPr>
        <w:rPr>
          <w:rFonts w:hint="eastAsia" w:ascii="宋体" w:hAnsi="宋体" w:eastAsia="宋体" w:cs="宋体"/>
        </w:rPr>
      </w:pPr>
    </w:p>
    <w:p w14:paraId="12237B0D">
      <w:pPr>
        <w:rPr>
          <w:rFonts w:hint="eastAsia" w:ascii="宋体" w:hAnsi="宋体" w:eastAsia="宋体" w:cs="宋体"/>
        </w:rPr>
      </w:pPr>
    </w:p>
    <w:p w14:paraId="2421A54A">
      <w:pPr>
        <w:pStyle w:val="4"/>
        <w:keepNext/>
        <w:keepLines w:val="0"/>
        <w:pageBreakBefore w:val="0"/>
        <w:shd w:val="clear" w:color="auto" w:fill="auto"/>
        <w:tabs>
          <w:tab w:val="left" w:pos="1830"/>
        </w:tabs>
        <w:kinsoku/>
        <w:wordWrap/>
        <w:overflowPunct/>
        <w:topLinePunct w:val="0"/>
        <w:autoSpaceDE/>
        <w:autoSpaceDN/>
        <w:bidi w:val="0"/>
        <w:adjustRightInd/>
        <w:snapToGrid/>
        <w:spacing w:line="360" w:lineRule="exact"/>
        <w:ind w:left="0" w:firstLine="0"/>
        <w:jc w:val="center"/>
        <w:textAlignment w:val="auto"/>
        <w:rPr>
          <w:rFonts w:hint="eastAsia" w:ascii="宋体" w:hAnsi="宋体" w:eastAsia="宋体" w:cs="宋体"/>
          <w:b/>
          <w:color w:val="auto"/>
          <w:kern w:val="2"/>
          <w:sz w:val="32"/>
          <w:szCs w:val="32"/>
          <w:highlight w:val="none"/>
        </w:rPr>
        <w:sectPr>
          <w:footerReference r:id="rId6" w:type="default"/>
          <w:endnotePr>
            <w:numFmt w:val="decimal"/>
          </w:endnotePr>
          <w:pgSz w:w="11907" w:h="16840"/>
          <w:pgMar w:top="1134" w:right="1134" w:bottom="1134" w:left="1134" w:header="850" w:footer="850" w:gutter="0"/>
          <w:pgBorders>
            <w:top w:val="none" w:sz="0" w:space="0"/>
            <w:left w:val="none" w:sz="0" w:space="0"/>
            <w:bottom w:val="none" w:sz="0" w:space="0"/>
            <w:right w:val="none" w:sz="0" w:space="0"/>
          </w:pgBorders>
          <w:pgNumType w:fmt="decimal" w:start="1"/>
          <w:cols w:space="0" w:num="1"/>
          <w:rtlGutter w:val="0"/>
          <w:docGrid w:type="lines" w:linePitch="272" w:charSpace="0"/>
        </w:sectPr>
      </w:pPr>
      <w:bookmarkStart w:id="2" w:name="_Toc14401"/>
      <w:bookmarkStart w:id="3" w:name="_Toc459"/>
      <w:bookmarkStart w:id="4" w:name="_Toc476739600"/>
      <w:bookmarkStart w:id="5" w:name="_Hlt111690251"/>
    </w:p>
    <w:p w14:paraId="2F7C6705">
      <w:pPr>
        <w:pStyle w:val="4"/>
        <w:keepNext/>
        <w:keepLines w:val="0"/>
        <w:pageBreakBefore w:val="0"/>
        <w:shd w:val="clear" w:color="auto" w:fill="auto"/>
        <w:tabs>
          <w:tab w:val="left" w:pos="1830"/>
        </w:tabs>
        <w:kinsoku/>
        <w:wordWrap/>
        <w:overflowPunct/>
        <w:topLinePunct w:val="0"/>
        <w:autoSpaceDE/>
        <w:autoSpaceDN/>
        <w:bidi w:val="0"/>
        <w:adjustRightInd/>
        <w:snapToGrid/>
        <w:spacing w:line="360" w:lineRule="exact"/>
        <w:ind w:left="0" w:firstLine="0"/>
        <w:jc w:val="center"/>
        <w:textAlignment w:val="auto"/>
        <w:rPr>
          <w:rFonts w:hint="eastAsia" w:ascii="宋体" w:hAnsi="宋体" w:eastAsia="宋体" w:cs="宋体"/>
          <w:b/>
          <w:color w:val="auto"/>
          <w:kern w:val="2"/>
          <w:sz w:val="32"/>
          <w:szCs w:val="32"/>
          <w:highlight w:val="none"/>
        </w:rPr>
      </w:pPr>
      <w:r>
        <w:rPr>
          <w:rFonts w:hint="eastAsia" w:ascii="宋体" w:hAnsi="宋体" w:eastAsia="宋体" w:cs="宋体"/>
          <w:b/>
          <w:color w:val="auto"/>
          <w:kern w:val="2"/>
          <w:sz w:val="32"/>
          <w:szCs w:val="32"/>
          <w:highlight w:val="none"/>
        </w:rPr>
        <w:t xml:space="preserve">第一章 </w:t>
      </w:r>
      <w:r>
        <w:rPr>
          <w:rFonts w:hint="eastAsia" w:ascii="宋体" w:hAnsi="宋体" w:eastAsia="宋体" w:cs="宋体"/>
          <w:b/>
          <w:color w:val="auto"/>
          <w:kern w:val="2"/>
          <w:sz w:val="32"/>
          <w:szCs w:val="32"/>
          <w:highlight w:val="none"/>
          <w:lang w:val="en-US" w:eastAsia="zh-CN"/>
        </w:rPr>
        <w:t xml:space="preserve">  </w:t>
      </w:r>
      <w:r>
        <w:rPr>
          <w:rFonts w:hint="eastAsia" w:ascii="宋体" w:hAnsi="宋体" w:eastAsia="宋体" w:cs="宋体"/>
          <w:b/>
          <w:color w:val="auto"/>
          <w:kern w:val="2"/>
          <w:sz w:val="32"/>
          <w:szCs w:val="32"/>
          <w:highlight w:val="none"/>
        </w:rPr>
        <w:t>投标人须知</w:t>
      </w:r>
      <w:bookmarkEnd w:id="2"/>
      <w:bookmarkEnd w:id="3"/>
      <w:bookmarkEnd w:id="4"/>
    </w:p>
    <w:p w14:paraId="1FAC6852">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6" w:name="_Hlt127175444"/>
      <w:bookmarkEnd w:id="6"/>
      <w:bookmarkStart w:id="7" w:name="_Toc11217"/>
      <w:bookmarkStart w:id="8" w:name="_Toc1510"/>
      <w:bookmarkStart w:id="9" w:name="_Hlt120077520"/>
      <w:r>
        <w:rPr>
          <w:rFonts w:hint="eastAsia" w:ascii="宋体" w:hAnsi="宋体" w:eastAsia="宋体" w:cs="宋体"/>
          <w:b/>
          <w:color w:val="auto"/>
          <w:kern w:val="2"/>
          <w:sz w:val="28"/>
          <w:szCs w:val="24"/>
          <w:lang w:val="en-US" w:eastAsia="zh-CN"/>
        </w:rPr>
        <w:t>第一节   投标人须知前附表</w:t>
      </w:r>
      <w:bookmarkEnd w:id="7"/>
      <w:bookmarkEnd w:id="8"/>
    </w:p>
    <w:tbl>
      <w:tblPr>
        <w:tblStyle w:val="34"/>
        <w:tblW w:w="0" w:type="auto"/>
        <w:tblInd w:w="-1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699"/>
        <w:gridCol w:w="7543"/>
      </w:tblGrid>
      <w:tr w14:paraId="1BA21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57D66C2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序号</w:t>
            </w:r>
          </w:p>
        </w:tc>
        <w:tc>
          <w:tcPr>
            <w:tcW w:w="1699" w:type="dxa"/>
            <w:shd w:val="clear" w:color="auto" w:fill="auto"/>
            <w:vAlign w:val="center"/>
          </w:tcPr>
          <w:p w14:paraId="7CF0473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内容</w:t>
            </w:r>
          </w:p>
        </w:tc>
        <w:tc>
          <w:tcPr>
            <w:tcW w:w="7543" w:type="dxa"/>
            <w:shd w:val="clear" w:color="auto" w:fill="auto"/>
            <w:vAlign w:val="center"/>
          </w:tcPr>
          <w:p w14:paraId="3390E1CC">
            <w:pPr>
              <w:tabs>
                <w:tab w:val="left" w:pos="1180"/>
              </w:tabs>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说明与要求</w:t>
            </w:r>
          </w:p>
        </w:tc>
      </w:tr>
      <w:tr w14:paraId="523A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37B877F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1699" w:type="dxa"/>
            <w:shd w:val="clear" w:color="auto" w:fill="auto"/>
            <w:vAlign w:val="center"/>
          </w:tcPr>
          <w:p w14:paraId="17F70B8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项目名称</w:t>
            </w:r>
          </w:p>
        </w:tc>
        <w:tc>
          <w:tcPr>
            <w:tcW w:w="7543" w:type="dxa"/>
            <w:shd w:val="clear" w:color="auto" w:fill="auto"/>
            <w:vAlign w:val="center"/>
          </w:tcPr>
          <w:p w14:paraId="6A87F320">
            <w:pPr>
              <w:keepNext w:val="0"/>
              <w:keepLines w:val="0"/>
              <w:pageBreakBefore w:val="0"/>
              <w:tabs>
                <w:tab w:val="left" w:pos="1180"/>
              </w:tabs>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韶关市浈江区大数据产业基础设施工程勘察、设计</w:t>
            </w:r>
          </w:p>
        </w:tc>
      </w:tr>
      <w:tr w14:paraId="44B0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6186084F">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1699" w:type="dxa"/>
            <w:shd w:val="clear" w:color="auto" w:fill="auto"/>
            <w:vAlign w:val="center"/>
          </w:tcPr>
          <w:p w14:paraId="5CD6E3D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项目业主</w:t>
            </w:r>
          </w:p>
        </w:tc>
        <w:tc>
          <w:tcPr>
            <w:tcW w:w="7543" w:type="dxa"/>
            <w:shd w:val="clear" w:color="auto" w:fill="auto"/>
            <w:vAlign w:val="center"/>
          </w:tcPr>
          <w:p w14:paraId="623D6647">
            <w:pPr>
              <w:keepNext w:val="0"/>
              <w:keepLines w:val="0"/>
              <w:pageBreakBefore w:val="0"/>
              <w:tabs>
                <w:tab w:val="left" w:pos="1180"/>
              </w:tabs>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aps w:val="0"/>
                <w:color w:val="auto"/>
                <w:spacing w:val="0"/>
                <w:sz w:val="24"/>
                <w:szCs w:val="24"/>
                <w:highlight w:val="none"/>
                <w:shd w:val="clear" w:color="auto" w:fill="FFFFFF"/>
                <w:lang w:eastAsia="zh-CN"/>
              </w:rPr>
              <w:t>韶关市浈江区鸿通投资有限公司</w:t>
            </w:r>
          </w:p>
        </w:tc>
      </w:tr>
      <w:tr w14:paraId="6360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09315240">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1699" w:type="dxa"/>
            <w:shd w:val="clear" w:color="auto" w:fill="auto"/>
            <w:vAlign w:val="center"/>
          </w:tcPr>
          <w:p w14:paraId="295F71E0">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项目批准部门</w:t>
            </w:r>
          </w:p>
        </w:tc>
        <w:tc>
          <w:tcPr>
            <w:tcW w:w="7543" w:type="dxa"/>
            <w:shd w:val="clear" w:color="auto" w:fill="auto"/>
            <w:vAlign w:val="center"/>
          </w:tcPr>
          <w:p w14:paraId="12B14794">
            <w:pPr>
              <w:keepNext w:val="0"/>
              <w:keepLines w:val="0"/>
              <w:pageBreakBefore w:val="0"/>
              <w:tabs>
                <w:tab w:val="left" w:pos="1180"/>
              </w:tabs>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韶关市浈江区发展和改革局</w:t>
            </w:r>
          </w:p>
        </w:tc>
      </w:tr>
      <w:tr w14:paraId="3898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3CA8D01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4</w:t>
            </w:r>
          </w:p>
        </w:tc>
        <w:tc>
          <w:tcPr>
            <w:tcW w:w="1699" w:type="dxa"/>
            <w:shd w:val="clear" w:color="auto" w:fill="auto"/>
            <w:vAlign w:val="center"/>
          </w:tcPr>
          <w:p w14:paraId="7E1D54E6">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项目批准文号</w:t>
            </w:r>
          </w:p>
        </w:tc>
        <w:tc>
          <w:tcPr>
            <w:tcW w:w="7543" w:type="dxa"/>
            <w:shd w:val="clear" w:color="auto" w:fill="auto"/>
            <w:vAlign w:val="center"/>
          </w:tcPr>
          <w:p w14:paraId="172FC5ED">
            <w:pPr>
              <w:keepNext w:val="0"/>
              <w:keepLines w:val="0"/>
              <w:pageBreakBefore w:val="0"/>
              <w:tabs>
                <w:tab w:val="left" w:pos="1180"/>
              </w:tabs>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韶浈发改投审〔2026〕27号</w:t>
            </w:r>
          </w:p>
        </w:tc>
      </w:tr>
      <w:tr w14:paraId="504F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7EE7306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5</w:t>
            </w:r>
          </w:p>
        </w:tc>
        <w:tc>
          <w:tcPr>
            <w:tcW w:w="1699" w:type="dxa"/>
            <w:shd w:val="clear" w:color="auto" w:fill="auto"/>
            <w:vAlign w:val="center"/>
          </w:tcPr>
          <w:p w14:paraId="40084B56">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项目代码</w:t>
            </w:r>
          </w:p>
        </w:tc>
        <w:tc>
          <w:tcPr>
            <w:tcW w:w="7543" w:type="dxa"/>
            <w:shd w:val="clear" w:color="auto" w:fill="auto"/>
            <w:vAlign w:val="center"/>
          </w:tcPr>
          <w:p w14:paraId="1E81F465">
            <w:pPr>
              <w:keepNext w:val="0"/>
              <w:keepLines w:val="0"/>
              <w:pageBreakBefore w:val="0"/>
              <w:tabs>
                <w:tab w:val="left" w:pos="1180"/>
              </w:tabs>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2603-440204-04-01-645031</w:t>
            </w:r>
          </w:p>
        </w:tc>
      </w:tr>
      <w:tr w14:paraId="3AA1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37E7858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6</w:t>
            </w:r>
          </w:p>
        </w:tc>
        <w:tc>
          <w:tcPr>
            <w:tcW w:w="1699" w:type="dxa"/>
            <w:shd w:val="clear" w:color="auto" w:fill="auto"/>
            <w:vAlign w:val="center"/>
          </w:tcPr>
          <w:p w14:paraId="233E171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资金来源</w:t>
            </w:r>
          </w:p>
          <w:p w14:paraId="047BE6A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及出资比例</w:t>
            </w:r>
          </w:p>
        </w:tc>
        <w:tc>
          <w:tcPr>
            <w:tcW w:w="7543" w:type="dxa"/>
            <w:shd w:val="clear" w:color="auto" w:fill="auto"/>
            <w:vAlign w:val="center"/>
          </w:tcPr>
          <w:p w14:paraId="67AB8847">
            <w:pPr>
              <w:keepNext w:val="0"/>
              <w:keepLines w:val="0"/>
              <w:pageBreakBefore w:val="0"/>
              <w:tabs>
                <w:tab w:val="left" w:pos="1180"/>
              </w:tabs>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由上级财政投资、地方配套和自筹安排解决，100%。</w:t>
            </w:r>
          </w:p>
        </w:tc>
      </w:tr>
      <w:tr w14:paraId="7A76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0694F8EB">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7</w:t>
            </w:r>
          </w:p>
        </w:tc>
        <w:tc>
          <w:tcPr>
            <w:tcW w:w="1699" w:type="dxa"/>
            <w:shd w:val="clear" w:color="auto" w:fill="auto"/>
            <w:vAlign w:val="center"/>
          </w:tcPr>
          <w:p w14:paraId="1CF7F7C0">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招标人</w:t>
            </w:r>
          </w:p>
        </w:tc>
        <w:tc>
          <w:tcPr>
            <w:tcW w:w="7543" w:type="dxa"/>
            <w:shd w:val="clear" w:color="auto" w:fill="auto"/>
            <w:vAlign w:val="center"/>
          </w:tcPr>
          <w:p w14:paraId="4B2599D3">
            <w:pPr>
              <w:keepNext w:val="0"/>
              <w:keepLines w:val="0"/>
              <w:pageBreakBefore w:val="0"/>
              <w:tabs>
                <w:tab w:val="left" w:pos="1180"/>
              </w:tabs>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韶关市浈江区鸿通投资有限公司</w:t>
            </w:r>
          </w:p>
        </w:tc>
      </w:tr>
      <w:tr w14:paraId="3C1B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100A52C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8</w:t>
            </w:r>
          </w:p>
        </w:tc>
        <w:tc>
          <w:tcPr>
            <w:tcW w:w="1699" w:type="dxa"/>
            <w:shd w:val="clear" w:color="auto" w:fill="auto"/>
            <w:vAlign w:val="center"/>
          </w:tcPr>
          <w:p w14:paraId="1430FF54">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招标代理机构</w:t>
            </w:r>
          </w:p>
        </w:tc>
        <w:tc>
          <w:tcPr>
            <w:tcW w:w="7543" w:type="dxa"/>
            <w:shd w:val="clear" w:color="auto" w:fill="auto"/>
            <w:vAlign w:val="center"/>
          </w:tcPr>
          <w:p w14:paraId="460438DD">
            <w:pPr>
              <w:keepNext w:val="0"/>
              <w:keepLines w:val="0"/>
              <w:pageBreakBefore w:val="0"/>
              <w:tabs>
                <w:tab w:val="left" w:pos="1180"/>
              </w:tabs>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广东合正项目管理有限公司</w:t>
            </w:r>
          </w:p>
        </w:tc>
      </w:tr>
      <w:tr w14:paraId="4845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0A22A58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9</w:t>
            </w:r>
          </w:p>
        </w:tc>
        <w:tc>
          <w:tcPr>
            <w:tcW w:w="1699" w:type="dxa"/>
            <w:shd w:val="clear" w:color="auto" w:fill="auto"/>
            <w:vAlign w:val="center"/>
          </w:tcPr>
          <w:p w14:paraId="538B1CD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建设地点</w:t>
            </w:r>
          </w:p>
        </w:tc>
        <w:tc>
          <w:tcPr>
            <w:tcW w:w="7543" w:type="dxa"/>
            <w:shd w:val="clear" w:color="auto" w:fill="auto"/>
            <w:vAlign w:val="center"/>
          </w:tcPr>
          <w:p w14:paraId="79F00A0E">
            <w:pPr>
              <w:keepNext w:val="0"/>
              <w:keepLines w:val="0"/>
              <w:pageBreakBefore w:val="0"/>
              <w:tabs>
                <w:tab w:val="left" w:pos="1180"/>
              </w:tabs>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韶关市浈江区新韶镇大学路片区</w:t>
            </w:r>
          </w:p>
        </w:tc>
      </w:tr>
      <w:tr w14:paraId="1E71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696D5EB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10</w:t>
            </w:r>
          </w:p>
        </w:tc>
        <w:tc>
          <w:tcPr>
            <w:tcW w:w="1699" w:type="dxa"/>
            <w:shd w:val="clear" w:color="auto" w:fill="auto"/>
            <w:vAlign w:val="center"/>
          </w:tcPr>
          <w:p w14:paraId="5070A92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建设内容和规模</w:t>
            </w:r>
          </w:p>
        </w:tc>
        <w:tc>
          <w:tcPr>
            <w:tcW w:w="7543" w:type="dxa"/>
            <w:shd w:val="clear" w:color="auto" w:fill="auto"/>
            <w:vAlign w:val="center"/>
          </w:tcPr>
          <w:p w14:paraId="41FB3822">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本次招标建设内容：</w:t>
            </w:r>
            <w:r>
              <w:rPr>
                <w:rFonts w:hint="eastAsia" w:ascii="宋体" w:hAnsi="宋体" w:eastAsia="宋体" w:cs="宋体"/>
                <w:color w:val="auto"/>
                <w:sz w:val="24"/>
                <w:szCs w:val="24"/>
                <w:highlight w:val="none"/>
                <w:lang w:val="en-US" w:eastAsia="zh-CN"/>
              </w:rPr>
              <w:t>包括场地平整及边坡防护、新建园区道路及配套</w:t>
            </w:r>
            <w:r>
              <w:rPr>
                <w:rFonts w:hint="eastAsia" w:ascii="宋体" w:hAnsi="宋体" w:cs="宋体"/>
                <w:color w:val="auto"/>
                <w:sz w:val="24"/>
                <w:szCs w:val="24"/>
                <w:highlight w:val="none"/>
                <w:lang w:val="en-US" w:eastAsia="zh-CN"/>
              </w:rPr>
              <w:t>设施</w:t>
            </w:r>
            <w:r>
              <w:rPr>
                <w:rFonts w:hint="eastAsia" w:ascii="宋体" w:hAnsi="宋体" w:eastAsia="宋体" w:cs="宋体"/>
                <w:color w:val="auto"/>
                <w:sz w:val="24"/>
                <w:szCs w:val="24"/>
                <w:highlight w:val="none"/>
                <w:lang w:val="en-US" w:eastAsia="zh-CN"/>
              </w:rPr>
              <w:t>。其中项目场地平整3780亩，总挖填方约998万立方米；新建7条园区道路及配套</w:t>
            </w:r>
            <w:r>
              <w:rPr>
                <w:rFonts w:hint="eastAsia" w:ascii="宋体" w:hAnsi="宋体" w:cs="宋体"/>
                <w:color w:val="auto"/>
                <w:sz w:val="24"/>
                <w:szCs w:val="24"/>
                <w:highlight w:val="none"/>
                <w:lang w:val="en-US" w:eastAsia="zh-CN"/>
              </w:rPr>
              <w:t>设施</w:t>
            </w:r>
            <w:r>
              <w:rPr>
                <w:rFonts w:hint="eastAsia" w:ascii="宋体" w:hAnsi="宋体" w:eastAsia="宋体" w:cs="宋体"/>
                <w:color w:val="auto"/>
                <w:sz w:val="24"/>
                <w:szCs w:val="24"/>
                <w:highlight w:val="none"/>
                <w:lang w:val="en-US" w:eastAsia="zh-CN"/>
              </w:rPr>
              <w:t>，道路总长度约9.56km。</w:t>
            </w:r>
          </w:p>
        </w:tc>
      </w:tr>
      <w:tr w14:paraId="1767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6B14524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11</w:t>
            </w:r>
          </w:p>
        </w:tc>
        <w:tc>
          <w:tcPr>
            <w:tcW w:w="1699" w:type="dxa"/>
            <w:shd w:val="clear" w:color="auto" w:fill="auto"/>
            <w:vAlign w:val="center"/>
          </w:tcPr>
          <w:p w14:paraId="5F25E22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项目总投资</w:t>
            </w:r>
          </w:p>
        </w:tc>
        <w:tc>
          <w:tcPr>
            <w:tcW w:w="7543" w:type="dxa"/>
            <w:shd w:val="clear" w:color="auto" w:fill="auto"/>
            <w:vAlign w:val="center"/>
          </w:tcPr>
          <w:p w14:paraId="5946E91E">
            <w:pPr>
              <w:keepNext w:val="0"/>
              <w:keepLines w:val="0"/>
              <w:pageBreakBefore w:val="0"/>
              <w:tabs>
                <w:tab w:val="left" w:pos="1180"/>
              </w:tabs>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项目估算总投资225420.30万元，其中：工程费158174.86万元、工程建设其他费用39165.95万元、预备费9040.49万元。</w:t>
            </w:r>
          </w:p>
        </w:tc>
      </w:tr>
      <w:tr w14:paraId="4FE0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140064D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12</w:t>
            </w:r>
          </w:p>
        </w:tc>
        <w:tc>
          <w:tcPr>
            <w:tcW w:w="1699" w:type="dxa"/>
            <w:shd w:val="clear" w:color="auto" w:fill="auto"/>
            <w:vAlign w:val="center"/>
          </w:tcPr>
          <w:p w14:paraId="3A1A6F6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招标范围</w:t>
            </w:r>
          </w:p>
        </w:tc>
        <w:tc>
          <w:tcPr>
            <w:tcW w:w="7543" w:type="dxa"/>
            <w:shd w:val="clear" w:color="auto" w:fill="auto"/>
            <w:vAlign w:val="center"/>
          </w:tcPr>
          <w:p w14:paraId="3CB723A8">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本工程所涉及的内容包括但不限于以下（1）和（2）：</w:t>
            </w:r>
          </w:p>
          <w:p w14:paraId="16CF5A5A">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（1）勘察部分：工程岩土勘察（包括初步勘察、详细勘察）；</w:t>
            </w:r>
          </w:p>
          <w:p w14:paraId="19596050">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（2）设计部分：确保项目顺利实施的报建、施工等所需的设计文件，所涉及的内容包括但不限于以下：</w:t>
            </w:r>
          </w:p>
          <w:p w14:paraId="66556BC9">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①设计方案（含效果图）、初步设计（含概算）；</w:t>
            </w:r>
          </w:p>
          <w:p w14:paraId="0B4CB2C6">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②施工图设计（施工图设计范围为本次招标设计范围的所有内容，施工图送审并确保审查合格）；</w:t>
            </w:r>
          </w:p>
          <w:p w14:paraId="48721D63">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③调整并优化设计和在工程施工期间指导和解决施工难题；</w:t>
            </w:r>
          </w:p>
          <w:p w14:paraId="1A3915F2">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④完成招标人</w:t>
            </w:r>
            <w:r>
              <w:rPr>
                <w:rFonts w:hint="eastAsia" w:ascii="宋体" w:hAnsi="宋体" w:eastAsia="宋体" w:cs="宋体"/>
                <w:color w:val="auto"/>
                <w:sz w:val="24"/>
                <w:szCs w:val="24"/>
                <w:highlight w:val="none"/>
              </w:rPr>
              <w:t>提出的与项目相关并确保项目顺利实施的其他要求。</w:t>
            </w:r>
          </w:p>
        </w:tc>
      </w:tr>
      <w:tr w14:paraId="1CB1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7466264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13</w:t>
            </w:r>
          </w:p>
        </w:tc>
        <w:tc>
          <w:tcPr>
            <w:tcW w:w="1699" w:type="dxa"/>
            <w:shd w:val="clear" w:color="auto" w:fill="auto"/>
            <w:vAlign w:val="center"/>
          </w:tcPr>
          <w:p w14:paraId="7868F98B">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标段划分</w:t>
            </w:r>
          </w:p>
        </w:tc>
        <w:tc>
          <w:tcPr>
            <w:tcW w:w="7543" w:type="dxa"/>
            <w:shd w:val="clear" w:color="auto" w:fill="auto"/>
            <w:vAlign w:val="center"/>
          </w:tcPr>
          <w:p w14:paraId="0582CD2C">
            <w:pPr>
              <w:keepNext w:val="0"/>
              <w:keepLines w:val="0"/>
              <w:pageBreakBefore w:val="0"/>
              <w:kinsoku/>
              <w:wordWrap w:val="0"/>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本招标项目不划分标段。</w:t>
            </w:r>
          </w:p>
        </w:tc>
      </w:tr>
      <w:tr w14:paraId="7682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422D984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14</w:t>
            </w:r>
          </w:p>
        </w:tc>
        <w:tc>
          <w:tcPr>
            <w:tcW w:w="1699" w:type="dxa"/>
            <w:shd w:val="clear" w:color="auto" w:fill="auto"/>
            <w:vAlign w:val="center"/>
          </w:tcPr>
          <w:p w14:paraId="48A5CC0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工期</w:t>
            </w:r>
          </w:p>
        </w:tc>
        <w:tc>
          <w:tcPr>
            <w:tcW w:w="7543" w:type="dxa"/>
            <w:shd w:val="clear" w:color="auto" w:fill="auto"/>
            <w:vAlign w:val="center"/>
          </w:tcPr>
          <w:p w14:paraId="078907F3">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招标项目勘察、设计工期：</w:t>
            </w:r>
            <w:r>
              <w:rPr>
                <w:rFonts w:hint="eastAsia" w:ascii="宋体" w:hAnsi="宋体" w:cs="宋体"/>
                <w:color w:val="auto"/>
                <w:sz w:val="24"/>
                <w:szCs w:val="24"/>
                <w:highlight w:val="none"/>
                <w:lang w:val="en-US" w:eastAsia="zh-CN"/>
              </w:rPr>
              <w:t>120个日历天</w:t>
            </w:r>
            <w:r>
              <w:rPr>
                <w:rFonts w:hint="eastAsia" w:ascii="宋体" w:hAnsi="宋体" w:eastAsia="宋体" w:cs="宋体"/>
                <w:color w:val="auto"/>
                <w:sz w:val="24"/>
                <w:szCs w:val="24"/>
                <w:highlight w:val="none"/>
                <w:lang w:val="en-US" w:eastAsia="zh-CN"/>
              </w:rPr>
              <w:t>，各阶段实施期限如下：</w:t>
            </w:r>
          </w:p>
          <w:p w14:paraId="4ADA58BD">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（1）勘察阶段：从中标通知书发出之日起30个日历天提交勘察成果文件等；</w:t>
            </w:r>
          </w:p>
          <w:p w14:paraId="2219375F">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（2）初步设计</w:t>
            </w:r>
            <w:r>
              <w:rPr>
                <w:rFonts w:hint="eastAsia" w:ascii="宋体" w:hAnsi="宋体" w:cs="宋体"/>
                <w:color w:val="auto"/>
                <w:sz w:val="24"/>
                <w:szCs w:val="24"/>
                <w:highlight w:val="none"/>
                <w:lang w:val="en-US" w:eastAsia="zh-CN"/>
              </w:rPr>
              <w:t>阶段：从提交勘察成果文件之日起45个日历天内提交初步设计</w:t>
            </w:r>
            <w:r>
              <w:rPr>
                <w:rFonts w:hint="eastAsia" w:ascii="宋体" w:hAnsi="宋体" w:eastAsia="宋体" w:cs="宋体"/>
                <w:color w:val="auto"/>
                <w:sz w:val="24"/>
                <w:szCs w:val="24"/>
                <w:highlight w:val="none"/>
                <w:lang w:val="en-US" w:eastAsia="zh-CN"/>
              </w:rPr>
              <w:t>（含概算）</w:t>
            </w:r>
            <w:r>
              <w:rPr>
                <w:rFonts w:hint="eastAsia" w:ascii="宋体" w:hAnsi="宋体" w:cs="宋体"/>
                <w:color w:val="auto"/>
                <w:sz w:val="24"/>
                <w:szCs w:val="24"/>
                <w:highlight w:val="none"/>
                <w:lang w:val="en-US" w:eastAsia="zh-CN"/>
              </w:rPr>
              <w:t>；</w:t>
            </w:r>
          </w:p>
          <w:p w14:paraId="0F2551C0">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施工图设计阶段：从初步设计评审完成之日起</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个日历天完成施工图设计；</w:t>
            </w:r>
          </w:p>
          <w:p w14:paraId="0972B00B">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（3）施工图修编：出具施工图审查意见后</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lang w:val="en-US" w:eastAsia="zh-CN"/>
              </w:rPr>
              <w:t>个日历天内完成施工图修编；</w:t>
            </w:r>
          </w:p>
          <w:p w14:paraId="05F66840">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（4）施工现场配合服务：项目施工及缺陷责任期内。</w:t>
            </w:r>
          </w:p>
          <w:p w14:paraId="1EB47990">
            <w:pPr>
              <w:keepNext w:val="0"/>
              <w:keepLines w:val="0"/>
              <w:pageBreakBefore w:val="0"/>
              <w:kinsoku/>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注：因本项目分</w:t>
            </w:r>
            <w:r>
              <w:rPr>
                <w:rFonts w:hint="eastAsia" w:ascii="宋体" w:hAnsi="宋体" w:cs="宋体"/>
                <w:color w:val="auto"/>
                <w:sz w:val="24"/>
                <w:szCs w:val="24"/>
                <w:highlight w:val="none"/>
                <w:lang w:val="en-US" w:eastAsia="zh-CN"/>
              </w:rPr>
              <w:t>阶段</w:t>
            </w:r>
            <w:r>
              <w:rPr>
                <w:rFonts w:hint="eastAsia" w:ascii="宋体" w:hAnsi="宋体" w:eastAsia="宋体" w:cs="宋体"/>
                <w:color w:val="auto"/>
                <w:sz w:val="24"/>
                <w:szCs w:val="24"/>
                <w:highlight w:val="none"/>
                <w:lang w:val="en-US" w:eastAsia="zh-CN"/>
              </w:rPr>
              <w:t>实施，工期根据业主实际</w:t>
            </w:r>
            <w:r>
              <w:rPr>
                <w:rFonts w:hint="eastAsia" w:ascii="宋体" w:hAnsi="宋体" w:eastAsia="宋体" w:cs="宋体"/>
                <w:bCs/>
                <w:snapToGrid w:val="0"/>
                <w:color w:val="auto"/>
                <w:kern w:val="0"/>
                <w:sz w:val="24"/>
                <w:szCs w:val="24"/>
                <w:highlight w:val="none"/>
                <w:lang w:eastAsia="zh-CN"/>
              </w:rPr>
              <w:t>项目要求进行调整。</w:t>
            </w:r>
          </w:p>
        </w:tc>
      </w:tr>
      <w:tr w14:paraId="3A5A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47D32FC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15</w:t>
            </w:r>
          </w:p>
        </w:tc>
        <w:tc>
          <w:tcPr>
            <w:tcW w:w="1699" w:type="dxa"/>
            <w:shd w:val="clear" w:color="auto" w:fill="auto"/>
            <w:vAlign w:val="center"/>
          </w:tcPr>
          <w:p w14:paraId="1EE94BC6">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质量标准</w:t>
            </w:r>
          </w:p>
        </w:tc>
        <w:tc>
          <w:tcPr>
            <w:tcW w:w="7543" w:type="dxa"/>
            <w:shd w:val="clear" w:color="auto" w:fill="auto"/>
            <w:vAlign w:val="center"/>
          </w:tcPr>
          <w:p w14:paraId="5295CD44">
            <w:pPr>
              <w:keepNext w:val="0"/>
              <w:keepLines w:val="0"/>
              <w:pageBreakBefore w:val="0"/>
              <w:kinsoku/>
              <w:wordWrap w:val="0"/>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勘察要求：</w:t>
            </w:r>
            <w:r>
              <w:rPr>
                <w:rFonts w:hint="eastAsia" w:ascii="宋体" w:hAnsi="宋体" w:eastAsia="宋体" w:cs="宋体"/>
                <w:snapToGrid w:val="0"/>
                <w:color w:val="auto"/>
                <w:kern w:val="0"/>
                <w:sz w:val="24"/>
                <w:szCs w:val="24"/>
                <w:highlight w:val="none"/>
                <w:lang w:eastAsia="zh-CN"/>
              </w:rPr>
              <w:t>符合国家及住建部门颁布的现行有关勘察规范、标准要求</w:t>
            </w:r>
            <w:r>
              <w:rPr>
                <w:rFonts w:hint="eastAsia" w:ascii="宋体" w:hAnsi="宋体" w:eastAsia="宋体" w:cs="宋体"/>
                <w:snapToGrid w:val="0"/>
                <w:color w:val="auto"/>
                <w:kern w:val="0"/>
                <w:sz w:val="24"/>
                <w:szCs w:val="24"/>
                <w:highlight w:val="none"/>
              </w:rPr>
              <w:t>。</w:t>
            </w:r>
          </w:p>
          <w:p w14:paraId="365CD204">
            <w:pPr>
              <w:keepNext w:val="0"/>
              <w:keepLines w:val="0"/>
              <w:pageBreakBefore w:val="0"/>
              <w:kinsoku/>
              <w:wordWrap w:val="0"/>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设计要求：</w:t>
            </w:r>
            <w:r>
              <w:rPr>
                <w:rFonts w:hint="eastAsia" w:ascii="宋体" w:hAnsi="宋体" w:eastAsia="宋体" w:cs="宋体"/>
                <w:snapToGrid w:val="0"/>
                <w:color w:val="auto"/>
                <w:kern w:val="0"/>
                <w:sz w:val="24"/>
                <w:szCs w:val="24"/>
                <w:highlight w:val="none"/>
                <w:lang w:eastAsia="zh-CN"/>
              </w:rPr>
              <w:t>符合国家及地方现行有效的有关设计规范、标准、规定等，必须通过有关部门的审查及经有资质的审图机构审查合格</w:t>
            </w:r>
            <w:r>
              <w:rPr>
                <w:rFonts w:hint="eastAsia" w:ascii="宋体" w:hAnsi="宋体" w:eastAsia="宋体" w:cs="宋体"/>
                <w:snapToGrid w:val="0"/>
                <w:color w:val="auto"/>
                <w:kern w:val="0"/>
                <w:sz w:val="24"/>
                <w:szCs w:val="24"/>
                <w:highlight w:val="none"/>
              </w:rPr>
              <w:t>。</w:t>
            </w:r>
          </w:p>
        </w:tc>
      </w:tr>
      <w:tr w14:paraId="6234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3229008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6</w:t>
            </w:r>
          </w:p>
        </w:tc>
        <w:tc>
          <w:tcPr>
            <w:tcW w:w="1699" w:type="dxa"/>
            <w:shd w:val="clear" w:color="auto" w:fill="auto"/>
            <w:vAlign w:val="center"/>
          </w:tcPr>
          <w:p w14:paraId="4E6473A6">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最高投标限价</w:t>
            </w:r>
          </w:p>
        </w:tc>
        <w:tc>
          <w:tcPr>
            <w:tcW w:w="7543" w:type="dxa"/>
            <w:shd w:val="clear" w:color="auto" w:fill="auto"/>
            <w:vAlign w:val="center"/>
          </w:tcPr>
          <w:p w14:paraId="14DC5FC6">
            <w:pPr>
              <w:keepNext w:val="0"/>
              <w:keepLines w:val="0"/>
              <w:pageBreakBefore w:val="0"/>
              <w:kinsoku/>
              <w:wordWrap w:val="0"/>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Cs/>
                <w:color w:val="auto"/>
                <w:sz w:val="24"/>
                <w:szCs w:val="24"/>
                <w:highlight w:val="none"/>
              </w:rPr>
              <w:t>详见招标文件“</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最高投标限价的确定”</w:t>
            </w:r>
          </w:p>
        </w:tc>
      </w:tr>
      <w:tr w14:paraId="1AAE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5D0899F8">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7</w:t>
            </w:r>
          </w:p>
        </w:tc>
        <w:tc>
          <w:tcPr>
            <w:tcW w:w="1699" w:type="dxa"/>
            <w:shd w:val="clear" w:color="auto" w:fill="auto"/>
            <w:vAlign w:val="center"/>
          </w:tcPr>
          <w:p w14:paraId="2933A048">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投标人资格要求</w:t>
            </w:r>
          </w:p>
        </w:tc>
        <w:tc>
          <w:tcPr>
            <w:tcW w:w="7543" w:type="dxa"/>
            <w:shd w:val="clear" w:color="auto" w:fill="auto"/>
            <w:vAlign w:val="center"/>
          </w:tcPr>
          <w:p w14:paraId="368C7D4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本工程</w:t>
            </w:r>
            <w:r>
              <w:rPr>
                <w:rFonts w:hint="eastAsia" w:ascii="宋体" w:hAnsi="宋体" w:eastAsia="宋体" w:cs="宋体"/>
                <w:color w:val="auto"/>
                <w:kern w:val="0"/>
                <w:sz w:val="24"/>
                <w:szCs w:val="24"/>
                <w:highlight w:val="none"/>
                <w:u w:val="single"/>
              </w:rPr>
              <w:t>接受</w:t>
            </w:r>
            <w:r>
              <w:rPr>
                <w:rFonts w:hint="eastAsia" w:ascii="宋体" w:hAnsi="宋体" w:eastAsia="宋体" w:cs="宋体"/>
                <w:color w:val="auto"/>
                <w:kern w:val="0"/>
                <w:sz w:val="24"/>
                <w:szCs w:val="24"/>
                <w:highlight w:val="none"/>
              </w:rPr>
              <w:t>联合体投标，联合体以一个投标人的身份共同投标。</w:t>
            </w:r>
          </w:p>
          <w:p w14:paraId="6B39871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1.1联合体成员数量不超过2个。</w:t>
            </w:r>
          </w:p>
          <w:p w14:paraId="19401B9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1.2联合体各方应按招标文件提供的格式签订联合体协议书，明确联合体牵头人和各方权利义务，并承诺就中标项目向招标人承担连带责任。《联合体协议书》作为投标文件的组成部分向招标人提交。</w:t>
            </w:r>
          </w:p>
          <w:p w14:paraId="37A9CF7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1.3联合体成员单位均应具备拟承担的工作内容（以《联合体协议书》的约定为准）所规定的资格条件。若同一工作内容由两个或两个以上单位共同承担，该项工作内容按照资质等级较低的单位确定联合体资质等级。</w:t>
            </w:r>
          </w:p>
          <w:p w14:paraId="1558DBF1">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1.4联合体各方不得再以自己名义单独或参加其他联合体在本招标项目中投标，否则各相关投标均无效。</w:t>
            </w:r>
          </w:p>
          <w:p w14:paraId="2E0420C7">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2.资质要求</w:t>
            </w:r>
          </w:p>
          <w:p w14:paraId="6F32141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2.1投标人须持有市场监督管理部门（或原工商管理部门）核发的营业执照，按国家法律经营的独立法人。</w:t>
            </w:r>
          </w:p>
          <w:p w14:paraId="464254B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2.2工程勘察、设计单位须持有建设行政主管部门核发的资质证书。</w:t>
            </w:r>
          </w:p>
          <w:p w14:paraId="49E68F5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2.3 参加投标的投标人可以是单一独立法人或由不超过两家独立法人组成的联合体（必须注明其中一家为牵头人；联合体成员中勘察、设计企业分别不得超过一家），联合体各方不得再以自己的名义单独申请，也不得同时参加两个或两个以上的联合体进行本项目的投标。单一独立法人必须至少同时具备以下①～②资质，组成联合体投标的，联合后必须至少具备以下①～②资质，联合体牵头人必须具备①资质：</w:t>
            </w:r>
          </w:p>
          <w:p w14:paraId="6F26044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①设计资质必须具备以下资质之一：</w:t>
            </w:r>
          </w:p>
          <w:p w14:paraId="1A92B3C1">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（1）具备工程设计综合甲级资质；</w:t>
            </w:r>
          </w:p>
          <w:p w14:paraId="5A3399E7">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（2）具备工程设计市政行业乙级以上(含乙级)资质；</w:t>
            </w:r>
          </w:p>
          <w:p w14:paraId="30CE227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（3）具备工程设计市政行业（燃气工程、轨道交通工程除外）乙级以上(含乙级)资质；</w:t>
            </w:r>
          </w:p>
          <w:p w14:paraId="79C072C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（4）市政行业（道路工程）专业设计乙级以上（含乙级）资质。</w:t>
            </w:r>
          </w:p>
          <w:p w14:paraId="010D5F5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②勘察资质必须具备建设行政主管部门颁发的以下资质之一：</w:t>
            </w:r>
          </w:p>
          <w:p w14:paraId="16EE31D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（1）具备工程勘察综合类甲级资质；</w:t>
            </w:r>
          </w:p>
          <w:p w14:paraId="325418A7">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（2）具备工程勘察专业（岩土工程）乙级以上（含乙级）资质；</w:t>
            </w:r>
          </w:p>
          <w:p w14:paraId="1CEB6E2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（3）具备工程勘察专业（岩土工程（岩土工程勘察））乙级以上（含乙级）资质；</w:t>
            </w:r>
          </w:p>
          <w:p w14:paraId="366DBA1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2.4根据有关文件精神，投标人的企业相关证书、人员资质、资格有效期到期的，均按该证书的发证机构相关行业主管部门最新文件执行（如自动顺延或推迟办理延期业务的通知），投标人必须将相关文件附在该证书后面，证明在开标日继续有效的。</w:t>
            </w:r>
          </w:p>
          <w:p w14:paraId="22F625F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3.相关人</w:t>
            </w:r>
            <w:r>
              <w:rPr>
                <w:rFonts w:hint="eastAsia" w:ascii="宋体" w:hAnsi="宋体" w:eastAsia="宋体" w:cs="宋体"/>
                <w:color w:val="auto"/>
                <w:kern w:val="0"/>
                <w:sz w:val="24"/>
                <w:szCs w:val="24"/>
                <w:highlight w:val="none"/>
              </w:rPr>
              <w:t>员要求</w:t>
            </w:r>
          </w:p>
          <w:p w14:paraId="6647A0E6">
            <w:pPr>
              <w:pStyle w:val="94"/>
              <w:keepNext w:val="0"/>
              <w:keepLines w:val="0"/>
              <w:pageBreakBefore w:val="0"/>
              <w:kinsoku/>
              <w:wordWrap/>
              <w:overflowPunct/>
              <w:topLinePunct w:val="0"/>
              <w:autoSpaceDE/>
              <w:autoSpaceDN/>
              <w:bidi w:val="0"/>
              <w:adjustRightInd/>
              <w:snapToGrid/>
              <w:spacing w:line="360" w:lineRule="auto"/>
              <w:ind w:right="48" w:rightChars="23" w:firstLine="0" w:firstLineChars="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3.1拟委派担任本招标项目的项目负责人（即设计负责人）须</w:t>
            </w:r>
            <w:r>
              <w:rPr>
                <w:rFonts w:hint="eastAsia" w:ascii="宋体" w:hAnsi="宋体" w:eastAsia="宋体" w:cs="宋体"/>
                <w:color w:val="auto"/>
                <w:kern w:val="0"/>
                <w:sz w:val="24"/>
                <w:szCs w:val="24"/>
                <w:highlight w:val="none"/>
                <w:lang w:eastAsia="zh-CN"/>
              </w:rPr>
              <w:t>为</w:t>
            </w:r>
            <w:r>
              <w:rPr>
                <w:rFonts w:hint="eastAsia" w:ascii="宋体" w:hAnsi="宋体" w:cs="宋体"/>
                <w:color w:val="auto"/>
                <w:kern w:val="0"/>
                <w:sz w:val="24"/>
                <w:highlight w:val="none"/>
                <w:u w:val="single"/>
              </w:rPr>
              <w:t>注册土木工程师（道路工程）</w:t>
            </w:r>
            <w:r>
              <w:rPr>
                <w:rFonts w:hint="eastAsia" w:ascii="宋体" w:hAnsi="宋体" w:eastAsia="宋体" w:cs="宋体"/>
                <w:color w:val="auto"/>
                <w:kern w:val="0"/>
                <w:sz w:val="24"/>
                <w:szCs w:val="24"/>
                <w:highlight w:val="none"/>
              </w:rPr>
              <w:t>。</w:t>
            </w:r>
          </w:p>
          <w:p w14:paraId="4632EACB">
            <w:pPr>
              <w:pStyle w:val="94"/>
              <w:keepNext w:val="0"/>
              <w:keepLines w:val="0"/>
              <w:pageBreakBefore w:val="0"/>
              <w:kinsoku/>
              <w:wordWrap/>
              <w:overflowPunct/>
              <w:topLinePunct w:val="0"/>
              <w:autoSpaceDE/>
              <w:autoSpaceDN/>
              <w:bidi w:val="0"/>
              <w:adjustRightInd/>
              <w:snapToGrid/>
              <w:spacing w:line="360" w:lineRule="auto"/>
              <w:ind w:right="48" w:rightChars="23" w:firstLine="0" w:firstLineChars="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3.2拟委派担任本招标项目的勘察负责人须</w:t>
            </w:r>
            <w:r>
              <w:rPr>
                <w:rFonts w:hint="eastAsia" w:ascii="宋体" w:hAnsi="宋体" w:eastAsia="宋体" w:cs="宋体"/>
                <w:color w:val="auto"/>
                <w:kern w:val="0"/>
                <w:sz w:val="24"/>
                <w:szCs w:val="24"/>
                <w:highlight w:val="none"/>
                <w:lang w:eastAsia="zh-CN"/>
              </w:rPr>
              <w:t>持有</w:t>
            </w:r>
            <w:r>
              <w:rPr>
                <w:rFonts w:hint="eastAsia" w:ascii="宋体" w:hAnsi="宋体" w:eastAsia="宋体" w:cs="宋体"/>
                <w:color w:val="auto"/>
                <w:kern w:val="0"/>
                <w:sz w:val="24"/>
                <w:szCs w:val="24"/>
                <w:highlight w:val="none"/>
                <w:u w:val="single"/>
              </w:rPr>
              <w:t>注册土木工程师（岩土）注册执业证书</w:t>
            </w:r>
            <w:r>
              <w:rPr>
                <w:rFonts w:hint="eastAsia" w:ascii="宋体" w:hAnsi="宋体" w:eastAsia="宋体" w:cs="宋体"/>
                <w:color w:val="auto"/>
                <w:kern w:val="0"/>
                <w:sz w:val="24"/>
                <w:szCs w:val="24"/>
                <w:highlight w:val="none"/>
              </w:rPr>
              <w:t>。</w:t>
            </w:r>
          </w:p>
          <w:p w14:paraId="113EF67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3.3投标人（包括组成联合体的所有成员单位）与其拟派往本项目所有人员之间必须具备合法、唯一的劳动聘用关系。拟派人员中具备注册执业资格的，其注册单位须与投标人保持一致。</w:t>
            </w:r>
          </w:p>
          <w:p w14:paraId="00AB35F7">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注：若投标人拟投入本工程团队人员的社保由上级事业单位统一缴纳的，必须提供上级事业单位出具的投标人在编人员社保在上级事业单位缴纳的证明文件及该人员在上级事业单位缴纳的社保证明。</w:t>
            </w:r>
          </w:p>
          <w:p w14:paraId="3D2527E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4.禁止投标条款</w:t>
            </w:r>
          </w:p>
          <w:p w14:paraId="33063B1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4.1投标人不得存在下列情形之一：</w:t>
            </w:r>
          </w:p>
          <w:p w14:paraId="2341FDDB">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（1）为招标人不具有独立法人资格的附属机构（单位）；</w:t>
            </w:r>
          </w:p>
          <w:p w14:paraId="532DECC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（2）与招标人存在利害关系且可能影响招标公正性；</w:t>
            </w:r>
          </w:p>
          <w:p w14:paraId="77ECA2A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（3）与本招标项目的其他投标人为同一个单位负责人；</w:t>
            </w:r>
          </w:p>
          <w:p w14:paraId="7C05E08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（4）与本招标项目的其他投标人存在控股、管理关系；</w:t>
            </w:r>
          </w:p>
          <w:p w14:paraId="3303AE11">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（5）为本招标项目的代建人；</w:t>
            </w:r>
          </w:p>
          <w:p w14:paraId="68AD871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（6）为本招标项目的招标代理机构；</w:t>
            </w:r>
          </w:p>
          <w:p w14:paraId="107187BB">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（7）与本招标项目的代建人或招标代理机构同为一个法定代表人；</w:t>
            </w:r>
          </w:p>
          <w:p w14:paraId="0304E44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（8）与本招标项目的代建人或招标代理机构存在控股或参股关系；</w:t>
            </w:r>
          </w:p>
          <w:p w14:paraId="06B3783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（9）与本招标项目的代建人或招标代理机构存在相互任职或工作关系；</w:t>
            </w:r>
          </w:p>
          <w:p w14:paraId="1B1A3D5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（10）被依法暂停或者取消投标资格；</w:t>
            </w:r>
          </w:p>
          <w:p w14:paraId="6D1A16D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（11）被责令停产停业、暂扣或者吊销许可证、暂扣或者吊销执照；</w:t>
            </w:r>
          </w:p>
          <w:p w14:paraId="2B2BBC2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（12）进入清算程序，或被宣告破产，或其他丧失履约能力的情形；</w:t>
            </w:r>
          </w:p>
          <w:p w14:paraId="06B6E711">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（13）在最近三年内发生重大工程质量或安全问题（以相关行业主管部门的行政处罚决定或司法机关出具的有关法律文书为准）；</w:t>
            </w:r>
          </w:p>
          <w:p w14:paraId="4DC0A7D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（14）被“信用中国”网站（https://www.creditchina.gov.cn）发布的《法人和非法人组织公共信用信息报告》列为严重失信主体名单的。</w:t>
            </w:r>
          </w:p>
          <w:p w14:paraId="2618021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4.2招</w:t>
            </w:r>
            <w:r>
              <w:rPr>
                <w:rFonts w:hint="eastAsia" w:ascii="宋体" w:hAnsi="宋体" w:eastAsia="宋体" w:cs="宋体"/>
                <w:color w:val="auto"/>
                <w:sz w:val="24"/>
                <w:szCs w:val="24"/>
                <w:highlight w:val="none"/>
              </w:rPr>
              <w:t>标人拒绝以下名单中的单位参加本次投标：</w:t>
            </w:r>
          </w:p>
          <w:tbl>
            <w:tblPr>
              <w:tblStyle w:val="33"/>
              <w:tblW w:w="7402"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
              <w:gridCol w:w="3641"/>
              <w:gridCol w:w="3349"/>
            </w:tblGrid>
            <w:tr w14:paraId="13A7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412" w:type="dxa"/>
                  <w:noWrap w:val="0"/>
                  <w:vAlign w:val="center"/>
                </w:tcPr>
                <w:p w14:paraId="1AF1CDBB">
                  <w:pPr>
                    <w:keepNext w:val="0"/>
                    <w:keepLines w:val="0"/>
                    <w:pageBreakBefore w:val="0"/>
                    <w:kinsoku/>
                    <w:wordWrap w:val="0"/>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641" w:type="dxa"/>
                  <w:noWrap w:val="0"/>
                  <w:vAlign w:val="center"/>
                </w:tcPr>
                <w:p w14:paraId="49DF6F98">
                  <w:pPr>
                    <w:keepNext w:val="0"/>
                    <w:keepLines w:val="0"/>
                    <w:pageBreakBefore w:val="0"/>
                    <w:kinsoku/>
                    <w:wordWrap w:val="0"/>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349" w:type="dxa"/>
                  <w:noWrap w:val="0"/>
                  <w:vAlign w:val="center"/>
                </w:tcPr>
                <w:p w14:paraId="7E15C143">
                  <w:pPr>
                    <w:keepNext w:val="0"/>
                    <w:keepLines w:val="0"/>
                    <w:pageBreakBefore w:val="0"/>
                    <w:kinsoku/>
                    <w:wordWrap w:val="0"/>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052E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412" w:type="dxa"/>
                  <w:noWrap w:val="0"/>
                  <w:vAlign w:val="center"/>
                </w:tcPr>
                <w:p w14:paraId="2A6DB378">
                  <w:pPr>
                    <w:pStyle w:val="94"/>
                    <w:keepNext w:val="0"/>
                    <w:keepLines w:val="0"/>
                    <w:pageBreakBefore w:val="0"/>
                    <w:kinsoku/>
                    <w:wordWrap w:val="0"/>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3641" w:type="dxa"/>
                  <w:noWrap w:val="0"/>
                  <w:vAlign w:val="center"/>
                </w:tcPr>
                <w:p w14:paraId="3AA47C69">
                  <w:pPr>
                    <w:pStyle w:val="94"/>
                    <w:keepNext w:val="0"/>
                    <w:keepLines w:val="0"/>
                    <w:pageBreakBefore w:val="0"/>
                    <w:kinsoku/>
                    <w:wordWrap w:val="0"/>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韶关市浈江区鸿通投资有限公司</w:t>
                  </w:r>
                </w:p>
              </w:tc>
              <w:tc>
                <w:tcPr>
                  <w:tcW w:w="3349" w:type="dxa"/>
                  <w:noWrap w:val="0"/>
                  <w:vAlign w:val="center"/>
                </w:tcPr>
                <w:p w14:paraId="030F42BB">
                  <w:pPr>
                    <w:pStyle w:val="94"/>
                    <w:keepNext w:val="0"/>
                    <w:keepLines w:val="0"/>
                    <w:pageBreakBefore w:val="0"/>
                    <w:kinsoku/>
                    <w:wordWrap w:val="0"/>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为本招标项目的业主单位</w:t>
                  </w:r>
                </w:p>
              </w:tc>
            </w:tr>
            <w:tr w14:paraId="4E25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412" w:type="dxa"/>
                  <w:noWrap w:val="0"/>
                  <w:vAlign w:val="center"/>
                </w:tcPr>
                <w:p w14:paraId="125B5D6F">
                  <w:pPr>
                    <w:pStyle w:val="94"/>
                    <w:keepNext w:val="0"/>
                    <w:keepLines w:val="0"/>
                    <w:pageBreakBefore w:val="0"/>
                    <w:kinsoku/>
                    <w:wordWrap w:val="0"/>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3641" w:type="dxa"/>
                  <w:noWrap w:val="0"/>
                  <w:vAlign w:val="center"/>
                </w:tcPr>
                <w:p w14:paraId="7428EE94">
                  <w:pPr>
                    <w:pStyle w:val="94"/>
                    <w:keepNext w:val="0"/>
                    <w:keepLines w:val="0"/>
                    <w:pageBreakBefore w:val="0"/>
                    <w:kinsoku/>
                    <w:wordWrap w:val="0"/>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广东合正项目管理有限公司</w:t>
                  </w:r>
                </w:p>
              </w:tc>
              <w:tc>
                <w:tcPr>
                  <w:tcW w:w="3349" w:type="dxa"/>
                  <w:noWrap w:val="0"/>
                  <w:vAlign w:val="center"/>
                </w:tcPr>
                <w:p w14:paraId="57FC45A9">
                  <w:pPr>
                    <w:pStyle w:val="94"/>
                    <w:keepNext w:val="0"/>
                    <w:keepLines w:val="0"/>
                    <w:pageBreakBefore w:val="0"/>
                    <w:kinsoku/>
                    <w:wordWrap w:val="0"/>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为本招标项目的招标代理机构</w:t>
                  </w:r>
                </w:p>
              </w:tc>
            </w:tr>
          </w:tbl>
          <w:p w14:paraId="3B95E1D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5．其他要求</w:t>
            </w:r>
          </w:p>
          <w:p w14:paraId="3C3D93B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且主要配备人员（指拟委派项目部的所有</w:t>
            </w:r>
            <w:r>
              <w:rPr>
                <w:rFonts w:hint="eastAsia" w:ascii="宋体" w:hAnsi="宋体" w:eastAsia="宋体" w:cs="宋体"/>
                <w:color w:val="auto"/>
                <w:sz w:val="24"/>
                <w:szCs w:val="24"/>
                <w:highlight w:val="none"/>
              </w:rPr>
              <w:t>人员）为“进粤企业和人员诚信信息登记平台”中人员。</w:t>
            </w:r>
          </w:p>
        </w:tc>
      </w:tr>
      <w:tr w14:paraId="2A13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2F70A05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18</w:t>
            </w:r>
          </w:p>
        </w:tc>
        <w:tc>
          <w:tcPr>
            <w:tcW w:w="1699" w:type="dxa"/>
            <w:shd w:val="clear" w:color="auto" w:fill="auto"/>
            <w:vAlign w:val="center"/>
          </w:tcPr>
          <w:p w14:paraId="4E6B38A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投标保证</w:t>
            </w:r>
          </w:p>
        </w:tc>
        <w:tc>
          <w:tcPr>
            <w:tcW w:w="7543" w:type="dxa"/>
            <w:shd w:val="clear" w:color="auto" w:fill="auto"/>
            <w:vAlign w:val="center"/>
          </w:tcPr>
          <w:p w14:paraId="46AA268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1．投标人须缴纳金额为人民币</w:t>
            </w:r>
            <w:r>
              <w:rPr>
                <w:rFonts w:hint="eastAsia" w:ascii="宋体" w:hAnsi="宋体" w:cs="宋体"/>
                <w:color w:val="auto"/>
                <w:kern w:val="0"/>
                <w:sz w:val="24"/>
                <w:szCs w:val="24"/>
                <w:highlight w:val="none"/>
                <w:lang w:val="en-US" w:eastAsia="zh-CN"/>
              </w:rPr>
              <w:t>壹拾万元整（¥100,000.00元）</w:t>
            </w:r>
            <w:r>
              <w:rPr>
                <w:rFonts w:hint="eastAsia" w:ascii="宋体" w:hAnsi="宋体" w:eastAsia="宋体" w:cs="宋体"/>
                <w:color w:val="auto"/>
                <w:kern w:val="0"/>
                <w:sz w:val="24"/>
                <w:szCs w:val="24"/>
                <w:highlight w:val="none"/>
                <w:lang w:val="en-US" w:eastAsia="zh-CN"/>
              </w:rPr>
              <w:t>的投标保证。（组成联合体时，由联合体牵头人提交）</w:t>
            </w:r>
          </w:p>
          <w:p w14:paraId="092956C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2．投标保证的形式包括投标保证金、投标保证担保、投标保证保险三种，由投标人自主选择。</w:t>
            </w:r>
          </w:p>
          <w:p w14:paraId="6856E21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6E33B78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2CA9440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建设工程网上交易系统保险保证金缴纳操作指南》，了解网上投保具体操作流程。逾期投保的，其投标无效。</w:t>
            </w:r>
          </w:p>
          <w:p w14:paraId="79741F8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温馨提醒：投标人采用投标保证担保或投标保证保险的，为避免在评标过程中因有效期发生争议，建议投标人将银行保函或电子保函或电子保单有效期设置为较招标文件规定的投标有效期延长不少于20个日历天。</w:t>
            </w:r>
          </w:p>
        </w:tc>
      </w:tr>
      <w:tr w14:paraId="5D4E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07E23A7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19</w:t>
            </w:r>
          </w:p>
        </w:tc>
        <w:tc>
          <w:tcPr>
            <w:tcW w:w="1699" w:type="dxa"/>
            <w:shd w:val="clear" w:color="auto" w:fill="auto"/>
            <w:vAlign w:val="center"/>
          </w:tcPr>
          <w:p w14:paraId="4D7CD22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投标有效期</w:t>
            </w:r>
          </w:p>
        </w:tc>
        <w:tc>
          <w:tcPr>
            <w:tcW w:w="7543" w:type="dxa"/>
            <w:shd w:val="clear" w:color="auto" w:fill="auto"/>
            <w:vAlign w:val="center"/>
          </w:tcPr>
          <w:p w14:paraId="4BD8CCF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本次招标的投标有效期为 90 个日历天。</w:t>
            </w:r>
          </w:p>
        </w:tc>
      </w:tr>
      <w:tr w14:paraId="453A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13F7F2F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20</w:t>
            </w:r>
          </w:p>
        </w:tc>
        <w:tc>
          <w:tcPr>
            <w:tcW w:w="1699" w:type="dxa"/>
            <w:shd w:val="clear" w:color="auto" w:fill="auto"/>
            <w:vAlign w:val="center"/>
          </w:tcPr>
          <w:p w14:paraId="187C228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投标文件编制</w:t>
            </w:r>
            <w:r>
              <w:rPr>
                <w:rFonts w:hint="eastAsia" w:ascii="宋体" w:hAnsi="宋体" w:eastAsia="宋体" w:cs="宋体"/>
                <w:b w:val="0"/>
                <w:bCs w:val="0"/>
                <w:color w:val="auto"/>
                <w:sz w:val="24"/>
                <w:szCs w:val="24"/>
                <w:highlight w:val="none"/>
                <w:lang w:eastAsia="zh-CN"/>
              </w:rPr>
              <w:t>及</w:t>
            </w:r>
            <w:r>
              <w:rPr>
                <w:rFonts w:hint="eastAsia" w:ascii="宋体" w:hAnsi="宋体" w:eastAsia="宋体" w:cs="宋体"/>
                <w:b w:val="0"/>
                <w:bCs w:val="0"/>
                <w:color w:val="auto"/>
                <w:sz w:val="24"/>
                <w:szCs w:val="24"/>
                <w:highlight w:val="none"/>
              </w:rPr>
              <w:t>份数要求</w:t>
            </w:r>
          </w:p>
        </w:tc>
        <w:tc>
          <w:tcPr>
            <w:tcW w:w="7543" w:type="dxa"/>
            <w:shd w:val="clear" w:color="auto" w:fill="auto"/>
            <w:vAlign w:val="center"/>
          </w:tcPr>
          <w:p w14:paraId="2FB6714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投标人须上传（递交）投标文件：</w:t>
            </w:r>
          </w:p>
          <w:p w14:paraId="332B8347">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1、电子投标文件一套：</w:t>
            </w:r>
          </w:p>
          <w:p w14:paraId="1448246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（1）商务经济标书一份；</w:t>
            </w:r>
          </w:p>
          <w:p w14:paraId="1E4808C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（2）技术标书一份；</w:t>
            </w:r>
          </w:p>
          <w:p w14:paraId="1329D71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（3）定标文件一份。</w:t>
            </w:r>
          </w:p>
          <w:p w14:paraId="2D73D7E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2、对应评审要求的分项响应文件（如有）。</w:t>
            </w:r>
          </w:p>
          <w:p w14:paraId="68A08D3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14BD811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7D57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0F84739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21</w:t>
            </w:r>
          </w:p>
        </w:tc>
        <w:tc>
          <w:tcPr>
            <w:tcW w:w="1699" w:type="dxa"/>
            <w:shd w:val="clear" w:color="auto" w:fill="auto"/>
            <w:vAlign w:val="center"/>
          </w:tcPr>
          <w:p w14:paraId="4131F0C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技术标书</w:t>
            </w:r>
          </w:p>
          <w:p w14:paraId="1092F25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评审方式</w:t>
            </w:r>
          </w:p>
        </w:tc>
        <w:tc>
          <w:tcPr>
            <w:tcW w:w="7543" w:type="dxa"/>
            <w:shd w:val="clear" w:color="auto" w:fill="auto"/>
            <w:vAlign w:val="center"/>
          </w:tcPr>
          <w:p w14:paraId="0812217B">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本次招标技术标书 不采用 “暗标”方式进行评审。</w:t>
            </w:r>
          </w:p>
        </w:tc>
      </w:tr>
      <w:tr w14:paraId="5D74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Merge w:val="restart"/>
            <w:vAlign w:val="center"/>
          </w:tcPr>
          <w:p w14:paraId="0DEED39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22</w:t>
            </w:r>
          </w:p>
        </w:tc>
        <w:tc>
          <w:tcPr>
            <w:tcW w:w="1699" w:type="dxa"/>
            <w:shd w:val="clear" w:color="auto" w:fill="auto"/>
            <w:vAlign w:val="center"/>
          </w:tcPr>
          <w:p w14:paraId="57F1FB7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评标委员会</w:t>
            </w:r>
          </w:p>
        </w:tc>
        <w:tc>
          <w:tcPr>
            <w:tcW w:w="7543" w:type="dxa"/>
            <w:shd w:val="clear" w:color="auto" w:fill="auto"/>
            <w:vAlign w:val="center"/>
          </w:tcPr>
          <w:p w14:paraId="1898F42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评标委员会由 5 人组成，其中招标人代表 0 人，专家 5 人。专家从广东省综合评标评审专家库--韶关市区域</w:t>
            </w:r>
            <w:r>
              <w:rPr>
                <w:rFonts w:hint="eastAsia" w:ascii="宋体" w:hAnsi="宋体" w:cs="宋体"/>
                <w:color w:val="auto"/>
                <w:kern w:val="0"/>
                <w:sz w:val="24"/>
                <w:szCs w:val="24"/>
                <w:highlight w:val="none"/>
                <w:lang w:val="en-US" w:eastAsia="zh-CN"/>
              </w:rPr>
              <w:t>及东莞市区域</w:t>
            </w:r>
            <w:r>
              <w:rPr>
                <w:rFonts w:hint="eastAsia" w:ascii="宋体" w:hAnsi="宋体" w:eastAsia="宋体" w:cs="宋体"/>
                <w:color w:val="auto"/>
                <w:kern w:val="0"/>
                <w:sz w:val="24"/>
                <w:szCs w:val="24"/>
                <w:highlight w:val="none"/>
                <w:lang w:val="en-US" w:eastAsia="zh-CN"/>
              </w:rPr>
              <w:t>中随机抽取，技术类专家 3 人，经济类专家 2人</w:t>
            </w:r>
            <w:r>
              <w:rPr>
                <w:rFonts w:hint="eastAsia" w:ascii="宋体" w:hAnsi="宋体" w:cs="宋体"/>
                <w:color w:val="auto"/>
                <w:kern w:val="0"/>
                <w:sz w:val="24"/>
                <w:szCs w:val="24"/>
                <w:highlight w:val="none"/>
                <w:lang w:val="en-US" w:eastAsia="zh-CN"/>
              </w:rPr>
              <w:t>（其中异地专家1人从广东省综合评标评审专家库-东莞市区域中随机抽取）</w:t>
            </w:r>
            <w:r>
              <w:rPr>
                <w:rFonts w:hint="eastAsia" w:ascii="宋体" w:hAnsi="宋体" w:eastAsia="宋体" w:cs="宋体"/>
                <w:color w:val="auto"/>
                <w:kern w:val="0"/>
                <w:sz w:val="24"/>
                <w:szCs w:val="24"/>
                <w:highlight w:val="none"/>
                <w:lang w:val="en-US" w:eastAsia="zh-CN"/>
              </w:rPr>
              <w:t>。</w:t>
            </w:r>
          </w:p>
        </w:tc>
      </w:tr>
      <w:tr w14:paraId="1C0E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Merge w:val="continue"/>
          </w:tcPr>
          <w:p w14:paraId="40BB7A10">
            <w:pPr>
              <w:rPr>
                <w:rFonts w:hint="eastAsia" w:ascii="宋体" w:hAnsi="宋体" w:eastAsia="宋体" w:cs="宋体"/>
                <w:vertAlign w:val="baseline"/>
                <w:lang w:val="en-US" w:eastAsia="zh-CN"/>
              </w:rPr>
            </w:pPr>
          </w:p>
        </w:tc>
        <w:tc>
          <w:tcPr>
            <w:tcW w:w="1699" w:type="dxa"/>
            <w:shd w:val="clear" w:color="auto" w:fill="auto"/>
            <w:vAlign w:val="center"/>
          </w:tcPr>
          <w:p w14:paraId="5DB0805F">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标委员会</w:t>
            </w:r>
          </w:p>
        </w:tc>
        <w:tc>
          <w:tcPr>
            <w:tcW w:w="7543" w:type="dxa"/>
            <w:shd w:val="clear" w:color="auto" w:fill="auto"/>
            <w:vAlign w:val="center"/>
          </w:tcPr>
          <w:p w14:paraId="4F9C27A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本项目定标委员会组成人员为 7 人。</w:t>
            </w:r>
          </w:p>
        </w:tc>
      </w:tr>
      <w:tr w14:paraId="0377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122ED12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23</w:t>
            </w:r>
          </w:p>
        </w:tc>
        <w:tc>
          <w:tcPr>
            <w:tcW w:w="1699" w:type="dxa"/>
            <w:shd w:val="clear" w:color="auto" w:fill="auto"/>
            <w:vAlign w:val="center"/>
          </w:tcPr>
          <w:p w14:paraId="0DA0B918">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评标方法</w:t>
            </w:r>
          </w:p>
        </w:tc>
        <w:tc>
          <w:tcPr>
            <w:tcW w:w="7543" w:type="dxa"/>
            <w:shd w:val="clear" w:color="auto" w:fill="auto"/>
            <w:vAlign w:val="center"/>
          </w:tcPr>
          <w:p w14:paraId="087A6B91">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综合评分法</w:t>
            </w:r>
          </w:p>
        </w:tc>
      </w:tr>
      <w:tr w14:paraId="0B05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02791B8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24</w:t>
            </w:r>
          </w:p>
        </w:tc>
        <w:tc>
          <w:tcPr>
            <w:tcW w:w="1699" w:type="dxa"/>
            <w:shd w:val="clear" w:color="auto" w:fill="auto"/>
            <w:vAlign w:val="center"/>
          </w:tcPr>
          <w:p w14:paraId="37FDD4B1">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定标办法</w:t>
            </w:r>
          </w:p>
        </w:tc>
        <w:tc>
          <w:tcPr>
            <w:tcW w:w="7543" w:type="dxa"/>
            <w:shd w:val="clear" w:color="auto" w:fill="auto"/>
            <w:vAlign w:val="center"/>
          </w:tcPr>
          <w:p w14:paraId="09A9DDA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采用评定分离的项目，应选定下列定标办法：</w:t>
            </w:r>
          </w:p>
          <w:p w14:paraId="6C2CFBC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☑票决数量法</w:t>
            </w:r>
          </w:p>
          <w:p w14:paraId="13EC1DA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□票决计分法</w:t>
            </w:r>
          </w:p>
          <w:p w14:paraId="7A58E47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□集体议事法</w:t>
            </w:r>
          </w:p>
          <w:p w14:paraId="2A4CA2F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□其他方法：</w:t>
            </w:r>
          </w:p>
        </w:tc>
      </w:tr>
      <w:tr w14:paraId="68FA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79C797A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25</w:t>
            </w:r>
          </w:p>
        </w:tc>
        <w:tc>
          <w:tcPr>
            <w:tcW w:w="1699" w:type="dxa"/>
            <w:shd w:val="clear" w:color="auto" w:fill="auto"/>
            <w:vAlign w:val="center"/>
          </w:tcPr>
          <w:p w14:paraId="0856FF8C">
            <w:pPr>
              <w:pStyle w:val="29"/>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jc w:val="center"/>
              <w:textAlignment w:val="auto"/>
              <w:rPr>
                <w:rStyle w:val="36"/>
                <w:rFonts w:hint="eastAsia" w:ascii="宋体" w:hAnsi="宋体" w:eastAsia="宋体" w:cs="宋体"/>
                <w:b w:val="0"/>
                <w:color w:val="auto"/>
                <w:sz w:val="24"/>
                <w:szCs w:val="24"/>
                <w:highlight w:val="none"/>
              </w:rPr>
            </w:pPr>
            <w:r>
              <w:rPr>
                <w:rStyle w:val="36"/>
                <w:rFonts w:hint="eastAsia" w:ascii="宋体" w:hAnsi="宋体" w:eastAsia="宋体" w:cs="宋体"/>
                <w:b w:val="0"/>
                <w:color w:val="auto"/>
                <w:sz w:val="24"/>
                <w:szCs w:val="24"/>
                <w:highlight w:val="none"/>
              </w:rPr>
              <w:t>中标通知书</w:t>
            </w:r>
          </w:p>
          <w:p w14:paraId="4E775374">
            <w:pPr>
              <w:pStyle w:val="29"/>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jc w:val="center"/>
              <w:textAlignment w:val="auto"/>
              <w:rPr>
                <w:rFonts w:hint="eastAsia" w:ascii="宋体" w:hAnsi="宋体" w:eastAsia="宋体" w:cs="宋体"/>
                <w:b w:val="0"/>
                <w:color w:val="auto"/>
                <w:kern w:val="0"/>
                <w:sz w:val="24"/>
                <w:szCs w:val="24"/>
                <w:highlight w:val="none"/>
                <w:lang w:val="en-US" w:eastAsia="zh-CN" w:bidi="ar-SA"/>
              </w:rPr>
            </w:pPr>
            <w:r>
              <w:rPr>
                <w:rStyle w:val="36"/>
                <w:rFonts w:hint="eastAsia" w:ascii="宋体" w:hAnsi="宋体" w:eastAsia="宋体" w:cs="宋体"/>
                <w:b w:val="0"/>
                <w:color w:val="auto"/>
                <w:sz w:val="24"/>
                <w:szCs w:val="24"/>
                <w:highlight w:val="none"/>
              </w:rPr>
              <w:t>发放</w:t>
            </w:r>
          </w:p>
        </w:tc>
        <w:tc>
          <w:tcPr>
            <w:tcW w:w="7543" w:type="dxa"/>
            <w:shd w:val="clear" w:color="auto" w:fill="auto"/>
            <w:vAlign w:val="center"/>
          </w:tcPr>
          <w:p w14:paraId="63AEB7C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中标人确定后，招标人应当在7日内向中标人发出中标通知书。</w:t>
            </w:r>
          </w:p>
          <w:p w14:paraId="67F2980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招标人最迟应当在投标有效期届满30日前发出中标通知书，否则，应当按照本投标人须知的规定延长投标有效期。</w:t>
            </w:r>
          </w:p>
        </w:tc>
      </w:tr>
      <w:tr w14:paraId="6516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31DA6E0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26</w:t>
            </w:r>
          </w:p>
        </w:tc>
        <w:tc>
          <w:tcPr>
            <w:tcW w:w="1699" w:type="dxa"/>
            <w:shd w:val="clear" w:color="auto" w:fill="auto"/>
            <w:vAlign w:val="center"/>
          </w:tcPr>
          <w:p w14:paraId="1EB233E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招标代理服务费及评标专家酬劳</w:t>
            </w:r>
          </w:p>
        </w:tc>
        <w:tc>
          <w:tcPr>
            <w:tcW w:w="7543" w:type="dxa"/>
            <w:shd w:val="clear" w:color="auto" w:fill="auto"/>
            <w:vAlign w:val="center"/>
          </w:tcPr>
          <w:p w14:paraId="4F12FE2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本工程的招标代理费和评标专家酬劳由中标人支付，该费用不再另行报价，由投标人在投标报价时综合考虑在内。中标人在领取中标通知书前须向招标代理机构一次性支付。（招标代理服务费以中标金额为计价基数，参照《招标代理服务收费管理暂行办法》（计价格[2002]1980号）文相关规定计算招标代理服务费。评标专家酬劳由招标代理机构在开标当日预先支付）。</w:t>
            </w:r>
          </w:p>
        </w:tc>
      </w:tr>
      <w:tr w14:paraId="6DAD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11B5084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27</w:t>
            </w:r>
          </w:p>
        </w:tc>
        <w:tc>
          <w:tcPr>
            <w:tcW w:w="1699" w:type="dxa"/>
            <w:shd w:val="clear" w:color="auto" w:fill="auto"/>
            <w:vAlign w:val="center"/>
          </w:tcPr>
          <w:p w14:paraId="1BC732D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5BD59B9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联系方式</w:t>
            </w:r>
          </w:p>
        </w:tc>
        <w:tc>
          <w:tcPr>
            <w:tcW w:w="7543" w:type="dxa"/>
            <w:shd w:val="clear" w:color="auto" w:fill="auto"/>
            <w:vAlign w:val="center"/>
          </w:tcPr>
          <w:p w14:paraId="2138543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单位名称：韶关市浈江区鸿通投资有限公司</w:t>
            </w:r>
          </w:p>
          <w:p w14:paraId="4F04320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办公地址：韶关市浈江区犁市镇人民路北1号</w:t>
            </w:r>
          </w:p>
          <w:p w14:paraId="741062B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 系 人：梁工</w:t>
            </w:r>
          </w:p>
          <w:p w14:paraId="100E663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联系电话：0751-8277339</w:t>
            </w:r>
          </w:p>
        </w:tc>
      </w:tr>
      <w:tr w14:paraId="1F90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6250BFB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28</w:t>
            </w:r>
          </w:p>
        </w:tc>
        <w:tc>
          <w:tcPr>
            <w:tcW w:w="1699" w:type="dxa"/>
            <w:shd w:val="clear" w:color="auto" w:fill="auto"/>
            <w:vAlign w:val="center"/>
          </w:tcPr>
          <w:p w14:paraId="3DBAC96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w:t>
            </w:r>
          </w:p>
          <w:p w14:paraId="5EBA1A1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机构</w:t>
            </w:r>
          </w:p>
          <w:p w14:paraId="1DB5F50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联系方式</w:t>
            </w:r>
          </w:p>
        </w:tc>
        <w:tc>
          <w:tcPr>
            <w:tcW w:w="7543" w:type="dxa"/>
            <w:shd w:val="clear" w:color="auto" w:fill="auto"/>
            <w:vAlign w:val="center"/>
          </w:tcPr>
          <w:p w14:paraId="0000668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单位名称：广东合正项目管理有限公司</w:t>
            </w:r>
          </w:p>
          <w:p w14:paraId="50676D6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办公地址：韶关市武江区百旺大道42号莞韶双创中心研发办公楼五楼</w:t>
            </w:r>
          </w:p>
          <w:p w14:paraId="59ABB73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项目负责人：吴佳洋</w:t>
            </w:r>
          </w:p>
          <w:p w14:paraId="50A4827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经办人：何高练、蔡健</w:t>
            </w:r>
          </w:p>
          <w:p w14:paraId="51130157">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电话：0751-8219991</w:t>
            </w:r>
          </w:p>
        </w:tc>
      </w:tr>
      <w:tr w14:paraId="34E62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4566DC7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29</w:t>
            </w:r>
          </w:p>
        </w:tc>
        <w:tc>
          <w:tcPr>
            <w:tcW w:w="1699" w:type="dxa"/>
            <w:shd w:val="clear" w:color="auto" w:fill="auto"/>
            <w:vAlign w:val="center"/>
          </w:tcPr>
          <w:p w14:paraId="056F9DEC">
            <w:pPr>
              <w:widowControl/>
              <w:spacing w:line="360" w:lineRule="auto"/>
              <w:jc w:val="center"/>
              <w:rPr>
                <w:rFonts w:hint="eastAsia" w:ascii="宋体" w:hAnsi="宋体" w:eastAsia="宋体" w:cs="宋体"/>
                <w:bCs/>
                <w:color w:val="auto"/>
                <w:kern w:val="0"/>
                <w:sz w:val="24"/>
                <w:szCs w:val="24"/>
                <w:highlight w:val="none"/>
                <w:lang w:bidi="ar"/>
              </w:rPr>
            </w:pPr>
            <w:r>
              <w:rPr>
                <w:rFonts w:hint="eastAsia" w:ascii="宋体" w:hAnsi="宋体" w:eastAsia="宋体" w:cs="宋体"/>
                <w:bCs/>
                <w:color w:val="auto"/>
                <w:kern w:val="0"/>
                <w:sz w:val="24"/>
                <w:szCs w:val="24"/>
                <w:highlight w:val="none"/>
                <w:lang w:bidi="ar"/>
              </w:rPr>
              <w:t>交易场所</w:t>
            </w:r>
          </w:p>
          <w:p w14:paraId="72F11E8D">
            <w:pPr>
              <w:widowControl/>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bidi="ar"/>
              </w:rPr>
              <w:t>联系方法</w:t>
            </w:r>
          </w:p>
        </w:tc>
        <w:tc>
          <w:tcPr>
            <w:tcW w:w="7543" w:type="dxa"/>
            <w:shd w:val="clear" w:color="auto" w:fill="auto"/>
            <w:vAlign w:val="center"/>
          </w:tcPr>
          <w:p w14:paraId="294654C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单位名称：韶关市公共资源交易中心</w:t>
            </w:r>
          </w:p>
          <w:p w14:paraId="106BE8E7">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办公地址：广东省韶关市武江区西联镇 </w:t>
            </w:r>
          </w:p>
          <w:p w14:paraId="275C343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联系人（部门）：工程交易部</w:t>
            </w:r>
          </w:p>
          <w:p w14:paraId="464C8B8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联系电话：0751-8633211</w:t>
            </w:r>
          </w:p>
        </w:tc>
      </w:tr>
      <w:tr w14:paraId="69154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shd w:val="clear" w:color="auto" w:fill="auto"/>
            <w:vAlign w:val="center"/>
          </w:tcPr>
          <w:p w14:paraId="395A0808">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30</w:t>
            </w:r>
          </w:p>
        </w:tc>
        <w:tc>
          <w:tcPr>
            <w:tcW w:w="1699" w:type="dxa"/>
            <w:shd w:val="clear" w:color="auto" w:fill="auto"/>
            <w:vAlign w:val="center"/>
          </w:tcPr>
          <w:p w14:paraId="24ECF057">
            <w:pPr>
              <w:widowControl/>
              <w:spacing w:line="360" w:lineRule="auto"/>
              <w:jc w:val="center"/>
              <w:rPr>
                <w:rFonts w:hint="eastAsia" w:ascii="宋体" w:hAnsi="宋体" w:eastAsia="宋体" w:cs="宋体"/>
                <w:bCs/>
                <w:color w:val="auto"/>
                <w:kern w:val="0"/>
                <w:sz w:val="24"/>
                <w:szCs w:val="24"/>
                <w:highlight w:val="none"/>
                <w:lang w:bidi="ar"/>
              </w:rPr>
            </w:pPr>
            <w:r>
              <w:rPr>
                <w:rFonts w:hint="eastAsia" w:ascii="宋体" w:hAnsi="宋体" w:eastAsia="宋体" w:cs="宋体"/>
                <w:bCs/>
                <w:color w:val="auto"/>
                <w:kern w:val="0"/>
                <w:sz w:val="24"/>
                <w:szCs w:val="24"/>
                <w:highlight w:val="none"/>
                <w:lang w:bidi="ar"/>
              </w:rPr>
              <w:t>行政监督部门</w:t>
            </w:r>
          </w:p>
          <w:p w14:paraId="2B773220">
            <w:pPr>
              <w:widowControl/>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bidi="ar"/>
              </w:rPr>
              <w:t>联系方式</w:t>
            </w:r>
          </w:p>
        </w:tc>
        <w:tc>
          <w:tcPr>
            <w:tcW w:w="7543" w:type="dxa"/>
            <w:shd w:val="clear" w:color="auto" w:fill="auto"/>
            <w:vAlign w:val="center"/>
          </w:tcPr>
          <w:p w14:paraId="7E8D97A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单位名称：韶关市住房和城乡建设管理局</w:t>
            </w:r>
          </w:p>
          <w:p w14:paraId="1A3E6BD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办公地址：广东省韶关市武江区芙蓉东路5号</w:t>
            </w:r>
          </w:p>
          <w:p w14:paraId="1F78130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联系人（部门）：建筑业市场管理科</w:t>
            </w:r>
          </w:p>
          <w:p w14:paraId="032A0D4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联系电话：0751-8892601</w:t>
            </w:r>
          </w:p>
        </w:tc>
      </w:tr>
    </w:tbl>
    <w:p w14:paraId="2B7D2028">
      <w:pPr>
        <w:rPr>
          <w:rFonts w:hint="eastAsia" w:ascii="宋体" w:hAnsi="宋体" w:eastAsia="宋体" w:cs="宋体"/>
          <w:lang w:val="en-US" w:eastAsia="zh-CN"/>
        </w:rPr>
      </w:pPr>
    </w:p>
    <w:p w14:paraId="33EC58EF">
      <w:pPr>
        <w:pStyle w:val="31"/>
        <w:ind w:left="0" w:leftChars="0" w:firstLine="0" w:firstLineChars="0"/>
        <w:rPr>
          <w:rFonts w:hint="eastAsia" w:ascii="宋体" w:hAnsi="宋体" w:eastAsia="宋体" w:cs="宋体"/>
          <w:lang w:val="en-US" w:eastAsia="zh-CN"/>
        </w:rPr>
      </w:pPr>
    </w:p>
    <w:p w14:paraId="181C8657">
      <w:pPr>
        <w:rPr>
          <w:rFonts w:hint="eastAsia" w:ascii="宋体" w:hAnsi="宋体" w:eastAsia="宋体" w:cs="宋体"/>
          <w:lang w:val="en-US" w:eastAsia="zh-CN"/>
        </w:rPr>
      </w:pPr>
    </w:p>
    <w:p w14:paraId="19468F35">
      <w:pPr>
        <w:rPr>
          <w:rFonts w:hint="eastAsia" w:ascii="宋体" w:hAnsi="宋体" w:eastAsia="宋体" w:cs="宋体"/>
          <w:lang w:val="en-US" w:eastAsia="zh-CN"/>
        </w:rPr>
      </w:pPr>
    </w:p>
    <w:p w14:paraId="2BD60046">
      <w:pPr>
        <w:rPr>
          <w:rFonts w:hint="eastAsia" w:ascii="宋体" w:hAnsi="宋体" w:eastAsia="宋体" w:cs="宋体"/>
          <w:lang w:val="en-US" w:eastAsia="zh-CN"/>
        </w:rPr>
      </w:pPr>
    </w:p>
    <w:p w14:paraId="5530C184">
      <w:pPr>
        <w:rPr>
          <w:rFonts w:hint="eastAsia" w:ascii="宋体" w:hAnsi="宋体" w:eastAsia="宋体" w:cs="宋体"/>
          <w:lang w:val="en-US" w:eastAsia="zh-CN"/>
        </w:rPr>
      </w:pPr>
    </w:p>
    <w:p w14:paraId="752383F1">
      <w:pPr>
        <w:pStyle w:val="2"/>
        <w:rPr>
          <w:rFonts w:hint="eastAsia" w:ascii="宋体" w:hAnsi="宋体" w:eastAsia="宋体" w:cs="宋体"/>
          <w:lang w:val="en-US" w:eastAsia="zh-CN"/>
        </w:rPr>
      </w:pPr>
    </w:p>
    <w:p w14:paraId="3C776867">
      <w:pPr>
        <w:pStyle w:val="2"/>
        <w:rPr>
          <w:rFonts w:hint="eastAsia" w:ascii="宋体" w:hAnsi="宋体" w:eastAsia="宋体" w:cs="宋体"/>
          <w:lang w:val="en-US" w:eastAsia="zh-CN"/>
        </w:rPr>
      </w:pPr>
    </w:p>
    <w:p w14:paraId="75377284">
      <w:pPr>
        <w:pStyle w:val="2"/>
        <w:rPr>
          <w:rFonts w:hint="eastAsia" w:ascii="宋体" w:hAnsi="宋体" w:eastAsia="宋体" w:cs="宋体"/>
          <w:lang w:val="en-US" w:eastAsia="zh-CN"/>
        </w:rPr>
      </w:pPr>
    </w:p>
    <w:p w14:paraId="6714CEF2">
      <w:pPr>
        <w:pStyle w:val="2"/>
        <w:rPr>
          <w:rFonts w:hint="eastAsia" w:ascii="宋体" w:hAnsi="宋体" w:eastAsia="宋体" w:cs="宋体"/>
          <w:lang w:val="en-US" w:eastAsia="zh-CN"/>
        </w:rPr>
      </w:pPr>
    </w:p>
    <w:p w14:paraId="28E61705">
      <w:pPr>
        <w:rPr>
          <w:rFonts w:hint="eastAsia"/>
          <w:lang w:val="en-US" w:eastAsia="zh-CN"/>
        </w:rPr>
      </w:pPr>
    </w:p>
    <w:bookmarkEnd w:id="9"/>
    <w:p w14:paraId="7316479D">
      <w:pPr>
        <w:rPr>
          <w:rFonts w:hint="eastAsia" w:ascii="宋体" w:hAnsi="宋体" w:eastAsia="宋体" w:cs="宋体"/>
          <w:b/>
          <w:color w:val="auto"/>
          <w:kern w:val="2"/>
          <w:sz w:val="28"/>
          <w:szCs w:val="24"/>
          <w:lang w:val="en-US" w:eastAsia="zh-CN"/>
        </w:rPr>
      </w:pPr>
      <w:bookmarkStart w:id="10" w:name="_Toc19537"/>
      <w:bookmarkStart w:id="11" w:name="_Toc32054"/>
      <w:r>
        <w:rPr>
          <w:rFonts w:hint="eastAsia" w:ascii="宋体" w:hAnsi="宋体" w:eastAsia="宋体" w:cs="宋体"/>
          <w:b/>
          <w:color w:val="auto"/>
          <w:kern w:val="2"/>
          <w:sz w:val="28"/>
          <w:szCs w:val="24"/>
          <w:lang w:val="en-US" w:eastAsia="zh-CN"/>
        </w:rPr>
        <w:br w:type="page"/>
      </w:r>
    </w:p>
    <w:p w14:paraId="379FF61C">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r>
        <w:rPr>
          <w:rFonts w:hint="eastAsia" w:ascii="宋体" w:hAnsi="宋体" w:eastAsia="宋体" w:cs="宋体"/>
          <w:b/>
          <w:color w:val="auto"/>
          <w:kern w:val="2"/>
          <w:sz w:val="28"/>
          <w:szCs w:val="24"/>
          <w:lang w:val="en-US" w:eastAsia="zh-CN"/>
        </w:rPr>
        <w:t>第二节   重要事项时间地点一览表</w:t>
      </w:r>
      <w:bookmarkEnd w:id="10"/>
      <w:bookmarkEnd w:id="11"/>
    </w:p>
    <w:tbl>
      <w:tblPr>
        <w:tblStyle w:val="33"/>
        <w:tblW w:w="506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7"/>
        <w:gridCol w:w="1404"/>
        <w:gridCol w:w="7914"/>
      </w:tblGrid>
      <w:tr w14:paraId="1C9C03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31"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5FBAEEA3">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719" w:type="pct"/>
            <w:tcBorders>
              <w:top w:val="single" w:color="080000" w:sz="4" w:space="0"/>
              <w:left w:val="single" w:color="080000" w:sz="4" w:space="0"/>
              <w:bottom w:val="single" w:color="080000" w:sz="4" w:space="0"/>
              <w:right w:val="single" w:color="080000" w:sz="4" w:space="0"/>
            </w:tcBorders>
            <w:noWrap w:val="0"/>
            <w:vAlign w:val="center"/>
          </w:tcPr>
          <w:p w14:paraId="38524691">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14:paraId="3B0A270D">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发布时间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CEE6266">
            <w:pPr>
              <w:pStyle w:val="94"/>
              <w:widowControl/>
              <w:snapToGrid w:val="0"/>
              <w:jc w:val="left"/>
              <w:rPr>
                <w:rFonts w:hint="eastAsia" w:ascii="宋体" w:hAnsi="宋体" w:eastAsia="宋体" w:cs="宋体"/>
                <w:snapToGrid w:val="0"/>
                <w:color w:val="auto"/>
                <w:kern w:val="0"/>
                <w:sz w:val="24"/>
                <w:szCs w:val="24"/>
                <w:highlight w:val="none"/>
                <w:lang w:eastAsia="zh-CN"/>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10</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15</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bookmarkStart w:id="281" w:name="_GoBack"/>
            <w:bookmarkEnd w:id="281"/>
          </w:p>
        </w:tc>
      </w:tr>
      <w:tr w14:paraId="74E890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4"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78C32361">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719" w:type="pct"/>
            <w:tcBorders>
              <w:top w:val="single" w:color="080000" w:sz="4" w:space="0"/>
              <w:left w:val="single" w:color="080000" w:sz="4" w:space="0"/>
              <w:bottom w:val="single" w:color="080000" w:sz="4" w:space="0"/>
              <w:right w:val="single" w:color="080000" w:sz="4" w:space="0"/>
            </w:tcBorders>
            <w:noWrap w:val="0"/>
            <w:vAlign w:val="center"/>
          </w:tcPr>
          <w:p w14:paraId="4FF3CC2A">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获取招标文件</w:t>
            </w:r>
          </w:p>
          <w:p w14:paraId="38171DA4">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61B96788">
            <w:pPr>
              <w:pStyle w:val="94"/>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09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4E0DD6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1"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1279D20A">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719" w:type="pct"/>
            <w:tcBorders>
              <w:top w:val="single" w:color="080000" w:sz="4" w:space="0"/>
              <w:left w:val="single" w:color="080000" w:sz="4" w:space="0"/>
              <w:bottom w:val="single" w:color="080000" w:sz="4" w:space="0"/>
              <w:right w:val="single" w:color="080000" w:sz="4" w:space="0"/>
            </w:tcBorders>
            <w:noWrap w:val="0"/>
            <w:vAlign w:val="center"/>
          </w:tcPr>
          <w:p w14:paraId="52487434">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14:paraId="696A11DE">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51EE432">
            <w:pPr>
              <w:pStyle w:val="94"/>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21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16</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w:t>
            </w:r>
          </w:p>
        </w:tc>
      </w:tr>
      <w:tr w14:paraId="0A002A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31"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3BA5B897">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719" w:type="pct"/>
            <w:tcBorders>
              <w:top w:val="single" w:color="080000" w:sz="4" w:space="0"/>
              <w:left w:val="single" w:color="080000" w:sz="4" w:space="0"/>
              <w:bottom w:val="single" w:color="080000" w:sz="4" w:space="0"/>
              <w:right w:val="single" w:color="080000" w:sz="4" w:space="0"/>
            </w:tcBorders>
            <w:noWrap w:val="0"/>
            <w:vAlign w:val="center"/>
          </w:tcPr>
          <w:p w14:paraId="1BBE7F15">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14:paraId="4CA8B917">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764CFF84">
            <w:pPr>
              <w:pStyle w:val="94"/>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21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16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30 </w:t>
            </w:r>
            <w:r>
              <w:rPr>
                <w:rFonts w:hint="eastAsia" w:ascii="宋体" w:hAnsi="宋体" w:eastAsia="宋体" w:cs="宋体"/>
                <w:color w:val="auto"/>
                <w:kern w:val="0"/>
                <w:sz w:val="24"/>
                <w:szCs w:val="24"/>
                <w:highlight w:val="none"/>
              </w:rPr>
              <w:t>分至</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24</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16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00</w:t>
            </w:r>
            <w:r>
              <w:rPr>
                <w:rFonts w:hint="eastAsia" w:ascii="宋体" w:hAnsi="宋体" w:eastAsia="宋体" w:cs="宋体"/>
                <w:color w:val="auto"/>
                <w:kern w:val="0"/>
                <w:sz w:val="24"/>
                <w:szCs w:val="24"/>
                <w:highlight w:val="none"/>
              </w:rPr>
              <w:t>分</w:t>
            </w:r>
          </w:p>
        </w:tc>
      </w:tr>
      <w:tr w14:paraId="060AE6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6"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7010D07E">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719" w:type="pct"/>
            <w:tcBorders>
              <w:top w:val="single" w:color="080000" w:sz="4" w:space="0"/>
              <w:left w:val="single" w:color="080000" w:sz="4" w:space="0"/>
              <w:bottom w:val="single" w:color="080000" w:sz="4" w:space="0"/>
              <w:right w:val="single" w:color="080000" w:sz="4" w:space="0"/>
            </w:tcBorders>
            <w:noWrap w:val="0"/>
            <w:vAlign w:val="center"/>
          </w:tcPr>
          <w:p w14:paraId="56BA3273">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14:paraId="53790529">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纳截止时间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890ADEB">
            <w:pPr>
              <w:pStyle w:val="94"/>
              <w:widowControl/>
              <w:snapToGrid w:val="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投标保证金到账截止时间：</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09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p w14:paraId="2CD5A137">
            <w:pPr>
              <w:pStyle w:val="94"/>
              <w:widowControl/>
              <w:snapToGrid w:val="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投标保证担保上传截止时间：</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09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p w14:paraId="3F15DD28">
            <w:pPr>
              <w:pStyle w:val="94"/>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投标保证保险投保截止时间：</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09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7331FD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14"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5997E9D6">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719" w:type="pct"/>
            <w:tcBorders>
              <w:top w:val="single" w:color="080000" w:sz="4" w:space="0"/>
              <w:left w:val="single" w:color="080000" w:sz="4" w:space="0"/>
              <w:bottom w:val="single" w:color="080000" w:sz="4" w:space="0"/>
              <w:right w:val="single" w:color="080000" w:sz="4" w:space="0"/>
            </w:tcBorders>
            <w:noWrap w:val="0"/>
            <w:vAlign w:val="center"/>
          </w:tcPr>
          <w:p w14:paraId="2292BEAF">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电子投标</w:t>
            </w:r>
          </w:p>
          <w:p w14:paraId="32AFE6FA">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44D56F9A">
            <w:pPr>
              <w:pStyle w:val="94"/>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09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6CEC01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20"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4343CE57">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719" w:type="pct"/>
            <w:tcBorders>
              <w:top w:val="single" w:color="080000" w:sz="4" w:space="0"/>
              <w:left w:val="single" w:color="080000" w:sz="4" w:space="0"/>
              <w:bottom w:val="single" w:color="080000" w:sz="4" w:space="0"/>
              <w:right w:val="single" w:color="080000" w:sz="4" w:space="0"/>
            </w:tcBorders>
            <w:noWrap w:val="0"/>
            <w:vAlign w:val="center"/>
          </w:tcPr>
          <w:p w14:paraId="66B58DD8">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投标评审原件（如有）</w:t>
            </w:r>
          </w:p>
          <w:p w14:paraId="7EE6F5AB">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递交时间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5D44E198">
            <w:pPr>
              <w:pStyle w:val="94"/>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09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分至</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09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3F7691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20"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0B762C53">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719" w:type="pct"/>
            <w:tcBorders>
              <w:top w:val="single" w:color="080000" w:sz="4" w:space="0"/>
              <w:left w:val="single" w:color="080000" w:sz="4" w:space="0"/>
              <w:bottom w:val="single" w:color="080000" w:sz="4" w:space="0"/>
              <w:right w:val="single" w:color="080000" w:sz="4" w:space="0"/>
            </w:tcBorders>
            <w:noWrap w:val="0"/>
            <w:vAlign w:val="center"/>
          </w:tcPr>
          <w:p w14:paraId="657C765D">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投标评审原件（如有）</w:t>
            </w:r>
          </w:p>
          <w:p w14:paraId="114F78DF">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递交地点</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23F50FD">
            <w:pPr>
              <w:pStyle w:val="94"/>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递交场所：韶关市公共资源交易中心</w:t>
            </w:r>
          </w:p>
          <w:p w14:paraId="379350CF">
            <w:pPr>
              <w:pStyle w:val="94"/>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地址：广东省韶关市武江区西联镇，具体房间号以当日现场通知为准</w:t>
            </w:r>
            <w:r>
              <w:rPr>
                <w:rFonts w:hint="eastAsia" w:ascii="宋体" w:hAnsi="宋体" w:eastAsia="宋体" w:cs="宋体"/>
                <w:snapToGrid w:val="0"/>
                <w:color w:val="auto"/>
                <w:kern w:val="0"/>
                <w:sz w:val="24"/>
                <w:szCs w:val="24"/>
                <w:highlight w:val="none"/>
                <w:lang w:eastAsia="zh-CN"/>
              </w:rPr>
              <w:t>。</w:t>
            </w:r>
          </w:p>
        </w:tc>
      </w:tr>
      <w:tr w14:paraId="6DF738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9"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0BC06632">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719" w:type="pct"/>
            <w:tcBorders>
              <w:top w:val="single" w:color="080000" w:sz="4" w:space="0"/>
              <w:left w:val="single" w:color="080000" w:sz="4" w:space="0"/>
              <w:bottom w:val="single" w:color="080000" w:sz="4" w:space="0"/>
              <w:right w:val="single" w:color="080000" w:sz="4" w:space="0"/>
            </w:tcBorders>
            <w:noWrap w:val="0"/>
            <w:vAlign w:val="center"/>
          </w:tcPr>
          <w:p w14:paraId="4D081AA8">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B452020">
            <w:pPr>
              <w:pStyle w:val="94"/>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09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07B22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42"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727AFCCD">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719" w:type="pct"/>
            <w:tcBorders>
              <w:top w:val="single" w:color="080000" w:sz="4" w:space="0"/>
              <w:left w:val="single" w:color="080000" w:sz="4" w:space="0"/>
              <w:bottom w:val="single" w:color="080000" w:sz="4" w:space="0"/>
              <w:right w:val="single" w:color="080000" w:sz="4" w:space="0"/>
            </w:tcBorders>
            <w:noWrap w:val="0"/>
            <w:vAlign w:val="center"/>
          </w:tcPr>
          <w:p w14:paraId="42067D2F">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开标地点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6BF5A69">
            <w:pPr>
              <w:pStyle w:val="94"/>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开标场所：韶关市公共资源交易中心</w:t>
            </w:r>
          </w:p>
          <w:p w14:paraId="388D27B8">
            <w:pPr>
              <w:pStyle w:val="94"/>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地址：广东省韶关市武江区西联镇，具体房间号以当日现场通知为准</w:t>
            </w:r>
            <w:r>
              <w:rPr>
                <w:rFonts w:hint="eastAsia" w:ascii="宋体" w:hAnsi="宋体" w:eastAsia="宋体" w:cs="宋体"/>
                <w:snapToGrid w:val="0"/>
                <w:color w:val="auto"/>
                <w:kern w:val="0"/>
                <w:sz w:val="24"/>
                <w:szCs w:val="24"/>
                <w:highlight w:val="none"/>
                <w:lang w:eastAsia="zh-CN"/>
              </w:rPr>
              <w:t>。</w:t>
            </w:r>
          </w:p>
        </w:tc>
      </w:tr>
      <w:tr w14:paraId="5A7C0F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3" w:hRule="exact"/>
        </w:trPr>
        <w:tc>
          <w:tcPr>
            <w:tcW w:w="948" w:type="pct"/>
            <w:gridSpan w:val="2"/>
            <w:tcBorders>
              <w:top w:val="single" w:color="080000" w:sz="4" w:space="0"/>
              <w:left w:val="single" w:color="080000" w:sz="4" w:space="0"/>
              <w:bottom w:val="single" w:color="080000" w:sz="4" w:space="0"/>
              <w:right w:val="single" w:color="080000" w:sz="4" w:space="0"/>
            </w:tcBorders>
            <w:noWrap w:val="0"/>
            <w:vAlign w:val="center"/>
          </w:tcPr>
          <w:p w14:paraId="10AFB6B7">
            <w:pPr>
              <w:pStyle w:val="94"/>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备注</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34CDFE2">
            <w:pPr>
              <w:pStyle w:val="94"/>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自行下载招标文件、资料文件及招标答疑书等。若由于投标人自身原因未能及时取得上述资料的，由此发生的任何责任由投标人自负。</w:t>
            </w:r>
          </w:p>
        </w:tc>
      </w:tr>
    </w:tbl>
    <w:p w14:paraId="4EC2684C">
      <w:pPr>
        <w:spacing w:line="360" w:lineRule="auto"/>
        <w:rPr>
          <w:rFonts w:hint="eastAsia" w:ascii="宋体" w:hAnsi="宋体" w:eastAsia="宋体" w:cs="宋体"/>
          <w:color w:val="auto"/>
          <w:sz w:val="24"/>
          <w:highlight w:val="none"/>
        </w:rPr>
      </w:pPr>
    </w:p>
    <w:p w14:paraId="041177E8">
      <w:pPr>
        <w:rPr>
          <w:rFonts w:hint="eastAsia" w:ascii="宋体" w:hAnsi="宋体" w:eastAsia="宋体" w:cs="宋体"/>
        </w:rPr>
      </w:pPr>
      <w:bookmarkStart w:id="12" w:name="_Toc10184"/>
      <w:bookmarkStart w:id="13" w:name="_Hlt69698754"/>
      <w:bookmarkStart w:id="14" w:name="_Hlt69698705"/>
    </w:p>
    <w:p w14:paraId="155E80B3">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5" w:name="_Toc29051"/>
      <w:r>
        <w:rPr>
          <w:rFonts w:hint="eastAsia" w:ascii="宋体" w:hAnsi="宋体" w:eastAsia="宋体" w:cs="宋体"/>
          <w:b/>
          <w:color w:val="auto"/>
          <w:kern w:val="2"/>
          <w:sz w:val="28"/>
          <w:szCs w:val="24"/>
          <w:lang w:val="en-US" w:eastAsia="zh-CN"/>
        </w:rPr>
        <w:t>第三节   投标人须知</w:t>
      </w:r>
      <w:bookmarkStart w:id="16" w:name="_Hlt69669159"/>
      <w:bookmarkEnd w:id="16"/>
      <w:r>
        <w:rPr>
          <w:rFonts w:hint="eastAsia" w:ascii="宋体" w:hAnsi="宋体" w:eastAsia="宋体" w:cs="宋体"/>
          <w:b/>
          <w:color w:val="auto"/>
          <w:kern w:val="2"/>
          <w:sz w:val="28"/>
          <w:szCs w:val="24"/>
          <w:lang w:val="en-US" w:eastAsia="zh-CN"/>
        </w:rPr>
        <w:t>正文</w:t>
      </w:r>
      <w:bookmarkEnd w:id="12"/>
      <w:bookmarkEnd w:id="13"/>
      <w:bookmarkEnd w:id="14"/>
      <w:bookmarkEnd w:id="15"/>
    </w:p>
    <w:p w14:paraId="28A53E44">
      <w:pPr>
        <w:pageBreakBefore w:val="0"/>
        <w:kinsoku/>
        <w:overflowPunct/>
        <w:topLinePunct w:val="0"/>
        <w:autoSpaceDE/>
        <w:autoSpaceDN/>
        <w:bidi w:val="0"/>
        <w:spacing w:line="360" w:lineRule="auto"/>
        <w:ind w:right="0" w:rightChars="0" w:firstLine="480" w:firstLineChars="200"/>
        <w:textAlignment w:val="auto"/>
        <w:rPr>
          <w:rFonts w:hint="eastAsia" w:ascii="宋体" w:hAnsi="宋体" w:eastAsia="宋体" w:cs="宋体"/>
          <w:sz w:val="24"/>
          <w:szCs w:val="24"/>
        </w:rPr>
      </w:pPr>
      <w:bookmarkStart w:id="17" w:name="_Toc21609"/>
      <w:r>
        <w:rPr>
          <w:rFonts w:hint="eastAsia" w:ascii="宋体" w:hAnsi="宋体" w:eastAsia="宋体" w:cs="宋体"/>
          <w:sz w:val="24"/>
          <w:szCs w:val="24"/>
          <w:u w:val="single"/>
          <w:lang w:val="en-US" w:eastAsia="zh-CN"/>
        </w:rPr>
        <w:t>韶关市浈江区大数据产业基础设施工程</w:t>
      </w:r>
      <w:r>
        <w:rPr>
          <w:rFonts w:hint="eastAsia" w:ascii="宋体" w:hAnsi="宋体" w:eastAsia="宋体" w:cs="宋体"/>
          <w:sz w:val="24"/>
          <w:szCs w:val="24"/>
          <w:lang w:eastAsia="zh-CN"/>
        </w:rPr>
        <w:t>经</w:t>
      </w:r>
      <w:r>
        <w:rPr>
          <w:rFonts w:hint="eastAsia" w:ascii="宋体" w:hAnsi="宋体" w:eastAsia="宋体" w:cs="宋体"/>
          <w:sz w:val="24"/>
          <w:szCs w:val="24"/>
          <w:u w:val="single"/>
          <w:lang w:eastAsia="zh-CN"/>
        </w:rPr>
        <w:t>韶关市浈江区发展和改革局</w:t>
      </w:r>
      <w:r>
        <w:rPr>
          <w:rFonts w:hint="eastAsia" w:ascii="宋体" w:hAnsi="宋体" w:eastAsia="宋体" w:cs="宋体"/>
          <w:sz w:val="24"/>
          <w:szCs w:val="24"/>
        </w:rPr>
        <w:t>以</w:t>
      </w:r>
      <w:r>
        <w:rPr>
          <w:rFonts w:hint="eastAsia" w:ascii="宋体" w:hAnsi="宋体" w:eastAsia="宋体" w:cs="宋体"/>
          <w:sz w:val="24"/>
          <w:szCs w:val="24"/>
          <w:u w:val="single"/>
        </w:rPr>
        <w:t>《</w:t>
      </w:r>
      <w:r>
        <w:rPr>
          <w:rFonts w:hint="eastAsia" w:ascii="宋体" w:hAnsi="宋体" w:eastAsia="宋体" w:cs="宋体"/>
          <w:sz w:val="24"/>
          <w:szCs w:val="24"/>
          <w:u w:val="single"/>
          <w:lang w:eastAsia="zh-CN"/>
        </w:rPr>
        <w:t>韶关市浈江区发展和改革局关于韶关市浈江区大数据产业基础设施工程可行性研究报告的批复</w:t>
      </w:r>
      <w:r>
        <w:rPr>
          <w:rFonts w:hint="eastAsia" w:ascii="宋体" w:hAnsi="宋体" w:eastAsia="宋体" w:cs="宋体"/>
          <w:sz w:val="24"/>
          <w:szCs w:val="24"/>
          <w:u w:val="single"/>
        </w:rPr>
        <w:t>》（</w:t>
      </w:r>
      <w:r>
        <w:rPr>
          <w:rFonts w:hint="eastAsia" w:ascii="宋体" w:hAnsi="宋体" w:eastAsia="宋体" w:cs="宋体"/>
          <w:sz w:val="24"/>
          <w:szCs w:val="24"/>
          <w:u w:val="single"/>
          <w:lang w:eastAsia="zh-CN"/>
        </w:rPr>
        <w:t>韶浈发改投审〔2026〕27号</w:t>
      </w:r>
      <w:r>
        <w:rPr>
          <w:rFonts w:hint="eastAsia" w:ascii="宋体" w:hAnsi="宋体" w:eastAsia="宋体" w:cs="宋体"/>
          <w:sz w:val="24"/>
          <w:szCs w:val="24"/>
          <w:u w:val="single"/>
        </w:rPr>
        <w:t>）</w:t>
      </w:r>
      <w:r>
        <w:rPr>
          <w:rFonts w:hint="eastAsia" w:ascii="宋体" w:hAnsi="宋体" w:eastAsia="宋体" w:cs="宋体"/>
          <w:sz w:val="24"/>
          <w:szCs w:val="24"/>
        </w:rPr>
        <w:t>批准建设，项目代码为</w:t>
      </w:r>
      <w:r>
        <w:rPr>
          <w:rFonts w:hint="eastAsia" w:ascii="宋体" w:hAnsi="宋体" w:eastAsia="宋体" w:cs="宋体"/>
          <w:sz w:val="24"/>
          <w:szCs w:val="24"/>
          <w:u w:val="single"/>
          <w:lang w:eastAsia="zh-CN"/>
        </w:rPr>
        <w:t>2603-440204-04-01-645031</w:t>
      </w:r>
      <w:r>
        <w:rPr>
          <w:rFonts w:hint="eastAsia" w:ascii="宋体" w:hAnsi="宋体" w:eastAsia="宋体" w:cs="宋体"/>
          <w:sz w:val="24"/>
          <w:szCs w:val="24"/>
          <w:lang w:eastAsia="zh-CN"/>
        </w:rPr>
        <w:t>。本项目业主为</w:t>
      </w:r>
      <w:r>
        <w:rPr>
          <w:rFonts w:hint="eastAsia" w:ascii="宋体" w:hAnsi="宋体" w:eastAsia="宋体" w:cs="宋体"/>
          <w:sz w:val="24"/>
          <w:szCs w:val="24"/>
          <w:u w:val="single"/>
          <w:lang w:eastAsia="zh-CN"/>
        </w:rPr>
        <w:t>韶关市浈江区鸿通投资有限公司</w:t>
      </w:r>
      <w:r>
        <w:rPr>
          <w:rFonts w:hint="eastAsia" w:ascii="宋体" w:hAnsi="宋体" w:eastAsia="宋体" w:cs="宋体"/>
          <w:sz w:val="24"/>
          <w:szCs w:val="24"/>
          <w:lang w:eastAsia="zh-CN"/>
        </w:rPr>
        <w:t>，建设资金来自</w:t>
      </w:r>
      <w:r>
        <w:rPr>
          <w:rFonts w:hint="eastAsia" w:ascii="宋体" w:hAnsi="宋体" w:eastAsia="宋体" w:cs="宋体"/>
          <w:sz w:val="24"/>
          <w:szCs w:val="24"/>
          <w:u w:val="single"/>
          <w:lang w:eastAsia="zh-CN"/>
        </w:rPr>
        <w:t>由上级财政投资、地方配套和自筹安排解决。</w:t>
      </w:r>
      <w:r>
        <w:rPr>
          <w:rFonts w:hint="eastAsia" w:ascii="宋体" w:hAnsi="宋体" w:eastAsia="宋体" w:cs="宋体"/>
          <w:sz w:val="24"/>
          <w:szCs w:val="24"/>
          <w:lang w:eastAsia="zh-CN"/>
        </w:rPr>
        <w:t>出资比例为</w:t>
      </w:r>
      <w:r>
        <w:rPr>
          <w:rFonts w:hint="eastAsia" w:ascii="宋体" w:hAnsi="宋体" w:eastAsia="宋体" w:cs="宋体"/>
          <w:sz w:val="24"/>
          <w:szCs w:val="24"/>
          <w:u w:val="single"/>
          <w:lang w:eastAsia="zh-CN"/>
        </w:rPr>
        <w:t>100%</w:t>
      </w:r>
      <w:r>
        <w:rPr>
          <w:rFonts w:hint="eastAsia" w:ascii="宋体" w:hAnsi="宋体" w:eastAsia="宋体" w:cs="宋体"/>
          <w:sz w:val="24"/>
          <w:szCs w:val="24"/>
          <w:lang w:eastAsia="zh-CN"/>
        </w:rPr>
        <w:t>，招标人为</w:t>
      </w:r>
      <w:r>
        <w:rPr>
          <w:rFonts w:hint="eastAsia" w:ascii="宋体" w:hAnsi="宋体" w:eastAsia="宋体" w:cs="宋体"/>
          <w:sz w:val="24"/>
          <w:szCs w:val="24"/>
          <w:u w:val="single"/>
          <w:lang w:eastAsia="zh-CN"/>
        </w:rPr>
        <w:t>韶关市浈江区鸿通投资有限公司</w:t>
      </w:r>
      <w:r>
        <w:rPr>
          <w:rFonts w:hint="eastAsia" w:ascii="宋体" w:hAnsi="宋体" w:eastAsia="宋体" w:cs="宋体"/>
          <w:sz w:val="24"/>
          <w:szCs w:val="24"/>
          <w:lang w:eastAsia="zh-CN"/>
        </w:rPr>
        <w:t>，招标代理机构为</w:t>
      </w:r>
      <w:r>
        <w:rPr>
          <w:rFonts w:hint="eastAsia" w:ascii="宋体" w:hAnsi="宋体" w:eastAsia="宋体" w:cs="宋体"/>
          <w:sz w:val="24"/>
          <w:szCs w:val="24"/>
          <w:u w:val="single"/>
          <w:lang w:eastAsia="zh-CN"/>
        </w:rPr>
        <w:t>广东合正项目管理有限公司</w:t>
      </w:r>
      <w:r>
        <w:rPr>
          <w:rFonts w:hint="eastAsia" w:ascii="宋体" w:hAnsi="宋体" w:eastAsia="宋体" w:cs="宋体"/>
          <w:sz w:val="24"/>
          <w:szCs w:val="24"/>
          <w:lang w:eastAsia="zh-CN"/>
        </w:rPr>
        <w:t>。项目已具备招标条件，现对该项目的</w:t>
      </w:r>
      <w:r>
        <w:rPr>
          <w:rFonts w:hint="eastAsia" w:ascii="宋体" w:hAnsi="宋体" w:eastAsia="宋体" w:cs="宋体"/>
          <w:sz w:val="24"/>
          <w:szCs w:val="24"/>
          <w:u w:val="single"/>
          <w:lang w:val="en-US" w:eastAsia="zh-CN"/>
        </w:rPr>
        <w:t>勘察、</w:t>
      </w:r>
      <w:r>
        <w:rPr>
          <w:rFonts w:hint="eastAsia" w:ascii="宋体" w:hAnsi="宋体" w:eastAsia="宋体" w:cs="宋体"/>
          <w:sz w:val="24"/>
          <w:szCs w:val="24"/>
          <w:u w:val="single"/>
          <w:lang w:eastAsia="zh-CN"/>
        </w:rPr>
        <w:t>设计</w:t>
      </w:r>
      <w:r>
        <w:rPr>
          <w:rFonts w:hint="eastAsia" w:ascii="宋体" w:hAnsi="宋体" w:eastAsia="宋体" w:cs="宋体"/>
          <w:sz w:val="24"/>
          <w:szCs w:val="24"/>
          <w:lang w:eastAsia="zh-CN"/>
        </w:rPr>
        <w:t>进行公开招标。</w:t>
      </w:r>
    </w:p>
    <w:p w14:paraId="4203C568">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2"/>
        <w:rPr>
          <w:rFonts w:hint="eastAsia" w:ascii="宋体" w:hAnsi="宋体" w:eastAsia="宋体" w:cs="宋体"/>
          <w:b/>
          <w:bCs/>
          <w:color w:val="auto"/>
          <w:kern w:val="0"/>
          <w:sz w:val="24"/>
          <w:szCs w:val="24"/>
          <w:highlight w:val="none"/>
        </w:rPr>
      </w:pPr>
      <w:bookmarkStart w:id="18" w:name="_Toc21821"/>
      <w:r>
        <w:rPr>
          <w:rFonts w:hint="eastAsia" w:ascii="宋体" w:hAnsi="宋体" w:eastAsia="宋体" w:cs="宋体"/>
          <w:b/>
          <w:bCs/>
          <w:color w:val="auto"/>
          <w:kern w:val="0"/>
          <w:sz w:val="24"/>
          <w:szCs w:val="24"/>
          <w:highlight w:val="none"/>
        </w:rPr>
        <w:t>1．项目概况、招标范围和标段划分、投标费用</w:t>
      </w:r>
      <w:bookmarkEnd w:id="17"/>
      <w:bookmarkEnd w:id="18"/>
    </w:p>
    <w:p w14:paraId="3AB8A1FA">
      <w:pPr>
        <w:pageBreakBefore w:val="0"/>
        <w:kinsoku/>
        <w:wordWrap w:val="0"/>
        <w:overflowPunct/>
        <w:topLinePunct w:val="0"/>
        <w:autoSpaceDE/>
        <w:autoSpaceDN/>
        <w:bidi w:val="0"/>
        <w:adjustRightInd w:val="0"/>
        <w:snapToGrid w:val="0"/>
        <w:spacing w:line="360" w:lineRule="auto"/>
        <w:ind w:right="0" w:rightChars="0"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w:t>
      </w:r>
      <w:r>
        <w:rPr>
          <w:rFonts w:hint="eastAsia" w:ascii="宋体" w:hAnsi="宋体" w:eastAsia="宋体" w:cs="宋体"/>
          <w:snapToGrid w:val="0"/>
          <w:color w:val="auto"/>
          <w:kern w:val="0"/>
          <w:sz w:val="24"/>
          <w:szCs w:val="24"/>
          <w:highlight w:val="none"/>
        </w:rPr>
        <w:t xml:space="preserve"> 项目概况</w:t>
      </w:r>
    </w:p>
    <w:p w14:paraId="395DA3F3">
      <w:pPr>
        <w:pageBreakBefore w:val="0"/>
        <w:kinsoku/>
        <w:wordWrap w:val="0"/>
        <w:overflowPunct/>
        <w:topLinePunct w:val="0"/>
        <w:autoSpaceDE/>
        <w:autoSpaceDN/>
        <w:bidi w:val="0"/>
        <w:adjustRightInd w:val="0"/>
        <w:snapToGrid w:val="0"/>
        <w:spacing w:line="360" w:lineRule="auto"/>
        <w:ind w:right="0" w:rightChars="0" w:firstLine="482" w:firstLineChars="200"/>
        <w:jc w:val="left"/>
        <w:textAlignment w:val="auto"/>
        <w:rPr>
          <w:rFonts w:hint="eastAsia" w:ascii="宋体" w:hAnsi="宋体" w:eastAsia="宋体" w:cs="宋体"/>
          <w:snapToGrid w:val="0"/>
          <w:color w:val="auto"/>
          <w:kern w:val="0"/>
          <w:sz w:val="24"/>
          <w:szCs w:val="24"/>
          <w:highlight w:val="none"/>
          <w:u w:val="single"/>
          <w:lang w:val="en-US"/>
        </w:rPr>
      </w:pPr>
      <w:r>
        <w:rPr>
          <w:rFonts w:hint="eastAsia" w:ascii="宋体" w:hAnsi="宋体" w:eastAsia="宋体" w:cs="宋体"/>
          <w:b/>
          <w:bCs/>
          <w:snapToGrid w:val="0"/>
          <w:color w:val="auto"/>
          <w:kern w:val="0"/>
          <w:sz w:val="24"/>
          <w:szCs w:val="24"/>
          <w:highlight w:val="none"/>
        </w:rPr>
        <w:t>1.1.1</w:t>
      </w:r>
      <w:r>
        <w:rPr>
          <w:rFonts w:hint="eastAsia" w:ascii="宋体" w:hAnsi="宋体" w:eastAsia="宋体" w:cs="宋体"/>
          <w:snapToGrid w:val="0"/>
          <w:color w:val="auto"/>
          <w:kern w:val="0"/>
          <w:sz w:val="24"/>
          <w:szCs w:val="24"/>
          <w:highlight w:val="none"/>
        </w:rPr>
        <w:t xml:space="preserve"> 建设地点：</w:t>
      </w:r>
      <w:r>
        <w:rPr>
          <w:rFonts w:hint="eastAsia" w:ascii="宋体" w:hAnsi="宋体" w:eastAsia="宋体" w:cs="宋体"/>
          <w:snapToGrid w:val="0"/>
          <w:color w:val="auto"/>
          <w:kern w:val="0"/>
          <w:sz w:val="24"/>
          <w:highlight w:val="none"/>
          <w:u w:val="single"/>
          <w:lang w:val="en-US" w:eastAsia="zh-CN"/>
        </w:rPr>
        <w:t>韶关市浈江区新韶镇大学路片区。</w:t>
      </w:r>
    </w:p>
    <w:p w14:paraId="5FD9D18C">
      <w:pPr>
        <w:pageBreakBefore w:val="0"/>
        <w:kinsoku/>
        <w:wordWrap w:val="0"/>
        <w:overflowPunct/>
        <w:topLinePunct w:val="0"/>
        <w:autoSpaceDE/>
        <w:autoSpaceDN/>
        <w:bidi w:val="0"/>
        <w:adjustRightInd w:val="0"/>
        <w:snapToGrid w:val="0"/>
        <w:spacing w:line="360" w:lineRule="auto"/>
        <w:ind w:right="0" w:rightChars="0" w:firstLine="482" w:firstLineChars="200"/>
        <w:jc w:val="left"/>
        <w:textAlignment w:val="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b/>
          <w:bCs/>
          <w:snapToGrid w:val="0"/>
          <w:color w:val="auto"/>
          <w:kern w:val="0"/>
          <w:sz w:val="24"/>
          <w:highlight w:val="none"/>
        </w:rPr>
        <w:t>1.1.2</w:t>
      </w:r>
      <w:r>
        <w:rPr>
          <w:rFonts w:hint="eastAsia" w:ascii="宋体" w:hAnsi="宋体" w:eastAsia="宋体" w:cs="宋体"/>
          <w:snapToGrid w:val="0"/>
          <w:color w:val="auto"/>
          <w:kern w:val="0"/>
          <w:sz w:val="24"/>
          <w:highlight w:val="none"/>
        </w:rPr>
        <w:t xml:space="preserve"> 建设内容和规模：</w:t>
      </w:r>
      <w:r>
        <w:rPr>
          <w:rFonts w:hint="eastAsia" w:ascii="宋体" w:hAnsi="宋体" w:eastAsia="宋体" w:cs="宋体"/>
          <w:color w:val="auto"/>
          <w:sz w:val="24"/>
          <w:szCs w:val="24"/>
          <w:highlight w:val="none"/>
          <w:u w:val="single"/>
          <w:lang w:eastAsia="zh-CN"/>
        </w:rPr>
        <w:t>本次招标建设内容：包括场地平整及边坡防护、新建园区道路及配套设施。其中项目场地平整3780亩，总挖填方约998万立方米；新建7条园区道路及配套设施，道路总长度约9.56km。</w:t>
      </w:r>
    </w:p>
    <w:p w14:paraId="5DF92E12">
      <w:pPr>
        <w:keepNext w:val="0"/>
        <w:keepLines w:val="0"/>
        <w:pageBreakBefore w:val="0"/>
        <w:widowControl/>
        <w:suppressLineNumbers w:val="0"/>
        <w:kinsoku/>
        <w:overflowPunct/>
        <w:topLinePunct w:val="0"/>
        <w:autoSpaceDE/>
        <w:autoSpaceDN/>
        <w:bidi w:val="0"/>
        <w:spacing w:line="360" w:lineRule="auto"/>
        <w:ind w:right="0" w:rightChars="0" w:firstLine="482" w:firstLineChars="200"/>
        <w:jc w:val="left"/>
        <w:textAlignment w:val="auto"/>
        <w:rPr>
          <w:rFonts w:hint="eastAsia" w:ascii="宋体" w:hAnsi="宋体" w:eastAsia="宋体" w:cs="宋体"/>
          <w:snapToGrid w:val="0"/>
          <w:color w:val="auto"/>
          <w:kern w:val="0"/>
          <w:sz w:val="24"/>
          <w:szCs w:val="24"/>
          <w:highlight w:val="none"/>
          <w:u w:val="single"/>
          <w:lang w:eastAsia="zh-CN"/>
        </w:rPr>
      </w:pPr>
      <w:r>
        <w:rPr>
          <w:rFonts w:hint="eastAsia" w:ascii="宋体" w:hAnsi="宋体" w:eastAsia="宋体" w:cs="宋体"/>
          <w:b/>
          <w:bCs/>
          <w:snapToGrid w:val="0"/>
          <w:color w:val="auto"/>
          <w:kern w:val="0"/>
          <w:sz w:val="24"/>
          <w:szCs w:val="24"/>
          <w:highlight w:val="none"/>
        </w:rPr>
        <w:t>1.1.3</w:t>
      </w:r>
      <w:r>
        <w:rPr>
          <w:rFonts w:hint="eastAsia" w:ascii="宋体" w:hAnsi="宋体" w:eastAsia="宋体" w:cs="宋体"/>
          <w:snapToGrid w:val="0"/>
          <w:color w:val="auto"/>
          <w:kern w:val="0"/>
          <w:sz w:val="24"/>
          <w:szCs w:val="24"/>
          <w:highlight w:val="none"/>
        </w:rPr>
        <w:t xml:space="preserve"> 项目总投资：</w:t>
      </w:r>
      <w:r>
        <w:rPr>
          <w:rFonts w:hint="eastAsia" w:ascii="宋体" w:hAnsi="宋体" w:eastAsia="宋体" w:cs="宋体"/>
          <w:snapToGrid w:val="0"/>
          <w:color w:val="auto"/>
          <w:kern w:val="0"/>
          <w:sz w:val="24"/>
          <w:szCs w:val="24"/>
          <w:highlight w:val="none"/>
          <w:lang w:val="en-US" w:eastAsia="zh-CN"/>
        </w:rPr>
        <w:t>项目估算总投资225420.30万元，其中：工程费158174.86万元、工程建设其他费用39165.95万元、预备费9040.49万元。</w:t>
      </w:r>
    </w:p>
    <w:p w14:paraId="3E74D27D">
      <w:pPr>
        <w:pageBreakBefore w:val="0"/>
        <w:kinsoku/>
        <w:wordWrap w:val="0"/>
        <w:overflowPunct/>
        <w:topLinePunct w:val="0"/>
        <w:autoSpaceDE/>
        <w:autoSpaceDN/>
        <w:bidi w:val="0"/>
        <w:adjustRightInd w:val="0"/>
        <w:snapToGrid w:val="0"/>
        <w:spacing w:line="360" w:lineRule="auto"/>
        <w:ind w:right="0" w:rightChars="0" w:firstLine="482" w:firstLineChars="200"/>
        <w:jc w:val="lef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1.2 </w:t>
      </w:r>
      <w:r>
        <w:rPr>
          <w:rFonts w:hint="eastAsia" w:ascii="宋体" w:hAnsi="宋体" w:eastAsia="宋体" w:cs="宋体"/>
          <w:snapToGrid w:val="0"/>
          <w:color w:val="auto"/>
          <w:kern w:val="0"/>
          <w:sz w:val="24"/>
          <w:szCs w:val="24"/>
          <w:highlight w:val="none"/>
        </w:rPr>
        <w:t>招标范围和标段划分</w:t>
      </w:r>
    </w:p>
    <w:p w14:paraId="5142BF78">
      <w:pPr>
        <w:pageBreakBefore w:val="0"/>
        <w:kinsoku/>
        <w:wordWrap w:val="0"/>
        <w:overflowPunct/>
        <w:topLinePunct w:val="0"/>
        <w:autoSpaceDE/>
        <w:autoSpaceDN/>
        <w:bidi w:val="0"/>
        <w:adjustRightInd w:val="0"/>
        <w:snapToGrid w:val="0"/>
        <w:spacing w:line="360" w:lineRule="auto"/>
        <w:ind w:right="0" w:rightChars="0"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1.2.1</w:t>
      </w:r>
      <w:r>
        <w:rPr>
          <w:rFonts w:hint="eastAsia" w:ascii="宋体" w:hAnsi="宋体" w:eastAsia="宋体" w:cs="宋体"/>
          <w:snapToGrid w:val="0"/>
          <w:color w:val="auto"/>
          <w:kern w:val="0"/>
          <w:sz w:val="24"/>
          <w:szCs w:val="24"/>
          <w:highlight w:val="none"/>
        </w:rPr>
        <w:t xml:space="preserve"> 招标范围：</w:t>
      </w:r>
    </w:p>
    <w:p w14:paraId="0C07D661">
      <w:pPr>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本工程所涉及的内容包括但不限于以下（1）和（2）：</w:t>
      </w:r>
    </w:p>
    <w:p w14:paraId="2A1EC8DD">
      <w:pPr>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（1）勘察部分：工程岩土勘察（包括初步勘察、详细勘察）</w:t>
      </w:r>
      <w:r>
        <w:rPr>
          <w:rFonts w:hint="eastAsia" w:ascii="宋体" w:hAnsi="宋体" w:cs="宋体"/>
          <w:snapToGrid w:val="0"/>
          <w:color w:val="auto"/>
          <w:kern w:val="0"/>
          <w:sz w:val="24"/>
          <w:szCs w:val="24"/>
          <w:highlight w:val="none"/>
          <w:lang w:eastAsia="zh-CN"/>
        </w:rPr>
        <w:t>；</w:t>
      </w:r>
    </w:p>
    <w:p w14:paraId="47A3BCD4">
      <w:pPr>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（2）设计部分：确保项目顺利实施的报建、施工等所需的设计文件，所涉及的内容包括但不限于以下：</w:t>
      </w:r>
    </w:p>
    <w:p w14:paraId="21353BE2">
      <w:pPr>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①设计方案（含效果图）、初步设计（含概算）；</w:t>
      </w:r>
    </w:p>
    <w:p w14:paraId="2089282F">
      <w:pPr>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②施工图设计（施工图设计范围为本次招标设计范围的所有内容，施工图送审并确保审查合格）；</w:t>
      </w:r>
    </w:p>
    <w:p w14:paraId="75F42FCB">
      <w:pPr>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③调整并优化设计和在工程施工期间指导和解决施工难题；</w:t>
      </w:r>
    </w:p>
    <w:p w14:paraId="1168D420">
      <w:pPr>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④完成招标人提出的与项目相关并确保项目顺利实施的其他要求。</w:t>
      </w:r>
    </w:p>
    <w:p w14:paraId="26C2BC6C">
      <w:pPr>
        <w:pageBreakBefore w:val="0"/>
        <w:kinsoku/>
        <w:wordWrap w:val="0"/>
        <w:overflowPunct/>
        <w:topLinePunct w:val="0"/>
        <w:autoSpaceDE/>
        <w:autoSpaceDN/>
        <w:bidi w:val="0"/>
        <w:adjustRightInd w:val="0"/>
        <w:snapToGrid w:val="0"/>
        <w:spacing w:line="360" w:lineRule="auto"/>
        <w:ind w:right="0" w:rightChars="0"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 xml:space="preserve">1.2.2 </w:t>
      </w:r>
      <w:r>
        <w:rPr>
          <w:rFonts w:hint="eastAsia" w:ascii="宋体" w:hAnsi="宋体" w:eastAsia="宋体" w:cs="宋体"/>
          <w:snapToGrid w:val="0"/>
          <w:color w:val="auto"/>
          <w:kern w:val="0"/>
          <w:sz w:val="24"/>
          <w:szCs w:val="24"/>
          <w:highlight w:val="none"/>
        </w:rPr>
        <w:t>标段划分：本招标项目不划分标段。</w:t>
      </w:r>
    </w:p>
    <w:p w14:paraId="05FB6C9A">
      <w:pPr>
        <w:pageBreakBefore w:val="0"/>
        <w:tabs>
          <w:tab w:val="left" w:pos="7020"/>
        </w:tabs>
        <w:kinsoku/>
        <w:wordWrap w:val="0"/>
        <w:overflowPunct/>
        <w:topLinePunct w:val="0"/>
        <w:autoSpaceDE/>
        <w:autoSpaceDN/>
        <w:bidi w:val="0"/>
        <w:adjustRightInd w:val="0"/>
        <w:snapToGrid w:val="0"/>
        <w:spacing w:line="360" w:lineRule="auto"/>
        <w:ind w:right="0" w:rightChars="0" w:firstLine="482" w:firstLineChars="200"/>
        <w:textAlignment w:val="auto"/>
        <w:rPr>
          <w:rFonts w:hint="eastAsia" w:ascii="宋体" w:hAnsi="宋体" w:eastAsia="宋体" w:cs="宋体"/>
          <w:snapToGrid w:val="0"/>
          <w:color w:val="auto"/>
          <w:kern w:val="0"/>
          <w:sz w:val="24"/>
          <w:highlight w:val="none"/>
        </w:rPr>
      </w:pPr>
      <w:r>
        <w:rPr>
          <w:rFonts w:hint="eastAsia" w:ascii="宋体" w:hAnsi="宋体" w:eastAsia="宋体" w:cs="宋体"/>
          <w:b/>
          <w:snapToGrid w:val="0"/>
          <w:color w:val="auto"/>
          <w:kern w:val="0"/>
          <w:sz w:val="24"/>
          <w:szCs w:val="24"/>
          <w:highlight w:val="none"/>
        </w:rPr>
        <w:t>1.3</w:t>
      </w:r>
      <w:r>
        <w:rPr>
          <w:rFonts w:hint="eastAsia" w:ascii="宋体" w:hAnsi="宋体" w:eastAsia="宋体" w:cs="宋体"/>
          <w:snapToGrid w:val="0"/>
          <w:color w:val="auto"/>
          <w:kern w:val="0"/>
          <w:sz w:val="24"/>
          <w:highlight w:val="none"/>
        </w:rPr>
        <w:t xml:space="preserve"> 投标费用：投标人应承担所有准备和参加投标的相关费用，不论投标结果如何，招标人均无义务和责任承担这些费用。</w:t>
      </w:r>
    </w:p>
    <w:p w14:paraId="31632BE7">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right="0" w:rightChars="0" w:firstLine="482" w:firstLineChars="200"/>
        <w:jc w:val="left"/>
        <w:textAlignment w:val="auto"/>
        <w:outlineLvl w:val="2"/>
        <w:rPr>
          <w:rFonts w:hint="eastAsia" w:ascii="宋体" w:hAnsi="宋体" w:eastAsia="宋体" w:cs="宋体"/>
          <w:b/>
          <w:bCs/>
          <w:color w:val="auto"/>
          <w:kern w:val="0"/>
          <w:sz w:val="24"/>
          <w:szCs w:val="24"/>
          <w:highlight w:val="none"/>
        </w:rPr>
      </w:pPr>
      <w:bookmarkStart w:id="19" w:name="_Toc28649"/>
      <w:bookmarkStart w:id="20" w:name="_Toc14971"/>
      <w:r>
        <w:rPr>
          <w:rFonts w:hint="eastAsia" w:ascii="宋体" w:hAnsi="宋体" w:eastAsia="宋体" w:cs="宋体"/>
          <w:b/>
          <w:bCs/>
          <w:color w:val="auto"/>
          <w:kern w:val="0"/>
          <w:sz w:val="24"/>
          <w:szCs w:val="24"/>
          <w:highlight w:val="none"/>
        </w:rPr>
        <w:t>2．投标人资格要求</w:t>
      </w:r>
      <w:bookmarkEnd w:id="19"/>
      <w:bookmarkEnd w:id="20"/>
      <w:bookmarkStart w:id="21" w:name="_Hlt74496495"/>
      <w:bookmarkEnd w:id="21"/>
    </w:p>
    <w:p w14:paraId="076F2B30">
      <w:pPr>
        <w:pageBreakBefore w:val="0"/>
        <w:kinsoku/>
        <w:overflowPunct/>
        <w:topLinePunct w:val="0"/>
        <w:autoSpaceDE/>
        <w:autoSpaceDN/>
        <w:bidi w:val="0"/>
        <w:spacing w:line="360" w:lineRule="auto"/>
        <w:ind w:right="0" w:rightChars="0" w:firstLine="482"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2.1.</w:t>
      </w:r>
      <w:r>
        <w:rPr>
          <w:rFonts w:hint="eastAsia" w:ascii="宋体" w:hAnsi="宋体" w:eastAsia="宋体" w:cs="宋体"/>
          <w:color w:val="auto"/>
          <w:kern w:val="0"/>
          <w:sz w:val="24"/>
          <w:szCs w:val="24"/>
          <w:highlight w:val="none"/>
        </w:rPr>
        <w:t>本工程</w:t>
      </w:r>
      <w:r>
        <w:rPr>
          <w:rFonts w:hint="eastAsia" w:ascii="宋体" w:hAnsi="宋体" w:eastAsia="宋体" w:cs="宋体"/>
          <w:color w:val="auto"/>
          <w:kern w:val="0"/>
          <w:sz w:val="24"/>
          <w:szCs w:val="24"/>
          <w:highlight w:val="none"/>
          <w:u w:val="single"/>
        </w:rPr>
        <w:t xml:space="preserve"> 接受 </w:t>
      </w:r>
      <w:r>
        <w:rPr>
          <w:rFonts w:hint="eastAsia" w:ascii="宋体" w:hAnsi="宋体" w:eastAsia="宋体" w:cs="宋体"/>
          <w:color w:val="auto"/>
          <w:kern w:val="0"/>
          <w:sz w:val="24"/>
          <w:szCs w:val="24"/>
          <w:highlight w:val="none"/>
        </w:rPr>
        <w:t>联合体投标，联合体以一个投标人的身份共同投标。</w:t>
      </w:r>
    </w:p>
    <w:p w14:paraId="66568D7A">
      <w:pPr>
        <w:pStyle w:val="94"/>
        <w:pageBreakBefore w:val="0"/>
        <w:kinsoku/>
        <w:overflowPunct/>
        <w:topLinePunct w:val="0"/>
        <w:autoSpaceDE/>
        <w:autoSpaceDN/>
        <w:bidi w:val="0"/>
        <w:spacing w:line="360" w:lineRule="auto"/>
        <w:ind w:right="0" w:rightChars="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rPr>
        <w:t>联合体成员数量不超过2个。</w:t>
      </w:r>
    </w:p>
    <w:p w14:paraId="4183F180">
      <w:pPr>
        <w:keepNext w:val="0"/>
        <w:keepLines w:val="0"/>
        <w:pageBreakBefore w:val="0"/>
        <w:widowControl/>
        <w:shd w:val="clear" w:color="auto" w:fill="FFFFFF"/>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highlight w:val="none"/>
          <w:lang w:val="en-US" w:eastAsia="zh-CN"/>
        </w:rPr>
        <w:t>2.1.2</w:t>
      </w:r>
      <w:r>
        <w:rPr>
          <w:rFonts w:hint="eastAsia" w:ascii="宋体" w:hAnsi="宋体" w:eastAsia="宋体" w:cs="宋体"/>
          <w:color w:val="auto"/>
          <w:kern w:val="0"/>
          <w:sz w:val="24"/>
          <w:szCs w:val="24"/>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17FE318D">
      <w:pPr>
        <w:pageBreakBefore w:val="0"/>
        <w:kinsoku/>
        <w:overflowPunct/>
        <w:topLinePunct w:val="0"/>
        <w:autoSpaceDE/>
        <w:autoSpaceDN/>
        <w:bidi w:val="0"/>
        <w:spacing w:line="360" w:lineRule="auto"/>
        <w:ind w:right="0" w:rightChars="0"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1.3</w:t>
      </w:r>
      <w:r>
        <w:rPr>
          <w:rFonts w:hint="eastAsia" w:ascii="宋体" w:hAnsi="宋体" w:eastAsia="宋体" w:cs="宋体"/>
          <w:color w:val="auto"/>
          <w:kern w:val="0"/>
          <w:sz w:val="24"/>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47F2122">
      <w:pPr>
        <w:pageBreakBefore w:val="0"/>
        <w:kinsoku/>
        <w:overflowPunct/>
        <w:topLinePunct w:val="0"/>
        <w:autoSpaceDE/>
        <w:autoSpaceDN/>
        <w:bidi w:val="0"/>
        <w:spacing w:line="360" w:lineRule="auto"/>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highlight w:val="none"/>
          <w:lang w:val="en-US" w:eastAsia="zh-CN"/>
        </w:rPr>
        <w:t>2.1.4</w:t>
      </w:r>
      <w:r>
        <w:rPr>
          <w:rFonts w:hint="eastAsia" w:ascii="宋体" w:hAnsi="宋体" w:eastAsia="宋体" w:cs="宋体"/>
          <w:color w:val="auto"/>
          <w:kern w:val="0"/>
          <w:sz w:val="24"/>
          <w:szCs w:val="24"/>
          <w:highlight w:val="none"/>
        </w:rPr>
        <w:t>联合体各方不得再以自己名义单独或参加其他联合体在本招标项目中投标，否则各相关投标均无效。</w:t>
      </w:r>
    </w:p>
    <w:p w14:paraId="71ABFA68">
      <w:pPr>
        <w:pageBreakBefore w:val="0"/>
        <w:kinsoku/>
        <w:overflowPunct/>
        <w:topLinePunct w:val="0"/>
        <w:autoSpaceDE/>
        <w:autoSpaceDN/>
        <w:bidi w:val="0"/>
        <w:spacing w:line="360" w:lineRule="auto"/>
        <w:ind w:right="0" w:rightChars="0" w:firstLine="482"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2.2.</w:t>
      </w:r>
      <w:r>
        <w:rPr>
          <w:rFonts w:hint="eastAsia" w:ascii="宋体" w:hAnsi="宋体" w:eastAsia="宋体" w:cs="宋体"/>
          <w:color w:val="auto"/>
          <w:kern w:val="0"/>
          <w:sz w:val="24"/>
          <w:szCs w:val="24"/>
          <w:highlight w:val="none"/>
        </w:rPr>
        <w:t>资质要求</w:t>
      </w:r>
    </w:p>
    <w:p w14:paraId="0FFE36C5">
      <w:pPr>
        <w:pStyle w:val="94"/>
        <w:pageBreakBefore w:val="0"/>
        <w:kinsoku/>
        <w:overflowPunct/>
        <w:topLinePunct w:val="0"/>
        <w:autoSpaceDE/>
        <w:autoSpaceDN/>
        <w:bidi w:val="0"/>
        <w:spacing w:line="360" w:lineRule="auto"/>
        <w:ind w:right="0" w:rightChars="0" w:firstLine="482"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b/>
          <w:bCs/>
          <w:color w:val="auto"/>
          <w:kern w:val="0"/>
          <w:sz w:val="24"/>
          <w:szCs w:val="24"/>
          <w:highlight w:val="none"/>
        </w:rPr>
        <w:t>2.2.1</w:t>
      </w:r>
      <w:r>
        <w:rPr>
          <w:rFonts w:hint="eastAsia" w:ascii="宋体" w:hAnsi="宋体" w:eastAsia="宋体" w:cs="宋体"/>
          <w:color w:val="auto"/>
          <w:kern w:val="0"/>
          <w:sz w:val="24"/>
          <w:szCs w:val="24"/>
          <w:highlight w:val="none"/>
          <w:lang w:val="en-US" w:eastAsia="zh-CN"/>
        </w:rPr>
        <w:t>投标人须持有市场监督管理部门（或原工商管理部门）核发的营业执照，按国家法律经营的独立法人。</w:t>
      </w:r>
    </w:p>
    <w:p w14:paraId="0C2E730E">
      <w:pPr>
        <w:pStyle w:val="94"/>
        <w:pageBreakBefore w:val="0"/>
        <w:kinsoku/>
        <w:overflowPunct/>
        <w:topLinePunct w:val="0"/>
        <w:autoSpaceDE/>
        <w:autoSpaceDN/>
        <w:bidi w:val="0"/>
        <w:spacing w:line="360" w:lineRule="auto"/>
        <w:ind w:right="0" w:rightChars="0" w:firstLine="482"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2.2.2</w:t>
      </w:r>
      <w:r>
        <w:rPr>
          <w:rFonts w:hint="eastAsia" w:ascii="宋体" w:hAnsi="宋体" w:eastAsia="宋体" w:cs="宋体"/>
          <w:color w:val="auto"/>
          <w:kern w:val="0"/>
          <w:sz w:val="24"/>
          <w:szCs w:val="24"/>
          <w:highlight w:val="none"/>
          <w:lang w:val="en-US" w:eastAsia="zh-CN" w:bidi="ar-SA"/>
        </w:rPr>
        <w:t>工程勘察、设计单位须持有建设行政主管部门核发的资质证书。</w:t>
      </w:r>
    </w:p>
    <w:p w14:paraId="5771C62F">
      <w:pPr>
        <w:keepNext w:val="0"/>
        <w:keepLines w:val="0"/>
        <w:pageBreakBefore w:val="0"/>
        <w:widowControl/>
        <w:shd w:val="clear" w:color="auto" w:fill="FFFFFF"/>
        <w:kinsoku/>
        <w:wordWrap/>
        <w:overflowPunct/>
        <w:topLinePunct w:val="0"/>
        <w:autoSpaceDE/>
        <w:autoSpaceDN/>
        <w:bidi w:val="0"/>
        <w:adjustRightInd/>
        <w:snapToGrid/>
        <w:spacing w:line="360" w:lineRule="auto"/>
        <w:ind w:right="0" w:rightChars="0" w:firstLine="482"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SA"/>
        </w:rPr>
        <w:t>2.2.3</w:t>
      </w:r>
      <w:r>
        <w:rPr>
          <w:rFonts w:hint="eastAsia" w:ascii="宋体" w:hAnsi="宋体" w:eastAsia="宋体" w:cs="宋体"/>
          <w:color w:val="auto"/>
          <w:kern w:val="0"/>
          <w:sz w:val="24"/>
          <w:szCs w:val="24"/>
          <w:highlight w:val="none"/>
          <w:lang w:val="en-US" w:eastAsia="zh-CN"/>
        </w:rPr>
        <w:t>参加投标的投标人可以是单一独立法人或由不超过两家独立法人组成的联合体（必须注明其中一家为牵头人；联合体成员中勘察、设计企业分别不得超过一家），联合体各方不得再以自己的名义单独申请，也不得同时参加两个或两个以上的联合体进行本项目的投标。单一独立法人必须至少同时具备以下①～②资质，组成联合体投标的，联合后必须至少具备以下①～②资质，联合体牵头人必须具备①资质：</w:t>
      </w:r>
    </w:p>
    <w:p w14:paraId="3DD58DD6">
      <w:pPr>
        <w:keepNext w:val="0"/>
        <w:keepLines w:val="0"/>
        <w:pageBreakBefore w:val="0"/>
        <w:widowControl/>
        <w:shd w:val="clear" w:color="auto" w:fill="FFFFFF"/>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①设计资质必须具备以下资质之一：</w:t>
      </w:r>
    </w:p>
    <w:p w14:paraId="49D42C23">
      <w:pPr>
        <w:keepNext w:val="0"/>
        <w:keepLines w:val="0"/>
        <w:pageBreakBefore w:val="0"/>
        <w:widowControl/>
        <w:shd w:val="clear" w:color="auto" w:fill="FFFFFF"/>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（1）具备工程设计综合甲级资质；</w:t>
      </w:r>
    </w:p>
    <w:p w14:paraId="3C92F572">
      <w:pPr>
        <w:keepNext w:val="0"/>
        <w:keepLines w:val="0"/>
        <w:pageBreakBefore w:val="0"/>
        <w:widowControl/>
        <w:shd w:val="clear" w:color="auto" w:fill="FFFFFF"/>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（2）具备工程设计市政行业乙级以上(含乙级)资质；</w:t>
      </w:r>
    </w:p>
    <w:p w14:paraId="1A923D17">
      <w:pPr>
        <w:keepNext w:val="0"/>
        <w:keepLines w:val="0"/>
        <w:pageBreakBefore w:val="0"/>
        <w:widowControl/>
        <w:shd w:val="clear" w:color="auto" w:fill="FFFFFF"/>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（3）具备工程设计市政行业（燃气工程、轨道交通工程除外）乙级以上(含乙级)资质；</w:t>
      </w:r>
    </w:p>
    <w:p w14:paraId="1B7660FD">
      <w:pPr>
        <w:keepNext w:val="0"/>
        <w:keepLines w:val="0"/>
        <w:pageBreakBefore w:val="0"/>
        <w:widowControl/>
        <w:shd w:val="clear" w:color="auto" w:fill="FFFFFF"/>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（4）市政行业（道路工程）专业设计乙级以上（含乙级）资质。</w:t>
      </w:r>
    </w:p>
    <w:p w14:paraId="4498373A">
      <w:pPr>
        <w:keepNext w:val="0"/>
        <w:keepLines w:val="0"/>
        <w:pageBreakBefore w:val="0"/>
        <w:widowControl/>
        <w:shd w:val="clear" w:color="auto" w:fill="FFFFFF"/>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②勘察资质必须具备建设行政主管部门颁发的以下资质之一：</w:t>
      </w:r>
    </w:p>
    <w:p w14:paraId="646764A6">
      <w:pPr>
        <w:keepNext w:val="0"/>
        <w:keepLines w:val="0"/>
        <w:pageBreakBefore w:val="0"/>
        <w:widowControl/>
        <w:shd w:val="clear" w:color="auto" w:fill="FFFFFF"/>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（1）具备工程勘察综合类甲级资质；</w:t>
      </w:r>
    </w:p>
    <w:p w14:paraId="612E3AAF">
      <w:pPr>
        <w:keepNext w:val="0"/>
        <w:keepLines w:val="0"/>
        <w:pageBreakBefore w:val="0"/>
        <w:widowControl/>
        <w:shd w:val="clear" w:color="auto" w:fill="FFFFFF"/>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（2）具备工程勘察专业（岩土工程）乙级以上（含乙级）资质；</w:t>
      </w:r>
    </w:p>
    <w:p w14:paraId="67184CC3">
      <w:pPr>
        <w:keepNext w:val="0"/>
        <w:keepLines w:val="0"/>
        <w:pageBreakBefore w:val="0"/>
        <w:widowControl/>
        <w:shd w:val="clear" w:color="auto" w:fill="FFFFFF"/>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（3）具备工程勘察专业（岩土工程（岩土工程勘察））乙级以上（含乙级）资质；</w:t>
      </w:r>
    </w:p>
    <w:p w14:paraId="05843DA9">
      <w:pPr>
        <w:keepNext w:val="0"/>
        <w:keepLines w:val="0"/>
        <w:pageBreakBefore w:val="0"/>
        <w:widowControl/>
        <w:shd w:val="clear" w:color="auto" w:fill="FFFFFF"/>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2.4根据有关文件精神，投标人的企业相关证书、人员资质、资格有效期到期的，均按该证书的发证机构相关行业主管部门最新文件执行（如自动顺延或推迟办理延期业务的通知），投标人必须将相关文件附在该证书后面，证明在开标日继续有效的。</w:t>
      </w:r>
    </w:p>
    <w:p w14:paraId="45EB45B1">
      <w:pPr>
        <w:keepNext w:val="0"/>
        <w:keepLines w:val="0"/>
        <w:pageBreakBefore w:val="0"/>
        <w:widowControl/>
        <w:shd w:val="clear" w:color="auto" w:fill="FFFFFF"/>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.3.相关人员要求</w:t>
      </w:r>
    </w:p>
    <w:p w14:paraId="3CB2DDAD">
      <w:pPr>
        <w:pStyle w:val="94"/>
        <w:keepNext w:val="0"/>
        <w:keepLines w:val="0"/>
        <w:pageBreakBefore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highlight w:val="none"/>
        </w:rPr>
        <w:t>3.1</w:t>
      </w:r>
      <w:r>
        <w:rPr>
          <w:rFonts w:hint="eastAsia" w:ascii="宋体" w:hAnsi="宋体" w:eastAsia="宋体" w:cs="宋体"/>
          <w:color w:val="auto"/>
          <w:kern w:val="0"/>
          <w:sz w:val="24"/>
          <w:szCs w:val="24"/>
          <w:highlight w:val="none"/>
        </w:rPr>
        <w:t>拟委派担任本招标项目的项目负责人（即设计负责人）须</w:t>
      </w:r>
      <w:r>
        <w:rPr>
          <w:rFonts w:hint="eastAsia" w:ascii="宋体" w:hAnsi="宋体" w:eastAsia="宋体" w:cs="宋体"/>
          <w:color w:val="auto"/>
          <w:kern w:val="0"/>
          <w:sz w:val="24"/>
          <w:szCs w:val="24"/>
          <w:highlight w:val="none"/>
          <w:lang w:eastAsia="zh-CN"/>
        </w:rPr>
        <w:t>为</w:t>
      </w:r>
      <w:r>
        <w:rPr>
          <w:rFonts w:hint="eastAsia" w:ascii="宋体" w:hAnsi="宋体" w:cs="宋体"/>
          <w:color w:val="auto"/>
          <w:kern w:val="0"/>
          <w:sz w:val="24"/>
          <w:highlight w:val="none"/>
        </w:rPr>
        <w:t>注册土木工程师（道路工程）</w:t>
      </w:r>
      <w:r>
        <w:rPr>
          <w:rFonts w:hint="eastAsia" w:ascii="宋体" w:hAnsi="宋体" w:eastAsia="宋体" w:cs="宋体"/>
          <w:color w:val="auto"/>
          <w:kern w:val="0"/>
          <w:sz w:val="24"/>
          <w:szCs w:val="24"/>
          <w:highlight w:val="none"/>
        </w:rPr>
        <w:t>。</w:t>
      </w:r>
    </w:p>
    <w:p w14:paraId="14213F55">
      <w:pPr>
        <w:pStyle w:val="94"/>
        <w:keepNext w:val="0"/>
        <w:keepLines w:val="0"/>
        <w:pageBreakBefore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3.2拟委派担任本招标项目的勘察负责人须</w:t>
      </w:r>
      <w:r>
        <w:rPr>
          <w:rFonts w:hint="eastAsia" w:ascii="宋体" w:hAnsi="宋体" w:eastAsia="宋体" w:cs="宋体"/>
          <w:color w:val="auto"/>
          <w:kern w:val="0"/>
          <w:sz w:val="24"/>
          <w:szCs w:val="24"/>
          <w:highlight w:val="none"/>
          <w:lang w:eastAsia="zh-CN"/>
        </w:rPr>
        <w:t>为</w:t>
      </w:r>
      <w:r>
        <w:rPr>
          <w:rFonts w:hint="eastAsia" w:ascii="宋体" w:hAnsi="宋体" w:eastAsia="宋体" w:cs="宋体"/>
          <w:color w:val="auto"/>
          <w:kern w:val="0"/>
          <w:sz w:val="24"/>
          <w:szCs w:val="24"/>
          <w:highlight w:val="none"/>
        </w:rPr>
        <w:t>注册土木工程师（岩土）注册执业证书。</w:t>
      </w:r>
    </w:p>
    <w:p w14:paraId="49989823">
      <w:pPr>
        <w:pageBreakBefore w:val="0"/>
        <w:widowControl/>
        <w:shd w:val="clear" w:color="auto" w:fill="FFFFFF"/>
        <w:kinsoku/>
        <w:overflowPunct/>
        <w:topLinePunct w:val="0"/>
        <w:autoSpaceDE/>
        <w:autoSpaceDN/>
        <w:bidi w:val="0"/>
        <w:adjustRightInd w:val="0"/>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3.3投标人（包括组成联合体的所有成员单位）与其拟派往本项目所有人员之间必须具备合法、唯一的劳动聘用关系。拟派人员中具备注册执业资格的，其注册单位须与投标人保持一致。</w:t>
      </w:r>
    </w:p>
    <w:p w14:paraId="5B1E4C64">
      <w:pPr>
        <w:keepNext w:val="0"/>
        <w:keepLines w:val="0"/>
        <w:pageBreakBefore w:val="0"/>
        <w:widowControl/>
        <w:shd w:val="clear" w:color="auto" w:fill="FFFFFF"/>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注：若投标人拟投入本工程团队人员的社保由上级事业单位统一缴纳的，必须提供上级事业单位出具的投标人在编人员社保在上级事业单位缴纳的证明文件及该人员在上级事业单位缴纳的社保证明</w:t>
      </w:r>
      <w:r>
        <w:rPr>
          <w:rFonts w:hint="eastAsia" w:ascii="宋体" w:hAnsi="宋体" w:eastAsia="宋体" w:cs="宋体"/>
          <w:color w:val="auto"/>
          <w:kern w:val="0"/>
          <w:sz w:val="24"/>
          <w:szCs w:val="24"/>
          <w:highlight w:val="none"/>
        </w:rPr>
        <w:t>。</w:t>
      </w:r>
    </w:p>
    <w:p w14:paraId="619CB7B9">
      <w:pPr>
        <w:pStyle w:val="94"/>
        <w:pageBreakBefore w:val="0"/>
        <w:widowControl/>
        <w:kinsoku/>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2.4 禁止投标条款</w:t>
      </w:r>
    </w:p>
    <w:p w14:paraId="4D511EEC">
      <w:pPr>
        <w:pStyle w:val="94"/>
        <w:pageBreakBefore w:val="0"/>
        <w:widowControl/>
        <w:kinsoku/>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b w:val="0"/>
          <w:bCs w:val="0"/>
          <w:color w:val="auto"/>
          <w:kern w:val="0"/>
          <w:sz w:val="24"/>
          <w:highlight w:val="none"/>
        </w:rPr>
        <w:t xml:space="preserve">2.4.1 </w:t>
      </w:r>
      <w:r>
        <w:rPr>
          <w:rFonts w:hint="eastAsia" w:ascii="宋体" w:hAnsi="宋体" w:eastAsia="宋体" w:cs="宋体"/>
          <w:color w:val="auto"/>
          <w:kern w:val="0"/>
          <w:sz w:val="24"/>
          <w:highlight w:val="none"/>
        </w:rPr>
        <w:t>投标人不得存在下列情形之一：</w:t>
      </w:r>
    </w:p>
    <w:p w14:paraId="581A1205">
      <w:pPr>
        <w:pStyle w:val="94"/>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（1）为招标人不具有独立法人资格的附属机构（单位）；</w:t>
      </w:r>
    </w:p>
    <w:p w14:paraId="226B5DDC">
      <w:pPr>
        <w:pStyle w:val="94"/>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（2）与招标人存在利害关系且可能影响招标公正性；</w:t>
      </w:r>
    </w:p>
    <w:p w14:paraId="351D7F54">
      <w:pPr>
        <w:pStyle w:val="94"/>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（3）与本招标项目的其他投标人为同一个单位负责人；</w:t>
      </w:r>
    </w:p>
    <w:p w14:paraId="7A660ADD">
      <w:pPr>
        <w:pStyle w:val="94"/>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（4）与本招标项目的其他投标人存在控股、管理关系；</w:t>
      </w:r>
    </w:p>
    <w:p w14:paraId="4D3B03AD">
      <w:pPr>
        <w:pStyle w:val="94"/>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（5）为本招标项目的代建人；</w:t>
      </w:r>
    </w:p>
    <w:p w14:paraId="59C78FC3">
      <w:pPr>
        <w:pStyle w:val="94"/>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（6）为本招标项目的招标代理机构；</w:t>
      </w:r>
    </w:p>
    <w:p w14:paraId="1F1CC80D">
      <w:pPr>
        <w:pStyle w:val="94"/>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（7）与本招标项目的代建人或招标代理机构同为一个法定代表人；</w:t>
      </w:r>
    </w:p>
    <w:p w14:paraId="2D42FD32">
      <w:pPr>
        <w:pStyle w:val="94"/>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（8）与本招标项目的代建人或招标代理机构存在控股或参股关系；</w:t>
      </w:r>
    </w:p>
    <w:p w14:paraId="627F3EC4">
      <w:pPr>
        <w:pStyle w:val="94"/>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（9）与本招标项目的代建人或招标代理机构存在相互任职或工作关系；</w:t>
      </w:r>
    </w:p>
    <w:p w14:paraId="42618AAB">
      <w:pPr>
        <w:pStyle w:val="94"/>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（10）被依法暂停或者取消投标资格；</w:t>
      </w:r>
    </w:p>
    <w:p w14:paraId="4AD2F013">
      <w:pPr>
        <w:pStyle w:val="94"/>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（11）被责令停产停业、暂扣或者吊销许可证、暂扣或者吊销执照；</w:t>
      </w:r>
    </w:p>
    <w:p w14:paraId="7F1EC6FA">
      <w:pPr>
        <w:pStyle w:val="94"/>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（12）进入清算程序，或被宣告破产，或其他丧失履约能力的情形；</w:t>
      </w:r>
    </w:p>
    <w:p w14:paraId="59908370">
      <w:pPr>
        <w:pStyle w:val="94"/>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（13）在最近三年内发生重大工程质量或安全问题（以相关行业主管部门的行政处罚决定或司法机关出具的有关法律文书为准）；</w:t>
      </w:r>
    </w:p>
    <w:p w14:paraId="0C126CDC">
      <w:pPr>
        <w:pStyle w:val="94"/>
        <w:pageBreakBefore w:val="0"/>
        <w:kinsoku/>
        <w:wordWrap w:val="0"/>
        <w:overflowPunct/>
        <w:topLinePunct w:val="0"/>
        <w:autoSpaceDE/>
        <w:autoSpaceDN/>
        <w:bidi w:val="0"/>
        <w:adjustRightInd w:val="0"/>
        <w:snapToGrid w:val="0"/>
        <w:spacing w:line="360" w:lineRule="auto"/>
        <w:ind w:right="0" w:rightChars="0"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（14）被“信用中国”网站（https://www.creditchina.gov.cn）发布的《法人和非法人组织公共信用信息报告》列为严重失信主体名单的。</w:t>
      </w:r>
    </w:p>
    <w:p w14:paraId="74F973AB">
      <w:pPr>
        <w:pStyle w:val="94"/>
        <w:pageBreakBefore w:val="0"/>
        <w:widowControl/>
        <w:kinsoku/>
        <w:overflowPunct/>
        <w:topLinePunct w:val="0"/>
        <w:autoSpaceDE/>
        <w:autoSpaceDN/>
        <w:bidi w:val="0"/>
        <w:adjustRightInd w:val="0"/>
        <w:snapToGrid w:val="0"/>
        <w:spacing w:line="360" w:lineRule="auto"/>
        <w:ind w:right="0" w:rightChars="0" w:firstLine="482"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2.4.2</w:t>
      </w:r>
      <w:r>
        <w:rPr>
          <w:rFonts w:hint="eastAsia" w:ascii="宋体" w:hAnsi="宋体" w:eastAsia="宋体" w:cs="宋体"/>
          <w:color w:val="auto"/>
          <w:kern w:val="0"/>
          <w:sz w:val="24"/>
          <w:highlight w:val="none"/>
        </w:rPr>
        <w:t>招标人拒绝以下名单中的单位参加本次投标：</w:t>
      </w:r>
    </w:p>
    <w:tbl>
      <w:tblPr>
        <w:tblStyle w:val="33"/>
        <w:tblW w:w="9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21"/>
        <w:gridCol w:w="4003"/>
        <w:gridCol w:w="5034"/>
      </w:tblGrid>
      <w:tr w14:paraId="6266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trPr>
        <w:tc>
          <w:tcPr>
            <w:tcW w:w="821" w:type="dxa"/>
            <w:noWrap w:val="0"/>
            <w:tcMar>
              <w:top w:w="0" w:type="dxa"/>
              <w:left w:w="105" w:type="dxa"/>
              <w:bottom w:w="0" w:type="dxa"/>
              <w:right w:w="105" w:type="dxa"/>
            </w:tcMar>
            <w:vAlign w:val="center"/>
          </w:tcPr>
          <w:p w14:paraId="44A576EA">
            <w:pPr>
              <w:pStyle w:val="29"/>
              <w:spacing w:before="75" w:beforeAutospacing="0" w:after="75" w:afterAutospacing="0"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4003" w:type="dxa"/>
            <w:noWrap w:val="0"/>
            <w:tcMar>
              <w:top w:w="0" w:type="dxa"/>
              <w:left w:w="105" w:type="dxa"/>
              <w:bottom w:w="0" w:type="dxa"/>
              <w:right w:w="105" w:type="dxa"/>
            </w:tcMar>
            <w:vAlign w:val="center"/>
          </w:tcPr>
          <w:p w14:paraId="3B2BF8F2">
            <w:pPr>
              <w:pStyle w:val="29"/>
              <w:spacing w:before="75" w:beforeAutospacing="0" w:after="75" w:afterAutospacing="0"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p>
        </w:tc>
        <w:tc>
          <w:tcPr>
            <w:tcW w:w="5034" w:type="dxa"/>
            <w:noWrap w:val="0"/>
            <w:tcMar>
              <w:top w:w="0" w:type="dxa"/>
              <w:left w:w="105" w:type="dxa"/>
              <w:bottom w:w="0" w:type="dxa"/>
              <w:right w:w="105" w:type="dxa"/>
            </w:tcMar>
            <w:vAlign w:val="center"/>
          </w:tcPr>
          <w:p w14:paraId="1D71626B">
            <w:pPr>
              <w:pStyle w:val="29"/>
              <w:spacing w:before="75" w:beforeAutospacing="0" w:after="75" w:afterAutospacing="0"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拒绝原因</w:t>
            </w:r>
          </w:p>
        </w:tc>
      </w:tr>
      <w:tr w14:paraId="17E4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trPr>
        <w:tc>
          <w:tcPr>
            <w:tcW w:w="821" w:type="dxa"/>
            <w:noWrap w:val="0"/>
            <w:tcMar>
              <w:top w:w="0" w:type="dxa"/>
              <w:left w:w="105" w:type="dxa"/>
              <w:bottom w:w="0" w:type="dxa"/>
              <w:right w:w="105" w:type="dxa"/>
            </w:tcMar>
            <w:vAlign w:val="center"/>
          </w:tcPr>
          <w:p w14:paraId="0E994B39">
            <w:pPr>
              <w:pStyle w:val="29"/>
              <w:spacing w:before="75" w:beforeAutospacing="0" w:after="75" w:afterAutospacing="0"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4003" w:type="dxa"/>
            <w:noWrap w:val="0"/>
            <w:tcMar>
              <w:top w:w="0" w:type="dxa"/>
              <w:left w:w="105" w:type="dxa"/>
              <w:bottom w:w="0" w:type="dxa"/>
              <w:right w:w="105" w:type="dxa"/>
            </w:tcMar>
            <w:vAlign w:val="center"/>
          </w:tcPr>
          <w:p w14:paraId="6FF76DD2">
            <w:pPr>
              <w:pStyle w:val="94"/>
              <w:wordWrap w:val="0"/>
              <w:adjustRightInd w:val="0"/>
              <w:snapToGrid w:val="0"/>
              <w:jc w:val="center"/>
              <w:rPr>
                <w:rFonts w:hint="eastAsia" w:ascii="宋体" w:hAnsi="宋体" w:eastAsia="宋体" w:cs="宋体"/>
                <w:color w:val="auto"/>
                <w:sz w:val="24"/>
                <w:highlight w:val="none"/>
                <w:lang w:eastAsia="zh-CN"/>
              </w:rPr>
            </w:pPr>
            <w:r>
              <w:rPr>
                <w:rFonts w:hint="eastAsia" w:ascii="宋体" w:hAnsi="宋体" w:eastAsia="宋体" w:cs="宋体"/>
                <w:snapToGrid w:val="0"/>
                <w:color w:val="auto"/>
                <w:kern w:val="0"/>
                <w:sz w:val="24"/>
                <w:highlight w:val="none"/>
                <w:lang w:eastAsia="zh-CN"/>
              </w:rPr>
              <w:t>韶关市浈江区鸿通投资有限公司</w:t>
            </w:r>
          </w:p>
        </w:tc>
        <w:tc>
          <w:tcPr>
            <w:tcW w:w="5034" w:type="dxa"/>
            <w:noWrap w:val="0"/>
            <w:tcMar>
              <w:top w:w="0" w:type="dxa"/>
              <w:left w:w="105" w:type="dxa"/>
              <w:bottom w:w="0" w:type="dxa"/>
              <w:right w:w="105" w:type="dxa"/>
            </w:tcMar>
            <w:vAlign w:val="center"/>
          </w:tcPr>
          <w:p w14:paraId="6FB3CB3D">
            <w:pPr>
              <w:pStyle w:val="94"/>
              <w:wordWrap w:val="0"/>
              <w:adjustRightInd w:val="0"/>
              <w:snapToGrid w:val="0"/>
              <w:jc w:val="center"/>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为本招标项目的招标人</w:t>
            </w:r>
          </w:p>
        </w:tc>
      </w:tr>
      <w:tr w14:paraId="5882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trPr>
        <w:tc>
          <w:tcPr>
            <w:tcW w:w="821" w:type="dxa"/>
            <w:noWrap w:val="0"/>
            <w:tcMar>
              <w:top w:w="0" w:type="dxa"/>
              <w:left w:w="105" w:type="dxa"/>
              <w:bottom w:w="0" w:type="dxa"/>
              <w:right w:w="105" w:type="dxa"/>
            </w:tcMar>
            <w:vAlign w:val="center"/>
          </w:tcPr>
          <w:p w14:paraId="1171E06D">
            <w:pPr>
              <w:pStyle w:val="29"/>
              <w:spacing w:before="75" w:beforeAutospacing="0" w:after="75" w:afterAutospacing="0"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4003" w:type="dxa"/>
            <w:noWrap w:val="0"/>
            <w:tcMar>
              <w:top w:w="0" w:type="dxa"/>
              <w:left w:w="105" w:type="dxa"/>
              <w:bottom w:w="0" w:type="dxa"/>
              <w:right w:w="105" w:type="dxa"/>
            </w:tcMar>
            <w:vAlign w:val="center"/>
          </w:tcPr>
          <w:p w14:paraId="3A6A138B">
            <w:pPr>
              <w:pStyle w:val="94"/>
              <w:wordWrap w:val="0"/>
              <w:adjustRightInd w:val="0"/>
              <w:snapToGrid w:val="0"/>
              <w:jc w:val="center"/>
              <w:rPr>
                <w:rFonts w:hint="eastAsia" w:ascii="宋体" w:hAnsi="宋体" w:eastAsia="宋体" w:cs="宋体"/>
                <w:color w:val="auto"/>
                <w:sz w:val="24"/>
                <w:highlight w:val="none"/>
                <w:lang w:eastAsia="zh-CN"/>
              </w:rPr>
            </w:pPr>
            <w:r>
              <w:rPr>
                <w:rFonts w:hint="eastAsia" w:ascii="宋体" w:hAnsi="宋体" w:eastAsia="宋体" w:cs="宋体"/>
                <w:snapToGrid w:val="0"/>
                <w:color w:val="auto"/>
                <w:kern w:val="0"/>
                <w:sz w:val="24"/>
                <w:highlight w:val="none"/>
                <w:lang w:eastAsia="zh-CN"/>
              </w:rPr>
              <w:t>广东合正项目管理有限公司</w:t>
            </w:r>
          </w:p>
        </w:tc>
        <w:tc>
          <w:tcPr>
            <w:tcW w:w="5034" w:type="dxa"/>
            <w:noWrap w:val="0"/>
            <w:tcMar>
              <w:top w:w="0" w:type="dxa"/>
              <w:left w:w="105" w:type="dxa"/>
              <w:bottom w:w="0" w:type="dxa"/>
              <w:right w:w="105" w:type="dxa"/>
            </w:tcMar>
            <w:vAlign w:val="center"/>
          </w:tcPr>
          <w:p w14:paraId="7DACF006">
            <w:pPr>
              <w:pStyle w:val="94"/>
              <w:wordWrap w:val="0"/>
              <w:adjustRightInd w:val="0"/>
              <w:snapToGrid w:val="0"/>
              <w:jc w:val="center"/>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为本招标项目的招标代理机构</w:t>
            </w:r>
          </w:p>
        </w:tc>
      </w:tr>
    </w:tbl>
    <w:p w14:paraId="35656F42">
      <w:pPr>
        <w:pStyle w:val="94"/>
        <w:pageBreakBefore w:val="0"/>
        <w:widowControl/>
        <w:kinsoku/>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rPr>
        <w:t xml:space="preserve">2.5 </w:t>
      </w:r>
      <w:r>
        <w:rPr>
          <w:rFonts w:hint="eastAsia" w:ascii="宋体" w:hAnsi="宋体" w:eastAsia="宋体" w:cs="宋体"/>
          <w:color w:val="auto"/>
          <w:kern w:val="0"/>
          <w:sz w:val="24"/>
          <w:highlight w:val="none"/>
        </w:rPr>
        <w:t>其他要求</w:t>
      </w:r>
      <w:bookmarkStart w:id="22" w:name="_Toc28562"/>
    </w:p>
    <w:p w14:paraId="4983CA5F">
      <w:pPr>
        <w:pStyle w:val="94"/>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snapToGrid w:val="0"/>
          <w:color w:val="auto"/>
          <w:kern w:val="0"/>
          <w:sz w:val="24"/>
          <w:highlight w:val="none"/>
        </w:rPr>
      </w:pPr>
      <w:r>
        <w:rPr>
          <w:rFonts w:hint="eastAsia" w:ascii="宋体" w:hAnsi="宋体" w:eastAsia="宋体" w:cs="宋体"/>
          <w:snapToGrid w:val="0"/>
          <w:color w:val="auto"/>
          <w:kern w:val="0"/>
          <w:sz w:val="24"/>
          <w:highlight w:val="none"/>
        </w:rPr>
        <w:t>省外企业</w:t>
      </w:r>
      <w:r>
        <w:rPr>
          <w:rFonts w:hint="eastAsia" w:ascii="宋体" w:hAnsi="宋体" w:eastAsia="宋体" w:cs="宋体"/>
          <w:color w:val="auto"/>
          <w:kern w:val="0"/>
          <w:sz w:val="24"/>
          <w:highlight w:val="none"/>
        </w:rPr>
        <w:t>（包括组成联合体的所有成员单位）</w:t>
      </w:r>
      <w:r>
        <w:rPr>
          <w:rFonts w:hint="eastAsia" w:ascii="宋体" w:hAnsi="宋体" w:eastAsia="宋体" w:cs="宋体"/>
          <w:snapToGrid w:val="0"/>
          <w:color w:val="auto"/>
          <w:kern w:val="0"/>
          <w:sz w:val="24"/>
          <w:highlight w:val="none"/>
        </w:rPr>
        <w:t>须按照《广东省住房和城乡建设厅关于取消省外建筑企业和人员进粤信息备案有关工作的通知》（粤建市﹝2015﹞52号）规定在“进粤企业和人员诚信信息登记平台”录入相关信息并通过数据规范检查，且主要配备人员（指拟委派项目部的所有人员）为“进粤企业和人员诚信信息登记平台”中人员。</w:t>
      </w:r>
      <w:bookmarkEnd w:id="22"/>
    </w:p>
    <w:p w14:paraId="4E1CD8B1">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left"/>
        <w:textAlignment w:val="auto"/>
        <w:outlineLvl w:val="2"/>
        <w:rPr>
          <w:rFonts w:hint="eastAsia" w:ascii="宋体" w:hAnsi="宋体" w:eastAsia="宋体" w:cs="宋体"/>
          <w:b/>
          <w:bCs/>
          <w:color w:val="auto"/>
          <w:kern w:val="0"/>
          <w:sz w:val="24"/>
          <w:szCs w:val="24"/>
          <w:highlight w:val="none"/>
        </w:rPr>
      </w:pPr>
      <w:bookmarkStart w:id="23" w:name="_Toc16915"/>
      <w:bookmarkStart w:id="24" w:name="_Toc8869"/>
    </w:p>
    <w:p w14:paraId="1A759442">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left"/>
        <w:textAlignment w:val="auto"/>
        <w:outlineLvl w:val="2"/>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3．招标文件获取</w:t>
      </w:r>
      <w:bookmarkEnd w:id="23"/>
      <w:bookmarkEnd w:id="24"/>
    </w:p>
    <w:p w14:paraId="71095B04">
      <w:pPr>
        <w:pageBreakBefore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 本次招标实行网上获取招标文件和电子投标。本项目招标文件随招标公告一并在全国公共资源交易平台（广东省·韶关市）（https://ygp.gdzwfw.gov.cn/ggzy-portal/#/440200/index）网站发布。招标文件一经在全国公共资源交易平台（广东省·韶关市）发布，视为发售投标人，招标文件及相关附件由投标人自行在全国公共资源交易平台（广东省·韶关市）网站下载。请于招标文件获取期间,（见本章第二节“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见本章第二节“重要事项时间地点一览表”）前完成电子投标。投标人可登录全国公共资源交易平台（广东省·韶关市）（https://ygp.gdzwfw.gov.cn/ggzy-portal/#/440200/index），在【服务指南】栏目中下载《韶关市公共资源建设工程交易系统-投标人操作指南》，了解网上获取招标文件操作流程。技术咨询电话：18819797080/0751-8379671 伍先生，业务咨询电话：0751-8633211。</w:t>
      </w:r>
    </w:p>
    <w:p w14:paraId="68E3C58B">
      <w:pPr>
        <w:pageBreakBefore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 只有申领了数字证书（CA）、“粤企签”或GDCA/SZCA/NETCA等符合法律法规规定的电子印章，并在交易系统中完成企业信息数据入库的投标人，方可使用建设工程交易系统进行招标文件及附件获取和电子投标。首次在韶关市参与建设工程招标投标活动的投标人，必须在平台系统上传企业相关资料办理企业入库事宜和持企业相关资料到韶关市公共资源交易中心办事大厅办理数字证书（CA）。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10873733">
      <w:pPr>
        <w:pageBreakBefore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427D072A">
      <w:pPr>
        <w:pageBreakBefore w:val="0"/>
        <w:tabs>
          <w:tab w:val="left" w:pos="7020"/>
        </w:tabs>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投标保证</w:t>
      </w:r>
    </w:p>
    <w:p w14:paraId="469D7B31">
      <w:pPr>
        <w:pageBreakBefore w:val="0"/>
        <w:tabs>
          <w:tab w:val="left" w:pos="7020"/>
        </w:tabs>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bookmarkStart w:id="25" w:name="_Toc9252"/>
      <w:r>
        <w:rPr>
          <w:rFonts w:hint="eastAsia" w:ascii="宋体" w:hAnsi="宋体" w:eastAsia="宋体" w:cs="宋体"/>
          <w:b/>
          <w:bCs/>
          <w:color w:val="auto"/>
          <w:kern w:val="0"/>
          <w:sz w:val="24"/>
          <w:szCs w:val="24"/>
          <w:highlight w:val="none"/>
        </w:rPr>
        <w:t>3.3.1</w:t>
      </w:r>
      <w:r>
        <w:rPr>
          <w:rFonts w:hint="eastAsia" w:ascii="宋体" w:hAnsi="宋体" w:eastAsia="宋体" w:cs="宋体"/>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投标人须缴纳金额为人民币</w:t>
      </w:r>
      <w:r>
        <w:rPr>
          <w:rFonts w:hint="eastAsia" w:ascii="宋体" w:hAnsi="宋体" w:eastAsia="宋体" w:cs="宋体"/>
          <w:snapToGrid w:val="0"/>
          <w:color w:val="auto"/>
          <w:kern w:val="0"/>
          <w:sz w:val="24"/>
          <w:szCs w:val="24"/>
          <w:highlight w:val="none"/>
          <w:u w:val="single"/>
          <w:lang w:val="en-US" w:eastAsia="zh-CN"/>
        </w:rPr>
        <w:t>壹拾万元整（¥100,000.00元）</w:t>
      </w:r>
      <w:r>
        <w:rPr>
          <w:rFonts w:hint="eastAsia" w:ascii="宋体" w:hAnsi="宋体" w:eastAsia="宋体" w:cs="宋体"/>
          <w:snapToGrid w:val="0"/>
          <w:color w:val="auto"/>
          <w:kern w:val="0"/>
          <w:sz w:val="24"/>
          <w:szCs w:val="24"/>
          <w:highlight w:val="none"/>
        </w:rPr>
        <w:t>的投标保证。</w:t>
      </w:r>
      <w:r>
        <w:rPr>
          <w:rFonts w:hint="eastAsia" w:ascii="宋体" w:hAnsi="宋体" w:eastAsia="宋体" w:cs="宋体"/>
          <w:color w:val="auto"/>
          <w:sz w:val="24"/>
          <w:szCs w:val="24"/>
          <w:highlight w:val="none"/>
          <w:lang w:eastAsia="zh-CN"/>
        </w:rPr>
        <w:t>（组成联合体时</w:t>
      </w:r>
      <w:r>
        <w:rPr>
          <w:rFonts w:hint="eastAsia" w:ascii="宋体" w:hAnsi="宋体" w:eastAsia="宋体" w:cs="宋体"/>
          <w:color w:val="auto"/>
          <w:sz w:val="24"/>
          <w:szCs w:val="24"/>
          <w:highlight w:val="none"/>
        </w:rPr>
        <w:t>，由联合体牵头人提交</w:t>
      </w:r>
      <w:r>
        <w:rPr>
          <w:rFonts w:hint="eastAsia" w:ascii="宋体" w:hAnsi="宋体" w:eastAsia="宋体" w:cs="宋体"/>
          <w:color w:val="auto"/>
          <w:sz w:val="24"/>
          <w:szCs w:val="24"/>
          <w:highlight w:val="none"/>
          <w:lang w:eastAsia="zh-CN"/>
        </w:rPr>
        <w:t>）</w:t>
      </w:r>
    </w:p>
    <w:p w14:paraId="69C33A73">
      <w:pPr>
        <w:pageBreakBefore w:val="0"/>
        <w:tabs>
          <w:tab w:val="left" w:pos="7020"/>
        </w:tabs>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kern w:val="0"/>
          <w:sz w:val="24"/>
          <w:szCs w:val="24"/>
          <w:highlight w:val="none"/>
        </w:rPr>
        <w:t>3.3.2</w:t>
      </w:r>
      <w:r>
        <w:rPr>
          <w:rFonts w:hint="eastAsia" w:ascii="宋体" w:hAnsi="宋体" w:eastAsia="宋体" w:cs="宋体"/>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投标保证的形式包括投标保证金、投标保证担保、投标保证保险三种，由投标人自主选择。</w:t>
      </w:r>
    </w:p>
    <w:p w14:paraId="188D54CF">
      <w:pPr>
        <w:pStyle w:val="12"/>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 xml:space="preserve">(1)采用投标保证金的，投标人在建设工程交易系统获取招标文件完毕后，即可在系统申请缴纳投标保证金，获取本次招标投标保证金缴纳账号。投标人须于投标保证金到账截止时间(详见本章第二节“重要事项时间地点一览表”)前，从其基本账户将投标保证金转账到指定的缴纳账号。逾期到账的、从非投标人基本账户转出的，其投标无效。 </w:t>
      </w:r>
    </w:p>
    <w:p w14:paraId="553106AC">
      <w:pPr>
        <w:pStyle w:val="12"/>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 xml:space="preserve">(2)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 </w:t>
      </w:r>
    </w:p>
    <w:p w14:paraId="577E3ADB">
      <w:pPr>
        <w:pageBreakBefore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建设工程网上交易系统保险保证金缴纳操作指南》，了解网上投保具体操作流程。逾期投保的，其投标无效。</w:t>
      </w:r>
    </w:p>
    <w:p w14:paraId="46A28C8F">
      <w:pPr>
        <w:pageBreakBefore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温馨提醒：投标人采用投标保证担保或投标保证保险的，为避免在评标过程中因有效期发生争议，建议投标人将银行保函</w:t>
      </w:r>
      <w:r>
        <w:rPr>
          <w:rFonts w:hint="eastAsia" w:ascii="宋体" w:hAnsi="宋体" w:eastAsia="宋体" w:cs="宋体"/>
          <w:color w:val="auto"/>
          <w:kern w:val="0"/>
          <w:sz w:val="24"/>
          <w:szCs w:val="24"/>
          <w:highlight w:val="none"/>
        </w:rPr>
        <w:t>或电子保函</w:t>
      </w:r>
      <w:r>
        <w:rPr>
          <w:rFonts w:hint="eastAsia" w:ascii="宋体" w:hAnsi="宋体" w:eastAsia="宋体" w:cs="宋体"/>
          <w:snapToGrid w:val="0"/>
          <w:color w:val="auto"/>
          <w:kern w:val="0"/>
          <w:sz w:val="24"/>
          <w:szCs w:val="24"/>
          <w:highlight w:val="none"/>
        </w:rPr>
        <w:t>或电子保单有效期设置为较招标文件规定的投标有效期延长不少于20个日历天。</w:t>
      </w:r>
    </w:p>
    <w:p w14:paraId="779E0CB6">
      <w:pPr>
        <w:pageBreakBefore w:val="0"/>
        <w:tabs>
          <w:tab w:val="left" w:pos="7020"/>
        </w:tabs>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
          <w:bCs/>
          <w:color w:val="auto"/>
          <w:kern w:val="0"/>
          <w:sz w:val="24"/>
          <w:szCs w:val="24"/>
          <w:highlight w:val="none"/>
        </w:rPr>
        <w:t>3.4</w:t>
      </w:r>
      <w:r>
        <w:rPr>
          <w:rFonts w:hint="eastAsia" w:ascii="宋体" w:hAnsi="宋体" w:eastAsia="宋体" w:cs="宋体"/>
          <w:color w:val="auto"/>
          <w:kern w:val="0"/>
          <w:sz w:val="24"/>
          <w:szCs w:val="24"/>
          <w:highlight w:val="none"/>
        </w:rPr>
        <w:t xml:space="preserve"> </w:t>
      </w:r>
      <w:r>
        <w:rPr>
          <w:rFonts w:hint="eastAsia" w:ascii="宋体" w:hAnsi="宋体" w:eastAsia="宋体" w:cs="宋体"/>
          <w:snapToGrid w:val="0"/>
          <w:color w:val="auto"/>
          <w:sz w:val="24"/>
          <w:szCs w:val="24"/>
          <w:highlight w:val="none"/>
        </w:rPr>
        <w:t>若投标人因自身原因未能正确完成网上获取招标文件、电子投标、缴纳投标保证的，其投标无效。</w:t>
      </w:r>
    </w:p>
    <w:p w14:paraId="32C6479F">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left"/>
        <w:textAlignment w:val="auto"/>
        <w:outlineLvl w:val="2"/>
        <w:rPr>
          <w:rFonts w:hint="eastAsia" w:ascii="宋体" w:hAnsi="宋体" w:eastAsia="宋体" w:cs="宋体"/>
          <w:b/>
          <w:bCs/>
          <w:color w:val="auto"/>
          <w:kern w:val="0"/>
          <w:sz w:val="24"/>
          <w:szCs w:val="24"/>
          <w:highlight w:val="none"/>
        </w:rPr>
      </w:pPr>
      <w:bookmarkStart w:id="26" w:name="_Toc1576"/>
    </w:p>
    <w:p w14:paraId="67CE10FB">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left"/>
        <w:textAlignment w:val="auto"/>
        <w:outlineLvl w:val="2"/>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4．工期要求</w:t>
      </w:r>
      <w:bookmarkEnd w:id="25"/>
      <w:bookmarkEnd w:id="26"/>
    </w:p>
    <w:p w14:paraId="3BF6173E">
      <w:pPr>
        <w:pageBreakBefore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lang w:val="en-US" w:eastAsia="zh-CN"/>
        </w:rPr>
      </w:pPr>
      <w:bookmarkStart w:id="27" w:name="_Toc27354"/>
      <w:r>
        <w:rPr>
          <w:rFonts w:hint="eastAsia" w:ascii="宋体" w:hAnsi="宋体" w:eastAsia="宋体" w:cs="宋体"/>
          <w:snapToGrid w:val="0"/>
          <w:color w:val="auto"/>
          <w:kern w:val="0"/>
          <w:sz w:val="24"/>
          <w:szCs w:val="24"/>
          <w:highlight w:val="none"/>
          <w:lang w:val="en-US" w:eastAsia="zh-CN"/>
        </w:rPr>
        <w:t>招标项目勘察、设计工期：120个日历天，各阶段实施期限如下：</w:t>
      </w:r>
    </w:p>
    <w:p w14:paraId="46FBD839">
      <w:pPr>
        <w:pageBreakBefore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（1）勘察阶段：从中标通知书发出之日起30个日历天提交勘察成果文件等；</w:t>
      </w:r>
    </w:p>
    <w:p w14:paraId="07BCACD1">
      <w:pPr>
        <w:pageBreakBefore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（2）初步设计阶段：从提交勘察成果文件之日起45个日历天内提交初步设计（含概算）；</w:t>
      </w:r>
    </w:p>
    <w:p w14:paraId="3AB42F91">
      <w:pPr>
        <w:pageBreakBefore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（3）施工图设计阶段：从初步设计评审完成之日起30个日历天完成施工图设计；</w:t>
      </w:r>
    </w:p>
    <w:p w14:paraId="3C3C272B">
      <w:pPr>
        <w:pageBreakBefore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（3）施工图修编：出具施工图审查意见后15个日历天内完成施工图修编；</w:t>
      </w:r>
    </w:p>
    <w:p w14:paraId="461AD17B">
      <w:pPr>
        <w:pageBreakBefore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（4）施工现场配合服务：项目施工及缺陷责任期内。</w:t>
      </w:r>
    </w:p>
    <w:p w14:paraId="3194D444">
      <w:pPr>
        <w:pageBreakBefore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注：因本项目分阶段实施，工期根据业主实际项目要求进行调整。</w:t>
      </w:r>
    </w:p>
    <w:p w14:paraId="096C36FE">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bookmarkStart w:id="28" w:name="_Toc7308"/>
    </w:p>
    <w:p w14:paraId="424F247E">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left"/>
        <w:textAlignment w:val="auto"/>
        <w:outlineLvl w:val="2"/>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．勘察、设计工程内容和质量标准</w:t>
      </w:r>
      <w:bookmarkEnd w:id="27"/>
      <w:bookmarkEnd w:id="28"/>
    </w:p>
    <w:p w14:paraId="55EA8472">
      <w:pPr>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5.1本项目</w:t>
      </w:r>
      <w:r>
        <w:rPr>
          <w:rFonts w:hint="eastAsia" w:ascii="宋体" w:hAnsi="宋体" w:eastAsia="宋体" w:cs="宋体"/>
          <w:b/>
          <w:bCs/>
          <w:snapToGrid w:val="0"/>
          <w:color w:val="auto"/>
          <w:kern w:val="0"/>
          <w:sz w:val="24"/>
          <w:szCs w:val="24"/>
          <w:highlight w:val="none"/>
        </w:rPr>
        <w:t>建设规模和内容：</w:t>
      </w:r>
    </w:p>
    <w:p w14:paraId="7BA9AB62">
      <w:pPr>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本次招标建设内容：包括场地平整及边坡防护、新建园区道路及配套</w:t>
      </w:r>
      <w:r>
        <w:rPr>
          <w:rFonts w:hint="eastAsia" w:ascii="宋体" w:hAnsi="宋体" w:cs="宋体"/>
          <w:snapToGrid w:val="0"/>
          <w:color w:val="auto"/>
          <w:kern w:val="0"/>
          <w:sz w:val="24"/>
          <w:szCs w:val="24"/>
          <w:highlight w:val="none"/>
          <w:lang w:val="en-US" w:eastAsia="zh-CN"/>
        </w:rPr>
        <w:t>设施</w:t>
      </w:r>
      <w:r>
        <w:rPr>
          <w:rFonts w:hint="eastAsia" w:ascii="宋体" w:hAnsi="宋体" w:eastAsia="宋体" w:cs="宋体"/>
          <w:snapToGrid w:val="0"/>
          <w:color w:val="auto"/>
          <w:kern w:val="0"/>
          <w:sz w:val="24"/>
          <w:szCs w:val="24"/>
          <w:highlight w:val="none"/>
        </w:rPr>
        <w:t>工程。其中项目场地平整3780亩，总挖填方约998万立方米；新建7条园区道路及配套</w:t>
      </w:r>
      <w:r>
        <w:rPr>
          <w:rFonts w:hint="eastAsia" w:ascii="宋体" w:hAnsi="宋体" w:cs="宋体"/>
          <w:snapToGrid w:val="0"/>
          <w:color w:val="auto"/>
          <w:kern w:val="0"/>
          <w:sz w:val="24"/>
          <w:szCs w:val="24"/>
          <w:highlight w:val="none"/>
          <w:lang w:val="en-US" w:eastAsia="zh-CN"/>
        </w:rPr>
        <w:t>设施</w:t>
      </w:r>
      <w:r>
        <w:rPr>
          <w:rFonts w:hint="eastAsia" w:ascii="宋体" w:hAnsi="宋体" w:eastAsia="宋体" w:cs="宋体"/>
          <w:snapToGrid w:val="0"/>
          <w:color w:val="auto"/>
          <w:kern w:val="0"/>
          <w:sz w:val="24"/>
          <w:szCs w:val="24"/>
          <w:highlight w:val="none"/>
        </w:rPr>
        <w:t>，道路总长度约9.56km。</w:t>
      </w:r>
    </w:p>
    <w:p w14:paraId="71458514">
      <w:pPr>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2</w:t>
      </w:r>
      <w:r>
        <w:rPr>
          <w:rFonts w:hint="eastAsia" w:ascii="宋体" w:hAnsi="宋体" w:eastAsia="宋体" w:cs="宋体"/>
          <w:b/>
          <w:bCs/>
          <w:snapToGrid w:val="0"/>
          <w:color w:val="auto"/>
          <w:kern w:val="0"/>
          <w:sz w:val="24"/>
          <w:szCs w:val="24"/>
          <w:highlight w:val="none"/>
        </w:rPr>
        <w:t xml:space="preserve"> </w:t>
      </w:r>
      <w:r>
        <w:rPr>
          <w:rFonts w:hint="eastAsia" w:ascii="宋体" w:hAnsi="宋体" w:eastAsia="宋体" w:cs="宋体"/>
          <w:b/>
          <w:bCs/>
          <w:color w:val="auto"/>
          <w:sz w:val="24"/>
          <w:szCs w:val="24"/>
          <w:highlight w:val="none"/>
        </w:rPr>
        <w:t>本次</w:t>
      </w:r>
      <w:r>
        <w:rPr>
          <w:rFonts w:hint="eastAsia" w:ascii="宋体" w:hAnsi="宋体" w:eastAsia="宋体" w:cs="宋体"/>
          <w:b/>
          <w:bCs/>
          <w:color w:val="auto"/>
          <w:sz w:val="24"/>
          <w:szCs w:val="24"/>
          <w:highlight w:val="none"/>
          <w:lang w:eastAsia="zh-CN"/>
        </w:rPr>
        <w:t>勘察</w:t>
      </w:r>
      <w:r>
        <w:rPr>
          <w:rFonts w:hint="eastAsia" w:ascii="宋体" w:hAnsi="宋体" w:eastAsia="宋体" w:cs="宋体"/>
          <w:b/>
          <w:bCs/>
          <w:color w:val="auto"/>
          <w:sz w:val="24"/>
          <w:szCs w:val="24"/>
          <w:highlight w:val="none"/>
        </w:rPr>
        <w:t>设计工程的内容及要求：</w:t>
      </w:r>
    </w:p>
    <w:p w14:paraId="296C9167">
      <w:pPr>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勘察内容：项目用地红线范围内的岩土勘察（包括初步勘察、详细勘察），达到审查合格要求的勘察报告；勘察成果必须满足施工图设计及审图合格的要求。</w:t>
      </w:r>
    </w:p>
    <w:p w14:paraId="1CEF79C6">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C00000"/>
          <w:sz w:val="24"/>
          <w:szCs w:val="24"/>
          <w:highlight w:val="none"/>
        </w:rPr>
      </w:pPr>
      <w:r>
        <w:rPr>
          <w:rFonts w:hint="eastAsia" w:ascii="宋体" w:hAnsi="宋体" w:eastAsia="宋体" w:cs="宋体"/>
          <w:b w:val="0"/>
          <w:bCs w:val="0"/>
          <w:snapToGrid w:val="0"/>
          <w:color w:val="auto"/>
          <w:kern w:val="0"/>
          <w:sz w:val="24"/>
          <w:szCs w:val="24"/>
          <w:highlight w:val="none"/>
        </w:rPr>
        <w:t>设计阶段包括</w:t>
      </w:r>
      <w:r>
        <w:rPr>
          <w:rFonts w:hint="eastAsia" w:ascii="宋体" w:hAnsi="宋体" w:eastAsia="宋体" w:cs="宋体"/>
          <w:b w:val="0"/>
          <w:bCs w:val="0"/>
          <w:snapToGrid w:val="0"/>
          <w:color w:val="auto"/>
          <w:kern w:val="0"/>
          <w:sz w:val="24"/>
          <w:szCs w:val="24"/>
          <w:highlight w:val="none"/>
          <w:lang w:eastAsia="zh-CN"/>
        </w:rPr>
        <w:t>：</w:t>
      </w:r>
      <w:r>
        <w:rPr>
          <w:rFonts w:hint="eastAsia" w:ascii="宋体" w:hAnsi="宋体" w:eastAsia="宋体" w:cs="宋体"/>
          <w:b w:val="0"/>
          <w:bCs w:val="0"/>
          <w:snapToGrid w:val="0"/>
          <w:color w:val="auto"/>
          <w:kern w:val="0"/>
          <w:sz w:val="24"/>
          <w:szCs w:val="24"/>
          <w:highlight w:val="none"/>
        </w:rPr>
        <w:t>相关报建报批所需的方案设计文件、初步设计、概算、施工图设计、效果图及施工配合等。</w:t>
      </w:r>
    </w:p>
    <w:p w14:paraId="54C4AA67">
      <w:pPr>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2.1</w:t>
      </w:r>
      <w:r>
        <w:rPr>
          <w:rFonts w:hint="eastAsia" w:ascii="宋体" w:hAnsi="宋体" w:eastAsia="宋体" w:cs="宋体"/>
          <w:snapToGrid w:val="0"/>
          <w:color w:val="auto"/>
          <w:kern w:val="0"/>
          <w:sz w:val="24"/>
          <w:szCs w:val="24"/>
          <w:highlight w:val="none"/>
        </w:rPr>
        <w:t>本工程的方案设计均需经招标人确认后方可进入下一阶段设计，施工图文件必须与审批合格的报建图一致，不得随意修改。进入施工阶段后，涉及建设工程设计方案有关内容确需修改的，须配合业主单位向自然资源局申请调整，并通过审批。施工图设计必须由有资质的审图机构审查合格。</w:t>
      </w:r>
    </w:p>
    <w:p w14:paraId="51757EF3">
      <w:pPr>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5.2.2</w:t>
      </w:r>
      <w:r>
        <w:rPr>
          <w:rFonts w:hint="eastAsia" w:ascii="宋体" w:hAnsi="宋体" w:eastAsia="宋体" w:cs="宋体"/>
          <w:color w:val="auto"/>
          <w:sz w:val="24"/>
          <w:szCs w:val="24"/>
          <w:highlight w:val="none"/>
        </w:rPr>
        <w:t>勘察设计承包内容：中标单位按合同约定的招标文件内容要求、法律法规及国家强制性标准要求提供完整的完善方案设计及方案深化、初勘报告和详细勘察报告、施工图设计文件及建设期间的服务等内容。</w:t>
      </w:r>
    </w:p>
    <w:p w14:paraId="6A856790">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方案设计</w:t>
      </w:r>
      <w:r>
        <w:rPr>
          <w:rFonts w:hint="eastAsia" w:ascii="宋体" w:hAnsi="宋体" w:eastAsia="宋体" w:cs="宋体"/>
          <w:color w:val="auto"/>
          <w:sz w:val="24"/>
          <w:szCs w:val="24"/>
          <w:highlight w:val="none"/>
          <w:u w:val="single"/>
          <w:lang w:val="en-US" w:eastAsia="zh-CN"/>
        </w:rPr>
        <w:t>4</w:t>
      </w:r>
      <w:r>
        <w:rPr>
          <w:rFonts w:hint="eastAsia" w:ascii="宋体" w:hAnsi="宋体" w:eastAsia="宋体" w:cs="宋体"/>
          <w:color w:val="auto"/>
          <w:sz w:val="24"/>
          <w:szCs w:val="24"/>
          <w:highlight w:val="none"/>
        </w:rPr>
        <w:t>套，初勘报告和详细勘察报告</w:t>
      </w:r>
      <w:r>
        <w:rPr>
          <w:rFonts w:hint="eastAsia" w:ascii="宋体" w:hAnsi="宋体" w:eastAsia="宋体" w:cs="宋体"/>
          <w:color w:val="auto"/>
          <w:sz w:val="24"/>
          <w:szCs w:val="24"/>
          <w:highlight w:val="none"/>
          <w:u w:val="single"/>
          <w:lang w:val="en-US" w:eastAsia="zh-CN"/>
        </w:rPr>
        <w:t>8</w:t>
      </w:r>
      <w:r>
        <w:rPr>
          <w:rFonts w:hint="eastAsia" w:ascii="宋体" w:hAnsi="宋体" w:eastAsia="宋体" w:cs="宋体"/>
          <w:color w:val="auto"/>
          <w:sz w:val="24"/>
          <w:szCs w:val="24"/>
          <w:highlight w:val="none"/>
        </w:rPr>
        <w:t>套，审定的施工图</w:t>
      </w:r>
      <w:r>
        <w:rPr>
          <w:rFonts w:hint="eastAsia" w:ascii="宋体" w:hAnsi="宋体" w:eastAsia="宋体" w:cs="宋体"/>
          <w:color w:val="auto"/>
          <w:sz w:val="24"/>
          <w:szCs w:val="24"/>
          <w:highlight w:val="none"/>
          <w:u w:val="single"/>
          <w:lang w:val="en-US" w:eastAsia="zh-CN"/>
        </w:rPr>
        <w:t>8</w:t>
      </w:r>
      <w:r>
        <w:rPr>
          <w:rFonts w:hint="eastAsia" w:ascii="宋体" w:hAnsi="宋体" w:eastAsia="宋体" w:cs="宋体"/>
          <w:color w:val="auto"/>
          <w:sz w:val="24"/>
          <w:szCs w:val="24"/>
          <w:highlight w:val="none"/>
        </w:rPr>
        <w:t>套，原始数据提供的所有资料电子</w:t>
      </w:r>
      <w:r>
        <w:rPr>
          <w:rFonts w:hint="eastAsia" w:ascii="宋体" w:hAnsi="宋体" w:eastAsia="宋体" w:cs="宋体"/>
          <w:color w:val="auto"/>
          <w:sz w:val="24"/>
          <w:szCs w:val="24"/>
          <w:highlight w:val="none"/>
          <w:lang w:eastAsia="zh-CN"/>
        </w:rPr>
        <w:t>文件</w:t>
      </w:r>
      <w:r>
        <w:rPr>
          <w:rFonts w:hint="eastAsia" w:ascii="宋体" w:hAnsi="宋体" w:eastAsia="宋体" w:cs="宋体"/>
          <w:color w:val="auto"/>
          <w:sz w:val="24"/>
          <w:szCs w:val="24"/>
          <w:highlight w:val="none"/>
        </w:rPr>
        <w:t>。</w:t>
      </w:r>
    </w:p>
    <w:p w14:paraId="5AAD8493">
      <w:pPr>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2.3</w:t>
      </w:r>
      <w:r>
        <w:rPr>
          <w:rFonts w:hint="eastAsia" w:ascii="宋体" w:hAnsi="宋体" w:eastAsia="宋体" w:cs="宋体"/>
          <w:color w:val="auto"/>
          <w:sz w:val="24"/>
          <w:szCs w:val="24"/>
          <w:highlight w:val="none"/>
        </w:rPr>
        <w:t>勘察设计人要按照经批准的可研报告（修编）、规划条件等资料控制施工图设计，即限额设计。勘察设计人要无条件对设计文件出现的遗漏或错误负责修改或补充，直到满足要求。</w:t>
      </w:r>
    </w:p>
    <w:p w14:paraId="1254C9E1">
      <w:pPr>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.2.4</w:t>
      </w:r>
      <w:r>
        <w:rPr>
          <w:rFonts w:hint="eastAsia" w:ascii="宋体" w:hAnsi="宋体" w:eastAsia="宋体" w:cs="宋体"/>
          <w:b/>
          <w:bCs/>
          <w:snapToGrid w:val="0"/>
          <w:color w:val="auto"/>
          <w:kern w:val="0"/>
          <w:sz w:val="24"/>
          <w:szCs w:val="24"/>
          <w:highlight w:val="none"/>
        </w:rPr>
        <w:t>勘察设计人要根据现场实际情况、按照批准的相关资料、业主要求，优化设计，控制建设成本，限额设计。勘察设计人要无条件对设计文件出现的遗漏或错误负责修改或补充，直到满足要求。</w:t>
      </w:r>
    </w:p>
    <w:p w14:paraId="06AB674F">
      <w:pPr>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2.5</w:t>
      </w:r>
      <w:r>
        <w:rPr>
          <w:rFonts w:hint="eastAsia" w:ascii="宋体" w:hAnsi="宋体" w:eastAsia="宋体" w:cs="宋体"/>
          <w:snapToGrid w:val="0"/>
          <w:color w:val="auto"/>
          <w:kern w:val="0"/>
          <w:sz w:val="24"/>
          <w:szCs w:val="24"/>
          <w:highlight w:val="none"/>
        </w:rPr>
        <w:t>施工期间若遇到工程变更、突发事件或不可遇见的事件等情况，勘察、设计人员接到建设单位或监理单位通知后应当立即（24小时内）到达施工现场，研究并及时处理问题。</w:t>
      </w:r>
    </w:p>
    <w:p w14:paraId="7CAA8153">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bookmarkStart w:id="29" w:name="_Toc11339"/>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
          <w:bCs/>
          <w:color w:val="auto"/>
          <w:sz w:val="24"/>
          <w:szCs w:val="24"/>
          <w:highlight w:val="none"/>
        </w:rPr>
        <w:t>关于勘察深度的要求：</w:t>
      </w:r>
    </w:p>
    <w:p w14:paraId="3A1A54A1">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按国家及地方现行的勘察深度要求规定。</w:t>
      </w:r>
    </w:p>
    <w:p w14:paraId="00225C0E">
      <w:pPr>
        <w:pageBreakBefore w:val="0"/>
        <w:kinsoku/>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初步勘察的目的与要求</w:t>
      </w:r>
    </w:p>
    <w:p w14:paraId="277ACDC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初步勘察应进行详细的工程地质勘查和水文地质勘查，基本查清沿线地质、水文、气候、地震等情况。按项目要求测绘地形图。若利用既有的工程地质平面图、水文地质资料和地震资料时，必须进行现场核查。对已变化的地区进行地形、地物新测，对工程重点地区进行钻探核对。勘察结果应能清楚反映最新的现场实际地形、地貌及地质情况（含土石方比例）。</w:t>
      </w:r>
    </w:p>
    <w:p w14:paraId="0C0BCF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初步勘察应对工程范围内供电线路、通讯线路等地上、地下管线进行勘察，准确标定其坐标位置及走向。</w:t>
      </w:r>
    </w:p>
    <w:p w14:paraId="29056D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初步勘察时，应将平面控制点、必要的水准基点，准确地测放在地面上并加以保护。</w:t>
      </w:r>
    </w:p>
    <w:p w14:paraId="1236E3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详细勘察时，对软土地基处理的深度，应进行详细的工程地质勘探，不得以钻探困难为理由留给施工处理（有征地拆迁困难的除外）。对施工过程中需探明的地质情况，必须按规范进行详细勘探，若采用桩基，应出具不少于一桩一孔的勘探资料。</w:t>
      </w:r>
    </w:p>
    <w:p w14:paraId="140D4AF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勘察人对水文调查应深入、系统，确定合理的防洪标高。</w:t>
      </w:r>
    </w:p>
    <w:p w14:paraId="4731B3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勘察成果报告应能详细、清楚反映岩土的有关力学物理指标、必需的物理及化学性质的指标，溶洞及其分布，以避免在施工中因地质不清引起大的设计变更。</w:t>
      </w:r>
    </w:p>
    <w:p w14:paraId="26D617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勘察工作必需的水、电及设备所产生的相关费用由勘察人自行承担。</w:t>
      </w:r>
    </w:p>
    <w:p w14:paraId="4DC26FE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因工程沿线的勘察工作发生青苗补偿及相关费用由勘察人自行承担。</w:t>
      </w:r>
    </w:p>
    <w:p w14:paraId="29CEA46C">
      <w:pPr>
        <w:pageBreakBefore w:val="0"/>
        <w:kinsoku/>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初步勘察成果编制、深度要求及文字图纸部分</w:t>
      </w:r>
    </w:p>
    <w:p w14:paraId="16B30D74">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（1）勘探人应结合本项目相关资料的要求以及《岩土工程勘察规范》等标准规范的规定，根据现场勘察作业情况、实验分析情况等，如实编制工程初步勘察报告；</w:t>
      </w:r>
    </w:p>
    <w:p w14:paraId="726EE8AC">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（2）地下水稳定水位；</w:t>
      </w:r>
    </w:p>
    <w:p w14:paraId="3B6AAA6D">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（3）勘探点平面布置图，钻孔柱状图，地质剖面图，基岩面等高线图；</w:t>
      </w:r>
    </w:p>
    <w:p w14:paraId="04CC9556">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（4）各岩、土层主要物理力学指标和土工试验成果表，满足能按承载力变形计算地基的要求数据；</w:t>
      </w:r>
    </w:p>
    <w:p w14:paraId="280D9716">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（5）水质分析报告及侵蚀性能评价；</w:t>
      </w:r>
    </w:p>
    <w:p w14:paraId="3E9B911C">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（6）地震基本烈度，场地土类型及地震液化可能性评价；</w:t>
      </w:r>
    </w:p>
    <w:p w14:paraId="6A0775A9">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（7）地基土的物理力学性质指标（容重、承载力、液限、塑限、压缩模量、变形模量、内磨擦角、内聚力等）；</w:t>
      </w:r>
    </w:p>
    <w:p w14:paraId="7EC7C255">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（8）基础结构方案建议，并提供天然地基或桩基各设计数据；</w:t>
      </w:r>
    </w:p>
    <w:p w14:paraId="558215D5">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（9）按勘察规范对拟建场地工程地质及水文地质进行评价及建议，明确设计的采用值。</w:t>
      </w:r>
    </w:p>
    <w:p w14:paraId="7EFECEBF">
      <w:pPr>
        <w:pageBreakBefore w:val="0"/>
        <w:kinsoku/>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详细勘察的目的与要求</w:t>
      </w:r>
    </w:p>
    <w:p w14:paraId="5D18B9EB">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（1）查明所有建筑物及构筑物范围内岩土层的类型、深度、分布和工程特性，分析和评价地基的稳定性、均匀性和承载力。</w:t>
      </w:r>
    </w:p>
    <w:p w14:paraId="7C3D889B">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（2）查明水文地质条件，评价地下水对桩基设计和施工的影响，判定水质对建筑材料的腐蚀性。</w:t>
      </w:r>
    </w:p>
    <w:p w14:paraId="1C6C8E97">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（3）评价成桩可能性，论证桩的施工条件及其对环境的影响。 </w:t>
      </w:r>
    </w:p>
    <w:p w14:paraId="199C1405">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（4）查明不良地质作用的类型、分布范围，提出整治措施和建议。</w:t>
      </w:r>
    </w:p>
    <w:p w14:paraId="40C11E45">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（5）查明道路范围溶洞分布范围、位置、大小，提出整治措施和建议。</w:t>
      </w:r>
    </w:p>
    <w:p w14:paraId="4A0B7AEC">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（6）查明地下水位的变化情况，水质状况对建筑物的影响情况。</w:t>
      </w:r>
    </w:p>
    <w:p w14:paraId="0FEAE263">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（7）查明对建筑物不利的埋藏物。</w:t>
      </w:r>
    </w:p>
    <w:p w14:paraId="6E805CFB">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（8）判定地基土对建筑材料的腐蚀性，提出整治的措施和建议。</w:t>
      </w:r>
    </w:p>
    <w:p w14:paraId="578E9CC9">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（9）对场地和地震效应做出评价，查明有无液化地层并对液化等级作出评价。</w:t>
      </w:r>
    </w:p>
    <w:p w14:paraId="3AF1D797">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（10）查明需防护山体（边坡）的岩土层的类型、深度、分布和工程特性，分析和评价地基的稳定性、均匀性和承载力，提出防护措施和建议。</w:t>
      </w:r>
    </w:p>
    <w:p w14:paraId="2353DA82">
      <w:pPr>
        <w:pageBreakBefore w:val="0"/>
        <w:kinsoku/>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5.3.5</w:t>
      </w:r>
      <w:r>
        <w:rPr>
          <w:rFonts w:hint="eastAsia" w:ascii="宋体" w:hAnsi="宋体" w:eastAsia="宋体" w:cs="宋体"/>
          <w:color w:val="auto"/>
          <w:sz w:val="24"/>
          <w:szCs w:val="24"/>
          <w:highlight w:val="none"/>
        </w:rPr>
        <w:t>详细勘察勘探点布置原则</w:t>
      </w:r>
    </w:p>
    <w:p w14:paraId="5034B824">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勘察点应按《岩土工程勘察规范》合理布置，满足“查明建筑范围内岩土层的类型、深度、分布和工程特性，分析和评价地基的稳定性、均匀性和承载力”要求。建筑平面及坐标位置由招标人提供主管部门批复的电子版图纸，勘察布孔由勘查设计单位编制勘察方案，报招标人确认。</w:t>
      </w:r>
    </w:p>
    <w:p w14:paraId="27E4AEB4">
      <w:pPr>
        <w:pageBreakBefore w:val="0"/>
        <w:kinsoku/>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5.3.6</w:t>
      </w:r>
      <w:r>
        <w:rPr>
          <w:rFonts w:hint="eastAsia" w:ascii="宋体" w:hAnsi="宋体" w:eastAsia="宋体" w:cs="宋体"/>
          <w:color w:val="auto"/>
          <w:sz w:val="24"/>
          <w:szCs w:val="24"/>
          <w:highlight w:val="none"/>
        </w:rPr>
        <w:t>详细勘察成果编制及深度要求</w:t>
      </w:r>
    </w:p>
    <w:p w14:paraId="4128440C">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勘探人应结合本项目选址意见、相关资料的要求以及《岩土工程勘察规范》等标准规范的规定及招标人其他要求，根据现场勘察作业情况、实验分析情况等，如实编制工程勘察报告，并经相应资格人员校对、审查合格后方可提交给招标人，并通过审图机构审核达到合格要求。</w:t>
      </w:r>
    </w:p>
    <w:p w14:paraId="7CAE74FA">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（2）工程勘察报告应全面体现本工程勘探任务要求，全面客观评价本工程地质情况，资料完整、分析科学、数据真实无误、图表清晰、结论有据，并因地制宜地对工程设计与施工提出合理建议。</w:t>
      </w:r>
    </w:p>
    <w:p w14:paraId="620700F2">
      <w:pPr>
        <w:pageBreakBefore w:val="0"/>
        <w:kinsoku/>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5.3.7</w:t>
      </w:r>
      <w:r>
        <w:rPr>
          <w:rFonts w:hint="eastAsia" w:ascii="宋体" w:hAnsi="宋体" w:eastAsia="宋体" w:cs="宋体"/>
          <w:color w:val="auto"/>
          <w:sz w:val="24"/>
          <w:szCs w:val="24"/>
          <w:highlight w:val="none"/>
        </w:rPr>
        <w:t>详细勘察工程勘察报告由文字部分和图表部分组成，其中文字部分至少应包括：</w:t>
      </w:r>
    </w:p>
    <w:p w14:paraId="7BA11563">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（1）拟建工程概况、勘察目的、任务要求和依据的技术标准；</w:t>
      </w:r>
    </w:p>
    <w:p w14:paraId="1FBDFDF7">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（2）勘探点位布置及勘察方法情况，原土取样及实验分析情况；</w:t>
      </w:r>
    </w:p>
    <w:p w14:paraId="074E1167">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场地位置、地形地貌、地质构造、不良地质现象、溶洞情况、地形成层条件、水文地质条件（包括水埋藏情况、类型、水位及其变化等），各土层的分布情况以及物理特性、性质指标、强度参数、变形参数、地基承载力的建议值等。</w:t>
      </w:r>
    </w:p>
    <w:p w14:paraId="4A61F9F7">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（4）场地的稳定性和适宜性评价、地下水及土质对建筑物的腐蚀影响、地震基本烈度以及由于工程建设可能引起的工程地质问题及其防治措施，适宜的基础形式和有关的计算参数及施工中应注意的事项等。</w:t>
      </w:r>
    </w:p>
    <w:p w14:paraId="016722C6">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（5）对岩土利用、整治和改造的方案进行分析论证，提出建议；对工程施工和使用期间可能发生的岩土工程问题进行预测，提出监控和预防措施的建议。</w:t>
      </w:r>
    </w:p>
    <w:p w14:paraId="4F3765C8">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5.3.8</w:t>
      </w:r>
      <w:r>
        <w:rPr>
          <w:rFonts w:hint="eastAsia" w:ascii="宋体" w:hAnsi="宋体" w:eastAsia="宋体" w:cs="宋体"/>
          <w:color w:val="auto"/>
          <w:sz w:val="24"/>
          <w:szCs w:val="24"/>
          <w:highlight w:val="none"/>
        </w:rPr>
        <w:t>详细勘察工程勘察报告中的图纸部分，至少包括：</w:t>
      </w:r>
    </w:p>
    <w:p w14:paraId="6735D312">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（1）勘探点平面布置图</w:t>
      </w:r>
    </w:p>
    <w:p w14:paraId="5808195A">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（2）综合工程地质图或工程地质分区图</w:t>
      </w:r>
    </w:p>
    <w:p w14:paraId="0080012F">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（3）工程地质剖面图</w:t>
      </w:r>
    </w:p>
    <w:p w14:paraId="4516CE1D">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（4）地质柱状图或综合地质柱状图</w:t>
      </w:r>
    </w:p>
    <w:p w14:paraId="556EB586">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（5）各主要土层物理力学性质指标统计、钻探点坐标标高深度、土层试验成果等有关测试图表等。</w:t>
      </w:r>
    </w:p>
    <w:p w14:paraId="5EF524C3">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（6）地下水等水位线图（若有）</w:t>
      </w:r>
    </w:p>
    <w:p w14:paraId="5DFA6177">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（7）岩土工程计算简图及计算成果图表等。</w:t>
      </w:r>
    </w:p>
    <w:p w14:paraId="1266CAAA">
      <w:pPr>
        <w:pageBreakBefore w:val="0"/>
        <w:kinsoku/>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5.3.9</w:t>
      </w:r>
      <w:r>
        <w:rPr>
          <w:rFonts w:hint="eastAsia" w:ascii="宋体" w:hAnsi="宋体" w:eastAsia="宋体" w:cs="宋体"/>
          <w:color w:val="auto"/>
          <w:sz w:val="24"/>
          <w:szCs w:val="24"/>
          <w:highlight w:val="none"/>
        </w:rPr>
        <w:t>详细勘察任务需要时，可提交下列专题报告：</w:t>
      </w:r>
    </w:p>
    <w:p w14:paraId="32B8DB17">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（1）岩土工程测试报告；</w:t>
      </w:r>
    </w:p>
    <w:p w14:paraId="292AA229">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（2）岩土工程检验或监测报告；</w:t>
      </w:r>
    </w:p>
    <w:p w14:paraId="23A086BB">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（3）岩土工程事故调查与分析报告；</w:t>
      </w:r>
    </w:p>
    <w:p w14:paraId="78DCB77E">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（4）岩土利用、整治或改造方案报告；</w:t>
      </w:r>
    </w:p>
    <w:p w14:paraId="65B66ACD">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（5）有关岩土工程问题的专门技术咨询报告等。</w:t>
      </w:r>
    </w:p>
    <w:p w14:paraId="20EE6E13">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（6）工程勘察报告的文字、术语、代号、符号、数字、计量单位、标点，均应符合国家有关标准的规定。</w:t>
      </w:r>
    </w:p>
    <w:p w14:paraId="57198A2E">
      <w:pPr>
        <w:pageBreakBefore w:val="0"/>
        <w:kinsoku/>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5.3.10</w:t>
      </w:r>
      <w:r>
        <w:rPr>
          <w:rFonts w:hint="eastAsia" w:ascii="宋体" w:hAnsi="宋体" w:eastAsia="宋体" w:cs="宋体"/>
          <w:color w:val="auto"/>
          <w:sz w:val="24"/>
          <w:szCs w:val="24"/>
          <w:highlight w:val="none"/>
        </w:rPr>
        <w:t>关于勘察的其它要求：</w:t>
      </w:r>
    </w:p>
    <w:p w14:paraId="50CE4F38">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（1）按国家现行的勘察深度要求规定。</w:t>
      </w:r>
    </w:p>
    <w:p w14:paraId="5283D914">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（2）详细勘察时，对软土地基处理的深度，应进行详细的工程地质勘探，不得以钻探困难为理由留给施工处理（有征地拆迁困难的除外）。</w:t>
      </w:r>
    </w:p>
    <w:p w14:paraId="453AB252">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（3）勘察人对水文调查应深入、系统，确定合理的防洪标高。</w:t>
      </w:r>
    </w:p>
    <w:p w14:paraId="1D322319">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（4）勘察成果报告应能详细、清楚反映岩土的有关力学物理指标、必需的物理及化学性质的指标，以避免在施工中因地质不清引起大的设计变更。</w:t>
      </w:r>
    </w:p>
    <w:p w14:paraId="4E3B7A72">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（5）勘察工作必需的水、电及设备所产生的相关费用由勘察人自行承担。</w:t>
      </w:r>
    </w:p>
    <w:p w14:paraId="7AC480C2">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（6）因工程沿线的勘察工作发生青苗补偿及相关费用由勘察人自行承担。</w:t>
      </w:r>
    </w:p>
    <w:p w14:paraId="069BE534">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（7）勘察人勘探完毕后需及时妥善回填钻孔，避免对周边环境造成破坏和形成安全隐患。</w:t>
      </w:r>
    </w:p>
    <w:p w14:paraId="04449D22">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（8）勘察人需妥善保存各勘探孔的完整岩土芯样，以备届时施工阶段地质情况实际核对。施工过程中，若发现现场地质情况与同位置勘察点的勘察成果不符时，视为勘察人违约并承担相关责任。</w:t>
      </w:r>
    </w:p>
    <w:p w14:paraId="75D5C228">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勘察人勘探作业时，需预先探明勘探范围内的地下原有各类通信管线、燃气管道、电力电缆、供水管、排水（污）管等埋藏物分布情况，并做好相关防范保护措施，若因勘探工作造成相关设施损毁及相关费用由勘察人自行承担。</w:t>
      </w:r>
    </w:p>
    <w:p w14:paraId="7EAE1CAD">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 xml:space="preserve"> </w:t>
      </w:r>
      <w:r>
        <w:rPr>
          <w:rFonts w:hint="eastAsia" w:ascii="宋体" w:hAnsi="宋体" w:eastAsia="宋体" w:cs="宋体"/>
          <w:b/>
          <w:bCs/>
          <w:color w:val="auto"/>
          <w:sz w:val="24"/>
          <w:szCs w:val="24"/>
          <w:highlight w:val="none"/>
        </w:rPr>
        <w:t>勘察后期工作</w:t>
      </w:r>
    </w:p>
    <w:p w14:paraId="7447B484">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配合施工</w:t>
      </w:r>
    </w:p>
    <w:p w14:paraId="4181944D">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当工程进入施工阶段，勘察人必须配合施工，发包人不另支付配合施工费用，此期间工作如下：</w:t>
      </w:r>
    </w:p>
    <w:p w14:paraId="5BFD6DC1">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（1）对项目的施工单位进行工程测量、工程地质和水文地质作技术交底；</w:t>
      </w:r>
    </w:p>
    <w:p w14:paraId="6B6D1DAD">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（2）现场交桩；</w:t>
      </w:r>
    </w:p>
    <w:p w14:paraId="2998A723">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（3）配合设计人进行变更设计和补充设计所需要的勘察工作；</w:t>
      </w:r>
    </w:p>
    <w:p w14:paraId="46BDD04E">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（4）勘察人应参与建设工程质量事故的处理工作，并对因勘察原因造成的质量事故，提出相应的技术处理方案。</w:t>
      </w:r>
    </w:p>
    <w:p w14:paraId="449FE60B">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b w:val="0"/>
          <w:bCs w:val="0"/>
          <w:snapToGrid w:val="0"/>
          <w:color w:val="auto"/>
          <w:kern w:val="0"/>
          <w:sz w:val="24"/>
          <w:szCs w:val="24"/>
          <w:highlight w:val="none"/>
        </w:rPr>
        <w:t>勘察工作技术总结</w:t>
      </w:r>
    </w:p>
    <w:p w14:paraId="44385150">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勘察人对勘察文件及施工过程中发生的补充勘察进行检查，并提出勘察文件质量检查报告，在竣工验收前交发包人。工程完工后，勘察人应组织勘察技术工作人员将全部资料进行整理并撰写工程技术总结，并于竣工后十个日历天内完成，交发包人。</w:t>
      </w:r>
    </w:p>
    <w:p w14:paraId="3CDCEBC2">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 xml:space="preserve">5.5 </w:t>
      </w:r>
      <w:r>
        <w:rPr>
          <w:rFonts w:hint="eastAsia" w:ascii="宋体" w:hAnsi="宋体" w:eastAsia="宋体" w:cs="宋体"/>
          <w:b/>
          <w:color w:val="auto"/>
          <w:sz w:val="24"/>
          <w:szCs w:val="24"/>
          <w:highlight w:val="none"/>
        </w:rPr>
        <w:t>关于设计深度的要求</w:t>
      </w:r>
    </w:p>
    <w:p w14:paraId="29EB8CDA">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 xml:space="preserve">5.5.1 </w:t>
      </w:r>
      <w:r>
        <w:rPr>
          <w:rFonts w:hint="eastAsia" w:ascii="宋体" w:hAnsi="宋体" w:eastAsia="宋体" w:cs="宋体"/>
          <w:color w:val="auto"/>
          <w:sz w:val="24"/>
          <w:szCs w:val="24"/>
          <w:highlight w:val="none"/>
        </w:rPr>
        <w:t>按国家及地方现行的勘察设计文件深度规定等有关技术标准、设计规范（标准）要求；按绿色建筑设计标准进行绿色建筑设计。</w:t>
      </w:r>
    </w:p>
    <w:p w14:paraId="62CAC433">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5.5.2</w:t>
      </w:r>
      <w:r>
        <w:rPr>
          <w:rFonts w:hint="eastAsia" w:ascii="宋体" w:hAnsi="宋体" w:eastAsia="宋体" w:cs="宋体"/>
          <w:color w:val="auto"/>
          <w:sz w:val="24"/>
          <w:szCs w:val="24"/>
          <w:highlight w:val="none"/>
        </w:rPr>
        <w:t>各专业设计应同步进行，涉及单位应指定总体设计人统筹布局，做好各项设施的协调和衔接、位置预留，不得留待施工中临时变更。</w:t>
      </w:r>
    </w:p>
    <w:p w14:paraId="5553D8DB">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5.5</w:t>
      </w:r>
      <w:r>
        <w:rPr>
          <w:rFonts w:hint="eastAsia" w:ascii="宋体" w:hAnsi="宋体" w:eastAsia="宋体" w:cs="宋体"/>
          <w:color w:val="auto"/>
          <w:sz w:val="24"/>
          <w:szCs w:val="24"/>
          <w:highlight w:val="none"/>
        </w:rPr>
        <w:t>.3 对技术复杂或造价、规模较大的主要分项工程应作方案比较。</w:t>
      </w:r>
    </w:p>
    <w:p w14:paraId="7974AD28">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5.5</w:t>
      </w:r>
      <w:r>
        <w:rPr>
          <w:rFonts w:hint="eastAsia" w:ascii="宋体" w:hAnsi="宋体" w:eastAsia="宋体" w:cs="宋体"/>
          <w:color w:val="auto"/>
          <w:sz w:val="24"/>
          <w:szCs w:val="24"/>
          <w:highlight w:val="none"/>
        </w:rPr>
        <w:t>.4.设计文件的深度，应当满足主要设备材料订货、征地拆迁及编制施工图设计文件的需要。</w:t>
      </w:r>
    </w:p>
    <w:p w14:paraId="1279EFC4">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5.5</w:t>
      </w:r>
      <w:r>
        <w:rPr>
          <w:rFonts w:hint="eastAsia" w:ascii="宋体" w:hAnsi="宋体" w:eastAsia="宋体" w:cs="宋体"/>
          <w:color w:val="auto"/>
          <w:sz w:val="24"/>
          <w:szCs w:val="24"/>
          <w:highlight w:val="none"/>
        </w:rPr>
        <w:t>.5.施工图设计文件的深度，应当满足编制施工招标文件及设备材料采购，非标准设备制作和施工的需要，并注明建设工程合理使用年限。</w:t>
      </w:r>
    </w:p>
    <w:p w14:paraId="1118B8BB">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5.5</w:t>
      </w:r>
      <w:r>
        <w:rPr>
          <w:rFonts w:hint="eastAsia" w:ascii="宋体" w:hAnsi="宋体" w:eastAsia="宋体" w:cs="宋体"/>
          <w:color w:val="auto"/>
          <w:sz w:val="24"/>
          <w:szCs w:val="24"/>
          <w:highlight w:val="none"/>
        </w:rPr>
        <w:t>.6 相关的配套外部接口方案均需取得政府主管部门或规划部门认可。</w:t>
      </w:r>
    </w:p>
    <w:p w14:paraId="5EA7C51F">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5.5</w:t>
      </w:r>
      <w:r>
        <w:rPr>
          <w:rFonts w:hint="eastAsia" w:ascii="宋体" w:hAnsi="宋体" w:eastAsia="宋体" w:cs="宋体"/>
          <w:color w:val="auto"/>
          <w:sz w:val="24"/>
          <w:szCs w:val="24"/>
          <w:highlight w:val="none"/>
        </w:rPr>
        <w:t>.7 施工图设计文件应考虑交通维护、临时施工便道、基坑支护、对周边建筑物的影响等因素，并提供相应的设计方案及计算书（可另册装订），以指导现场施工及过程评审。</w:t>
      </w:r>
    </w:p>
    <w:p w14:paraId="7E08A21E">
      <w:pPr>
        <w:pageBreakBefore w:val="0"/>
        <w:kinsoku/>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6</w:t>
      </w:r>
      <w:r>
        <w:rPr>
          <w:rFonts w:hint="eastAsia" w:ascii="宋体" w:hAnsi="宋体" w:eastAsia="宋体" w:cs="宋体"/>
          <w:color w:val="auto"/>
          <w:sz w:val="24"/>
          <w:szCs w:val="24"/>
          <w:highlight w:val="none"/>
        </w:rPr>
        <w:t xml:space="preserve"> 施工图设计完成并经有关单位审查后，进入施工、监理招标及施工阶段，设计单位必须按投标文件的承诺至少派1名参与并熟悉本项目勘察设计、有现场处理经验的设计代表驻现场以配合施工、监理招标及施工，建设管理单位不另外支付配合施工费用。</w:t>
      </w:r>
    </w:p>
    <w:p w14:paraId="0566E138">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5.6.1</w:t>
      </w:r>
      <w:r>
        <w:rPr>
          <w:rFonts w:hint="eastAsia" w:ascii="宋体" w:hAnsi="宋体" w:eastAsia="宋体" w:cs="宋体"/>
          <w:color w:val="auto"/>
          <w:sz w:val="24"/>
          <w:szCs w:val="24"/>
          <w:highlight w:val="none"/>
        </w:rPr>
        <w:t xml:space="preserve"> 设计单位配合施工、监理招标及施工的工作内容如下：</w:t>
      </w:r>
    </w:p>
    <w:p w14:paraId="245AD6B4">
      <w:pPr>
        <w:pageBreakBefore w:val="0"/>
        <w:numPr>
          <w:ilvl w:val="0"/>
          <w:numId w:val="1"/>
        </w:numPr>
        <w:tabs>
          <w:tab w:val="left" w:pos="0"/>
          <w:tab w:val="left" w:pos="1080"/>
        </w:tabs>
        <w:kinsoku/>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施工图设计（技术）交底；</w:t>
      </w:r>
    </w:p>
    <w:p w14:paraId="07FD82F8">
      <w:pPr>
        <w:pageBreakBefore w:val="0"/>
        <w:numPr>
          <w:ilvl w:val="0"/>
          <w:numId w:val="1"/>
        </w:numPr>
        <w:tabs>
          <w:tab w:val="left" w:pos="0"/>
          <w:tab w:val="left" w:pos="1080"/>
        </w:tabs>
        <w:kinsoku/>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配合勘察单位现场交桩；</w:t>
      </w:r>
    </w:p>
    <w:p w14:paraId="736A2200">
      <w:pPr>
        <w:pageBreakBefore w:val="0"/>
        <w:numPr>
          <w:ilvl w:val="0"/>
          <w:numId w:val="1"/>
        </w:numPr>
        <w:tabs>
          <w:tab w:val="left" w:pos="0"/>
          <w:tab w:val="left" w:pos="1080"/>
        </w:tabs>
        <w:kinsoku/>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变更设计和所有补充设计；</w:t>
      </w:r>
    </w:p>
    <w:p w14:paraId="42E55ED4">
      <w:pPr>
        <w:pageBreakBefore w:val="0"/>
        <w:numPr>
          <w:ilvl w:val="0"/>
          <w:numId w:val="1"/>
        </w:numPr>
        <w:tabs>
          <w:tab w:val="left" w:pos="0"/>
          <w:tab w:val="left" w:pos="1080"/>
        </w:tabs>
        <w:kinsoku/>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会签设计变更审批表；</w:t>
      </w:r>
    </w:p>
    <w:p w14:paraId="65A5A084">
      <w:pPr>
        <w:pageBreakBefore w:val="0"/>
        <w:numPr>
          <w:ilvl w:val="0"/>
          <w:numId w:val="1"/>
        </w:numPr>
        <w:tabs>
          <w:tab w:val="left" w:pos="0"/>
          <w:tab w:val="left" w:pos="1080"/>
        </w:tabs>
        <w:kinsoku/>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参加处理施工中发生的工程质量和安全事故；</w:t>
      </w:r>
    </w:p>
    <w:p w14:paraId="2323AD37">
      <w:pPr>
        <w:pageBreakBefore w:val="0"/>
        <w:numPr>
          <w:ilvl w:val="0"/>
          <w:numId w:val="1"/>
        </w:numPr>
        <w:tabs>
          <w:tab w:val="left" w:pos="0"/>
          <w:tab w:val="left" w:pos="1080"/>
        </w:tabs>
        <w:kinsoku/>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参加隐蔽工程及工程竣工验收；</w:t>
      </w:r>
    </w:p>
    <w:p w14:paraId="068E22F0">
      <w:pPr>
        <w:pageBreakBefore w:val="0"/>
        <w:numPr>
          <w:ilvl w:val="0"/>
          <w:numId w:val="1"/>
        </w:numPr>
        <w:tabs>
          <w:tab w:val="left" w:pos="0"/>
          <w:tab w:val="left" w:pos="1080"/>
        </w:tabs>
        <w:kinsoku/>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解决与设计有关的施工问题；</w:t>
      </w:r>
    </w:p>
    <w:p w14:paraId="4E2A6C33">
      <w:pPr>
        <w:pageBreakBefore w:val="0"/>
        <w:numPr>
          <w:ilvl w:val="0"/>
          <w:numId w:val="1"/>
        </w:numPr>
        <w:tabs>
          <w:tab w:val="left" w:pos="0"/>
          <w:tab w:val="left" w:pos="1080"/>
        </w:tabs>
        <w:kinsoku/>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配合质量检测；</w:t>
      </w:r>
    </w:p>
    <w:p w14:paraId="5FEC6207">
      <w:pPr>
        <w:pageBreakBefore w:val="0"/>
        <w:numPr>
          <w:ilvl w:val="0"/>
          <w:numId w:val="1"/>
        </w:numPr>
        <w:tabs>
          <w:tab w:val="left" w:pos="0"/>
          <w:tab w:val="left" w:pos="1080"/>
        </w:tabs>
        <w:kinsoku/>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参加审查施工单位的施工组织设计和专项施工方案；</w:t>
      </w:r>
    </w:p>
    <w:p w14:paraId="36B1A348">
      <w:pPr>
        <w:pageBreakBefore w:val="0"/>
        <w:numPr>
          <w:ilvl w:val="0"/>
          <w:numId w:val="1"/>
        </w:numPr>
        <w:tabs>
          <w:tab w:val="left" w:pos="0"/>
          <w:tab w:val="left" w:pos="1080"/>
          <w:tab w:val="left" w:pos="1320"/>
        </w:tabs>
        <w:kinsoku/>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参加本项目建设有关会议；</w:t>
      </w:r>
    </w:p>
    <w:p w14:paraId="3670189F">
      <w:pPr>
        <w:pageBreakBefore w:val="0"/>
        <w:numPr>
          <w:ilvl w:val="0"/>
          <w:numId w:val="1"/>
        </w:numPr>
        <w:tabs>
          <w:tab w:val="left" w:pos="0"/>
          <w:tab w:val="left" w:pos="1080"/>
          <w:tab w:val="left" w:pos="1320"/>
        </w:tabs>
        <w:kinsoku/>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在施工、监理招标期间配合建设及相关单位解释及完善施工图相关内容；</w:t>
      </w:r>
    </w:p>
    <w:p w14:paraId="1EEFE93F">
      <w:pPr>
        <w:pageBreakBefore w:val="0"/>
        <w:numPr>
          <w:ilvl w:val="0"/>
          <w:numId w:val="1"/>
        </w:numPr>
        <w:tabs>
          <w:tab w:val="left" w:pos="0"/>
          <w:tab w:val="left" w:pos="1080"/>
          <w:tab w:val="left" w:pos="1320"/>
        </w:tabs>
        <w:kinsoku/>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配合施工单位完成竣工图绘制，并按档案馆要求，完成必要的签字盖章。</w:t>
      </w:r>
    </w:p>
    <w:p w14:paraId="77FCB61B">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5.6.2</w:t>
      </w:r>
      <w:r>
        <w:rPr>
          <w:rFonts w:hint="eastAsia" w:ascii="宋体" w:hAnsi="宋体" w:eastAsia="宋体" w:cs="宋体"/>
          <w:color w:val="auto"/>
          <w:sz w:val="24"/>
          <w:szCs w:val="24"/>
          <w:highlight w:val="none"/>
        </w:rPr>
        <w:t>设计工作技术总结</w:t>
      </w:r>
    </w:p>
    <w:p w14:paraId="3088E8D2">
      <w:pPr>
        <w:pageBreakBefore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设计人对设计文件及施工过程中发生的补充设计进行检查，并提出设计文件质量检查报告，在竣工验收前交发包人。工程完工后，设计人应组织设计技术工作人员将全部资料进行整理并撰写工程技术总结，并于竣工后十个日历天内完成，交发包人。</w:t>
      </w:r>
    </w:p>
    <w:p w14:paraId="0D694668">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5.7</w:t>
      </w:r>
      <w:r>
        <w:rPr>
          <w:rFonts w:hint="eastAsia" w:ascii="宋体" w:hAnsi="宋体" w:eastAsia="宋体" w:cs="宋体"/>
          <w:b/>
          <w:bCs/>
          <w:color w:val="auto"/>
          <w:sz w:val="24"/>
          <w:szCs w:val="24"/>
          <w:highlight w:val="none"/>
        </w:rPr>
        <w:t>限额设计要求</w:t>
      </w:r>
    </w:p>
    <w:p w14:paraId="104E9987">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rPr>
        <w:t>5.7.</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rPr>
        <w:t>初步设计概算中的建安工程费不得超过投资估算中的建安工程费，施工图预算中的建安工程费不得超过初步设计概算中的建安工程费，在保证设计质量的前提下，</w:t>
      </w:r>
      <w:r>
        <w:rPr>
          <w:rFonts w:hint="eastAsia" w:ascii="宋体" w:hAnsi="宋体" w:eastAsia="宋体" w:cs="宋体"/>
          <w:bCs/>
          <w:color w:val="auto"/>
          <w:sz w:val="24"/>
          <w:szCs w:val="24"/>
          <w:highlight w:val="none"/>
          <w:lang w:eastAsia="zh-CN"/>
        </w:rPr>
        <w:t>设计单位</w:t>
      </w:r>
      <w:r>
        <w:rPr>
          <w:rFonts w:hint="eastAsia" w:ascii="宋体" w:hAnsi="宋体" w:eastAsia="宋体" w:cs="宋体"/>
          <w:bCs/>
          <w:color w:val="auto"/>
          <w:sz w:val="24"/>
          <w:szCs w:val="24"/>
          <w:highlight w:val="none"/>
        </w:rPr>
        <w:t>应按投资限额进行设计，严格控制设计变更，确保工程概算和预算不突破限额目标。如超过则必须进行方案修改，并承诺该修改不改变有关设计和规划的原则、内容与要求，不改变原方案设计的构思，不降低使用功能与设计质量标准，无条件进行优化设计且不计取任何费用，直至不超过投资估算限额为止</w:t>
      </w:r>
      <w:r>
        <w:rPr>
          <w:rFonts w:hint="eastAsia" w:ascii="宋体" w:hAnsi="宋体" w:eastAsia="宋体" w:cs="宋体"/>
          <w:color w:val="auto"/>
          <w:sz w:val="24"/>
          <w:szCs w:val="24"/>
          <w:highlight w:val="none"/>
        </w:rPr>
        <w:t>。</w:t>
      </w:r>
    </w:p>
    <w:p w14:paraId="14E4862A">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rPr>
        <w:t>5.7.</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设计须</w:t>
      </w:r>
      <w:r>
        <w:rPr>
          <w:rFonts w:hint="eastAsia" w:ascii="宋体" w:hAnsi="宋体" w:eastAsia="宋体" w:cs="宋体"/>
          <w:color w:val="auto"/>
          <w:sz w:val="24"/>
          <w:szCs w:val="24"/>
          <w:highlight w:val="none"/>
        </w:rPr>
        <w:t>符合限额设计要求。若</w:t>
      </w:r>
      <w:r>
        <w:rPr>
          <w:rFonts w:hint="eastAsia" w:ascii="宋体" w:hAnsi="宋体" w:eastAsia="宋体" w:cs="宋体"/>
          <w:color w:val="auto"/>
          <w:sz w:val="24"/>
          <w:szCs w:val="24"/>
          <w:highlight w:val="none"/>
          <w:lang w:eastAsia="zh-CN"/>
        </w:rPr>
        <w:t>发包人委托的</w:t>
      </w:r>
      <w:r>
        <w:rPr>
          <w:rFonts w:hint="eastAsia" w:ascii="宋体" w:hAnsi="宋体" w:eastAsia="宋体" w:cs="宋体"/>
          <w:color w:val="auto"/>
          <w:sz w:val="24"/>
          <w:szCs w:val="24"/>
          <w:highlight w:val="none"/>
        </w:rPr>
        <w:t>造价咨询单位按施工图编制的建安工程费高于规定时，承包人必须无条件对施工图进行修改，直至满足限额设计要求。由此造成造价咨询单位重复编制施工图预算的费用、施工图设计重复审查的费用和其他费用由承包人承担，结算时在设计费中扣除。</w:t>
      </w:r>
    </w:p>
    <w:p w14:paraId="6B82A490">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rPr>
        <w:t>5.7.3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设计时需要考虑与周边地块的开发相结合及相关规划方案的要求进行设计。</w:t>
      </w:r>
    </w:p>
    <w:p w14:paraId="1456220D">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rPr>
        <w:t>5.7.4</w:t>
      </w:r>
      <w:r>
        <w:rPr>
          <w:rFonts w:hint="eastAsia" w:ascii="宋体" w:hAnsi="宋体" w:eastAsia="宋体" w:cs="宋体"/>
          <w:color w:val="auto"/>
          <w:sz w:val="24"/>
          <w:szCs w:val="24"/>
          <w:highlight w:val="none"/>
        </w:rPr>
        <w:t xml:space="preserve"> 凡参加本次招标的投标人被视为已充分认识和理解了任何与本项目有关的影响事项和困难等情况。</w:t>
      </w:r>
    </w:p>
    <w:p w14:paraId="7F412BD4">
      <w:pPr>
        <w:pageBreakBefore w:val="0"/>
        <w:kinsoku/>
        <w:overflowPunct/>
        <w:topLinePunct w:val="0"/>
        <w:autoSpaceDE/>
        <w:autoSpaceDN/>
        <w:bidi w:val="0"/>
        <w:adjustRightInd w:val="0"/>
        <w:snapToGrid/>
        <w:spacing w:line="360" w:lineRule="auto"/>
        <w:ind w:firstLine="482"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b/>
          <w:bCs/>
          <w:snapToGrid w:val="0"/>
          <w:color w:val="auto"/>
          <w:kern w:val="0"/>
          <w:sz w:val="24"/>
          <w:szCs w:val="24"/>
          <w:highlight w:val="none"/>
          <w:lang w:val="en-US" w:eastAsia="zh-CN"/>
        </w:rPr>
        <w:t>5.7.5</w:t>
      </w:r>
      <w:r>
        <w:rPr>
          <w:rFonts w:hint="eastAsia" w:ascii="宋体" w:hAnsi="宋体" w:eastAsia="宋体" w:cs="宋体"/>
          <w:b/>
          <w:bCs/>
          <w:snapToGrid w:val="0"/>
          <w:color w:val="auto"/>
          <w:kern w:val="0"/>
          <w:sz w:val="24"/>
          <w:szCs w:val="24"/>
          <w:highlight w:val="none"/>
        </w:rPr>
        <w:t xml:space="preserve"> 同时招标人在实施过程中可根据实际情况对工程规模、任务内容和要求等进行合理、适当的调整。</w:t>
      </w:r>
      <w:r>
        <w:rPr>
          <w:rFonts w:hint="eastAsia" w:ascii="宋体" w:hAnsi="宋体" w:eastAsia="宋体" w:cs="宋体"/>
          <w:b/>
          <w:color w:val="auto"/>
          <w:sz w:val="24"/>
          <w:szCs w:val="24"/>
          <w:highlight w:val="none"/>
          <w:u w:val="single"/>
        </w:rPr>
        <w:t>（注：上述招标内容具体参见可行性研究报告，同时招标人在实施过程中可根据实际情况对工程规模、任务内容等进行合理、适当调整。）</w:t>
      </w:r>
    </w:p>
    <w:p w14:paraId="1141FC12">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left"/>
        <w:textAlignment w:val="auto"/>
        <w:outlineLvl w:val="2"/>
        <w:rPr>
          <w:rFonts w:hint="eastAsia" w:ascii="宋体" w:hAnsi="宋体" w:eastAsia="宋体" w:cs="宋体"/>
          <w:b/>
          <w:bCs/>
          <w:color w:val="auto"/>
          <w:kern w:val="0"/>
          <w:sz w:val="24"/>
          <w:szCs w:val="24"/>
          <w:highlight w:val="none"/>
        </w:rPr>
      </w:pPr>
      <w:bookmarkStart w:id="30" w:name="_Toc6084"/>
    </w:p>
    <w:p w14:paraId="551E593A">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left"/>
        <w:textAlignment w:val="auto"/>
        <w:outlineLvl w:val="2"/>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6．现场踏勘</w:t>
      </w:r>
      <w:bookmarkEnd w:id="29"/>
      <w:bookmarkEnd w:id="30"/>
    </w:p>
    <w:p w14:paraId="4F6F51C5">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6.1</w:t>
      </w:r>
      <w:r>
        <w:rPr>
          <w:rFonts w:hint="eastAsia" w:ascii="宋体" w:hAnsi="宋体" w:eastAsia="宋体" w:cs="宋体"/>
          <w:snapToGrid w:val="0"/>
          <w:color w:val="auto"/>
          <w:kern w:val="0"/>
          <w:sz w:val="24"/>
          <w:szCs w:val="24"/>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7589F6C0">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6.2</w:t>
      </w:r>
      <w:r>
        <w:rPr>
          <w:rFonts w:hint="eastAsia" w:ascii="宋体" w:hAnsi="宋体" w:eastAsia="宋体" w:cs="宋体"/>
          <w:snapToGrid w:val="0"/>
          <w:color w:val="auto"/>
          <w:kern w:val="0"/>
          <w:sz w:val="24"/>
          <w:szCs w:val="24"/>
          <w:highlight w:val="none"/>
        </w:rPr>
        <w:t xml:space="preserve"> 在现场踏勘过程中，投标人应确保自身安全，投标人如果发生人身伤亡、财物或其他损失，法律法规有规定的按有关规定处理，没有规定的由投标人自行负责。</w:t>
      </w:r>
    </w:p>
    <w:p w14:paraId="76039CB0">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6.3</w:t>
      </w:r>
      <w:r>
        <w:rPr>
          <w:rFonts w:hint="eastAsia" w:ascii="宋体" w:hAnsi="宋体" w:eastAsia="宋体" w:cs="宋体"/>
          <w:snapToGrid w:val="0"/>
          <w:color w:val="auto"/>
          <w:kern w:val="0"/>
          <w:sz w:val="24"/>
          <w:szCs w:val="24"/>
          <w:highlight w:val="none"/>
        </w:rPr>
        <w:t xml:space="preserve"> 现场踏勘期间的交通、食宿由投标人自行安排，费用自理。</w:t>
      </w:r>
    </w:p>
    <w:p w14:paraId="1F0B533B">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left"/>
        <w:textAlignment w:val="auto"/>
        <w:outlineLvl w:val="2"/>
        <w:rPr>
          <w:rFonts w:hint="eastAsia" w:ascii="宋体" w:hAnsi="宋体" w:eastAsia="宋体" w:cs="宋体"/>
          <w:b/>
          <w:bCs/>
          <w:color w:val="auto"/>
          <w:kern w:val="0"/>
          <w:sz w:val="24"/>
          <w:szCs w:val="24"/>
          <w:highlight w:val="none"/>
        </w:rPr>
      </w:pPr>
      <w:bookmarkStart w:id="31" w:name="_Toc17134"/>
      <w:bookmarkStart w:id="32" w:name="_Toc10080"/>
    </w:p>
    <w:p w14:paraId="7BAD567B">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left"/>
        <w:textAlignment w:val="auto"/>
        <w:outlineLvl w:val="2"/>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7．招标文件的提问和答疑</w:t>
      </w:r>
      <w:bookmarkEnd w:id="31"/>
      <w:bookmarkEnd w:id="32"/>
      <w:bookmarkStart w:id="33" w:name="_Hlt74496410"/>
      <w:bookmarkEnd w:id="33"/>
    </w:p>
    <w:p w14:paraId="09DAD94E">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bCs/>
          <w:snapToGrid w:val="0"/>
          <w:color w:val="auto"/>
          <w:kern w:val="0"/>
          <w:sz w:val="24"/>
          <w:szCs w:val="24"/>
          <w:highlight w:val="none"/>
        </w:rPr>
        <w:t>7.1</w:t>
      </w:r>
      <w:r>
        <w:rPr>
          <w:rFonts w:hint="eastAsia" w:ascii="宋体" w:hAnsi="宋体" w:eastAsia="宋体" w:cs="宋体"/>
          <w:snapToGrid w:val="0"/>
          <w:color w:val="auto"/>
          <w:kern w:val="0"/>
          <w:sz w:val="24"/>
          <w:szCs w:val="24"/>
          <w:highlight w:val="none"/>
        </w:rPr>
        <w:t xml:space="preserve"> 招标人及招标代理机构不集中组织答疑，实行网上答疑。投标人对招标事宜的质疑以不署名的形式登录全国公共资源交易平台（广东省·韶关市）（https://ygp.gdzwfw.gov.cn/ggzy-portal/#/440200/index），进入建设工程交易系统提出招标质疑，截标前10日停止质疑。招标人应当自收到异议之日起3日内做出答复，并形成答疑书（或补充通知）报相关行政主管部门备案后在报名网站上发布。答疑书（或补充通知）作为招标文件的补充，是招标文件的组成部分，在网上向所有投标人公开</w:t>
      </w:r>
      <w:r>
        <w:rPr>
          <w:rFonts w:hint="eastAsia" w:ascii="宋体" w:hAnsi="宋体" w:eastAsia="宋体" w:cs="宋体"/>
          <w:snapToGrid w:val="0"/>
          <w:color w:val="auto"/>
          <w:kern w:val="0"/>
          <w:sz w:val="24"/>
          <w:szCs w:val="24"/>
          <w:highlight w:val="none"/>
          <w:lang w:bidi="ar"/>
        </w:rPr>
        <w:t>。</w:t>
      </w:r>
    </w:p>
    <w:p w14:paraId="5480A275">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trike/>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7.2 </w:t>
      </w:r>
      <w:r>
        <w:rPr>
          <w:rFonts w:hint="eastAsia" w:ascii="宋体" w:hAnsi="宋体" w:eastAsia="宋体" w:cs="宋体"/>
          <w:snapToGrid w:val="0"/>
          <w:color w:val="auto"/>
          <w:kern w:val="0"/>
          <w:sz w:val="24"/>
          <w:szCs w:val="24"/>
          <w:highlight w:val="none"/>
        </w:rPr>
        <w:t>若由于投标人自身原因未及时获得答疑书（或补充通知），由此发生的任何责任由投标人自行承担。</w:t>
      </w:r>
    </w:p>
    <w:p w14:paraId="0B542AD4">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7.3</w:t>
      </w:r>
      <w:r>
        <w:rPr>
          <w:rFonts w:hint="eastAsia" w:ascii="宋体" w:hAnsi="宋体" w:eastAsia="宋体" w:cs="宋体"/>
          <w:snapToGrid w:val="0"/>
          <w:color w:val="auto"/>
          <w:kern w:val="0"/>
          <w:sz w:val="24"/>
          <w:szCs w:val="24"/>
          <w:highlight w:val="none"/>
        </w:rPr>
        <w:t xml:space="preserve"> 答疑书（或补充通知）对招标文件的修改或补充内容作为招标文件的组成部分，具有约束作用。招标文件的澄清、修改、补充等内容均以答疑书（或补充通知）中明确的内容为准</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snapToGrid w:val="0"/>
          <w:color w:val="auto"/>
          <w:kern w:val="0"/>
          <w:sz w:val="24"/>
          <w:szCs w:val="24"/>
          <w:highlight w:val="none"/>
        </w:rPr>
        <w:t>当招标文件、招标文件的澄清、修改、补充等文件在同一内容的表述上不一致时，以最后发出的答疑书（或补充通知）为准。</w:t>
      </w:r>
    </w:p>
    <w:p w14:paraId="167FEE2E">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7.4 </w:t>
      </w:r>
      <w:r>
        <w:rPr>
          <w:rFonts w:hint="eastAsia" w:ascii="宋体" w:hAnsi="宋体" w:eastAsia="宋体" w:cs="宋体"/>
          <w:snapToGrid w:val="0"/>
          <w:color w:val="auto"/>
          <w:kern w:val="0"/>
          <w:sz w:val="24"/>
          <w:szCs w:val="24"/>
          <w:highlight w:val="none"/>
        </w:rPr>
        <w:t>投标人在规定的时间内未对招标文件提出澄清或疑问的，招标人将视其为无异议。对招标文件中描述有歧意或前后不一致的地方，评标委员会有权进行评判，但对同一条款的评判应适用于每个投标人。</w:t>
      </w:r>
    </w:p>
    <w:p w14:paraId="3932324D">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snapToGrid w:val="0"/>
          <w:color w:val="auto"/>
          <w:sz w:val="24"/>
          <w:highlight w:val="none"/>
        </w:rPr>
      </w:pPr>
      <w:r>
        <w:rPr>
          <w:rFonts w:hint="eastAsia" w:ascii="宋体" w:hAnsi="宋体" w:eastAsia="宋体" w:cs="宋体"/>
          <w:b/>
          <w:bCs/>
          <w:snapToGrid w:val="0"/>
          <w:color w:val="auto"/>
          <w:kern w:val="0"/>
          <w:sz w:val="24"/>
          <w:szCs w:val="24"/>
          <w:highlight w:val="none"/>
        </w:rPr>
        <w:t xml:space="preserve">7.5 </w:t>
      </w:r>
      <w:r>
        <w:rPr>
          <w:rFonts w:hint="eastAsia" w:ascii="宋体" w:hAnsi="宋体" w:eastAsia="宋体" w:cs="宋体"/>
          <w:snapToGrid w:val="0"/>
          <w:color w:val="auto"/>
          <w:kern w:val="0"/>
          <w:sz w:val="24"/>
          <w:szCs w:val="24"/>
          <w:highlight w:val="none"/>
        </w:rPr>
        <w:t>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bookmarkStart w:id="34" w:name="_Hlt69699188"/>
      <w:bookmarkEnd w:id="34"/>
      <w:bookmarkStart w:id="35" w:name="_Hlt92513711"/>
      <w:bookmarkEnd w:id="35"/>
      <w:bookmarkStart w:id="36" w:name="_Hlt92513715"/>
      <w:bookmarkEnd w:id="36"/>
      <w:bookmarkStart w:id="37" w:name="_Toc23312"/>
    </w:p>
    <w:p w14:paraId="011FF704">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left"/>
        <w:textAlignment w:val="auto"/>
        <w:outlineLvl w:val="2"/>
        <w:rPr>
          <w:rFonts w:hint="eastAsia" w:ascii="宋体" w:hAnsi="宋体" w:eastAsia="宋体" w:cs="宋体"/>
          <w:b/>
          <w:bCs/>
          <w:color w:val="auto"/>
          <w:kern w:val="0"/>
          <w:sz w:val="24"/>
          <w:szCs w:val="24"/>
          <w:highlight w:val="none"/>
        </w:rPr>
      </w:pPr>
      <w:bookmarkStart w:id="38" w:name="_Toc32628"/>
    </w:p>
    <w:p w14:paraId="4722B5F7">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left"/>
        <w:textAlignment w:val="auto"/>
        <w:outlineLvl w:val="2"/>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8．</w:t>
      </w:r>
      <w:bookmarkEnd w:id="37"/>
      <w:r>
        <w:rPr>
          <w:rFonts w:hint="eastAsia" w:ascii="宋体" w:hAnsi="宋体" w:eastAsia="宋体" w:cs="宋体"/>
          <w:b/>
          <w:bCs/>
          <w:color w:val="auto"/>
          <w:kern w:val="0"/>
          <w:sz w:val="24"/>
          <w:szCs w:val="24"/>
          <w:highlight w:val="none"/>
        </w:rPr>
        <w:t>最高投标限价的确定</w:t>
      </w:r>
      <w:bookmarkEnd w:id="38"/>
    </w:p>
    <w:p w14:paraId="7B62B40D">
      <w:pPr>
        <w:pageBreakBefore w:val="0"/>
        <w:kinsoku/>
        <w:overflowPunct/>
        <w:topLinePunct w:val="0"/>
        <w:autoSpaceDE/>
        <w:autoSpaceDN/>
        <w:bidi w:val="0"/>
        <w:spacing w:line="360" w:lineRule="auto"/>
        <w:ind w:firstLine="482" w:firstLineChars="200"/>
        <w:textAlignment w:val="auto"/>
        <w:rPr>
          <w:rFonts w:hint="eastAsia" w:ascii="宋体" w:hAnsi="宋体" w:eastAsia="宋体" w:cs="宋体"/>
          <w:snapToGrid w:val="0"/>
          <w:color w:val="auto"/>
          <w:kern w:val="0"/>
          <w:sz w:val="24"/>
          <w:szCs w:val="32"/>
          <w:highlight w:val="none"/>
          <w:lang w:val="en-US" w:eastAsia="zh-CN"/>
        </w:rPr>
      </w:pPr>
      <w:r>
        <w:rPr>
          <w:rFonts w:hint="eastAsia" w:ascii="宋体" w:hAnsi="宋体" w:eastAsia="宋体" w:cs="宋体"/>
          <w:b/>
          <w:bCs/>
          <w:snapToGrid w:val="0"/>
          <w:color w:val="auto"/>
          <w:kern w:val="0"/>
          <w:sz w:val="24"/>
          <w:szCs w:val="24"/>
          <w:highlight w:val="none"/>
        </w:rPr>
        <w:t>8.1</w:t>
      </w:r>
      <w:r>
        <w:rPr>
          <w:rFonts w:hint="eastAsia" w:ascii="宋体" w:hAnsi="宋体" w:eastAsia="宋体" w:cs="宋体"/>
          <w:snapToGrid w:val="0"/>
          <w:color w:val="auto"/>
          <w:kern w:val="0"/>
          <w:sz w:val="24"/>
          <w:szCs w:val="24"/>
          <w:highlight w:val="none"/>
        </w:rPr>
        <w:t xml:space="preserve"> 经</w:t>
      </w:r>
      <w:r>
        <w:rPr>
          <w:rFonts w:hint="eastAsia" w:ascii="宋体" w:hAnsi="宋体" w:eastAsia="宋体" w:cs="宋体"/>
          <w:snapToGrid w:val="0"/>
          <w:color w:val="auto"/>
          <w:kern w:val="0"/>
          <w:sz w:val="24"/>
          <w:szCs w:val="24"/>
          <w:highlight w:val="none"/>
          <w:lang w:val="en-US" w:eastAsia="zh-CN"/>
        </w:rPr>
        <w:t>招标人</w:t>
      </w:r>
      <w:r>
        <w:rPr>
          <w:rFonts w:hint="eastAsia" w:ascii="宋体" w:hAnsi="宋体" w:eastAsia="宋体" w:cs="宋体"/>
          <w:snapToGrid w:val="0"/>
          <w:color w:val="auto"/>
          <w:kern w:val="0"/>
          <w:sz w:val="24"/>
          <w:szCs w:val="24"/>
          <w:highlight w:val="none"/>
        </w:rPr>
        <w:t>研究确定，本次</w:t>
      </w:r>
      <w:r>
        <w:rPr>
          <w:rFonts w:hint="eastAsia" w:ascii="宋体" w:hAnsi="宋体" w:eastAsia="宋体" w:cs="宋体"/>
          <w:snapToGrid w:val="0"/>
          <w:color w:val="auto"/>
          <w:kern w:val="0"/>
          <w:sz w:val="24"/>
          <w:szCs w:val="24"/>
          <w:highlight w:val="none"/>
          <w:lang w:val="en-US" w:eastAsia="zh-CN"/>
        </w:rPr>
        <w:t>勘察设计费</w:t>
      </w:r>
      <w:r>
        <w:rPr>
          <w:rFonts w:hint="eastAsia" w:ascii="宋体" w:hAnsi="宋体" w:eastAsia="宋体" w:cs="宋体"/>
          <w:snapToGrid w:val="0"/>
          <w:color w:val="auto"/>
          <w:kern w:val="0"/>
          <w:sz w:val="24"/>
          <w:szCs w:val="24"/>
          <w:highlight w:val="none"/>
        </w:rPr>
        <w:t>招标最高投标限价为：</w:t>
      </w:r>
      <w:r>
        <w:rPr>
          <w:rFonts w:hint="eastAsia" w:ascii="宋体" w:hAnsi="宋体" w:cs="宋体"/>
          <w:snapToGrid w:val="0"/>
          <w:color w:val="auto"/>
          <w:kern w:val="0"/>
          <w:sz w:val="24"/>
          <w:szCs w:val="24"/>
          <w:highlight w:val="none"/>
          <w:u w:val="single"/>
          <w:lang w:val="en-US" w:eastAsia="zh-CN"/>
        </w:rPr>
        <w:t>壹仟零捌拾伍万陆仟柒佰陆拾元玖角捌分</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u w:val="single"/>
          <w:lang w:val="en-US" w:eastAsia="zh-CN"/>
        </w:rPr>
        <w:t>10,856,760.98</w:t>
      </w:r>
      <w:r>
        <w:rPr>
          <w:rFonts w:hint="eastAsia" w:ascii="宋体" w:hAnsi="宋体" w:eastAsia="宋体" w:cs="宋体"/>
          <w:snapToGrid w:val="0"/>
          <w:color w:val="auto"/>
          <w:kern w:val="0"/>
          <w:sz w:val="24"/>
          <w:szCs w:val="24"/>
          <w:highlight w:val="none"/>
          <w:u w:val="single"/>
        </w:rPr>
        <w:t>元）</w:t>
      </w:r>
      <w:r>
        <w:rPr>
          <w:rFonts w:hint="eastAsia" w:ascii="宋体" w:hAnsi="宋体" w:eastAsia="宋体" w:cs="宋体"/>
          <w:snapToGrid w:val="0"/>
          <w:color w:val="auto"/>
          <w:kern w:val="0"/>
          <w:sz w:val="24"/>
          <w:szCs w:val="24"/>
          <w:highlight w:val="none"/>
          <w:u w:val="single"/>
          <w:lang w:eastAsia="zh-CN"/>
        </w:rPr>
        <w:t>。</w:t>
      </w:r>
      <w:r>
        <w:rPr>
          <w:rFonts w:hint="eastAsia" w:ascii="宋体" w:hAnsi="宋体" w:eastAsia="宋体" w:cs="宋体"/>
          <w:snapToGrid w:val="0"/>
          <w:color w:val="auto"/>
          <w:kern w:val="0"/>
          <w:sz w:val="24"/>
          <w:szCs w:val="32"/>
          <w:highlight w:val="none"/>
        </w:rPr>
        <w:t>具体详见下表：</w:t>
      </w:r>
    </w:p>
    <w:tbl>
      <w:tblPr>
        <w:tblStyle w:val="33"/>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812"/>
        <w:gridCol w:w="1133"/>
        <w:gridCol w:w="1750"/>
        <w:gridCol w:w="1834"/>
        <w:gridCol w:w="3352"/>
      </w:tblGrid>
      <w:tr w14:paraId="5CC3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536" w:type="dxa"/>
            <w:noWrap w:val="0"/>
            <w:vAlign w:val="center"/>
          </w:tcPr>
          <w:p w14:paraId="22D375C1">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序号</w:t>
            </w:r>
          </w:p>
        </w:tc>
        <w:tc>
          <w:tcPr>
            <w:tcW w:w="1812" w:type="dxa"/>
            <w:noWrap w:val="0"/>
            <w:vAlign w:val="center"/>
          </w:tcPr>
          <w:p w14:paraId="00D47E19">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项目名称</w:t>
            </w:r>
          </w:p>
        </w:tc>
        <w:tc>
          <w:tcPr>
            <w:tcW w:w="1133" w:type="dxa"/>
            <w:noWrap w:val="0"/>
            <w:vAlign w:val="center"/>
          </w:tcPr>
          <w:p w14:paraId="749A986C">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报价基数</w:t>
            </w:r>
          </w:p>
          <w:p w14:paraId="17649FAD">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（米/元）</w:t>
            </w:r>
          </w:p>
        </w:tc>
        <w:tc>
          <w:tcPr>
            <w:tcW w:w="1750" w:type="dxa"/>
            <w:noWrap w:val="0"/>
            <w:vAlign w:val="center"/>
          </w:tcPr>
          <w:p w14:paraId="6E1D7C83">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综合单价上限/报价费率上限</w:t>
            </w:r>
          </w:p>
        </w:tc>
        <w:tc>
          <w:tcPr>
            <w:tcW w:w="1834" w:type="dxa"/>
            <w:noWrap w:val="0"/>
            <w:vAlign w:val="center"/>
          </w:tcPr>
          <w:p w14:paraId="3B521172">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最高投标限价（元）</w:t>
            </w:r>
          </w:p>
        </w:tc>
        <w:tc>
          <w:tcPr>
            <w:tcW w:w="3352" w:type="dxa"/>
            <w:shd w:val="clear" w:color="auto" w:fill="auto"/>
            <w:noWrap w:val="0"/>
            <w:vAlign w:val="center"/>
          </w:tcPr>
          <w:p w14:paraId="389CC8F2">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备注</w:t>
            </w:r>
          </w:p>
        </w:tc>
      </w:tr>
      <w:tr w14:paraId="42F1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536" w:type="dxa"/>
            <w:noWrap w:val="0"/>
            <w:vAlign w:val="center"/>
          </w:tcPr>
          <w:p w14:paraId="5DAB8CDE">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w:t>
            </w:r>
          </w:p>
        </w:tc>
        <w:tc>
          <w:tcPr>
            <w:tcW w:w="1812" w:type="dxa"/>
            <w:noWrap w:val="0"/>
            <w:vAlign w:val="center"/>
          </w:tcPr>
          <w:p w14:paraId="2E2C35B6">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勘察费</w:t>
            </w:r>
          </w:p>
        </w:tc>
        <w:tc>
          <w:tcPr>
            <w:tcW w:w="1133" w:type="dxa"/>
            <w:noWrap w:val="0"/>
            <w:vAlign w:val="center"/>
          </w:tcPr>
          <w:p w14:paraId="48E70FEC">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8</w:t>
            </w:r>
            <w:r>
              <w:rPr>
                <w:rFonts w:hint="eastAsia" w:ascii="宋体" w:hAnsi="宋体" w:eastAsia="宋体" w:cs="宋体"/>
                <w:b w:val="0"/>
                <w:bCs w:val="0"/>
                <w:color w:val="auto"/>
                <w:kern w:val="2"/>
                <w:sz w:val="21"/>
                <w:szCs w:val="21"/>
                <w:highlight w:val="none"/>
                <w:lang w:val="en-US" w:eastAsia="zh-CN" w:bidi="ar-SA"/>
              </w:rPr>
              <w:t>000米</w:t>
            </w:r>
          </w:p>
        </w:tc>
        <w:tc>
          <w:tcPr>
            <w:tcW w:w="1750" w:type="dxa"/>
            <w:noWrap w:val="0"/>
            <w:vAlign w:val="center"/>
          </w:tcPr>
          <w:p w14:paraId="30FB2B20">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120</w:t>
            </w:r>
            <w:r>
              <w:rPr>
                <w:rFonts w:hint="eastAsia" w:ascii="宋体" w:hAnsi="宋体" w:eastAsia="宋体" w:cs="宋体"/>
                <w:b w:val="0"/>
                <w:bCs w:val="0"/>
                <w:color w:val="auto"/>
                <w:kern w:val="2"/>
                <w:sz w:val="21"/>
                <w:szCs w:val="21"/>
                <w:highlight w:val="none"/>
                <w:lang w:val="en-US" w:eastAsia="zh-CN" w:bidi="ar-SA"/>
              </w:rPr>
              <w:t>元/米</w:t>
            </w:r>
          </w:p>
        </w:tc>
        <w:tc>
          <w:tcPr>
            <w:tcW w:w="1834" w:type="dxa"/>
            <w:noWrap w:val="0"/>
            <w:vAlign w:val="center"/>
          </w:tcPr>
          <w:p w14:paraId="6147437E">
            <w:pPr>
              <w:pStyle w:val="80"/>
              <w:pageBreakBefore w:val="0"/>
              <w:widowControl w:val="0"/>
              <w:kinsoku/>
              <w:wordWrap/>
              <w:overflowPunct/>
              <w:topLinePunct w:val="0"/>
              <w:bidi w:val="0"/>
              <w:snapToGrid/>
              <w:spacing w:line="240" w:lineRule="auto"/>
              <w:jc w:val="center"/>
              <w:textAlignment w:val="auto"/>
              <w:rPr>
                <w:rFonts w:hint="default" w:ascii="宋体"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960000.00</w:t>
            </w:r>
          </w:p>
        </w:tc>
        <w:tc>
          <w:tcPr>
            <w:tcW w:w="3352" w:type="dxa"/>
            <w:shd w:val="clear" w:color="auto" w:fill="auto"/>
            <w:noWrap w:val="0"/>
            <w:vAlign w:val="center"/>
          </w:tcPr>
          <w:p w14:paraId="218E5792">
            <w:pPr>
              <w:pStyle w:val="80"/>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lang w:val="en-US" w:eastAsia="zh-CN"/>
              </w:rPr>
              <w:t>投标人报综合单价和总价，勘察综合单价≤</w:t>
            </w:r>
            <w:r>
              <w:rPr>
                <w:rFonts w:hint="eastAsia" w:hAnsi="宋体" w:cs="宋体"/>
                <w:b w:val="0"/>
                <w:bCs w:val="0"/>
                <w:color w:val="auto"/>
                <w:kern w:val="2"/>
                <w:sz w:val="21"/>
                <w:szCs w:val="21"/>
                <w:highlight w:val="none"/>
                <w:lang w:val="en-US" w:eastAsia="zh-CN" w:bidi="ar-SA"/>
              </w:rPr>
              <w:t>120</w:t>
            </w:r>
            <w:r>
              <w:rPr>
                <w:rFonts w:hint="eastAsia" w:ascii="宋体" w:hAnsi="宋体" w:eastAsia="宋体" w:cs="宋体"/>
                <w:b w:val="0"/>
                <w:bCs w:val="0"/>
                <w:color w:val="auto"/>
                <w:kern w:val="2"/>
                <w:sz w:val="21"/>
                <w:szCs w:val="21"/>
                <w:highlight w:val="none"/>
                <w:lang w:val="en-US" w:eastAsia="zh-CN" w:bidi="ar-SA"/>
              </w:rPr>
              <w:t>元/米，勘察费最高投标限价以暂定得工程量</w:t>
            </w:r>
            <w:r>
              <w:rPr>
                <w:rFonts w:hint="eastAsia" w:hAnsi="宋体" w:cs="宋体"/>
                <w:b w:val="0"/>
                <w:bCs w:val="0"/>
                <w:color w:val="auto"/>
                <w:kern w:val="2"/>
                <w:sz w:val="21"/>
                <w:szCs w:val="21"/>
                <w:highlight w:val="none"/>
                <w:lang w:val="en-US" w:eastAsia="zh-CN" w:bidi="ar-SA"/>
              </w:rPr>
              <w:t>8</w:t>
            </w:r>
            <w:r>
              <w:rPr>
                <w:rFonts w:hint="eastAsia" w:ascii="宋体" w:hAnsi="宋体" w:eastAsia="宋体" w:cs="宋体"/>
                <w:b w:val="0"/>
                <w:bCs w:val="0"/>
                <w:color w:val="auto"/>
                <w:kern w:val="2"/>
                <w:sz w:val="21"/>
                <w:szCs w:val="21"/>
                <w:highlight w:val="none"/>
                <w:lang w:val="en-US" w:eastAsia="zh-CN" w:bidi="ar-SA"/>
              </w:rPr>
              <w:t>000米为基数计取，在勘察费最高投标限价范围内按实际工程量进行结算。</w:t>
            </w:r>
          </w:p>
        </w:tc>
      </w:tr>
      <w:tr w14:paraId="0F06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36" w:type="dxa"/>
            <w:noWrap w:val="0"/>
            <w:vAlign w:val="center"/>
          </w:tcPr>
          <w:p w14:paraId="5796110B">
            <w:pPr>
              <w:pStyle w:val="80"/>
              <w:pageBreakBefore w:val="0"/>
              <w:widowControl w:val="0"/>
              <w:kinsoku/>
              <w:wordWrap/>
              <w:overflowPunct/>
              <w:topLinePunct w:val="0"/>
              <w:bidi w:val="0"/>
              <w:snapToGrid/>
              <w:spacing w:line="240" w:lineRule="auto"/>
              <w:jc w:val="center"/>
              <w:textAlignment w:val="auto"/>
              <w:rPr>
                <w:rFonts w:hint="default" w:ascii="宋体"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2</w:t>
            </w:r>
          </w:p>
        </w:tc>
        <w:tc>
          <w:tcPr>
            <w:tcW w:w="1812" w:type="dxa"/>
            <w:noWrap w:val="0"/>
            <w:vAlign w:val="center"/>
          </w:tcPr>
          <w:p w14:paraId="1C126915">
            <w:pPr>
              <w:pStyle w:val="80"/>
              <w:pageBreakBefore w:val="0"/>
              <w:widowControl w:val="0"/>
              <w:kinsoku/>
              <w:wordWrap/>
              <w:overflowPunct/>
              <w:topLinePunct w:val="0"/>
              <w:bidi w:val="0"/>
              <w:snapToGrid/>
              <w:spacing w:line="240" w:lineRule="auto"/>
              <w:jc w:val="center"/>
              <w:textAlignment w:val="auto"/>
              <w:rPr>
                <w:rFonts w:hint="default" w:ascii="宋体"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设计费</w:t>
            </w:r>
          </w:p>
        </w:tc>
        <w:tc>
          <w:tcPr>
            <w:tcW w:w="1133" w:type="dxa"/>
            <w:noWrap w:val="0"/>
            <w:vAlign w:val="center"/>
          </w:tcPr>
          <w:p w14:paraId="22E3FB87">
            <w:pPr>
              <w:pStyle w:val="80"/>
              <w:pageBreakBefore w:val="0"/>
              <w:widowControl w:val="0"/>
              <w:kinsoku/>
              <w:wordWrap/>
              <w:overflowPunct/>
              <w:topLinePunct w:val="0"/>
              <w:bidi w:val="0"/>
              <w:snapToGrid/>
              <w:spacing w:line="240" w:lineRule="auto"/>
              <w:jc w:val="center"/>
              <w:textAlignment w:val="auto"/>
              <w:rPr>
                <w:rFonts w:hint="default" w:hAnsi="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w:t>
            </w:r>
          </w:p>
        </w:tc>
        <w:tc>
          <w:tcPr>
            <w:tcW w:w="1750" w:type="dxa"/>
            <w:noWrap w:val="0"/>
            <w:vAlign w:val="center"/>
          </w:tcPr>
          <w:p w14:paraId="32D35586">
            <w:pPr>
              <w:pStyle w:val="80"/>
              <w:pageBreakBefore w:val="0"/>
              <w:widowControl w:val="0"/>
              <w:kinsoku/>
              <w:wordWrap/>
              <w:overflowPunct/>
              <w:topLinePunct w:val="0"/>
              <w:bidi w:val="0"/>
              <w:snapToGrid/>
              <w:spacing w:line="240" w:lineRule="auto"/>
              <w:jc w:val="center"/>
              <w:textAlignment w:val="auto"/>
              <w:rPr>
                <w:rFonts w:hint="default" w:hAnsi="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w:t>
            </w:r>
          </w:p>
        </w:tc>
        <w:tc>
          <w:tcPr>
            <w:tcW w:w="1834" w:type="dxa"/>
            <w:noWrap w:val="0"/>
            <w:vAlign w:val="center"/>
          </w:tcPr>
          <w:p w14:paraId="130B02F3">
            <w:pPr>
              <w:pStyle w:val="80"/>
              <w:pageBreakBefore w:val="0"/>
              <w:widowControl w:val="0"/>
              <w:kinsoku/>
              <w:wordWrap/>
              <w:overflowPunct/>
              <w:topLinePunct w:val="0"/>
              <w:bidi w:val="0"/>
              <w:snapToGrid/>
              <w:spacing w:line="240" w:lineRule="auto"/>
              <w:jc w:val="center"/>
              <w:textAlignment w:val="auto"/>
              <w:rPr>
                <w:rFonts w:hint="default" w:hAnsi="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9896760.98</w:t>
            </w:r>
          </w:p>
        </w:tc>
        <w:tc>
          <w:tcPr>
            <w:tcW w:w="3352" w:type="dxa"/>
            <w:vMerge w:val="restart"/>
            <w:shd w:val="clear" w:color="auto" w:fill="auto"/>
            <w:noWrap w:val="0"/>
            <w:vAlign w:val="center"/>
          </w:tcPr>
          <w:p w14:paraId="7BA8B649">
            <w:pPr>
              <w:pStyle w:val="80"/>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投标人报价费率和总价，设计报价费率=设计费投标报价/暂定建安工程费。结算时按已审定的建安工程费预算价为计费基数计算。</w:t>
            </w:r>
          </w:p>
        </w:tc>
      </w:tr>
      <w:tr w14:paraId="7924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536" w:type="dxa"/>
            <w:noWrap w:val="0"/>
            <w:vAlign w:val="center"/>
          </w:tcPr>
          <w:p w14:paraId="2DBD3708">
            <w:pPr>
              <w:pStyle w:val="80"/>
              <w:pageBreakBefore w:val="0"/>
              <w:widowControl w:val="0"/>
              <w:kinsoku/>
              <w:wordWrap/>
              <w:overflowPunct/>
              <w:topLinePunct w:val="0"/>
              <w:bidi w:val="0"/>
              <w:snapToGrid/>
              <w:spacing w:line="240" w:lineRule="auto"/>
              <w:jc w:val="center"/>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w:t>
            </w:r>
            <w:r>
              <w:rPr>
                <w:rFonts w:hint="eastAsia" w:hAnsi="宋体" w:cs="宋体"/>
                <w:b w:val="0"/>
                <w:bCs w:val="0"/>
                <w:color w:val="auto"/>
                <w:kern w:val="2"/>
                <w:sz w:val="21"/>
                <w:szCs w:val="21"/>
                <w:highlight w:val="none"/>
                <w:lang w:val="en-US" w:eastAsia="zh-CN" w:bidi="ar-SA"/>
              </w:rPr>
              <w:t>.1</w:t>
            </w:r>
          </w:p>
        </w:tc>
        <w:tc>
          <w:tcPr>
            <w:tcW w:w="1812" w:type="dxa"/>
            <w:noWrap w:val="0"/>
            <w:vAlign w:val="center"/>
          </w:tcPr>
          <w:p w14:paraId="38D592ED">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rPr>
              <w:t>场地平整、边坡支护、地基处理及临时排水工程</w:t>
            </w:r>
          </w:p>
        </w:tc>
        <w:tc>
          <w:tcPr>
            <w:tcW w:w="1133" w:type="dxa"/>
            <w:noWrap w:val="0"/>
            <w:vAlign w:val="center"/>
          </w:tcPr>
          <w:p w14:paraId="3332EA0A">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393941500.00</w:t>
            </w:r>
          </w:p>
        </w:tc>
        <w:tc>
          <w:tcPr>
            <w:tcW w:w="1750" w:type="dxa"/>
            <w:noWrap w:val="0"/>
            <w:vAlign w:val="center"/>
          </w:tcPr>
          <w:p w14:paraId="00BE554D">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 </w:t>
            </w:r>
            <w:r>
              <w:rPr>
                <w:rFonts w:hint="eastAsia" w:hAnsi="宋体" w:cs="宋体"/>
                <w:b w:val="0"/>
                <w:bCs w:val="0"/>
                <w:color w:val="auto"/>
                <w:kern w:val="2"/>
                <w:sz w:val="21"/>
                <w:szCs w:val="21"/>
                <w:highlight w:val="none"/>
                <w:lang w:val="en-US" w:eastAsia="zh-CN" w:bidi="ar-SA"/>
              </w:rPr>
              <w:t>0.448</w:t>
            </w:r>
            <w:r>
              <w:rPr>
                <w:rFonts w:hint="eastAsia" w:ascii="宋体" w:hAnsi="宋体" w:eastAsia="宋体" w:cs="宋体"/>
                <w:b w:val="0"/>
                <w:bCs w:val="0"/>
                <w:color w:val="auto"/>
                <w:kern w:val="2"/>
                <w:sz w:val="21"/>
                <w:szCs w:val="21"/>
                <w:highlight w:val="none"/>
                <w:lang w:val="en-US" w:eastAsia="zh-CN" w:bidi="ar-SA"/>
              </w:rPr>
              <w:t>%</w:t>
            </w:r>
          </w:p>
        </w:tc>
        <w:tc>
          <w:tcPr>
            <w:tcW w:w="1834" w:type="dxa"/>
            <w:noWrap w:val="0"/>
            <w:vAlign w:val="center"/>
          </w:tcPr>
          <w:p w14:paraId="69C1E312">
            <w:pPr>
              <w:pStyle w:val="80"/>
              <w:pageBreakBefore w:val="0"/>
              <w:widowControl w:val="0"/>
              <w:kinsoku/>
              <w:wordWrap/>
              <w:overflowPunct/>
              <w:topLinePunct w:val="0"/>
              <w:bidi w:val="0"/>
              <w:snapToGrid/>
              <w:spacing w:line="240" w:lineRule="auto"/>
              <w:jc w:val="center"/>
              <w:textAlignment w:val="auto"/>
              <w:rPr>
                <w:rFonts w:hint="default" w:ascii="宋体"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1766710.54</w:t>
            </w:r>
          </w:p>
        </w:tc>
        <w:tc>
          <w:tcPr>
            <w:tcW w:w="3352" w:type="dxa"/>
            <w:vMerge w:val="continue"/>
            <w:shd w:val="clear" w:color="auto" w:fill="auto"/>
            <w:noWrap w:val="0"/>
            <w:vAlign w:val="center"/>
          </w:tcPr>
          <w:p w14:paraId="7C0039CA">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p>
        </w:tc>
      </w:tr>
      <w:tr w14:paraId="0157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536" w:type="dxa"/>
            <w:noWrap w:val="0"/>
            <w:vAlign w:val="center"/>
          </w:tcPr>
          <w:p w14:paraId="7BCA2FEC">
            <w:pPr>
              <w:pStyle w:val="80"/>
              <w:pageBreakBefore w:val="0"/>
              <w:widowControl w:val="0"/>
              <w:kinsoku/>
              <w:wordWrap/>
              <w:overflowPunct/>
              <w:topLinePunct w:val="0"/>
              <w:bidi w:val="0"/>
              <w:snapToGrid/>
              <w:spacing w:line="240" w:lineRule="auto"/>
              <w:jc w:val="center"/>
              <w:textAlignment w:val="auto"/>
              <w:rPr>
                <w:rFonts w:hint="default" w:ascii="宋体"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2.2</w:t>
            </w:r>
          </w:p>
        </w:tc>
        <w:tc>
          <w:tcPr>
            <w:tcW w:w="1812" w:type="dxa"/>
            <w:noWrap w:val="0"/>
            <w:vAlign w:val="center"/>
          </w:tcPr>
          <w:p w14:paraId="7D312BCF">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道路及配套</w:t>
            </w:r>
            <w:r>
              <w:rPr>
                <w:rFonts w:hint="eastAsia" w:hAnsi="宋体" w:cs="宋体"/>
                <w:b w:val="0"/>
                <w:bCs w:val="0"/>
                <w:color w:val="auto"/>
                <w:kern w:val="2"/>
                <w:sz w:val="21"/>
                <w:szCs w:val="21"/>
                <w:highlight w:val="none"/>
                <w:lang w:val="en-US" w:eastAsia="zh-CN" w:bidi="ar-SA"/>
              </w:rPr>
              <w:t>设施</w:t>
            </w:r>
            <w:r>
              <w:rPr>
                <w:rFonts w:hint="eastAsia" w:ascii="宋体" w:hAnsi="宋体" w:eastAsia="宋体" w:cs="宋体"/>
                <w:b w:val="0"/>
                <w:bCs w:val="0"/>
                <w:color w:val="auto"/>
                <w:kern w:val="2"/>
                <w:sz w:val="21"/>
                <w:szCs w:val="21"/>
                <w:highlight w:val="none"/>
                <w:lang w:val="en-US" w:eastAsia="zh-CN" w:bidi="ar-SA"/>
              </w:rPr>
              <w:t>工程</w:t>
            </w:r>
          </w:p>
        </w:tc>
        <w:tc>
          <w:tcPr>
            <w:tcW w:w="1133" w:type="dxa"/>
            <w:noWrap w:val="0"/>
            <w:vAlign w:val="center"/>
          </w:tcPr>
          <w:p w14:paraId="31D18641">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530532700.00</w:t>
            </w:r>
          </w:p>
        </w:tc>
        <w:tc>
          <w:tcPr>
            <w:tcW w:w="1750" w:type="dxa"/>
            <w:noWrap w:val="0"/>
            <w:vAlign w:val="center"/>
          </w:tcPr>
          <w:p w14:paraId="1333FCEA">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w:t>
            </w:r>
            <w:r>
              <w:rPr>
                <w:rFonts w:hint="eastAsia" w:hAnsi="宋体" w:cs="宋体"/>
                <w:b w:val="0"/>
                <w:bCs w:val="0"/>
                <w:color w:val="auto"/>
                <w:kern w:val="2"/>
                <w:sz w:val="21"/>
                <w:szCs w:val="21"/>
                <w:highlight w:val="none"/>
                <w:lang w:val="en-US" w:eastAsia="zh-CN" w:bidi="ar-SA"/>
              </w:rPr>
              <w:t>1.532</w:t>
            </w:r>
            <w:r>
              <w:rPr>
                <w:rFonts w:hint="eastAsia" w:ascii="宋体" w:hAnsi="宋体" w:eastAsia="宋体" w:cs="宋体"/>
                <w:b w:val="0"/>
                <w:bCs w:val="0"/>
                <w:color w:val="auto"/>
                <w:kern w:val="2"/>
                <w:sz w:val="21"/>
                <w:szCs w:val="21"/>
                <w:highlight w:val="none"/>
                <w:lang w:val="en-US" w:eastAsia="zh-CN" w:bidi="ar-SA"/>
              </w:rPr>
              <w:t>%</w:t>
            </w:r>
          </w:p>
        </w:tc>
        <w:tc>
          <w:tcPr>
            <w:tcW w:w="1834" w:type="dxa"/>
            <w:noWrap w:val="0"/>
            <w:vAlign w:val="center"/>
          </w:tcPr>
          <w:p w14:paraId="2EDC3DAF">
            <w:pPr>
              <w:pStyle w:val="80"/>
              <w:pageBreakBefore w:val="0"/>
              <w:widowControl w:val="0"/>
              <w:kinsoku/>
              <w:wordWrap/>
              <w:overflowPunct/>
              <w:topLinePunct w:val="0"/>
              <w:bidi w:val="0"/>
              <w:snapToGrid/>
              <w:spacing w:line="240" w:lineRule="auto"/>
              <w:jc w:val="center"/>
              <w:textAlignment w:val="auto"/>
              <w:rPr>
                <w:rFonts w:hint="default" w:ascii="宋体"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8130050.44</w:t>
            </w:r>
          </w:p>
        </w:tc>
        <w:tc>
          <w:tcPr>
            <w:tcW w:w="3352" w:type="dxa"/>
            <w:vMerge w:val="continue"/>
            <w:shd w:val="clear" w:color="auto" w:fill="auto"/>
            <w:noWrap w:val="0"/>
            <w:vAlign w:val="center"/>
          </w:tcPr>
          <w:p w14:paraId="5179AF8C">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p>
        </w:tc>
      </w:tr>
      <w:tr w14:paraId="517F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5231" w:type="dxa"/>
            <w:gridSpan w:val="4"/>
            <w:noWrap w:val="0"/>
            <w:vAlign w:val="center"/>
          </w:tcPr>
          <w:p w14:paraId="7857038A">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合计</w:t>
            </w:r>
            <w:r>
              <w:rPr>
                <w:rFonts w:hint="eastAsia" w:hAnsi="宋体" w:cs="宋体"/>
                <w:b/>
                <w:bCs/>
                <w:color w:val="auto"/>
                <w:kern w:val="2"/>
                <w:sz w:val="21"/>
                <w:szCs w:val="21"/>
                <w:highlight w:val="none"/>
                <w:lang w:val="en-US" w:eastAsia="zh-CN" w:bidi="ar-SA"/>
              </w:rPr>
              <w:t>（1+2）</w:t>
            </w:r>
            <w:r>
              <w:rPr>
                <w:rFonts w:hint="eastAsia" w:ascii="宋体" w:hAnsi="宋体" w:eastAsia="宋体" w:cs="宋体"/>
                <w:b/>
                <w:bCs/>
                <w:color w:val="auto"/>
                <w:kern w:val="2"/>
                <w:sz w:val="21"/>
                <w:szCs w:val="21"/>
                <w:highlight w:val="none"/>
                <w:lang w:val="en-US" w:eastAsia="zh-CN" w:bidi="ar-SA"/>
              </w:rPr>
              <w:t>（元）</w:t>
            </w:r>
          </w:p>
        </w:tc>
        <w:tc>
          <w:tcPr>
            <w:tcW w:w="1834" w:type="dxa"/>
            <w:noWrap w:val="0"/>
            <w:vAlign w:val="center"/>
          </w:tcPr>
          <w:p w14:paraId="4DF13A38">
            <w:pPr>
              <w:pStyle w:val="80"/>
              <w:pageBreakBefore w:val="0"/>
              <w:widowControl w:val="0"/>
              <w:kinsoku/>
              <w:wordWrap/>
              <w:overflowPunct/>
              <w:topLinePunct w:val="0"/>
              <w:bidi w:val="0"/>
              <w:snapToGrid/>
              <w:spacing w:line="240" w:lineRule="auto"/>
              <w:jc w:val="center"/>
              <w:textAlignment w:val="auto"/>
              <w:rPr>
                <w:rFonts w:hint="default" w:ascii="宋体" w:hAnsi="宋体" w:eastAsia="宋体" w:cs="宋体"/>
                <w:b/>
                <w:bCs/>
                <w:color w:val="auto"/>
                <w:kern w:val="2"/>
                <w:sz w:val="21"/>
                <w:szCs w:val="21"/>
                <w:highlight w:val="none"/>
                <w:lang w:val="en-US" w:eastAsia="zh-CN" w:bidi="ar-SA"/>
              </w:rPr>
            </w:pPr>
            <w:r>
              <w:rPr>
                <w:rFonts w:hint="eastAsia" w:hAnsi="宋体" w:cs="宋体"/>
                <w:b/>
                <w:bCs/>
                <w:color w:val="auto"/>
                <w:kern w:val="2"/>
                <w:sz w:val="21"/>
                <w:szCs w:val="21"/>
                <w:highlight w:val="none"/>
                <w:lang w:val="en-US" w:eastAsia="zh-CN" w:bidi="ar-SA"/>
              </w:rPr>
              <w:t>10856760.98</w:t>
            </w:r>
          </w:p>
        </w:tc>
        <w:tc>
          <w:tcPr>
            <w:tcW w:w="3352" w:type="dxa"/>
            <w:shd w:val="clear" w:color="auto" w:fill="auto"/>
            <w:noWrap w:val="0"/>
            <w:vAlign w:val="center"/>
          </w:tcPr>
          <w:p w14:paraId="6E98CEC6">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w:t>
            </w:r>
          </w:p>
        </w:tc>
      </w:tr>
    </w:tbl>
    <w:p w14:paraId="4927B1A8">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p w14:paraId="0AFF7DF2">
      <w:pPr>
        <w:pStyle w:val="12"/>
        <w:pageBreakBefore w:val="0"/>
        <w:kinsoku/>
        <w:overflowPunct/>
        <w:topLinePunct w:val="0"/>
        <w:autoSpaceDE/>
        <w:autoSpaceDN/>
        <w:bidi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1、各单项或合计投标报价超过最高投标限价为无效报价。</w:t>
      </w:r>
    </w:p>
    <w:p w14:paraId="32184007">
      <w:pPr>
        <w:pStyle w:val="12"/>
        <w:pageBreakBefore w:val="0"/>
        <w:kinsoku/>
        <w:overflowPunct/>
        <w:topLinePunct w:val="0"/>
        <w:autoSpaceDE/>
        <w:autoSpaceDN/>
        <w:bidi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2、各单项或合计投标报价均按“四舍五入”原则精确到两位小数；报价费率按“四舍五入”原则精确到三位小数。</w:t>
      </w:r>
    </w:p>
    <w:p w14:paraId="04CB3C52">
      <w:pPr>
        <w:pStyle w:val="12"/>
        <w:pageBreakBefore w:val="0"/>
        <w:kinsoku/>
        <w:overflowPunct/>
        <w:topLinePunct w:val="0"/>
        <w:autoSpaceDE/>
        <w:autoSpaceDN/>
        <w:bidi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3、以上投标报价均为含税报价（增值税）。</w:t>
      </w:r>
    </w:p>
    <w:p w14:paraId="54CAEA0B">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bookmarkStart w:id="39" w:name="_Toc626"/>
      <w:bookmarkStart w:id="40" w:name="_Toc30645"/>
    </w:p>
    <w:p w14:paraId="45E7E84D">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9．投标报价</w:t>
      </w:r>
      <w:bookmarkStart w:id="41" w:name="_Hlt74498519"/>
      <w:bookmarkEnd w:id="41"/>
      <w:r>
        <w:rPr>
          <w:rFonts w:hint="eastAsia" w:ascii="宋体" w:hAnsi="宋体" w:eastAsia="宋体" w:cs="宋体"/>
          <w:b/>
          <w:bCs/>
          <w:color w:val="auto"/>
          <w:kern w:val="0"/>
          <w:sz w:val="24"/>
          <w:szCs w:val="24"/>
          <w:highlight w:val="none"/>
        </w:rPr>
        <w:t>的约定</w:t>
      </w:r>
      <w:bookmarkEnd w:id="39"/>
      <w:bookmarkEnd w:id="40"/>
    </w:p>
    <w:p w14:paraId="1BA0D33B">
      <w:pPr>
        <w:pStyle w:val="80"/>
        <w:pageBreakBefore w:val="0"/>
        <w:widowControl w:val="0"/>
        <w:kinsoku/>
        <w:wordWrap/>
        <w:overflowPunct/>
        <w:topLinePunct w:val="0"/>
        <w:autoSpaceDE/>
        <w:autoSpaceDN/>
        <w:bidi w:val="0"/>
        <w:snapToGrid/>
        <w:spacing w:line="360" w:lineRule="auto"/>
        <w:ind w:left="0" w:leftChars="0" w:firstLine="482" w:firstLineChars="200"/>
        <w:textAlignment w:val="auto"/>
        <w:rPr>
          <w:rFonts w:hint="eastAsia" w:ascii="宋体" w:hAnsi="宋体" w:eastAsia="宋体" w:cs="宋体"/>
          <w:color w:val="auto"/>
          <w:kern w:val="2"/>
          <w:sz w:val="24"/>
          <w:szCs w:val="24"/>
          <w:highlight w:val="none"/>
          <w:lang w:val="en-US" w:eastAsia="zh-CN" w:bidi="ar-SA"/>
        </w:rPr>
      </w:pPr>
      <w:bookmarkStart w:id="42" w:name="_Toc18198"/>
      <w:r>
        <w:rPr>
          <w:rFonts w:hint="eastAsia" w:ascii="宋体" w:hAnsi="宋体" w:eastAsia="宋体" w:cs="宋体"/>
          <w:b/>
          <w:bCs/>
          <w:color w:val="auto"/>
          <w:kern w:val="2"/>
          <w:sz w:val="24"/>
          <w:szCs w:val="24"/>
          <w:highlight w:val="none"/>
          <w:lang w:val="en-US" w:eastAsia="zh-CN" w:bidi="ar-SA"/>
        </w:rPr>
        <w:t>9.1</w:t>
      </w:r>
      <w:r>
        <w:rPr>
          <w:rFonts w:hint="eastAsia" w:ascii="宋体" w:hAnsi="宋体" w:eastAsia="宋体" w:cs="宋体"/>
          <w:color w:val="auto"/>
          <w:kern w:val="2"/>
          <w:sz w:val="24"/>
          <w:szCs w:val="24"/>
          <w:highlight w:val="none"/>
          <w:lang w:val="en-US" w:eastAsia="zh-CN" w:bidi="ar-SA"/>
        </w:rPr>
        <w:t xml:space="preserve"> 投标人以勘察费、设计费的合计总价进行投标报价。勘察费报价、设计费报价及其合价均不得超出最高投标限价规定的相应限价。</w:t>
      </w:r>
    </w:p>
    <w:p w14:paraId="108F3F6E">
      <w:pPr>
        <w:pStyle w:val="80"/>
        <w:pageBreakBefore w:val="0"/>
        <w:widowControl w:val="0"/>
        <w:kinsoku/>
        <w:wordWrap/>
        <w:overflowPunct/>
        <w:topLinePunct w:val="0"/>
        <w:autoSpaceDE/>
        <w:autoSpaceDN/>
        <w:bidi w:val="0"/>
        <w:snapToGrid/>
        <w:spacing w:line="360" w:lineRule="auto"/>
        <w:ind w:left="0" w:leftChars="0" w:firstLine="482" w:firstLineChars="200"/>
        <w:textAlignment w:val="auto"/>
        <w:rPr>
          <w:rFonts w:hint="eastAsia" w:ascii="宋体" w:hAnsi="宋体" w:eastAsia="宋体" w:cs="宋体"/>
          <w:color w:val="C00000"/>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9.2</w:t>
      </w:r>
      <w:r>
        <w:rPr>
          <w:rFonts w:hint="eastAsia" w:ascii="宋体" w:hAnsi="宋体" w:eastAsia="宋体" w:cs="宋体"/>
          <w:color w:val="auto"/>
          <w:kern w:val="2"/>
          <w:sz w:val="24"/>
          <w:szCs w:val="24"/>
          <w:highlight w:val="none"/>
          <w:lang w:val="en-US" w:eastAsia="zh-CN" w:bidi="ar-SA"/>
        </w:rPr>
        <w:t xml:space="preserve"> 勘察费投标报价：投标人在最高投标限价范围内自行报价. </w:t>
      </w:r>
      <w:r>
        <w:rPr>
          <w:rFonts w:hint="eastAsia" w:ascii="宋体" w:hAnsi="宋体" w:eastAsia="宋体" w:cs="宋体"/>
          <w:b w:val="0"/>
          <w:bCs w:val="0"/>
          <w:color w:val="auto"/>
          <w:sz w:val="24"/>
          <w:szCs w:val="24"/>
          <w:lang w:val="en-US" w:eastAsia="zh-CN"/>
        </w:rPr>
        <w:t>投标人报综合单价和总价，勘察综合单价≤</w:t>
      </w:r>
      <w:r>
        <w:rPr>
          <w:rFonts w:hint="eastAsia" w:ascii="宋体" w:hAnsi="宋体" w:eastAsia="宋体" w:cs="宋体"/>
          <w:b w:val="0"/>
          <w:bCs w:val="0"/>
          <w:color w:val="auto"/>
          <w:kern w:val="2"/>
          <w:sz w:val="24"/>
          <w:szCs w:val="24"/>
          <w:highlight w:val="none"/>
          <w:lang w:val="en-US" w:eastAsia="zh-CN" w:bidi="ar-SA"/>
        </w:rPr>
        <w:t>1</w:t>
      </w:r>
      <w:r>
        <w:rPr>
          <w:rFonts w:hint="eastAsia" w:hAnsi="宋体" w:cs="宋体"/>
          <w:b w:val="0"/>
          <w:bCs w:val="0"/>
          <w:color w:val="auto"/>
          <w:kern w:val="2"/>
          <w:sz w:val="24"/>
          <w:szCs w:val="24"/>
          <w:highlight w:val="none"/>
          <w:lang w:val="en-US" w:eastAsia="zh-CN" w:bidi="ar-SA"/>
        </w:rPr>
        <w:t>2</w:t>
      </w:r>
      <w:r>
        <w:rPr>
          <w:rFonts w:hint="eastAsia" w:ascii="宋体" w:hAnsi="宋体" w:eastAsia="宋体" w:cs="宋体"/>
          <w:b w:val="0"/>
          <w:bCs w:val="0"/>
          <w:color w:val="auto"/>
          <w:kern w:val="2"/>
          <w:sz w:val="24"/>
          <w:szCs w:val="24"/>
          <w:highlight w:val="none"/>
          <w:lang w:val="en-US" w:eastAsia="zh-CN" w:bidi="ar-SA"/>
        </w:rPr>
        <w:t>0元/米，勘察费最高投标限价以暂定得工程量8000米为基数计取，在勘察费最高投标限价范围内按实际工程量进行结算。</w:t>
      </w:r>
    </w:p>
    <w:p w14:paraId="4D1DF28D">
      <w:pPr>
        <w:pageBreakBefore w:val="0"/>
        <w:kinsoku/>
        <w:overflowPunct/>
        <w:topLinePunct w:val="0"/>
        <w:autoSpaceDE/>
        <w:autoSpaceDN/>
        <w:bidi w:val="0"/>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勘察费已包括所有事务工作收费、技术工作收费、税金和完成合同约定的所有与工程测量有关的全部费用，同时中标人应考虑施工场地不同土、石质类别比例、水上勘察作业所需的措施等满足本项目设计要求所需完成的勘察工作量及措施，并承担风险。工程测量是招标范围中勘察部分的内容，其任务包含勘察部分的所有相关工程测量，工程测量费用已包含在勘察费中。</w:t>
      </w:r>
    </w:p>
    <w:p w14:paraId="2F6CB94E">
      <w:pPr>
        <w:pageBreakBefore w:val="0"/>
        <w:kinsoku/>
        <w:overflowPunct/>
        <w:topLinePunct w:val="0"/>
        <w:autoSpaceDE/>
        <w:autoSpaceDN/>
        <w:bidi w:val="0"/>
        <w:snapToGrid/>
        <w:spacing w:line="360" w:lineRule="auto"/>
        <w:ind w:left="0" w:leftChars="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 xml:space="preserve">.3 </w:t>
      </w:r>
      <w:r>
        <w:rPr>
          <w:rFonts w:hint="eastAsia" w:ascii="宋体" w:hAnsi="宋体" w:eastAsia="宋体" w:cs="宋体"/>
          <w:color w:val="auto"/>
          <w:sz w:val="24"/>
          <w:szCs w:val="24"/>
          <w:highlight w:val="none"/>
        </w:rPr>
        <w:t>设计费投标报价：在最高投标限价范围内，投标人自行报价。</w:t>
      </w:r>
      <w:r>
        <w:rPr>
          <w:rFonts w:hint="eastAsia" w:ascii="宋体" w:hAnsi="宋体" w:eastAsia="宋体" w:cs="宋体"/>
          <w:snapToGrid w:val="0"/>
          <w:color w:val="auto"/>
          <w:kern w:val="0"/>
          <w:sz w:val="24"/>
          <w:szCs w:val="24"/>
          <w:highlight w:val="none"/>
        </w:rPr>
        <w:t>设计费投标费率=设计费投标报价/建安工程费暂定价，其中</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场地平整、边坡支护、地基处理及临时排水工程</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建安工程费暂定价按</w:t>
      </w:r>
      <w:r>
        <w:rPr>
          <w:rFonts w:hint="eastAsia" w:ascii="宋体" w:hAnsi="宋体" w:eastAsia="宋体" w:cs="宋体"/>
          <w:color w:val="auto"/>
          <w:kern w:val="2"/>
          <w:sz w:val="24"/>
          <w:szCs w:val="24"/>
          <w:highlight w:val="none"/>
          <w:lang w:val="en-US" w:eastAsia="zh-CN" w:bidi="ar-SA"/>
        </w:rPr>
        <w:t>39394.15万元</w:t>
      </w:r>
      <w:r>
        <w:rPr>
          <w:rFonts w:hint="eastAsia" w:ascii="宋体" w:hAnsi="宋体" w:eastAsia="宋体" w:cs="宋体"/>
          <w:snapToGrid w:val="0"/>
          <w:color w:val="auto"/>
          <w:kern w:val="0"/>
          <w:sz w:val="24"/>
          <w:szCs w:val="24"/>
          <w:highlight w:val="none"/>
        </w:rPr>
        <w:t>计</w:t>
      </w:r>
      <w:r>
        <w:rPr>
          <w:rFonts w:hint="eastAsia" w:ascii="宋体" w:hAnsi="宋体" w:eastAsia="宋体" w:cs="宋体"/>
          <w:snapToGrid w:val="0"/>
          <w:color w:val="auto"/>
          <w:kern w:val="0"/>
          <w:sz w:val="24"/>
          <w:szCs w:val="24"/>
          <w:highlight w:val="none"/>
          <w:lang w:eastAsia="zh-CN"/>
        </w:rPr>
        <w:t>算；“道路及配套</w:t>
      </w:r>
      <w:r>
        <w:rPr>
          <w:rFonts w:hint="eastAsia" w:ascii="宋体" w:hAnsi="宋体" w:eastAsia="宋体" w:cs="宋体"/>
          <w:snapToGrid w:val="0"/>
          <w:color w:val="auto"/>
          <w:kern w:val="0"/>
          <w:sz w:val="24"/>
          <w:szCs w:val="24"/>
          <w:highlight w:val="none"/>
          <w:lang w:val="en-US" w:eastAsia="zh-CN"/>
        </w:rPr>
        <w:t>设施</w:t>
      </w:r>
      <w:r>
        <w:rPr>
          <w:rFonts w:hint="eastAsia" w:ascii="宋体" w:hAnsi="宋体" w:eastAsia="宋体" w:cs="宋体"/>
          <w:snapToGrid w:val="0"/>
          <w:color w:val="auto"/>
          <w:kern w:val="0"/>
          <w:sz w:val="24"/>
          <w:szCs w:val="24"/>
          <w:highlight w:val="none"/>
          <w:lang w:eastAsia="zh-CN"/>
        </w:rPr>
        <w:t>工程”</w:t>
      </w:r>
      <w:r>
        <w:rPr>
          <w:rFonts w:hint="eastAsia" w:ascii="宋体" w:hAnsi="宋体" w:eastAsia="宋体" w:cs="宋体"/>
          <w:snapToGrid w:val="0"/>
          <w:color w:val="auto"/>
          <w:kern w:val="0"/>
          <w:sz w:val="24"/>
          <w:szCs w:val="24"/>
          <w:highlight w:val="none"/>
        </w:rPr>
        <w:t>建安工程费暂定价按</w:t>
      </w:r>
      <w:r>
        <w:rPr>
          <w:rFonts w:hint="eastAsia" w:ascii="宋体" w:hAnsi="宋体" w:eastAsia="宋体" w:cs="宋体"/>
          <w:color w:val="auto"/>
          <w:kern w:val="2"/>
          <w:sz w:val="24"/>
          <w:szCs w:val="24"/>
          <w:highlight w:val="none"/>
          <w:lang w:val="en-US" w:eastAsia="zh-CN" w:bidi="ar-SA"/>
        </w:rPr>
        <w:t>53053.27万元计算</w:t>
      </w:r>
      <w:r>
        <w:rPr>
          <w:rFonts w:hint="eastAsia" w:ascii="宋体" w:hAnsi="宋体" w:eastAsia="宋体" w:cs="宋体"/>
          <w:snapToGrid w:val="0"/>
          <w:color w:val="auto"/>
          <w:kern w:val="0"/>
          <w:sz w:val="24"/>
          <w:szCs w:val="24"/>
          <w:highlight w:val="none"/>
        </w:rPr>
        <w:t>。</w:t>
      </w:r>
      <w:r>
        <w:rPr>
          <w:rFonts w:hint="eastAsia" w:ascii="宋体" w:hAnsi="宋体" w:eastAsia="宋体" w:cs="宋体"/>
          <w:color w:val="auto"/>
          <w:sz w:val="24"/>
          <w:szCs w:val="24"/>
          <w:highlight w:val="none"/>
        </w:rPr>
        <w:t>合同价等于中标价，结算价不能超过合同价。设计费的报价应包含各个不同专业的设计费用、进行优化设计或修改设计所增加的设计费用。设计费已包含初步设计概算编制费，不再另行支付概算编制费用。</w:t>
      </w:r>
    </w:p>
    <w:p w14:paraId="6BD3A842">
      <w:pPr>
        <w:pageBreakBefore w:val="0"/>
        <w:kinsoku/>
        <w:overflowPunct/>
        <w:topLinePunct w:val="0"/>
        <w:autoSpaceDE/>
        <w:autoSpaceDN/>
        <w:bidi w:val="0"/>
        <w:snapToGrid/>
        <w:spacing w:line="360" w:lineRule="auto"/>
        <w:ind w:left="0" w:leftChars="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 xml:space="preserve">.4 </w:t>
      </w:r>
      <w:r>
        <w:rPr>
          <w:rFonts w:hint="eastAsia" w:ascii="宋体" w:hAnsi="宋体" w:eastAsia="宋体" w:cs="宋体"/>
          <w:color w:val="auto"/>
          <w:sz w:val="24"/>
          <w:szCs w:val="24"/>
          <w:highlight w:val="none"/>
        </w:rPr>
        <w:t>勘察设计成果必须按要求满足勘察设计规定的深度。所报的勘察费、设计费应包含投标人自投标之日起至工程验收合格所需的费用。若勘察设计深度不够，导致设计更改、工程量增加、费用增加的，由中标单位以勘察费、设计费为限承担责任。</w:t>
      </w:r>
    </w:p>
    <w:p w14:paraId="7839CCA6">
      <w:pPr>
        <w:pageBreakBefore w:val="0"/>
        <w:kinsoku/>
        <w:overflowPunct/>
        <w:topLinePunct w:val="0"/>
        <w:autoSpaceDE/>
        <w:autoSpaceDN/>
        <w:bidi w:val="0"/>
        <w:snapToGrid/>
        <w:spacing w:line="360" w:lineRule="auto"/>
        <w:ind w:left="0" w:leftChars="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 xml:space="preserve">.5 </w:t>
      </w:r>
      <w:r>
        <w:rPr>
          <w:rFonts w:hint="eastAsia" w:ascii="宋体" w:hAnsi="宋体" w:eastAsia="宋体" w:cs="宋体"/>
          <w:color w:val="auto"/>
          <w:sz w:val="24"/>
          <w:szCs w:val="24"/>
          <w:highlight w:val="none"/>
        </w:rPr>
        <w:t>投标报价时应充分考虑</w:t>
      </w:r>
      <w:r>
        <w:rPr>
          <w:rFonts w:hint="eastAsia" w:ascii="宋体" w:hAnsi="宋体" w:eastAsia="宋体" w:cs="宋体"/>
          <w:color w:val="auto"/>
          <w:sz w:val="24"/>
          <w:szCs w:val="24"/>
          <w:highlight w:val="none"/>
          <w:lang w:val="zh-CN"/>
        </w:rPr>
        <w:t>“合同条款”</w:t>
      </w:r>
      <w:r>
        <w:rPr>
          <w:rFonts w:hint="eastAsia" w:ascii="宋体" w:hAnsi="宋体" w:eastAsia="宋体" w:cs="宋体"/>
          <w:color w:val="auto"/>
          <w:sz w:val="24"/>
          <w:szCs w:val="24"/>
          <w:highlight w:val="none"/>
        </w:rPr>
        <w:t>及“中标人须知”中所列条款的要求及风险。</w:t>
      </w:r>
    </w:p>
    <w:p w14:paraId="7C42A1A6">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bookmarkStart w:id="43" w:name="_Toc14329"/>
      <w:r>
        <w:rPr>
          <w:rFonts w:hint="eastAsia" w:ascii="宋体" w:hAnsi="宋体" w:eastAsia="宋体" w:cs="宋体"/>
          <w:b/>
          <w:bCs/>
          <w:color w:val="auto"/>
          <w:kern w:val="0"/>
          <w:sz w:val="24"/>
          <w:szCs w:val="24"/>
          <w:highlight w:val="none"/>
        </w:rPr>
        <w:t>10．投标文件的编制</w:t>
      </w:r>
      <w:bookmarkStart w:id="44" w:name="_Hlt69208262"/>
      <w:bookmarkEnd w:id="44"/>
      <w:bookmarkStart w:id="45" w:name="_Hlt69332370"/>
      <w:bookmarkEnd w:id="45"/>
      <w:r>
        <w:rPr>
          <w:rFonts w:hint="eastAsia" w:ascii="宋体" w:hAnsi="宋体" w:eastAsia="宋体" w:cs="宋体"/>
          <w:b/>
          <w:bCs/>
          <w:color w:val="auto"/>
          <w:kern w:val="0"/>
          <w:sz w:val="24"/>
          <w:szCs w:val="24"/>
          <w:highlight w:val="none"/>
        </w:rPr>
        <w:t>要求</w:t>
      </w:r>
      <w:bookmarkEnd w:id="42"/>
      <w:bookmarkEnd w:id="43"/>
      <w:bookmarkStart w:id="46" w:name="_Hlt74497202"/>
      <w:bookmarkEnd w:id="46"/>
      <w:bookmarkStart w:id="47" w:name="_Hlt78768224"/>
      <w:bookmarkEnd w:id="47"/>
      <w:bookmarkStart w:id="48" w:name="_Hlt74495594"/>
      <w:bookmarkEnd w:id="48"/>
    </w:p>
    <w:p w14:paraId="0A816759">
      <w:pPr>
        <w:pageBreakBefore w:val="0"/>
        <w:kinsoku/>
        <w:overflowPunct/>
        <w:topLinePunct w:val="0"/>
        <w:autoSpaceDE/>
        <w:autoSpaceDN/>
        <w:bidi w:val="0"/>
        <w:snapToGrid/>
        <w:spacing w:line="360" w:lineRule="auto"/>
        <w:ind w:left="0" w:leftChars="0" w:firstLine="482" w:firstLineChars="200"/>
        <w:textAlignment w:val="auto"/>
        <w:rPr>
          <w:rFonts w:hint="eastAsia" w:ascii="宋体" w:hAnsi="宋体" w:eastAsia="宋体" w:cs="宋体"/>
          <w:b/>
          <w:bCs/>
          <w:color w:val="auto"/>
          <w:sz w:val="24"/>
          <w:szCs w:val="24"/>
          <w:highlight w:val="none"/>
          <w:lang w:val="en-US" w:eastAsia="zh-CN"/>
        </w:rPr>
      </w:pPr>
      <w:bookmarkStart w:id="49" w:name="_Toc11185"/>
      <w:bookmarkStart w:id="50" w:name="_Toc257031159"/>
      <w:bookmarkStart w:id="51" w:name="_Toc274313880"/>
      <w:r>
        <w:rPr>
          <w:rFonts w:hint="eastAsia" w:ascii="宋体" w:hAnsi="宋体" w:eastAsia="宋体" w:cs="宋体"/>
          <w:b/>
          <w:bCs/>
          <w:color w:val="auto"/>
          <w:sz w:val="24"/>
          <w:szCs w:val="24"/>
          <w:highlight w:val="none"/>
          <w:lang w:val="en-US" w:eastAsia="zh-CN"/>
        </w:rPr>
        <w:t xml:space="preserve">10.1 </w:t>
      </w:r>
      <w:r>
        <w:rPr>
          <w:rFonts w:hint="eastAsia" w:ascii="宋体" w:hAnsi="宋体" w:eastAsia="宋体" w:cs="宋体"/>
          <w:b w:val="0"/>
          <w:bCs w:val="0"/>
          <w:color w:val="auto"/>
          <w:sz w:val="24"/>
          <w:szCs w:val="24"/>
          <w:highlight w:val="none"/>
          <w:lang w:val="en-US" w:eastAsia="zh-CN"/>
        </w:rPr>
        <w:t>一般要求</w:t>
      </w:r>
      <w:bookmarkEnd w:id="49"/>
    </w:p>
    <w:p w14:paraId="28D7C5AE">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投标文件应按第五章投标文件格式规定的内容，投标人提交的投标文件应当使用招标文件所提供的投标文件全部格式。</w:t>
      </w:r>
    </w:p>
    <w:p w14:paraId="65FA7059">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10.1.1</w:t>
      </w:r>
      <w:r>
        <w:rPr>
          <w:rFonts w:hint="eastAsia" w:ascii="宋体" w:hAnsi="宋体" w:eastAsia="宋体" w:cs="宋体"/>
          <w:snapToGrid w:val="0"/>
          <w:color w:val="auto"/>
          <w:kern w:val="0"/>
          <w:sz w:val="24"/>
          <w:szCs w:val="24"/>
          <w:highlight w:val="none"/>
        </w:rPr>
        <w:t xml:space="preserve"> 投标人必须响应招标文件，并在充分理解招标文件的基础上编制投标文件。因投标文件不符合招标文件的要求而造成的损失和后果，由投标人自行承担。</w:t>
      </w:r>
      <w:bookmarkStart w:id="52" w:name="_Hlt74496890"/>
      <w:bookmarkEnd w:id="52"/>
    </w:p>
    <w:p w14:paraId="724B1BAC">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10.1.2</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投标文件包括</w:t>
      </w:r>
      <w:r>
        <w:rPr>
          <w:rFonts w:hint="eastAsia" w:ascii="宋体" w:hAnsi="宋体" w:eastAsia="宋体" w:cs="宋体"/>
          <w:b/>
          <w:bCs/>
          <w:color w:val="auto"/>
          <w:sz w:val="24"/>
          <w:szCs w:val="24"/>
          <w:highlight w:val="none"/>
          <w:lang w:eastAsia="zh-CN"/>
        </w:rPr>
        <w:t>商务经济标书</w:t>
      </w:r>
      <w:r>
        <w:rPr>
          <w:rFonts w:hint="eastAsia" w:ascii="宋体" w:hAnsi="宋体" w:eastAsia="宋体" w:cs="宋体"/>
          <w:b/>
          <w:bCs/>
          <w:color w:val="auto"/>
          <w:sz w:val="24"/>
          <w:szCs w:val="24"/>
          <w:highlight w:val="none"/>
        </w:rPr>
        <w:t>、技术</w:t>
      </w:r>
      <w:r>
        <w:rPr>
          <w:rFonts w:hint="eastAsia" w:ascii="宋体" w:hAnsi="宋体" w:eastAsia="宋体" w:cs="宋体"/>
          <w:b/>
          <w:bCs/>
          <w:color w:val="auto"/>
          <w:sz w:val="24"/>
          <w:szCs w:val="24"/>
          <w:highlight w:val="none"/>
          <w:lang w:eastAsia="zh-CN"/>
        </w:rPr>
        <w:t>标书</w:t>
      </w:r>
      <w:r>
        <w:rPr>
          <w:rFonts w:hint="eastAsia" w:ascii="宋体" w:hAnsi="宋体" w:eastAsia="宋体" w:cs="宋体"/>
          <w:b/>
          <w:bCs/>
          <w:color w:val="auto"/>
          <w:sz w:val="24"/>
          <w:szCs w:val="24"/>
          <w:highlight w:val="none"/>
          <w:lang w:val="en-US" w:eastAsia="zh-CN"/>
        </w:rPr>
        <w:t>、定标文件三</w:t>
      </w:r>
      <w:r>
        <w:rPr>
          <w:rFonts w:hint="eastAsia" w:ascii="宋体" w:hAnsi="宋体" w:eastAsia="宋体" w:cs="宋体"/>
          <w:color w:val="auto"/>
          <w:sz w:val="24"/>
          <w:szCs w:val="24"/>
          <w:highlight w:val="none"/>
        </w:rPr>
        <w:t>个分册。</w:t>
      </w:r>
      <w:r>
        <w:rPr>
          <w:rFonts w:hint="eastAsia" w:ascii="宋体" w:hAnsi="宋体" w:eastAsia="宋体" w:cs="宋体"/>
          <w:b/>
          <w:bCs/>
          <w:snapToGrid w:val="0"/>
          <w:color w:val="auto"/>
          <w:kern w:val="0"/>
          <w:sz w:val="24"/>
          <w:szCs w:val="24"/>
          <w:highlight w:val="none"/>
        </w:rPr>
        <w:t>投标文件全部采用电子文档</w:t>
      </w:r>
      <w:r>
        <w:rPr>
          <w:rFonts w:hint="eastAsia" w:ascii="宋体" w:hAnsi="宋体" w:eastAsia="宋体" w:cs="宋体"/>
          <w:color w:val="auto"/>
          <w:sz w:val="24"/>
          <w:szCs w:val="24"/>
          <w:highlight w:val="none"/>
        </w:rPr>
        <w:t>（中标人自中标通知书发出之日起五个工作日内再提供正本</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份的纸质版投标文件给招标人存档）</w:t>
      </w:r>
      <w:r>
        <w:rPr>
          <w:rFonts w:hint="eastAsia" w:ascii="宋体" w:hAnsi="宋体" w:eastAsia="宋体" w:cs="宋体"/>
          <w:b/>
          <w:bCs/>
          <w:snapToGrid w:val="0"/>
          <w:color w:val="auto"/>
          <w:kern w:val="0"/>
          <w:sz w:val="24"/>
          <w:szCs w:val="24"/>
          <w:highlight w:val="none"/>
        </w:rPr>
        <w:t>，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中的【服务指南】。</w:t>
      </w:r>
    </w:p>
    <w:p w14:paraId="35283CC2">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w:t>
      </w:r>
      <w:r>
        <w:rPr>
          <w:rFonts w:hint="eastAsia" w:ascii="宋体" w:hAnsi="宋体" w:eastAsia="宋体" w:cs="宋体"/>
          <w:snapToGrid w:val="0"/>
          <w:color w:val="auto"/>
          <w:kern w:val="0"/>
          <w:sz w:val="24"/>
          <w:szCs w:val="24"/>
          <w:highlight w:val="none"/>
        </w:rPr>
        <w:t xml:space="preserve"> 投标文件需按以下要求签字、盖章：</w:t>
      </w:r>
    </w:p>
    <w:p w14:paraId="6CCB4067">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电子投标文件：</w:t>
      </w:r>
    </w:p>
    <w:p w14:paraId="61F617D7">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10.1.3.1 </w:t>
      </w:r>
      <w:r>
        <w:rPr>
          <w:rFonts w:hint="eastAsia" w:ascii="宋体" w:hAnsi="宋体" w:eastAsia="宋体" w:cs="宋体"/>
          <w:snapToGrid w:val="0"/>
          <w:color w:val="auto"/>
          <w:kern w:val="0"/>
          <w:sz w:val="24"/>
          <w:szCs w:val="24"/>
          <w:highlight w:val="none"/>
        </w:rPr>
        <w:t>投标文件封面、组成内容中凡注明“签字”处由要求的人员签字或电子签章；凡注明“签字或盖章”处由要求的人员签字或盖其私章（</w:t>
      </w:r>
      <w:r>
        <w:rPr>
          <w:rFonts w:hint="eastAsia" w:ascii="宋体" w:hAnsi="宋体" w:cs="宋体"/>
          <w:snapToGrid w:val="0"/>
          <w:color w:val="auto"/>
          <w:kern w:val="0"/>
          <w:sz w:val="24"/>
          <w:szCs w:val="24"/>
          <w:highlight w:val="none"/>
          <w:lang w:val="en-US" w:eastAsia="zh-CN"/>
        </w:rPr>
        <w:t>含</w:t>
      </w:r>
      <w:r>
        <w:rPr>
          <w:rFonts w:hint="eastAsia" w:ascii="宋体" w:hAnsi="宋体" w:eastAsia="宋体" w:cs="宋体"/>
          <w:snapToGrid w:val="0"/>
          <w:color w:val="auto"/>
          <w:kern w:val="0"/>
          <w:sz w:val="24"/>
          <w:szCs w:val="24"/>
          <w:highlight w:val="none"/>
        </w:rPr>
        <w:t>电子印章）；凡注明“签字并盖执业印章”处由要求的人员签字并盖其执业印章。</w:t>
      </w:r>
    </w:p>
    <w:p w14:paraId="60F738A4">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10.1.3.2 </w:t>
      </w:r>
      <w:r>
        <w:rPr>
          <w:rFonts w:hint="eastAsia" w:ascii="宋体" w:hAnsi="宋体" w:eastAsia="宋体" w:cs="宋体"/>
          <w:snapToGrid w:val="0"/>
          <w:color w:val="auto"/>
          <w:kern w:val="0"/>
          <w:sz w:val="24"/>
          <w:szCs w:val="24"/>
          <w:highlight w:val="none"/>
        </w:rPr>
        <w:t>投标文件封套、封面、组成内容中凡要求录入投标人名称且注明“盖单位章”处盖单位法人公章（</w:t>
      </w:r>
      <w:r>
        <w:rPr>
          <w:rFonts w:hint="eastAsia" w:ascii="宋体" w:hAnsi="宋体" w:cs="宋体"/>
          <w:snapToGrid w:val="0"/>
          <w:color w:val="auto"/>
          <w:kern w:val="0"/>
          <w:sz w:val="24"/>
          <w:szCs w:val="24"/>
          <w:highlight w:val="none"/>
          <w:lang w:val="en-US" w:eastAsia="zh-CN"/>
        </w:rPr>
        <w:t>含</w:t>
      </w:r>
      <w:r>
        <w:rPr>
          <w:rFonts w:hint="eastAsia" w:ascii="宋体" w:hAnsi="宋体" w:eastAsia="宋体" w:cs="宋体"/>
          <w:snapToGrid w:val="0"/>
          <w:color w:val="auto"/>
          <w:kern w:val="0"/>
          <w:sz w:val="24"/>
          <w:szCs w:val="24"/>
          <w:highlight w:val="none"/>
        </w:rPr>
        <w:t>电子印章）</w:t>
      </w:r>
    </w:p>
    <w:p w14:paraId="768C40DA">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10.1.3.3 </w:t>
      </w:r>
      <w:r>
        <w:rPr>
          <w:rFonts w:hint="eastAsia" w:ascii="宋体" w:hAnsi="宋体" w:eastAsia="宋体" w:cs="宋体"/>
          <w:snapToGrid w:val="0"/>
          <w:color w:val="auto"/>
          <w:kern w:val="0"/>
          <w:sz w:val="24"/>
          <w:szCs w:val="24"/>
          <w:highlight w:val="none"/>
        </w:rPr>
        <w:t>投标文件的签字均为签字人本人亲笔署名或签章（</w:t>
      </w:r>
      <w:r>
        <w:rPr>
          <w:rFonts w:hint="eastAsia" w:ascii="宋体" w:hAnsi="宋体" w:cs="宋体"/>
          <w:snapToGrid w:val="0"/>
          <w:color w:val="auto"/>
          <w:kern w:val="0"/>
          <w:sz w:val="24"/>
          <w:szCs w:val="24"/>
          <w:highlight w:val="none"/>
          <w:lang w:val="en-US" w:eastAsia="zh-CN"/>
        </w:rPr>
        <w:t>含</w:t>
      </w:r>
      <w:r>
        <w:rPr>
          <w:rFonts w:hint="eastAsia" w:ascii="宋体" w:hAnsi="宋体" w:eastAsia="宋体" w:cs="宋体"/>
          <w:snapToGrid w:val="0"/>
          <w:color w:val="auto"/>
          <w:kern w:val="0"/>
          <w:sz w:val="24"/>
          <w:szCs w:val="24"/>
          <w:highlight w:val="none"/>
        </w:rPr>
        <w:t>电子印章），其余部分的彩色扫描件无须另行签字、盖章。</w:t>
      </w:r>
    </w:p>
    <w:p w14:paraId="509856EF">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10.1.3.4 </w:t>
      </w:r>
      <w:r>
        <w:rPr>
          <w:rFonts w:hint="eastAsia" w:ascii="宋体" w:hAnsi="宋体" w:eastAsia="宋体" w:cs="宋体"/>
          <w:snapToGrid w:val="0"/>
          <w:color w:val="auto"/>
          <w:kern w:val="0"/>
          <w:sz w:val="24"/>
          <w:szCs w:val="24"/>
          <w:highlight w:val="none"/>
        </w:rPr>
        <w:t>联合体投标的，除《联合体协议书》外，由联合体牵头人按以上要求签字（电子印章）、盖章（电子印章）即可。</w:t>
      </w:r>
    </w:p>
    <w:p w14:paraId="4D852E62">
      <w:pPr>
        <w:pageBreakBefore w:val="0"/>
        <w:kinsoku/>
        <w:overflowPunct/>
        <w:topLinePunct w:val="0"/>
        <w:autoSpaceDE/>
        <w:autoSpaceDN/>
        <w:bidi w:val="0"/>
        <w:snapToGrid/>
        <w:spacing w:line="360" w:lineRule="auto"/>
        <w:ind w:left="0" w:leftChars="0" w:firstLine="482" w:firstLineChars="200"/>
        <w:textAlignment w:val="auto"/>
        <w:rPr>
          <w:rFonts w:hint="eastAsia" w:ascii="宋体" w:hAnsi="宋体" w:eastAsia="宋体" w:cs="宋体"/>
          <w:b/>
          <w:bCs/>
          <w:color w:val="auto"/>
          <w:sz w:val="24"/>
          <w:szCs w:val="24"/>
          <w:highlight w:val="none"/>
          <w:lang w:val="en-US" w:eastAsia="zh-CN"/>
        </w:rPr>
      </w:pPr>
      <w:bookmarkStart w:id="53" w:name="_Toc32152"/>
      <w:r>
        <w:rPr>
          <w:rFonts w:hint="eastAsia" w:ascii="宋体" w:hAnsi="宋体" w:eastAsia="宋体" w:cs="宋体"/>
          <w:b/>
          <w:bCs/>
          <w:color w:val="auto"/>
          <w:sz w:val="24"/>
          <w:szCs w:val="24"/>
          <w:highlight w:val="none"/>
          <w:lang w:val="en-US" w:eastAsia="zh-CN"/>
        </w:rPr>
        <w:t>10.2 商务经济标书的编制要求</w:t>
      </w:r>
      <w:bookmarkEnd w:id="50"/>
      <w:bookmarkEnd w:id="51"/>
      <w:bookmarkEnd w:id="53"/>
    </w:p>
    <w:p w14:paraId="15EE3327">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Cs/>
          <w:snapToGrid w:val="0"/>
          <w:color w:val="auto"/>
          <w:kern w:val="0"/>
          <w:sz w:val="24"/>
          <w:szCs w:val="24"/>
          <w:highlight w:val="none"/>
          <w:lang w:eastAsia="zh-CN"/>
        </w:rPr>
        <w:t>商务经济标书</w:t>
      </w:r>
      <w:r>
        <w:rPr>
          <w:rFonts w:hint="eastAsia" w:ascii="宋体" w:hAnsi="宋体" w:eastAsia="宋体" w:cs="宋体"/>
          <w:snapToGrid w:val="0"/>
          <w:color w:val="auto"/>
          <w:kern w:val="0"/>
          <w:sz w:val="24"/>
          <w:szCs w:val="24"/>
          <w:highlight w:val="none"/>
        </w:rPr>
        <w:t>包括但不限于以下内容：</w:t>
      </w:r>
    </w:p>
    <w:p w14:paraId="07EFD394">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74D04624">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3957EE9F">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（3）《投标函》（格式二）；</w:t>
      </w:r>
    </w:p>
    <w:p w14:paraId="220FD5B5">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color w:val="auto"/>
          <w:sz w:val="24"/>
          <w:szCs w:val="24"/>
          <w:highlight w:val="none"/>
        </w:rPr>
        <w:t>工程项目报价表</w:t>
      </w:r>
      <w:r>
        <w:rPr>
          <w:rFonts w:hint="eastAsia" w:ascii="宋体" w:hAnsi="宋体" w:eastAsia="宋体" w:cs="宋体"/>
          <w:snapToGrid w:val="0"/>
          <w:color w:val="auto"/>
          <w:kern w:val="0"/>
          <w:sz w:val="24"/>
          <w:szCs w:val="24"/>
          <w:highlight w:val="none"/>
        </w:rPr>
        <w:t>》（格式三）</w:t>
      </w:r>
    </w:p>
    <w:p w14:paraId="213800DE">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（5）《各项承诺一览表》（格式四）；</w:t>
      </w:r>
    </w:p>
    <w:p w14:paraId="7EE6DA90">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（6）《授权委托书》（格式五）；</w:t>
      </w:r>
    </w:p>
    <w:p w14:paraId="19DC5C24">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（7）《法定代表人身份证明》（格式六）；</w:t>
      </w:r>
    </w:p>
    <w:p w14:paraId="33E4A2AC">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（8）《联合体协议书》（格式七）及所附资料；</w:t>
      </w:r>
    </w:p>
    <w:p w14:paraId="409F42EA">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投标保证缴纳证明（投标人采用投标保证金的，附建设工程交易系统《缴纳投标保证金通知书》页面截图和银行转账单扫描件；采用投标保证担保的，附银行保函彩色扫描件；采用投标保证保险的，附电子保单和</w:t>
      </w:r>
      <w:r>
        <w:rPr>
          <w:rFonts w:hint="eastAsia" w:ascii="宋体" w:hAnsi="宋体" w:eastAsia="宋体" w:cs="宋体"/>
          <w:b/>
          <w:bCs/>
          <w:snapToGrid w:val="0"/>
          <w:color w:val="auto"/>
          <w:kern w:val="0"/>
          <w:sz w:val="24"/>
          <w:szCs w:val="24"/>
          <w:highlight w:val="none"/>
        </w:rPr>
        <w:t>《韶关市公共资源交易一体化平台保证金缴纳信息》页面截图）；</w:t>
      </w:r>
    </w:p>
    <w:p w14:paraId="7B4D79C1">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（10）《投标人基本情况表》（格式八）及所附资料；</w:t>
      </w:r>
    </w:p>
    <w:p w14:paraId="685F9EE2">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r>
        <w:rPr>
          <w:rFonts w:hint="eastAsia" w:ascii="宋体" w:hAnsi="宋体" w:eastAsia="宋体" w:cs="宋体"/>
          <w:color w:val="auto"/>
          <w:sz w:val="24"/>
          <w:szCs w:val="24"/>
          <w:highlight w:val="none"/>
          <w:lang w:eastAsia="zh-CN"/>
        </w:rPr>
        <w:t>设计/勘察负责人简历表</w:t>
      </w:r>
      <w:r>
        <w:rPr>
          <w:rFonts w:hint="eastAsia" w:ascii="宋体" w:hAnsi="宋体" w:eastAsia="宋体" w:cs="宋体"/>
          <w:snapToGrid w:val="0"/>
          <w:color w:val="auto"/>
          <w:kern w:val="0"/>
          <w:sz w:val="24"/>
          <w:szCs w:val="24"/>
          <w:highlight w:val="none"/>
        </w:rPr>
        <w:t>》（格式九）及所附资料；</w:t>
      </w:r>
    </w:p>
    <w:p w14:paraId="1BFC228A">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r>
        <w:rPr>
          <w:rFonts w:hint="eastAsia" w:ascii="宋体" w:hAnsi="宋体" w:eastAsia="宋体" w:cs="宋体"/>
          <w:color w:val="auto"/>
          <w:sz w:val="24"/>
          <w:szCs w:val="24"/>
          <w:highlight w:val="none"/>
        </w:rPr>
        <w:t>本项目拟投入的人员基本情况表</w:t>
      </w:r>
      <w:r>
        <w:rPr>
          <w:rFonts w:hint="eastAsia" w:ascii="宋体" w:hAnsi="宋体" w:eastAsia="宋体" w:cs="宋体"/>
          <w:snapToGrid w:val="0"/>
          <w:color w:val="auto"/>
          <w:kern w:val="0"/>
          <w:sz w:val="24"/>
          <w:szCs w:val="24"/>
          <w:highlight w:val="none"/>
        </w:rPr>
        <w:t>》（格式十）</w:t>
      </w:r>
      <w:r>
        <w:rPr>
          <w:rFonts w:hint="eastAsia" w:ascii="宋体" w:hAnsi="宋体" w:eastAsia="宋体" w:cs="宋体"/>
          <w:color w:val="auto"/>
          <w:sz w:val="24"/>
          <w:szCs w:val="24"/>
          <w:highlight w:val="none"/>
        </w:rPr>
        <w:t>及所附资料</w:t>
      </w:r>
      <w:r>
        <w:rPr>
          <w:rFonts w:hint="eastAsia" w:ascii="宋体" w:hAnsi="宋体" w:eastAsia="宋体" w:cs="宋体"/>
          <w:snapToGrid w:val="0"/>
          <w:color w:val="auto"/>
          <w:kern w:val="0"/>
          <w:sz w:val="24"/>
          <w:szCs w:val="24"/>
          <w:highlight w:val="none"/>
        </w:rPr>
        <w:t>；</w:t>
      </w:r>
    </w:p>
    <w:p w14:paraId="00B0BD90">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（13）本节第</w:t>
      </w:r>
      <w:r>
        <w:rPr>
          <w:rFonts w:hint="eastAsia" w:ascii="宋体" w:hAnsi="宋体" w:eastAsia="宋体" w:cs="宋体"/>
          <w:b/>
          <w:bCs/>
          <w:snapToGrid w:val="0"/>
          <w:color w:val="auto"/>
          <w:kern w:val="0"/>
          <w:sz w:val="24"/>
          <w:szCs w:val="24"/>
          <w:highlight w:val="none"/>
        </w:rPr>
        <w:t>15.5.1</w:t>
      </w:r>
      <w:r>
        <w:rPr>
          <w:rFonts w:hint="eastAsia" w:ascii="宋体" w:hAnsi="宋体" w:eastAsia="宋体" w:cs="宋体"/>
          <w:snapToGrid w:val="0"/>
          <w:color w:val="auto"/>
          <w:kern w:val="0"/>
          <w:sz w:val="24"/>
          <w:szCs w:val="24"/>
          <w:highlight w:val="none"/>
        </w:rPr>
        <w:t>目“评标方法”要求提供的评审资料；</w:t>
      </w:r>
    </w:p>
    <w:p w14:paraId="14E4B4C4">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69CF6C98">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目中所列出的</w:t>
      </w:r>
      <w:r>
        <w:rPr>
          <w:rFonts w:hint="eastAsia" w:ascii="宋体" w:hAnsi="宋体" w:eastAsia="宋体" w:cs="宋体"/>
          <w:snapToGrid w:val="0"/>
          <w:color w:val="auto"/>
          <w:kern w:val="0"/>
          <w:sz w:val="24"/>
          <w:szCs w:val="24"/>
          <w:highlight w:val="none"/>
          <w:lang w:eastAsia="zh-CN"/>
        </w:rPr>
        <w:t>商务经济标书</w:t>
      </w:r>
      <w:r>
        <w:rPr>
          <w:rFonts w:hint="eastAsia" w:ascii="宋体" w:hAnsi="宋体" w:eastAsia="宋体" w:cs="宋体"/>
          <w:snapToGrid w:val="0"/>
          <w:color w:val="auto"/>
          <w:kern w:val="0"/>
          <w:sz w:val="24"/>
          <w:szCs w:val="24"/>
          <w:highlight w:val="none"/>
        </w:rPr>
        <w:t>组成内容中，第（1）至第（12）项所有投标人均应提供，</w:t>
      </w:r>
      <w:r>
        <w:rPr>
          <w:rFonts w:hint="eastAsia" w:ascii="宋体" w:hAnsi="宋体" w:eastAsia="宋体" w:cs="宋体"/>
          <w:b/>
          <w:bCs/>
          <w:snapToGrid w:val="0"/>
          <w:color w:val="auto"/>
          <w:kern w:val="0"/>
          <w:sz w:val="24"/>
          <w:szCs w:val="24"/>
          <w:highlight w:val="none"/>
        </w:rPr>
        <w:t>但非联合体投标的，无需提供第（8）项内容。</w:t>
      </w:r>
    </w:p>
    <w:p w14:paraId="34D40888">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lang w:eastAsia="zh-CN"/>
        </w:rPr>
        <w:t>商务经济标书</w:t>
      </w:r>
      <w:r>
        <w:rPr>
          <w:rFonts w:hint="eastAsia" w:ascii="宋体" w:hAnsi="宋体" w:eastAsia="宋体" w:cs="宋体"/>
          <w:snapToGrid w:val="0"/>
          <w:color w:val="auto"/>
          <w:kern w:val="0"/>
          <w:sz w:val="24"/>
          <w:szCs w:val="24"/>
          <w:highlight w:val="none"/>
        </w:rPr>
        <w:t>的组成内容按本节第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目规定的顺序整理、编排后，逐页（页码起始从封面开始）连续标记页码。</w:t>
      </w:r>
    </w:p>
    <w:p w14:paraId="22E15062">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10.2.4</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Cs/>
          <w:snapToGrid w:val="0"/>
          <w:color w:val="auto"/>
          <w:kern w:val="0"/>
          <w:sz w:val="24"/>
          <w:szCs w:val="24"/>
          <w:highlight w:val="none"/>
          <w:lang w:eastAsia="zh-CN"/>
        </w:rPr>
        <w:t>商务经济标书</w:t>
      </w:r>
      <w:r>
        <w:rPr>
          <w:rFonts w:hint="eastAsia" w:ascii="宋体" w:hAnsi="宋体" w:eastAsia="宋体" w:cs="宋体"/>
          <w:snapToGrid w:val="0"/>
          <w:color w:val="auto"/>
          <w:kern w:val="0"/>
          <w:sz w:val="24"/>
          <w:szCs w:val="24"/>
          <w:highlight w:val="none"/>
        </w:rPr>
        <w:t>应尽量避免手工涂改、行间插字或删除。如果出现上述情况，改动之处应加盖单位章确认或由投标人的法定代表人或其委托代理人签字确认。</w:t>
      </w:r>
    </w:p>
    <w:p w14:paraId="4BEBEAF1">
      <w:pPr>
        <w:pageBreakBefore w:val="0"/>
        <w:kinsoku/>
        <w:overflowPunct/>
        <w:topLinePunct w:val="0"/>
        <w:autoSpaceDE/>
        <w:autoSpaceDN/>
        <w:bidi w:val="0"/>
        <w:snapToGrid/>
        <w:spacing w:line="360" w:lineRule="auto"/>
        <w:ind w:left="0" w:leftChars="0" w:firstLine="482" w:firstLineChars="200"/>
        <w:textAlignment w:val="auto"/>
        <w:rPr>
          <w:rFonts w:hint="eastAsia" w:ascii="宋体" w:hAnsi="宋体" w:eastAsia="宋体" w:cs="宋体"/>
          <w:b/>
          <w:bCs/>
          <w:color w:val="auto"/>
          <w:sz w:val="24"/>
          <w:szCs w:val="24"/>
          <w:highlight w:val="none"/>
          <w:lang w:val="en-US" w:eastAsia="zh-CN"/>
        </w:rPr>
      </w:pPr>
      <w:bookmarkStart w:id="54" w:name="_Toc274313881"/>
      <w:bookmarkStart w:id="55" w:name="_Toc24810"/>
      <w:r>
        <w:rPr>
          <w:rFonts w:hint="eastAsia" w:ascii="宋体" w:hAnsi="宋体" w:eastAsia="宋体" w:cs="宋体"/>
          <w:b/>
          <w:bCs/>
          <w:color w:val="auto"/>
          <w:sz w:val="24"/>
          <w:szCs w:val="24"/>
          <w:highlight w:val="none"/>
          <w:lang w:val="en-US" w:eastAsia="zh-CN"/>
        </w:rPr>
        <w:t>10.3</w:t>
      </w:r>
      <w:bookmarkStart w:id="56" w:name="_Hlt69670035"/>
      <w:bookmarkEnd w:id="56"/>
      <w:r>
        <w:rPr>
          <w:rFonts w:hint="eastAsia" w:ascii="宋体" w:hAnsi="宋体" w:eastAsia="宋体" w:cs="宋体"/>
          <w:b/>
          <w:bCs/>
          <w:color w:val="auto"/>
          <w:sz w:val="24"/>
          <w:szCs w:val="24"/>
          <w:highlight w:val="none"/>
          <w:lang w:val="en-US" w:eastAsia="zh-CN"/>
        </w:rPr>
        <w:t xml:space="preserve"> 技术标书的编制要求</w:t>
      </w:r>
      <w:bookmarkEnd w:id="54"/>
      <w:bookmarkEnd w:id="55"/>
    </w:p>
    <w:p w14:paraId="14E64E23">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 xml:space="preserve"> 技术标书包括但不限于以下内容：</w:t>
      </w:r>
    </w:p>
    <w:p w14:paraId="572559C4">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1C880445">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（2）目录；</w:t>
      </w:r>
      <w:bookmarkStart w:id="57" w:name="_Hlt69699579"/>
      <w:bookmarkEnd w:id="57"/>
    </w:p>
    <w:p w14:paraId="47BFF9DA">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（3）本节第</w:t>
      </w:r>
      <w:r>
        <w:rPr>
          <w:rFonts w:hint="eastAsia" w:ascii="宋体" w:hAnsi="宋体" w:eastAsia="宋体" w:cs="宋体"/>
          <w:b/>
          <w:bCs/>
          <w:snapToGrid w:val="0"/>
          <w:color w:val="auto"/>
          <w:kern w:val="0"/>
          <w:sz w:val="24"/>
          <w:szCs w:val="24"/>
          <w:highlight w:val="none"/>
        </w:rPr>
        <w:t>15.5.1</w:t>
      </w:r>
      <w:r>
        <w:rPr>
          <w:rFonts w:hint="eastAsia" w:ascii="宋体" w:hAnsi="宋体" w:eastAsia="宋体" w:cs="宋体"/>
          <w:snapToGrid w:val="0"/>
          <w:color w:val="auto"/>
          <w:kern w:val="0"/>
          <w:sz w:val="24"/>
          <w:szCs w:val="24"/>
          <w:highlight w:val="none"/>
        </w:rPr>
        <w:t>目“评标方法《综合评分表》”</w:t>
      </w:r>
      <w:r>
        <w:rPr>
          <w:rFonts w:hint="eastAsia" w:ascii="宋体" w:hAnsi="宋体" w:eastAsia="宋体" w:cs="宋体"/>
          <w:color w:val="auto"/>
          <w:sz w:val="24"/>
          <w:szCs w:val="24"/>
          <w:highlight w:val="none"/>
        </w:rPr>
        <w:t>的</w:t>
      </w:r>
      <w:r>
        <w:rPr>
          <w:rFonts w:hint="eastAsia" w:ascii="宋体" w:hAnsi="宋体" w:eastAsia="宋体" w:cs="宋体"/>
          <w:snapToGrid w:val="0"/>
          <w:color w:val="auto"/>
          <w:kern w:val="0"/>
          <w:sz w:val="24"/>
          <w:szCs w:val="24"/>
          <w:highlight w:val="none"/>
        </w:rPr>
        <w:t>要求提供的评审资料。</w:t>
      </w:r>
    </w:p>
    <w:p w14:paraId="5263086F">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）投标人认为有必要补充的其他资料。</w:t>
      </w:r>
    </w:p>
    <w:p w14:paraId="0CA63482">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目中所列出的技术标书组成内容中，第（1）至第（</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）项所有投标人均应提供</w:t>
      </w:r>
      <w:bookmarkStart w:id="58" w:name="_Hlt145127239"/>
      <w:bookmarkEnd w:id="58"/>
      <w:r>
        <w:rPr>
          <w:rFonts w:hint="eastAsia" w:ascii="宋体" w:hAnsi="宋体" w:eastAsia="宋体" w:cs="宋体"/>
          <w:snapToGrid w:val="0"/>
          <w:color w:val="auto"/>
          <w:kern w:val="0"/>
          <w:sz w:val="24"/>
          <w:szCs w:val="24"/>
          <w:highlight w:val="none"/>
        </w:rPr>
        <w:t>。</w:t>
      </w:r>
    </w:p>
    <w:p w14:paraId="53CF271D">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10.3.3</w:t>
      </w:r>
      <w:r>
        <w:rPr>
          <w:rFonts w:hint="eastAsia" w:ascii="宋体" w:hAnsi="宋体" w:eastAsia="宋体" w:cs="宋体"/>
          <w:snapToGrid w:val="0"/>
          <w:color w:val="auto"/>
          <w:kern w:val="0"/>
          <w:sz w:val="24"/>
          <w:szCs w:val="24"/>
          <w:highlight w:val="none"/>
        </w:rPr>
        <w:t xml:space="preserve"> 技术标书的组成内容按本节第</w:t>
      </w: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目规定的顺序整理、编排后，逐页（页码起始从封面开始）连续标记页码。</w:t>
      </w:r>
    </w:p>
    <w:p w14:paraId="2CC13D42">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10.3.4</w:t>
      </w:r>
      <w:r>
        <w:rPr>
          <w:rFonts w:hint="eastAsia" w:ascii="宋体" w:hAnsi="宋体" w:eastAsia="宋体" w:cs="宋体"/>
          <w:snapToGrid w:val="0"/>
          <w:color w:val="auto"/>
          <w:kern w:val="0"/>
          <w:sz w:val="24"/>
          <w:szCs w:val="24"/>
          <w:highlight w:val="none"/>
        </w:rPr>
        <w:t xml:space="preserve"> 技术标书应尽量避免手工涂改、行间插字或删除。如果出现上述情况，改动之处应加盖单位章确认或由投标人的法定代表人或其委托代理人签字确认。</w:t>
      </w:r>
    </w:p>
    <w:p w14:paraId="269C4F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val="0"/>
          <w:color w:val="auto"/>
          <w:sz w:val="24"/>
          <w:szCs w:val="24"/>
          <w:highlight w:val="none"/>
          <w:lang w:val="en-US" w:eastAsia="zh-CN"/>
        </w:rPr>
      </w:pPr>
      <w:bookmarkStart w:id="59" w:name="_Toc25423"/>
      <w:r>
        <w:rPr>
          <w:rFonts w:hint="eastAsia" w:ascii="宋体" w:hAnsi="宋体" w:eastAsia="宋体" w:cs="宋体"/>
          <w:b/>
          <w:bCs w:val="0"/>
          <w:snapToGrid w:val="0"/>
          <w:color w:val="auto"/>
          <w:kern w:val="0"/>
          <w:sz w:val="24"/>
          <w:szCs w:val="24"/>
          <w:highlight w:val="none"/>
          <w:lang w:val="en-US" w:eastAsia="zh-CN"/>
        </w:rPr>
        <w:t>10.4</w:t>
      </w:r>
      <w:r>
        <w:rPr>
          <w:rFonts w:hint="eastAsia" w:ascii="宋体" w:hAnsi="宋体" w:eastAsia="宋体" w:cs="宋体"/>
          <w:b/>
          <w:bCs w:val="0"/>
          <w:color w:val="auto"/>
          <w:sz w:val="24"/>
          <w:szCs w:val="24"/>
          <w:highlight w:val="none"/>
          <w:lang w:val="en-US" w:eastAsia="zh-CN"/>
        </w:rPr>
        <w:t>定标文件的编制要求</w:t>
      </w:r>
    </w:p>
    <w:p w14:paraId="7E435A00">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 xml:space="preserve">10.4.1 </w:t>
      </w:r>
      <w:r>
        <w:rPr>
          <w:rFonts w:hint="eastAsia" w:ascii="宋体" w:hAnsi="宋体" w:eastAsia="宋体" w:cs="宋体"/>
          <w:snapToGrid w:val="0"/>
          <w:color w:val="auto"/>
          <w:kern w:val="0"/>
          <w:sz w:val="24"/>
          <w:szCs w:val="24"/>
          <w:highlight w:val="none"/>
          <w:lang w:val="en-US" w:eastAsia="zh-CN"/>
        </w:rPr>
        <w:t>定标文件包括但不限于以下内容：</w:t>
      </w:r>
    </w:p>
    <w:p w14:paraId="5EF65722">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（1）封面（格式一）；</w:t>
      </w:r>
    </w:p>
    <w:p w14:paraId="39B6FA75">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（2）目录；</w:t>
      </w:r>
    </w:p>
    <w:p w14:paraId="0D0B136B">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（3）定标因素评审资料（格式十一）。</w:t>
      </w:r>
    </w:p>
    <w:p w14:paraId="5B7BEE92">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 xml:space="preserve">10.4.2 </w:t>
      </w:r>
      <w:r>
        <w:rPr>
          <w:rFonts w:hint="eastAsia" w:ascii="宋体" w:hAnsi="宋体" w:eastAsia="宋体" w:cs="宋体"/>
          <w:b w:val="0"/>
          <w:bCs w:val="0"/>
          <w:snapToGrid w:val="0"/>
          <w:color w:val="auto"/>
          <w:kern w:val="0"/>
          <w:sz w:val="24"/>
          <w:szCs w:val="24"/>
          <w:highlight w:val="none"/>
          <w:lang w:val="en-US" w:eastAsia="zh-CN"/>
        </w:rPr>
        <w:t>本节第10.4.1目中所列出的组成内容中，</w:t>
      </w:r>
      <w:r>
        <w:rPr>
          <w:rFonts w:hint="eastAsia" w:ascii="宋体" w:hAnsi="宋体" w:cs="宋体"/>
          <w:b w:val="0"/>
          <w:bCs w:val="0"/>
          <w:snapToGrid w:val="0"/>
          <w:color w:val="auto"/>
          <w:kern w:val="0"/>
          <w:sz w:val="24"/>
          <w:szCs w:val="24"/>
          <w:highlight w:val="none"/>
          <w:lang w:val="en-US" w:eastAsia="zh-CN"/>
        </w:rPr>
        <w:t>第（1）至</w:t>
      </w:r>
      <w:r>
        <w:rPr>
          <w:rFonts w:hint="eastAsia" w:ascii="宋体" w:hAnsi="宋体" w:eastAsia="宋体" w:cs="宋体"/>
          <w:b w:val="0"/>
          <w:bCs w:val="0"/>
          <w:snapToGrid w:val="0"/>
          <w:color w:val="auto"/>
          <w:kern w:val="0"/>
          <w:sz w:val="24"/>
          <w:szCs w:val="24"/>
          <w:highlight w:val="none"/>
          <w:lang w:val="en-US" w:eastAsia="zh-CN"/>
        </w:rPr>
        <w:t>第（2）项所有投标人均应提供。</w:t>
      </w:r>
    </w:p>
    <w:p w14:paraId="108254E9">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bookmarkStart w:id="60" w:name="_Toc31569"/>
      <w:r>
        <w:rPr>
          <w:rFonts w:hint="eastAsia" w:ascii="宋体" w:hAnsi="宋体" w:eastAsia="宋体" w:cs="宋体"/>
          <w:b/>
          <w:bCs/>
          <w:color w:val="auto"/>
          <w:kern w:val="0"/>
          <w:sz w:val="24"/>
          <w:szCs w:val="24"/>
          <w:highlight w:val="none"/>
        </w:rPr>
        <w:t>11．</w:t>
      </w:r>
      <w:bookmarkEnd w:id="59"/>
      <w:r>
        <w:rPr>
          <w:rFonts w:hint="eastAsia" w:ascii="宋体" w:hAnsi="宋体" w:eastAsia="宋体" w:cs="宋体"/>
          <w:b/>
          <w:bCs/>
          <w:color w:val="auto"/>
          <w:kern w:val="0"/>
          <w:sz w:val="24"/>
          <w:szCs w:val="24"/>
          <w:highlight w:val="none"/>
        </w:rPr>
        <w:t>电子投标</w:t>
      </w:r>
      <w:bookmarkEnd w:id="60"/>
    </w:p>
    <w:p w14:paraId="11C5D91D">
      <w:pPr>
        <w:pStyle w:val="14"/>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bookmarkStart w:id="61" w:name="_Hlt66200498"/>
      <w:bookmarkEnd w:id="61"/>
      <w:bookmarkStart w:id="62" w:name="_Hlt66511038"/>
      <w:bookmarkEnd w:id="62"/>
      <w:bookmarkStart w:id="63" w:name="_Toc28866"/>
      <w:r>
        <w:rPr>
          <w:rFonts w:hint="eastAsia" w:ascii="宋体" w:hAnsi="宋体" w:eastAsia="宋体" w:cs="宋体"/>
          <w:b/>
          <w:bCs/>
          <w:snapToGrid w:val="0"/>
          <w:color w:val="auto"/>
          <w:kern w:val="0"/>
          <w:sz w:val="24"/>
          <w:szCs w:val="24"/>
          <w:highlight w:val="none"/>
        </w:rPr>
        <w:t>11.1</w:t>
      </w:r>
      <w:r>
        <w:rPr>
          <w:rFonts w:hint="eastAsia" w:ascii="宋体" w:hAnsi="宋体" w:eastAsia="宋体" w:cs="宋体"/>
          <w:snapToGrid w:val="0"/>
          <w:color w:val="auto"/>
          <w:kern w:val="0"/>
          <w:sz w:val="24"/>
          <w:szCs w:val="24"/>
          <w:highlight w:val="none"/>
        </w:rPr>
        <w:t>在交易平台上传加盖了电子印章的投标文件、录入相关信息及标书页码信息，并提交投标标书</w:t>
      </w:r>
      <w:r>
        <w:rPr>
          <w:rFonts w:hint="eastAsia" w:ascii="宋体" w:hAnsi="宋体" w:eastAsia="宋体" w:cs="宋体"/>
          <w:b/>
          <w:bCs/>
          <w:snapToGrid w:val="0"/>
          <w:color w:val="auto"/>
          <w:kern w:val="0"/>
          <w:sz w:val="24"/>
          <w:szCs w:val="24"/>
          <w:highlight w:val="none"/>
        </w:rPr>
        <w:t>（页码起始从封面开始）</w:t>
      </w:r>
      <w:r>
        <w:rPr>
          <w:rFonts w:hint="eastAsia" w:ascii="宋体" w:hAnsi="宋体" w:eastAsia="宋体" w:cs="宋体"/>
          <w:snapToGrid w:val="0"/>
          <w:color w:val="auto"/>
          <w:kern w:val="0"/>
          <w:sz w:val="24"/>
          <w:szCs w:val="24"/>
          <w:highlight w:val="none"/>
        </w:rPr>
        <w:t>。提交标书为已加密投标文件。具体操作详见全国公共资源交易平台（广东省·韶关市）（https://ygp.gdzwfw.gov.cn/ggzy-portal/#/440200/index）。</w:t>
      </w:r>
    </w:p>
    <w:p w14:paraId="1CBA8977">
      <w:pPr>
        <w:pageBreakBefore w:val="0"/>
        <w:kinsoku/>
        <w:overflowPunct/>
        <w:topLinePunct w:val="0"/>
        <w:autoSpaceDE/>
        <w:autoSpaceDN/>
        <w:bidi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项目评标采用全流程电子化进行招标投标（投标人应根据交易平台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52295C7">
      <w:pPr>
        <w:pageBreakBefore w:val="0"/>
        <w:kinsoku/>
        <w:overflowPunct/>
        <w:topLinePunct w:val="0"/>
        <w:autoSpaceDE/>
        <w:autoSpaceDN/>
        <w:bidi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投标文件完成上传后，投标人应使用CA数字证书对投标文件进行文件加密，形成加密的投标文件并提交标书。</w:t>
      </w:r>
    </w:p>
    <w:p w14:paraId="31F70D0F">
      <w:pPr>
        <w:pageBreakBefore w:val="0"/>
        <w:kinsoku/>
        <w:overflowPunct/>
        <w:topLinePunct w:val="0"/>
        <w:autoSpaceDE/>
        <w:autoSpaceDN/>
        <w:bidi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11.2</w:t>
      </w:r>
      <w:r>
        <w:rPr>
          <w:rFonts w:hint="eastAsia" w:ascii="宋体" w:hAnsi="宋体" w:eastAsia="宋体" w:cs="宋体"/>
          <w:snapToGrid w:val="0"/>
          <w:color w:val="auto"/>
          <w:kern w:val="0"/>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0DFAABCA">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
          <w:bCs/>
          <w:snapToGrid w:val="0"/>
          <w:color w:val="auto"/>
          <w:kern w:val="0"/>
          <w:sz w:val="24"/>
          <w:szCs w:val="24"/>
          <w:highlight w:val="none"/>
        </w:rPr>
        <w:t>11.3</w:t>
      </w:r>
      <w:r>
        <w:rPr>
          <w:rFonts w:hint="eastAsia" w:ascii="宋体" w:hAnsi="宋体" w:eastAsia="宋体" w:cs="宋体"/>
          <w:snapToGrid w:val="0"/>
          <w:color w:val="auto"/>
          <w:kern w:val="0"/>
          <w:sz w:val="24"/>
          <w:szCs w:val="24"/>
          <w:highlight w:val="none"/>
        </w:rPr>
        <w:t>电子投标及投标解密失败及突发情况的补救方案</w:t>
      </w:r>
    </w:p>
    <w:p w14:paraId="55CFA68E">
      <w:pPr>
        <w:pStyle w:val="14"/>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11.3.1</w:t>
      </w:r>
      <w:r>
        <w:rPr>
          <w:rFonts w:hint="eastAsia" w:ascii="宋体" w:hAnsi="宋体" w:eastAsia="宋体" w:cs="宋体"/>
          <w:snapToGrid w:val="0"/>
          <w:color w:val="auto"/>
          <w:kern w:val="0"/>
          <w:sz w:val="24"/>
          <w:szCs w:val="24"/>
          <w:highlight w:val="none"/>
        </w:rPr>
        <w:t>按照交易平台关于全流程电子化项目的相关指南进行操作。详见：全国公共资源交易平台（广东省·韶关市）（https://ygp.gdzwfw.gov.cn/ggzy-portal/#/440200/index）中的【服务指南】。</w:t>
      </w:r>
    </w:p>
    <w:p w14:paraId="02121CB5">
      <w:pPr>
        <w:pageBreakBefore w:val="0"/>
        <w:kinsoku/>
        <w:overflowPunct/>
        <w:topLinePunct w:val="0"/>
        <w:autoSpaceDE/>
        <w:autoSpaceDN/>
        <w:bidi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11.3.2</w:t>
      </w:r>
      <w:r>
        <w:rPr>
          <w:rFonts w:hint="eastAsia" w:ascii="宋体" w:hAnsi="宋体" w:eastAsia="宋体" w:cs="宋体"/>
          <w:snapToGrid w:val="0"/>
          <w:color w:val="auto"/>
          <w:kern w:val="0"/>
          <w:sz w:val="24"/>
          <w:szCs w:val="24"/>
          <w:highlight w:val="none"/>
        </w:rPr>
        <w:t>补救方案</w:t>
      </w:r>
    </w:p>
    <w:p w14:paraId="72438906">
      <w:pPr>
        <w:pageBreakBefore w:val="0"/>
        <w:kinsoku/>
        <w:overflowPunct/>
        <w:topLinePunct w:val="0"/>
        <w:autoSpaceDE/>
        <w:autoSpaceDN/>
        <w:bidi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（1）投标文件解密失败的补救方案：</w:t>
      </w:r>
    </w:p>
    <w:p w14:paraId="13407F03">
      <w:pPr>
        <w:pageBreakBefore w:val="0"/>
        <w:kinsoku/>
        <w:overflowPunct/>
        <w:topLinePunct w:val="0"/>
        <w:autoSpaceDE/>
        <w:autoSpaceDN/>
        <w:bidi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在规定时间内，因投标人之外原因(指网络瘫痪、服务器损坏、交易系统故障短期无法恢复)等导致的电子投标文件解密失败，投标人应在规定的时限内按要求成功上传未加密的备用投标文件（投标人重传时间为30分钟，30分钟未重传系统会判断投标无效）继续开标程序。</w:t>
      </w:r>
      <w:r>
        <w:rPr>
          <w:rFonts w:hint="eastAsia" w:ascii="宋体" w:hAnsi="宋体" w:eastAsia="宋体" w:cs="宋体"/>
          <w:b/>
          <w:bCs/>
          <w:color w:val="auto"/>
          <w:sz w:val="24"/>
          <w:szCs w:val="24"/>
          <w:highlight w:val="none"/>
        </w:rPr>
        <w:t>电子投标文件解密失败且未在规定的时限内按要求成功上传未加密的备用投标文件的，视为无效投标。</w:t>
      </w:r>
    </w:p>
    <w:p w14:paraId="6417F37A">
      <w:pPr>
        <w:pageBreakBefore w:val="0"/>
        <w:kinsoku/>
        <w:overflowPunct/>
        <w:topLinePunct w:val="0"/>
        <w:autoSpaceDE/>
        <w:autoSpaceDN/>
        <w:bidi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（2）评标时突发情况的补救方案</w:t>
      </w:r>
    </w:p>
    <w:p w14:paraId="5383194C">
      <w:pPr>
        <w:pageBreakBefore w:val="0"/>
        <w:kinsoku/>
        <w:overflowPunct/>
        <w:topLinePunct w:val="0"/>
        <w:autoSpaceDE/>
        <w:autoSpaceDN/>
        <w:bidi w:val="0"/>
        <w:spacing w:line="360" w:lineRule="auto"/>
        <w:ind w:left="0" w:leftChars="0" w:firstLine="480"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6CB7959">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bookmarkStart w:id="64" w:name="_Toc26419"/>
      <w:r>
        <w:rPr>
          <w:rFonts w:hint="eastAsia" w:ascii="宋体" w:hAnsi="宋体" w:eastAsia="宋体" w:cs="宋体"/>
          <w:b/>
          <w:bCs/>
          <w:color w:val="auto"/>
          <w:kern w:val="0"/>
          <w:sz w:val="24"/>
          <w:szCs w:val="24"/>
          <w:highlight w:val="none"/>
        </w:rPr>
        <w:t>12．投标文件的递交</w:t>
      </w:r>
      <w:bookmarkEnd w:id="63"/>
      <w:bookmarkEnd w:id="64"/>
    </w:p>
    <w:p w14:paraId="4915CC8A">
      <w:pPr>
        <w:pageBreakBefore w:val="0"/>
        <w:kinsoku/>
        <w:wordWrap w:val="0"/>
        <w:overflowPunct/>
        <w:topLinePunct w:val="0"/>
        <w:autoSpaceDE/>
        <w:autoSpaceDN/>
        <w:bidi w:val="0"/>
        <w:adjustRightInd w:val="0"/>
        <w:snapToGrid w:val="0"/>
        <w:spacing w:line="360" w:lineRule="auto"/>
        <w:ind w:left="0" w:leftChars="0"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12.1</w:t>
      </w:r>
      <w:r>
        <w:rPr>
          <w:rFonts w:hint="eastAsia" w:ascii="宋体" w:hAnsi="宋体" w:eastAsia="宋体" w:cs="宋体"/>
          <w:snapToGrid w:val="0"/>
          <w:color w:val="auto"/>
          <w:kern w:val="0"/>
          <w:sz w:val="24"/>
          <w:szCs w:val="24"/>
          <w:highlight w:val="none"/>
        </w:rPr>
        <w:t xml:space="preserve"> 在投标文件提交截止时间前，投标人通过韶关市公共资源交易一体化平台提交已加密投标文件。逾期提交的电子投标文件，韶关市公共资源交易一体化平台将予以拒收。</w:t>
      </w:r>
    </w:p>
    <w:p w14:paraId="53C4D1DD">
      <w:pPr>
        <w:pageBreakBefore w:val="0"/>
        <w:kinsoku/>
        <w:wordWrap w:val="0"/>
        <w:overflowPunct/>
        <w:topLinePunct w:val="0"/>
        <w:autoSpaceDE/>
        <w:autoSpaceDN/>
        <w:bidi w:val="0"/>
        <w:adjustRightInd w:val="0"/>
        <w:snapToGrid w:val="0"/>
        <w:spacing w:line="360" w:lineRule="auto"/>
        <w:ind w:left="0" w:leftChars="0"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12.1.1</w:t>
      </w:r>
      <w:r>
        <w:rPr>
          <w:rFonts w:hint="eastAsia" w:ascii="宋体" w:hAnsi="宋体" w:eastAsia="宋体" w:cs="宋体"/>
          <w:snapToGrid w:val="0"/>
          <w:color w:val="auto"/>
          <w:kern w:val="0"/>
          <w:sz w:val="24"/>
          <w:szCs w:val="24"/>
          <w:highlight w:val="none"/>
        </w:rPr>
        <w:t xml:space="preserve"> 提交时间：见本章第二节“重要事项时间地点一览表”。</w:t>
      </w:r>
    </w:p>
    <w:p w14:paraId="64C1AE9C">
      <w:pPr>
        <w:pageBreakBefore w:val="0"/>
        <w:kinsoku/>
        <w:wordWrap w:val="0"/>
        <w:overflowPunct/>
        <w:topLinePunct w:val="0"/>
        <w:autoSpaceDE/>
        <w:autoSpaceDN/>
        <w:bidi w:val="0"/>
        <w:adjustRightInd w:val="0"/>
        <w:snapToGrid w:val="0"/>
        <w:spacing w:line="360" w:lineRule="auto"/>
        <w:ind w:left="0" w:leftChars="0"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12.1.2</w:t>
      </w:r>
      <w:r>
        <w:rPr>
          <w:rFonts w:hint="eastAsia" w:ascii="宋体" w:hAnsi="宋体" w:eastAsia="宋体" w:cs="宋体"/>
          <w:snapToGrid w:val="0"/>
          <w:color w:val="auto"/>
          <w:kern w:val="0"/>
          <w:sz w:val="24"/>
          <w:szCs w:val="24"/>
          <w:highlight w:val="none"/>
        </w:rPr>
        <w:t xml:space="preserve"> 投标人无</w:t>
      </w:r>
      <w:r>
        <w:rPr>
          <w:rFonts w:hint="eastAsia" w:ascii="宋体" w:hAnsi="宋体" w:eastAsia="宋体" w:cs="宋体"/>
          <w:snapToGrid w:val="0"/>
          <w:color w:val="auto"/>
          <w:kern w:val="0"/>
          <w:sz w:val="24"/>
          <w:szCs w:val="24"/>
          <w:highlight w:val="none"/>
          <w:lang w:eastAsia="zh-CN"/>
        </w:rPr>
        <w:t>需</w:t>
      </w:r>
      <w:r>
        <w:rPr>
          <w:rFonts w:hint="eastAsia" w:ascii="宋体" w:hAnsi="宋体" w:eastAsia="宋体" w:cs="宋体"/>
          <w:snapToGrid w:val="0"/>
          <w:color w:val="auto"/>
          <w:kern w:val="0"/>
          <w:sz w:val="24"/>
          <w:szCs w:val="24"/>
          <w:highlight w:val="none"/>
        </w:rPr>
        <w:t>进行现场签到。</w:t>
      </w:r>
    </w:p>
    <w:p w14:paraId="049CA8A5">
      <w:pPr>
        <w:pageBreakBefore w:val="0"/>
        <w:kinsoku/>
        <w:wordWrap w:val="0"/>
        <w:overflowPunct/>
        <w:topLinePunct w:val="0"/>
        <w:autoSpaceDE/>
        <w:autoSpaceDN/>
        <w:bidi w:val="0"/>
        <w:adjustRightInd w:val="0"/>
        <w:snapToGrid w:val="0"/>
        <w:spacing w:line="360" w:lineRule="auto"/>
        <w:ind w:left="0" w:leftChars="0"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12.2</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递交时间和地点：见本章第二节“重要事项时间地点一览表”。</w:t>
      </w:r>
    </w:p>
    <w:p w14:paraId="39B0D17D">
      <w:pPr>
        <w:pageBreakBefore w:val="0"/>
        <w:kinsoku/>
        <w:wordWrap w:val="0"/>
        <w:overflowPunct/>
        <w:topLinePunct w:val="0"/>
        <w:autoSpaceDE/>
        <w:autoSpaceDN/>
        <w:bidi w:val="0"/>
        <w:adjustRightInd w:val="0"/>
        <w:snapToGrid w:val="0"/>
        <w:spacing w:line="360" w:lineRule="auto"/>
        <w:ind w:left="0" w:leftChars="0"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12.3</w:t>
      </w:r>
      <w:r>
        <w:rPr>
          <w:rFonts w:hint="eastAsia" w:ascii="宋体" w:hAnsi="宋体" w:eastAsia="宋体" w:cs="宋体"/>
          <w:snapToGrid w:val="0"/>
          <w:color w:val="auto"/>
          <w:kern w:val="0"/>
          <w:sz w:val="24"/>
          <w:szCs w:val="24"/>
          <w:highlight w:val="none"/>
        </w:rPr>
        <w:t xml:space="preserve"> 投标人代表到达现场后，应出示以下身份证明材料：</w:t>
      </w:r>
    </w:p>
    <w:p w14:paraId="742E1164">
      <w:pPr>
        <w:pageBreakBefore w:val="0"/>
        <w:kinsoku/>
        <w:wordWrap w:val="0"/>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（1）本人有效的第二代居民身份证；</w:t>
      </w:r>
    </w:p>
    <w:p w14:paraId="7769CA4A">
      <w:pPr>
        <w:pageBreakBefore w:val="0"/>
        <w:kinsoku/>
        <w:wordWrap w:val="0"/>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（2）法定代表人到场的，出示《法定代表人身份证明》（格式</w:t>
      </w:r>
      <w:r>
        <w:rPr>
          <w:rFonts w:hint="eastAsia" w:ascii="宋体" w:hAnsi="宋体" w:eastAsia="宋体" w:cs="宋体"/>
          <w:snapToGrid w:val="0"/>
          <w:color w:val="auto"/>
          <w:kern w:val="0"/>
          <w:sz w:val="24"/>
          <w:szCs w:val="24"/>
          <w:highlight w:val="none"/>
          <w:lang w:val="en-US" w:eastAsia="zh-CN"/>
        </w:rPr>
        <w:t>六</w:t>
      </w:r>
      <w:r>
        <w:rPr>
          <w:rFonts w:hint="eastAsia" w:ascii="宋体" w:hAnsi="宋体" w:eastAsia="宋体" w:cs="宋体"/>
          <w:snapToGrid w:val="0"/>
          <w:color w:val="auto"/>
          <w:kern w:val="0"/>
          <w:sz w:val="24"/>
          <w:szCs w:val="24"/>
          <w:highlight w:val="none"/>
        </w:rPr>
        <w:t>）；委托代理人到场的，应同时出示《授权委托书》（格式</w:t>
      </w:r>
      <w:r>
        <w:rPr>
          <w:rFonts w:hint="eastAsia" w:ascii="宋体" w:hAnsi="宋体" w:eastAsia="宋体" w:cs="宋体"/>
          <w:snapToGrid w:val="0"/>
          <w:color w:val="auto"/>
          <w:kern w:val="0"/>
          <w:sz w:val="24"/>
          <w:szCs w:val="24"/>
          <w:highlight w:val="none"/>
          <w:lang w:val="en-US" w:eastAsia="zh-CN"/>
        </w:rPr>
        <w:t>五</w:t>
      </w:r>
      <w:r>
        <w:rPr>
          <w:rFonts w:hint="eastAsia" w:ascii="宋体" w:hAnsi="宋体" w:eastAsia="宋体" w:cs="宋体"/>
          <w:snapToGrid w:val="0"/>
          <w:color w:val="auto"/>
          <w:kern w:val="0"/>
          <w:sz w:val="24"/>
          <w:szCs w:val="24"/>
          <w:highlight w:val="none"/>
        </w:rPr>
        <w:t>）和《法定代表人身份证明》。</w:t>
      </w:r>
    </w:p>
    <w:p w14:paraId="7832D3A2">
      <w:pPr>
        <w:pageBreakBefore w:val="0"/>
        <w:kinsoku/>
        <w:wordWrap w:val="0"/>
        <w:overflowPunct/>
        <w:topLinePunct w:val="0"/>
        <w:autoSpaceDE/>
        <w:autoSpaceDN/>
        <w:bidi w:val="0"/>
        <w:adjustRightInd w:val="0"/>
        <w:snapToGrid w:val="0"/>
        <w:spacing w:line="360" w:lineRule="auto"/>
        <w:ind w:left="0" w:leftChars="0" w:firstLine="482" w:firstLineChars="2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12.4</w:t>
      </w:r>
      <w:r>
        <w:rPr>
          <w:rFonts w:hint="eastAsia" w:ascii="宋体" w:hAnsi="宋体" w:eastAsia="宋体" w:cs="宋体"/>
          <w:snapToGrid w:val="0"/>
          <w:color w:val="auto"/>
          <w:kern w:val="0"/>
          <w:sz w:val="24"/>
          <w:szCs w:val="24"/>
          <w:highlight w:val="none"/>
        </w:rPr>
        <w:t xml:space="preserve"> 联合体投标的，由联合体牵头人按以上要求递交相关资料。</w:t>
      </w:r>
    </w:p>
    <w:p w14:paraId="24F2CE21">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w:t>
      </w:r>
      <w:r>
        <w:rPr>
          <w:rFonts w:hint="eastAsia" w:ascii="宋体" w:hAnsi="宋体" w:eastAsia="宋体" w:cs="宋体"/>
          <w:b/>
          <w:bCs/>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出现下述情形之一，属于未成功提交投标文件，按无效投标处理：</w:t>
      </w:r>
    </w:p>
    <w:p w14:paraId="7B4C39D1">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（1）至提交投标文件截止时，投标文件未完整上传或未提交投标。</w:t>
      </w:r>
    </w:p>
    <w:p w14:paraId="4B39B612">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（2）投标文件未按投标格式中注明需签字盖章的要求加盖电子印章，或电子印章不完整。</w:t>
      </w:r>
    </w:p>
    <w:p w14:paraId="0CC77E0B">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（3）非投标人原因导致电子投标文件解密失败且未在规定的时限内按要求成功上传未加密的备用投标文件的。</w:t>
      </w:r>
      <w:bookmarkStart w:id="65" w:name="_Toc32121"/>
    </w:p>
    <w:p w14:paraId="5CEE9B26">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bookmarkStart w:id="66" w:name="_Toc7360"/>
      <w:r>
        <w:rPr>
          <w:rFonts w:hint="eastAsia" w:ascii="宋体" w:hAnsi="宋体" w:eastAsia="宋体" w:cs="宋体"/>
          <w:b/>
          <w:bCs/>
          <w:color w:val="auto"/>
          <w:kern w:val="0"/>
          <w:sz w:val="24"/>
          <w:szCs w:val="24"/>
          <w:highlight w:val="none"/>
        </w:rPr>
        <w:t>13．投标有效期</w:t>
      </w:r>
      <w:bookmarkEnd w:id="65"/>
      <w:bookmarkEnd w:id="66"/>
    </w:p>
    <w:p w14:paraId="13BF840B">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本次招标投标有效期为</w:t>
      </w:r>
      <w:r>
        <w:rPr>
          <w:rFonts w:hint="eastAsia" w:ascii="宋体" w:hAnsi="宋体" w:eastAsia="宋体" w:cs="宋体"/>
          <w:snapToGrid w:val="0"/>
          <w:color w:val="auto"/>
          <w:kern w:val="0"/>
          <w:sz w:val="24"/>
          <w:szCs w:val="24"/>
          <w:highlight w:val="none"/>
          <w:u w:val="single"/>
        </w:rPr>
        <w:t>90</w:t>
      </w:r>
      <w:r>
        <w:rPr>
          <w:rFonts w:hint="eastAsia" w:ascii="宋体" w:hAnsi="宋体" w:eastAsia="宋体" w:cs="宋体"/>
          <w:snapToGrid w:val="0"/>
          <w:color w:val="auto"/>
          <w:kern w:val="0"/>
          <w:sz w:val="24"/>
          <w:szCs w:val="24"/>
          <w:highlight w:val="none"/>
        </w:rPr>
        <w:t>个日历天，投标有效期从提交投标文件的截止之日起计算。在此期间，投标人不得撤销或修改其投标文件，否则其投标保证不予退还。</w:t>
      </w:r>
      <w:bookmarkStart w:id="67" w:name="_Toc8020"/>
    </w:p>
    <w:p w14:paraId="592A7A49">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bookmarkStart w:id="68" w:name="_Toc32690"/>
      <w:r>
        <w:rPr>
          <w:rFonts w:hint="eastAsia" w:ascii="宋体" w:hAnsi="宋体" w:eastAsia="宋体" w:cs="宋体"/>
          <w:b/>
          <w:bCs/>
          <w:color w:val="auto"/>
          <w:kern w:val="0"/>
          <w:sz w:val="24"/>
          <w:szCs w:val="24"/>
          <w:highlight w:val="none"/>
        </w:rPr>
        <w:t>14．</w:t>
      </w:r>
      <w:bookmarkEnd w:id="67"/>
      <w:r>
        <w:rPr>
          <w:rFonts w:hint="eastAsia" w:ascii="宋体" w:hAnsi="宋体" w:eastAsia="宋体" w:cs="宋体"/>
          <w:b/>
          <w:bCs/>
          <w:color w:val="auto"/>
          <w:kern w:val="0"/>
          <w:sz w:val="24"/>
          <w:szCs w:val="24"/>
          <w:highlight w:val="none"/>
        </w:rPr>
        <w:t>开标规定</w:t>
      </w:r>
      <w:bookmarkEnd w:id="68"/>
    </w:p>
    <w:p w14:paraId="1E70E9E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14.1</w:t>
      </w:r>
      <w:r>
        <w:rPr>
          <w:rFonts w:hint="eastAsia" w:ascii="宋体" w:hAnsi="宋体" w:eastAsia="宋体" w:cs="宋体"/>
          <w:color w:val="auto"/>
          <w:sz w:val="24"/>
          <w:szCs w:val="24"/>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14:paraId="51CF0FF4">
      <w:pPr>
        <w:pageBreakBefore w:val="0"/>
        <w:kinsoku/>
        <w:wordWrap w:val="0"/>
        <w:overflowPunct/>
        <w:topLinePunct w:val="0"/>
        <w:autoSpaceDE/>
        <w:autoSpaceDN/>
        <w:bidi w:val="0"/>
        <w:adjustRightInd w:val="0"/>
        <w:snapToGrid w:val="0"/>
        <w:spacing w:line="360" w:lineRule="auto"/>
        <w:ind w:left="0" w:leftChars="0"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14.1.1</w:t>
      </w:r>
      <w:r>
        <w:rPr>
          <w:rFonts w:hint="eastAsia" w:ascii="宋体" w:hAnsi="宋体" w:eastAsia="宋体" w:cs="宋体"/>
          <w:snapToGrid w:val="0"/>
          <w:color w:val="auto"/>
          <w:kern w:val="0"/>
          <w:sz w:val="24"/>
          <w:szCs w:val="24"/>
          <w:highlight w:val="none"/>
        </w:rPr>
        <w:t xml:space="preserve"> 开标时间和地点：见本章第二节“重要事项时间地点一览表”。</w:t>
      </w:r>
    </w:p>
    <w:p w14:paraId="03BBD75D">
      <w:pPr>
        <w:pageBreakBefore w:val="0"/>
        <w:kinsoku/>
        <w:wordWrap w:val="0"/>
        <w:overflowPunct/>
        <w:topLinePunct w:val="0"/>
        <w:autoSpaceDE/>
        <w:autoSpaceDN/>
        <w:bidi w:val="0"/>
        <w:adjustRightInd w:val="0"/>
        <w:snapToGrid w:val="0"/>
        <w:spacing w:line="360" w:lineRule="auto"/>
        <w:ind w:left="0" w:leftChars="0"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14.1.2</w:t>
      </w:r>
      <w:r>
        <w:rPr>
          <w:rFonts w:hint="eastAsia" w:ascii="宋体" w:hAnsi="宋体" w:eastAsia="宋体" w:cs="宋体"/>
          <w:snapToGrid w:val="0"/>
          <w:color w:val="auto"/>
          <w:kern w:val="0"/>
          <w:sz w:val="24"/>
          <w:szCs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5D4C8DCB">
      <w:pPr>
        <w:pageBreakBefore w:val="0"/>
        <w:kinsoku/>
        <w:wordWrap w:val="0"/>
        <w:overflowPunct/>
        <w:topLinePunct w:val="0"/>
        <w:autoSpaceDE/>
        <w:autoSpaceDN/>
        <w:bidi w:val="0"/>
        <w:adjustRightInd w:val="0"/>
        <w:snapToGrid w:val="0"/>
        <w:spacing w:line="360" w:lineRule="auto"/>
        <w:ind w:left="0" w:leftChars="0" w:firstLine="482" w:firstLineChars="200"/>
        <w:jc w:val="lef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14.1.3 </w:t>
      </w:r>
      <w:r>
        <w:rPr>
          <w:rFonts w:hint="eastAsia" w:ascii="宋体" w:hAnsi="宋体" w:eastAsia="宋体" w:cs="宋体"/>
          <w:b/>
          <w:bCs/>
          <w:color w:val="auto"/>
          <w:sz w:val="24"/>
          <w:szCs w:val="24"/>
          <w:highlight w:val="none"/>
        </w:rPr>
        <w:t>实行全流程电子化招标投标的项目，投标人无须进行现场签到，可登录交易平台观看开标实况、提出异议或进行澄清、确认等操作，具体按招标文件和系统操作手册为准。</w:t>
      </w:r>
    </w:p>
    <w:p w14:paraId="00F173E1">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14.2</w:t>
      </w:r>
      <w:r>
        <w:rPr>
          <w:rFonts w:hint="eastAsia" w:ascii="宋体" w:hAnsi="宋体" w:eastAsia="宋体" w:cs="宋体"/>
          <w:snapToGrid w:val="0"/>
          <w:color w:val="auto"/>
          <w:kern w:val="0"/>
          <w:sz w:val="24"/>
          <w:szCs w:val="24"/>
          <w:highlight w:val="none"/>
        </w:rPr>
        <w:t xml:space="preserve"> 开标程序</w:t>
      </w:r>
    </w:p>
    <w:p w14:paraId="45D2C180">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（1）主持人（招标人代表或招标人授权的招标代理机构人员）宣读开标纪律。</w:t>
      </w:r>
    </w:p>
    <w:p w14:paraId="585B3335">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（2）主持人宣布唱标人、记录人、见证人、监督人等有关人员姓名。</w:t>
      </w:r>
    </w:p>
    <w:p w14:paraId="6F754C34">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（3）招标代理机构在交易场所工作人员的见证下，对投标人的电子投标信息进行解密，交易平台系统自动生成《投标保证缴纳情况表》和《开标一览表》。</w:t>
      </w:r>
    </w:p>
    <w:p w14:paraId="3012CB4F">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08B20330">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sz w:val="24"/>
          <w:szCs w:val="24"/>
          <w:highlight w:val="none"/>
        </w:rPr>
        <w:t>备注：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75E5290F">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（5）唱标人检查《开标一览表》中各投标人的投标总价、质量标准、工期是否符合招标文件规定。若不符合规定，招标代理机构应将有关情形在《开标一览表》“备注”栏中注明。</w:t>
      </w:r>
    </w:p>
    <w:p w14:paraId="76025172">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r>
        <w:rPr>
          <w:rFonts w:hint="eastAsia" w:ascii="宋体" w:hAnsi="宋体" w:eastAsia="宋体" w:cs="宋体"/>
          <w:color w:val="auto"/>
          <w:sz w:val="24"/>
          <w:szCs w:val="24"/>
          <w:highlight w:val="none"/>
        </w:rPr>
        <w:t>招标人代表、唱标人、记录人等有关人员在《投标保证缴纳情况表》以及《开标一览表》上签字确认。</w:t>
      </w:r>
    </w:p>
    <w:p w14:paraId="0424EEF7">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（7）主持人宣布有关注意事项后，宣布开标结束。</w:t>
      </w:r>
    </w:p>
    <w:p w14:paraId="0739736D">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14.3</w:t>
      </w:r>
      <w:r>
        <w:rPr>
          <w:rFonts w:hint="eastAsia" w:ascii="宋体" w:hAnsi="宋体" w:eastAsia="宋体" w:cs="宋体"/>
          <w:snapToGrid w:val="0"/>
          <w:color w:val="auto"/>
          <w:kern w:val="0"/>
          <w:sz w:val="24"/>
          <w:szCs w:val="24"/>
          <w:highlight w:val="none"/>
        </w:rPr>
        <w:t xml:space="preserve"> 投标人对开标相关事项（如开标程序、唱标次序和内容等）有异议的，必须在开标期间和开标现场提出，招标人或其授权的招标代理机构应当场作出答复，并记录在案。对开标事项的异议未在开标期间和开标现场提出的，招标人不予受理。</w:t>
      </w:r>
    </w:p>
    <w:p w14:paraId="22BA795F">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14.4</w:t>
      </w:r>
      <w:r>
        <w:rPr>
          <w:rFonts w:hint="eastAsia" w:ascii="宋体" w:hAnsi="宋体" w:eastAsia="宋体" w:cs="宋体"/>
          <w:snapToGrid w:val="0"/>
          <w:color w:val="auto"/>
          <w:kern w:val="0"/>
          <w:sz w:val="24"/>
          <w:szCs w:val="24"/>
          <w:highlight w:val="none"/>
        </w:rPr>
        <w:t xml:space="preserve"> </w:t>
      </w:r>
      <w:bookmarkStart w:id="69" w:name="_Hlt127093805"/>
      <w:bookmarkEnd w:id="69"/>
      <w:r>
        <w:rPr>
          <w:rFonts w:hint="eastAsia" w:ascii="宋体" w:hAnsi="宋体" w:eastAsia="宋体" w:cs="宋体"/>
          <w:snapToGrid w:val="0"/>
          <w:color w:val="auto"/>
          <w:kern w:val="0"/>
          <w:sz w:val="24"/>
          <w:szCs w:val="24"/>
          <w:highlight w:val="none"/>
        </w:rPr>
        <w:t>招标代理机构将《开标一览表》以及其他有关资料移交评标委员会。</w:t>
      </w:r>
      <w:bookmarkStart w:id="70" w:name="_Toc27699"/>
    </w:p>
    <w:p w14:paraId="4FECCD65">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bookmarkStart w:id="71" w:name="_Toc15996"/>
      <w:r>
        <w:rPr>
          <w:rFonts w:hint="eastAsia" w:ascii="宋体" w:hAnsi="宋体" w:eastAsia="宋体" w:cs="宋体"/>
          <w:b/>
          <w:bCs/>
          <w:color w:val="auto"/>
          <w:kern w:val="0"/>
          <w:sz w:val="24"/>
          <w:szCs w:val="24"/>
          <w:highlight w:val="none"/>
        </w:rPr>
        <w:t>15．</w:t>
      </w:r>
      <w:bookmarkEnd w:id="70"/>
      <w:r>
        <w:rPr>
          <w:rFonts w:hint="eastAsia" w:ascii="宋体" w:hAnsi="宋体" w:eastAsia="宋体" w:cs="宋体"/>
          <w:b/>
          <w:bCs/>
          <w:color w:val="auto"/>
          <w:kern w:val="0"/>
          <w:sz w:val="24"/>
          <w:szCs w:val="24"/>
          <w:highlight w:val="none"/>
        </w:rPr>
        <w:t>评标</w:t>
      </w:r>
      <w:r>
        <w:rPr>
          <w:rFonts w:hint="eastAsia" w:ascii="宋体" w:hAnsi="宋体" w:eastAsia="宋体" w:cs="宋体"/>
          <w:b/>
          <w:bCs/>
          <w:color w:val="auto"/>
          <w:kern w:val="0"/>
          <w:sz w:val="24"/>
          <w:szCs w:val="24"/>
          <w:highlight w:val="none"/>
          <w:lang w:eastAsia="zh-CN"/>
        </w:rPr>
        <w:t>规定</w:t>
      </w:r>
      <w:bookmarkEnd w:id="71"/>
    </w:p>
    <w:p w14:paraId="664DB21B">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bookmarkStart w:id="72" w:name="_Toc3829"/>
      <w:r>
        <w:rPr>
          <w:rFonts w:hint="eastAsia" w:ascii="宋体" w:hAnsi="宋体" w:eastAsia="宋体" w:cs="宋体"/>
          <w:b/>
          <w:bCs/>
          <w:snapToGrid w:val="0"/>
          <w:color w:val="auto"/>
          <w:kern w:val="0"/>
          <w:sz w:val="24"/>
          <w:szCs w:val="24"/>
          <w:highlight w:val="none"/>
        </w:rPr>
        <w:t xml:space="preserve">15.1 </w:t>
      </w:r>
      <w:r>
        <w:rPr>
          <w:rFonts w:hint="eastAsia" w:ascii="宋体" w:hAnsi="宋体" w:eastAsia="宋体" w:cs="宋体"/>
          <w:snapToGrid w:val="0"/>
          <w:color w:val="auto"/>
          <w:kern w:val="0"/>
          <w:sz w:val="24"/>
          <w:szCs w:val="24"/>
          <w:highlight w:val="none"/>
        </w:rPr>
        <w:t>评标委员会</w:t>
      </w:r>
      <w:bookmarkEnd w:id="72"/>
    </w:p>
    <w:p w14:paraId="7E7A8C17">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15.1.1</w:t>
      </w:r>
      <w:r>
        <w:rPr>
          <w:rFonts w:hint="eastAsia" w:ascii="宋体" w:hAnsi="宋体" w:eastAsia="宋体" w:cs="宋体"/>
          <w:snapToGrid w:val="0"/>
          <w:color w:val="auto"/>
          <w:kern w:val="0"/>
          <w:sz w:val="24"/>
          <w:szCs w:val="24"/>
          <w:highlight w:val="none"/>
        </w:rPr>
        <w:t xml:space="preserve">  评标委员会由 5 人组成，其中招标人代表 0 人，专家 5 人。专家从广东省综合评标评审专家库--韶关市区域及东莞市区域中随机抽取，技术类专家 3 人，经济类专家 2人（其中异地专家1人从广东省综合评标评审专家库-东莞市区域中随机抽取）评标委员会设负责人，由评标委员会成员推举产生。评标委员会负责人与评标委员会的其他成员有同等的表决权。</w:t>
      </w:r>
    </w:p>
    <w:p w14:paraId="04A49E2E">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15.1.2 </w:t>
      </w:r>
      <w:r>
        <w:rPr>
          <w:rFonts w:hint="eastAsia" w:ascii="宋体" w:hAnsi="宋体" w:eastAsia="宋体" w:cs="宋体"/>
          <w:snapToGrid w:val="0"/>
          <w:color w:val="auto"/>
          <w:kern w:val="0"/>
          <w:sz w:val="24"/>
          <w:szCs w:val="24"/>
          <w:highlight w:val="none"/>
          <w:lang w:eastAsia="zh-CN"/>
        </w:rPr>
        <w:t>评标专家</w:t>
      </w:r>
      <w:r>
        <w:rPr>
          <w:rFonts w:hint="eastAsia" w:ascii="宋体" w:hAnsi="宋体" w:eastAsia="宋体" w:cs="宋体"/>
          <w:snapToGrid w:val="0"/>
          <w:color w:val="auto"/>
          <w:kern w:val="0"/>
          <w:sz w:val="24"/>
          <w:szCs w:val="24"/>
          <w:highlight w:val="none"/>
        </w:rPr>
        <w:t>应按时参加评标活动，自觉遵守工作纪律和服从现场管理</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采用远程异地评标方式评标的</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主场、副场各自负责本场所</w:t>
      </w:r>
      <w:r>
        <w:rPr>
          <w:rFonts w:hint="eastAsia" w:ascii="宋体" w:hAnsi="宋体" w:eastAsia="宋体" w:cs="宋体"/>
          <w:snapToGrid w:val="0"/>
          <w:color w:val="auto"/>
          <w:kern w:val="0"/>
          <w:sz w:val="24"/>
          <w:szCs w:val="24"/>
          <w:highlight w:val="none"/>
          <w:lang w:eastAsia="zh-CN"/>
        </w:rPr>
        <w:t>评标委员会</w:t>
      </w:r>
      <w:r>
        <w:rPr>
          <w:rFonts w:hint="eastAsia" w:ascii="宋体" w:hAnsi="宋体" w:eastAsia="宋体" w:cs="宋体"/>
          <w:snapToGrid w:val="0"/>
          <w:color w:val="auto"/>
          <w:kern w:val="0"/>
          <w:sz w:val="24"/>
          <w:szCs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szCs w:val="24"/>
          <w:highlight w:val="none"/>
          <w:lang w:eastAsia="zh-CN"/>
        </w:rPr>
        <w:t>评标委员会</w:t>
      </w:r>
      <w:r>
        <w:rPr>
          <w:rFonts w:hint="eastAsia" w:ascii="宋体" w:hAnsi="宋体" w:eastAsia="宋体" w:cs="宋体"/>
          <w:snapToGrid w:val="0"/>
          <w:color w:val="auto"/>
          <w:kern w:val="0"/>
          <w:sz w:val="24"/>
          <w:szCs w:val="24"/>
          <w:highlight w:val="none"/>
        </w:rPr>
        <w:t>成员推举产生</w:t>
      </w:r>
      <w:r>
        <w:rPr>
          <w:rFonts w:hint="eastAsia" w:ascii="宋体" w:hAnsi="宋体" w:eastAsia="宋体" w:cs="宋体"/>
          <w:snapToGrid w:val="0"/>
          <w:color w:val="auto"/>
          <w:kern w:val="0"/>
          <w:sz w:val="24"/>
          <w:szCs w:val="24"/>
          <w:highlight w:val="none"/>
          <w:lang w:eastAsia="zh-CN"/>
        </w:rPr>
        <w:t>的评标委员会组长</w:t>
      </w:r>
      <w:r>
        <w:rPr>
          <w:rFonts w:hint="eastAsia" w:ascii="宋体" w:hAnsi="宋体" w:eastAsia="宋体" w:cs="宋体"/>
          <w:snapToGrid w:val="0"/>
          <w:color w:val="auto"/>
          <w:kern w:val="0"/>
          <w:sz w:val="24"/>
          <w:szCs w:val="24"/>
          <w:highlight w:val="none"/>
        </w:rPr>
        <w:t>组织</w:t>
      </w:r>
      <w:r>
        <w:rPr>
          <w:rFonts w:hint="eastAsia" w:ascii="宋体" w:hAnsi="宋体" w:eastAsia="宋体" w:cs="宋体"/>
          <w:snapToGrid w:val="0"/>
          <w:color w:val="auto"/>
          <w:kern w:val="0"/>
          <w:sz w:val="24"/>
          <w:szCs w:val="24"/>
          <w:highlight w:val="none"/>
          <w:lang w:eastAsia="zh-CN"/>
        </w:rPr>
        <w:t>各</w:t>
      </w:r>
      <w:r>
        <w:rPr>
          <w:rFonts w:hint="eastAsia" w:ascii="宋体" w:hAnsi="宋体" w:eastAsia="宋体" w:cs="宋体"/>
          <w:snapToGrid w:val="0"/>
          <w:color w:val="auto"/>
          <w:kern w:val="0"/>
          <w:sz w:val="24"/>
          <w:szCs w:val="24"/>
          <w:highlight w:val="none"/>
        </w:rPr>
        <w:t>成员协商讨论。在评标过程中需要进行讨论或者通过实名投票方式表决意见的，应当通过视频会议系统进行，并做好相关记录。</w:t>
      </w:r>
    </w:p>
    <w:p w14:paraId="5E574563">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15.1.3</w:t>
      </w:r>
      <w:r>
        <w:rPr>
          <w:rFonts w:hint="eastAsia" w:ascii="宋体" w:hAnsi="宋体" w:eastAsia="宋体" w:cs="宋体"/>
          <w:color w:val="auto"/>
          <w:sz w:val="24"/>
          <w:szCs w:val="24"/>
          <w:highlight w:val="none"/>
          <w:lang w:eastAsia="zh-CN"/>
        </w:rPr>
        <w:t>评标委员会应</w:t>
      </w:r>
      <w:r>
        <w:rPr>
          <w:rFonts w:hint="eastAsia" w:ascii="宋体" w:hAnsi="宋体" w:eastAsia="宋体" w:cs="宋体"/>
          <w:color w:val="auto"/>
          <w:sz w:val="24"/>
          <w:szCs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color w:val="auto"/>
          <w:sz w:val="24"/>
          <w:szCs w:val="24"/>
          <w:highlight w:val="none"/>
          <w:lang w:eastAsia="zh-CN"/>
        </w:rPr>
        <w:t>并且</w:t>
      </w:r>
      <w:r>
        <w:rPr>
          <w:rFonts w:hint="eastAsia" w:ascii="宋体" w:hAnsi="宋体" w:eastAsia="宋体" w:cs="宋体"/>
          <w:color w:val="auto"/>
          <w:sz w:val="24"/>
          <w:szCs w:val="24"/>
          <w:highlight w:val="none"/>
        </w:rPr>
        <w:t>自觉接受有关行政部门监督，协助配合有关异议和投诉处理。采用远程异地评标方式评标的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主场、副场评标专家在评标过程中具有同等权利和义务</w:t>
      </w:r>
    </w:p>
    <w:p w14:paraId="19B08119">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15.1.4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评标委员会</w:t>
      </w:r>
      <w:r>
        <w:rPr>
          <w:rFonts w:hint="eastAsia" w:ascii="宋体" w:hAnsi="宋体" w:eastAsia="宋体" w:cs="宋体"/>
          <w:color w:val="auto"/>
          <w:sz w:val="24"/>
          <w:szCs w:val="24"/>
          <w:highlight w:val="none"/>
        </w:rPr>
        <w:t>应切实履行评标职责，对同一个问题不一致的，按程序要求记录。</w:t>
      </w:r>
      <w:r>
        <w:rPr>
          <w:rFonts w:hint="eastAsia" w:ascii="宋体" w:hAnsi="宋体" w:eastAsia="宋体" w:cs="宋体"/>
          <w:color w:val="auto"/>
          <w:sz w:val="24"/>
          <w:szCs w:val="24"/>
          <w:highlight w:val="none"/>
          <w:lang w:eastAsia="zh-CN"/>
        </w:rPr>
        <w:t>评标委员会</w:t>
      </w:r>
      <w:r>
        <w:rPr>
          <w:rFonts w:hint="eastAsia" w:ascii="宋体" w:hAnsi="宋体" w:eastAsia="宋体" w:cs="宋体"/>
          <w:color w:val="auto"/>
          <w:sz w:val="24"/>
          <w:szCs w:val="24"/>
          <w:highlight w:val="none"/>
        </w:rPr>
        <w:t>实行少数服从多数的原则，以记名投票方式表决，评</w:t>
      </w:r>
      <w:r>
        <w:rPr>
          <w:rFonts w:hint="eastAsia" w:ascii="宋体" w:hAnsi="宋体" w:eastAsia="宋体" w:cs="宋体"/>
          <w:color w:val="auto"/>
          <w:sz w:val="24"/>
          <w:szCs w:val="24"/>
          <w:highlight w:val="none"/>
          <w:lang w:eastAsia="zh-CN"/>
        </w:rPr>
        <w:t>审</w:t>
      </w:r>
      <w:r>
        <w:rPr>
          <w:rFonts w:hint="eastAsia" w:ascii="宋体" w:hAnsi="宋体" w:eastAsia="宋体" w:cs="宋体"/>
          <w:color w:val="auto"/>
          <w:sz w:val="24"/>
          <w:szCs w:val="24"/>
          <w:highlight w:val="none"/>
        </w:rPr>
        <w:t>结果经</w:t>
      </w:r>
      <w:r>
        <w:rPr>
          <w:rFonts w:hint="eastAsia" w:ascii="宋体" w:hAnsi="宋体" w:eastAsia="宋体" w:cs="宋体"/>
          <w:color w:val="auto"/>
          <w:sz w:val="24"/>
          <w:szCs w:val="24"/>
          <w:highlight w:val="none"/>
          <w:lang w:eastAsia="zh-CN"/>
        </w:rPr>
        <w:t>评标委员会</w:t>
      </w:r>
      <w:r>
        <w:rPr>
          <w:rFonts w:hint="eastAsia" w:ascii="宋体" w:hAnsi="宋体" w:eastAsia="宋体" w:cs="宋体"/>
          <w:color w:val="auto"/>
          <w:sz w:val="24"/>
          <w:szCs w:val="24"/>
          <w:highlight w:val="none"/>
        </w:rPr>
        <w:t>全体成员过半数通过有效。</w:t>
      </w:r>
    </w:p>
    <w:p w14:paraId="2DE0EBDF">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15.1.5</w:t>
      </w:r>
      <w:r>
        <w:rPr>
          <w:rFonts w:hint="eastAsia" w:ascii="宋体" w:hAnsi="宋体" w:eastAsia="宋体" w:cs="宋体"/>
          <w:color w:val="auto"/>
          <w:sz w:val="24"/>
          <w:szCs w:val="24"/>
          <w:highlight w:val="none"/>
          <w:lang w:eastAsia="zh-CN"/>
        </w:rPr>
        <w:t>评标委员会</w:t>
      </w:r>
      <w:r>
        <w:rPr>
          <w:rFonts w:hint="eastAsia" w:ascii="宋体" w:hAnsi="宋体" w:eastAsia="宋体" w:cs="宋体"/>
          <w:color w:val="auto"/>
          <w:sz w:val="24"/>
          <w:szCs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szCs w:val="24"/>
          <w:highlight w:val="none"/>
          <w:lang w:eastAsia="zh-CN"/>
        </w:rPr>
        <w:t>评标委员会</w:t>
      </w:r>
      <w:r>
        <w:rPr>
          <w:rFonts w:hint="eastAsia" w:ascii="宋体" w:hAnsi="宋体" w:eastAsia="宋体" w:cs="宋体"/>
          <w:color w:val="auto"/>
          <w:sz w:val="24"/>
          <w:szCs w:val="24"/>
          <w:highlight w:val="none"/>
        </w:rPr>
        <w:t>成员将个人意见强加给他人，影响正常评</w:t>
      </w:r>
      <w:r>
        <w:rPr>
          <w:rFonts w:hint="eastAsia" w:ascii="宋体" w:hAnsi="宋体" w:eastAsia="宋体" w:cs="宋体"/>
          <w:color w:val="auto"/>
          <w:sz w:val="24"/>
          <w:szCs w:val="24"/>
          <w:highlight w:val="none"/>
          <w:lang w:eastAsia="zh-CN"/>
        </w:rPr>
        <w:t>审</w:t>
      </w:r>
      <w:r>
        <w:rPr>
          <w:rFonts w:hint="eastAsia" w:ascii="宋体" w:hAnsi="宋体" w:eastAsia="宋体" w:cs="宋体"/>
          <w:color w:val="auto"/>
          <w:sz w:val="24"/>
          <w:szCs w:val="24"/>
          <w:highlight w:val="none"/>
        </w:rPr>
        <w:t>秩序和妨碍评</w:t>
      </w:r>
      <w:r>
        <w:rPr>
          <w:rFonts w:hint="eastAsia" w:ascii="宋体" w:hAnsi="宋体" w:eastAsia="宋体" w:cs="宋体"/>
          <w:color w:val="auto"/>
          <w:sz w:val="24"/>
          <w:szCs w:val="24"/>
          <w:highlight w:val="none"/>
          <w:lang w:eastAsia="zh-CN"/>
        </w:rPr>
        <w:t>审</w:t>
      </w:r>
      <w:r>
        <w:rPr>
          <w:rFonts w:hint="eastAsia" w:ascii="宋体" w:hAnsi="宋体" w:eastAsia="宋体" w:cs="宋体"/>
          <w:color w:val="auto"/>
          <w:sz w:val="24"/>
          <w:szCs w:val="24"/>
          <w:highlight w:val="none"/>
        </w:rPr>
        <w:t>结论的公正性。对评</w:t>
      </w:r>
      <w:r>
        <w:rPr>
          <w:rFonts w:hint="eastAsia" w:ascii="宋体" w:hAnsi="宋体" w:eastAsia="宋体" w:cs="宋体"/>
          <w:color w:val="auto"/>
          <w:sz w:val="24"/>
          <w:szCs w:val="24"/>
          <w:highlight w:val="none"/>
          <w:lang w:eastAsia="zh-CN"/>
        </w:rPr>
        <w:t>审</w:t>
      </w:r>
      <w:r>
        <w:rPr>
          <w:rFonts w:hint="eastAsia" w:ascii="宋体" w:hAnsi="宋体" w:eastAsia="宋体" w:cs="宋体"/>
          <w:color w:val="auto"/>
          <w:sz w:val="24"/>
          <w:szCs w:val="24"/>
          <w:highlight w:val="none"/>
        </w:rPr>
        <w:t>结果有不同意见的</w:t>
      </w:r>
      <w:r>
        <w:rPr>
          <w:rFonts w:hint="eastAsia" w:ascii="宋体" w:hAnsi="宋体" w:eastAsia="宋体" w:cs="宋体"/>
          <w:color w:val="auto"/>
          <w:sz w:val="24"/>
          <w:szCs w:val="24"/>
          <w:highlight w:val="none"/>
          <w:lang w:eastAsia="zh-CN"/>
        </w:rPr>
        <w:t>评标委员会</w:t>
      </w:r>
      <w:r>
        <w:rPr>
          <w:rFonts w:hint="eastAsia" w:ascii="宋体" w:hAnsi="宋体" w:eastAsia="宋体" w:cs="宋体"/>
          <w:color w:val="auto"/>
          <w:sz w:val="24"/>
          <w:szCs w:val="24"/>
          <w:highlight w:val="none"/>
        </w:rPr>
        <w:t>成员应当以书面形式说明其不同意见和理由，</w:t>
      </w:r>
      <w:r>
        <w:rPr>
          <w:rFonts w:hint="eastAsia" w:ascii="宋体" w:hAnsi="宋体" w:eastAsia="宋体" w:cs="宋体"/>
          <w:color w:val="auto"/>
          <w:sz w:val="24"/>
          <w:szCs w:val="24"/>
          <w:highlight w:val="none"/>
          <w:lang w:eastAsia="zh-CN"/>
        </w:rPr>
        <w:t>资格后审报告（</w:t>
      </w:r>
      <w:r>
        <w:rPr>
          <w:rFonts w:hint="eastAsia" w:ascii="宋体" w:hAnsi="宋体" w:eastAsia="宋体" w:cs="宋体"/>
          <w:color w:val="auto"/>
          <w:sz w:val="24"/>
          <w:szCs w:val="24"/>
          <w:highlight w:val="none"/>
        </w:rPr>
        <w:t>评标报告</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应当注明该不同意见。</w:t>
      </w:r>
      <w:r>
        <w:rPr>
          <w:rFonts w:hint="eastAsia" w:ascii="宋体" w:hAnsi="宋体" w:eastAsia="宋体" w:cs="宋体"/>
          <w:color w:val="auto"/>
          <w:sz w:val="24"/>
          <w:szCs w:val="24"/>
          <w:highlight w:val="none"/>
          <w:lang w:eastAsia="zh-CN"/>
        </w:rPr>
        <w:t>评标委员会</w:t>
      </w:r>
      <w:r>
        <w:rPr>
          <w:rFonts w:hint="eastAsia" w:ascii="宋体" w:hAnsi="宋体" w:eastAsia="宋体" w:cs="宋体"/>
          <w:color w:val="auto"/>
          <w:sz w:val="24"/>
          <w:szCs w:val="24"/>
          <w:highlight w:val="none"/>
        </w:rPr>
        <w:t>成员拒绝在</w:t>
      </w:r>
      <w:r>
        <w:rPr>
          <w:rFonts w:hint="eastAsia" w:ascii="宋体" w:hAnsi="宋体" w:eastAsia="宋体" w:cs="宋体"/>
          <w:color w:val="auto"/>
          <w:sz w:val="24"/>
          <w:szCs w:val="24"/>
          <w:highlight w:val="none"/>
          <w:lang w:eastAsia="zh-CN"/>
        </w:rPr>
        <w:t>资格后审报告（</w:t>
      </w:r>
      <w:r>
        <w:rPr>
          <w:rFonts w:hint="eastAsia" w:ascii="宋体" w:hAnsi="宋体" w:eastAsia="宋体" w:cs="宋体"/>
          <w:color w:val="auto"/>
          <w:sz w:val="24"/>
          <w:szCs w:val="24"/>
          <w:highlight w:val="none"/>
        </w:rPr>
        <w:t>评标报告</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上签字又不书面说明其不同意见和理由的，视为同意评</w:t>
      </w:r>
      <w:r>
        <w:rPr>
          <w:rFonts w:hint="eastAsia" w:ascii="宋体" w:hAnsi="宋体" w:eastAsia="宋体" w:cs="宋体"/>
          <w:color w:val="auto"/>
          <w:sz w:val="24"/>
          <w:szCs w:val="24"/>
          <w:highlight w:val="none"/>
          <w:lang w:eastAsia="zh-CN"/>
        </w:rPr>
        <w:t>审</w:t>
      </w:r>
      <w:r>
        <w:rPr>
          <w:rFonts w:hint="eastAsia" w:ascii="宋体" w:hAnsi="宋体" w:eastAsia="宋体" w:cs="宋体"/>
          <w:color w:val="auto"/>
          <w:sz w:val="24"/>
          <w:szCs w:val="24"/>
          <w:highlight w:val="none"/>
        </w:rPr>
        <w:t>结果。</w:t>
      </w:r>
    </w:p>
    <w:p w14:paraId="05BF92CD">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15.2</w:t>
      </w:r>
      <w:r>
        <w:rPr>
          <w:rFonts w:hint="eastAsia" w:ascii="宋体" w:hAnsi="宋体" w:eastAsia="宋体" w:cs="宋体"/>
          <w:b/>
          <w:color w:val="auto"/>
          <w:sz w:val="24"/>
          <w:szCs w:val="24"/>
          <w:highlight w:val="none"/>
        </w:rPr>
        <w:t>评标过程的回避</w:t>
      </w:r>
    </w:p>
    <w:p w14:paraId="0E88025B">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15.2.1</w:t>
      </w:r>
      <w:r>
        <w:rPr>
          <w:rFonts w:hint="eastAsia" w:ascii="宋体" w:hAnsi="宋体" w:eastAsia="宋体" w:cs="宋体"/>
          <w:snapToGrid w:val="0"/>
          <w:color w:val="auto"/>
          <w:kern w:val="0"/>
          <w:sz w:val="24"/>
          <w:szCs w:val="24"/>
          <w:highlight w:val="none"/>
        </w:rPr>
        <w:t>评标委员会专家参加评标活动时实行主动回避制度。有下列情形之一的，应当主动提出回避，不得担任该招标项目的评标委员会成员。</w:t>
      </w:r>
    </w:p>
    <w:p w14:paraId="20A3677D">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19385261">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5B2A3F4D">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794496BB">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706D8955">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15.2.2</w:t>
      </w:r>
      <w:r>
        <w:rPr>
          <w:rFonts w:hint="eastAsia" w:ascii="宋体" w:hAnsi="宋体" w:eastAsia="宋体" w:cs="宋体"/>
          <w:b w:val="0"/>
          <w:bCs w:val="0"/>
          <w:color w:val="auto"/>
          <w:sz w:val="24"/>
          <w:szCs w:val="24"/>
          <w:highlight w:val="none"/>
          <w:lang w:eastAsia="zh-CN"/>
        </w:rPr>
        <w:t>评标委员会</w:t>
      </w:r>
      <w:r>
        <w:rPr>
          <w:rFonts w:hint="eastAsia" w:ascii="宋体" w:hAnsi="宋体" w:eastAsia="宋体" w:cs="宋体"/>
          <w:color w:val="auto"/>
          <w:sz w:val="24"/>
          <w:szCs w:val="24"/>
          <w:highlight w:val="none"/>
        </w:rPr>
        <w:t>专家不主动提出回避的，一经发现，应立即终止其评标活动，已完成评标活动的，其评标结果无效。</w:t>
      </w:r>
    </w:p>
    <w:p w14:paraId="572BEC32">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en-US" w:eastAsia="zh-CN"/>
        </w:rPr>
        <w:t>15.2.3</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rPr>
        <w:t>有下列情形之一的，经招标人与公共资源交易中心审核确认后，</w:t>
      </w:r>
      <w:r>
        <w:rPr>
          <w:rFonts w:hint="eastAsia" w:ascii="宋体" w:hAnsi="宋体" w:eastAsia="宋体" w:cs="宋体"/>
          <w:b w:val="0"/>
          <w:bCs w:val="0"/>
          <w:color w:val="auto"/>
          <w:sz w:val="24"/>
          <w:szCs w:val="24"/>
          <w:highlight w:val="none"/>
          <w:lang w:eastAsia="zh-CN"/>
        </w:rPr>
        <w:t>评标委员会</w:t>
      </w:r>
      <w:r>
        <w:rPr>
          <w:rFonts w:hint="eastAsia" w:ascii="宋体" w:hAnsi="宋体" w:eastAsia="宋体" w:cs="宋体"/>
          <w:color w:val="auto"/>
          <w:kern w:val="0"/>
          <w:sz w:val="24"/>
          <w:szCs w:val="24"/>
          <w:highlight w:val="none"/>
        </w:rPr>
        <w:t>专家应按规定重新抽取。</w:t>
      </w:r>
    </w:p>
    <w:p w14:paraId="666A603F">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（1）已抽取的评标专家与评标的项目有利害关系，可能会妨碍公正评审；</w:t>
      </w:r>
    </w:p>
    <w:p w14:paraId="7C09F6E1">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rPr>
        <w:t>（2）由于原评标专家的违规行为，评标无效，评标活动需重新组织；</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（3）已抽取的评标专家未能参加评标活动或未能按时完成评标任务。</w:t>
      </w:r>
    </w:p>
    <w:p w14:paraId="253E7936">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rPr>
        <w:t>15.3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
          <w:color w:val="auto"/>
          <w:sz w:val="24"/>
          <w:szCs w:val="24"/>
          <w:highlight w:val="none"/>
        </w:rPr>
        <w:t>评标过程的保密</w:t>
      </w:r>
    </w:p>
    <w:p w14:paraId="4811A055">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15.3.1</w:t>
      </w:r>
      <w:r>
        <w:rPr>
          <w:rFonts w:hint="eastAsia" w:ascii="宋体" w:hAnsi="宋体" w:eastAsia="宋体" w:cs="宋体"/>
          <w:color w:val="auto"/>
          <w:kern w:val="0"/>
          <w:sz w:val="24"/>
          <w:szCs w:val="24"/>
          <w:highlight w:val="none"/>
        </w:rPr>
        <w:t xml:space="preserve"> 开标后，直至授予中标人合同为止，凡属于对投标人文件的审查、澄清、评价和比较有关的资料及与中标候选人的推荐情况，与评标有关的其他任何情况均应严格保密。</w:t>
      </w:r>
    </w:p>
    <w:p w14:paraId="2914CA3C">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15.3.2</w:t>
      </w:r>
      <w:r>
        <w:rPr>
          <w:rFonts w:hint="eastAsia" w:ascii="宋体" w:hAnsi="宋体" w:eastAsia="宋体" w:cs="宋体"/>
          <w:color w:val="auto"/>
          <w:kern w:val="0"/>
          <w:sz w:val="24"/>
          <w:szCs w:val="24"/>
          <w:highlight w:val="none"/>
        </w:rPr>
        <w:t xml:space="preserve"> 在投标文件的评审和比较、中标候选人推荐以及授予合同的过程中，投标人向招标人和评标委员会施加影响的任何行为，都将会导致其投标被拒绝。</w:t>
      </w:r>
    </w:p>
    <w:p w14:paraId="08BDCFA4">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15.3.3</w:t>
      </w:r>
      <w:r>
        <w:rPr>
          <w:rFonts w:hint="eastAsia" w:ascii="宋体" w:hAnsi="宋体" w:eastAsia="宋体" w:cs="宋体"/>
          <w:color w:val="auto"/>
          <w:kern w:val="0"/>
          <w:sz w:val="24"/>
          <w:szCs w:val="24"/>
          <w:highlight w:val="none"/>
        </w:rPr>
        <w:t>中标人确定后，招标人不对未中标人就评标过程以及未能中标原因作出任何解释。未中标人不得向评标委员会组成人员或其他有关人员索问评标过程的情况和材料。</w:t>
      </w:r>
    </w:p>
    <w:p w14:paraId="41859AEB">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15.4</w:t>
      </w:r>
      <w:r>
        <w:rPr>
          <w:rFonts w:hint="eastAsia" w:ascii="宋体" w:hAnsi="宋体" w:eastAsia="宋体" w:cs="宋体"/>
          <w:b/>
          <w:color w:val="auto"/>
          <w:sz w:val="24"/>
          <w:szCs w:val="24"/>
          <w:highlight w:val="none"/>
          <w:lang w:eastAsia="zh-CN"/>
        </w:rPr>
        <w:t>评标结果公示</w:t>
      </w:r>
    </w:p>
    <w:p w14:paraId="06853CA1">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评标委员会按照</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评审综合总得分</w:t>
      </w:r>
      <w:r>
        <w:rPr>
          <w:rFonts w:hint="eastAsia" w:ascii="宋体" w:hAnsi="宋体" w:eastAsia="宋体" w:cs="宋体"/>
          <w:color w:val="auto"/>
          <w:sz w:val="24"/>
          <w:szCs w:val="24"/>
          <w:highlight w:val="none"/>
          <w:lang w:eastAsia="zh-CN"/>
        </w:rPr>
        <w:t>由</w:t>
      </w:r>
      <w:r>
        <w:rPr>
          <w:rFonts w:hint="eastAsia" w:ascii="宋体" w:hAnsi="宋体" w:eastAsia="宋体" w:cs="宋体"/>
          <w:color w:val="auto"/>
          <w:sz w:val="24"/>
          <w:szCs w:val="24"/>
          <w:highlight w:val="none"/>
        </w:rPr>
        <w:t>高</w:t>
      </w:r>
      <w:r>
        <w:rPr>
          <w:rFonts w:hint="eastAsia" w:ascii="宋体" w:hAnsi="宋体" w:eastAsia="宋体" w:cs="宋体"/>
          <w:color w:val="auto"/>
          <w:sz w:val="24"/>
          <w:szCs w:val="24"/>
          <w:highlight w:val="none"/>
          <w:lang w:eastAsia="zh-CN"/>
        </w:rPr>
        <w:t>到</w:t>
      </w:r>
      <w:r>
        <w:rPr>
          <w:rFonts w:hint="eastAsia" w:ascii="宋体" w:hAnsi="宋体" w:eastAsia="宋体" w:cs="宋体"/>
          <w:color w:val="auto"/>
          <w:sz w:val="24"/>
          <w:szCs w:val="24"/>
          <w:highlight w:val="none"/>
        </w:rPr>
        <w:t>低的</w:t>
      </w:r>
      <w:r>
        <w:rPr>
          <w:rFonts w:hint="eastAsia" w:ascii="宋体" w:hAnsi="宋体" w:eastAsia="宋体" w:cs="宋体"/>
          <w:color w:val="auto"/>
          <w:sz w:val="24"/>
          <w:szCs w:val="24"/>
          <w:highlight w:val="none"/>
          <w:lang w:eastAsia="zh-CN"/>
        </w:rPr>
        <w:t>原则</w:t>
      </w:r>
      <w:r>
        <w:rPr>
          <w:rFonts w:hint="eastAsia" w:ascii="宋体" w:hAnsi="宋体" w:eastAsia="宋体" w:cs="宋体"/>
          <w:color w:val="auto"/>
          <w:sz w:val="24"/>
          <w:szCs w:val="24"/>
          <w:highlight w:val="none"/>
        </w:rPr>
        <w:t>,向招标人推荐</w:t>
      </w:r>
      <w:r>
        <w:rPr>
          <w:rFonts w:hint="eastAsia" w:ascii="宋体" w:hAnsi="宋体" w:eastAsia="宋体" w:cs="宋体"/>
          <w:color w:val="auto"/>
          <w:sz w:val="24"/>
          <w:szCs w:val="24"/>
          <w:highlight w:val="none"/>
          <w:lang w:val="en-US" w:eastAsia="zh-CN"/>
        </w:rPr>
        <w:t>已明确的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数量</w:t>
      </w:r>
      <w:r>
        <w:rPr>
          <w:rFonts w:hint="eastAsia" w:ascii="宋体" w:hAnsi="宋体" w:eastAsia="宋体" w:cs="宋体"/>
          <w:color w:val="auto"/>
          <w:sz w:val="24"/>
          <w:szCs w:val="24"/>
          <w:highlight w:val="none"/>
        </w:rPr>
        <w:t>（不</w:t>
      </w:r>
      <w:r>
        <w:rPr>
          <w:rFonts w:hint="eastAsia" w:ascii="宋体" w:hAnsi="宋体" w:eastAsia="宋体" w:cs="宋体"/>
          <w:color w:val="auto"/>
          <w:sz w:val="24"/>
          <w:szCs w:val="24"/>
          <w:highlight w:val="none"/>
          <w:lang w:val="en-US" w:eastAsia="zh-CN"/>
        </w:rPr>
        <w:t>标明</w:t>
      </w:r>
      <w:r>
        <w:rPr>
          <w:rFonts w:hint="eastAsia" w:ascii="宋体" w:hAnsi="宋体" w:eastAsia="宋体" w:cs="宋体"/>
          <w:color w:val="auto"/>
          <w:sz w:val="24"/>
          <w:szCs w:val="24"/>
          <w:highlight w:val="none"/>
        </w:rPr>
        <w:t>排序）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评标委员会推荐定标候选人后，</w:t>
      </w:r>
      <w:r>
        <w:rPr>
          <w:rFonts w:hint="eastAsia" w:ascii="宋体" w:hAnsi="宋体" w:eastAsia="宋体" w:cs="宋体"/>
          <w:color w:val="auto"/>
          <w:sz w:val="24"/>
          <w:szCs w:val="24"/>
          <w:highlight w:val="none"/>
        </w:rPr>
        <w:t>招标人应</w:t>
      </w:r>
      <w:r>
        <w:rPr>
          <w:rFonts w:hint="eastAsia" w:ascii="宋体" w:hAnsi="宋体" w:eastAsia="宋体" w:cs="宋体"/>
          <w:color w:val="auto"/>
          <w:sz w:val="24"/>
          <w:szCs w:val="24"/>
          <w:highlight w:val="none"/>
          <w:lang w:eastAsia="zh-CN"/>
        </w:rPr>
        <w:t>于评标会结束后</w:t>
      </w:r>
      <w:r>
        <w:rPr>
          <w:rFonts w:hint="eastAsia" w:ascii="宋体" w:hAnsi="宋体" w:eastAsia="宋体" w:cs="宋体"/>
          <w:color w:val="auto"/>
          <w:sz w:val="24"/>
          <w:szCs w:val="24"/>
          <w:highlight w:val="none"/>
          <w:lang w:val="en-US" w:eastAsia="zh-CN"/>
        </w:rPr>
        <w:t>3日内将</w:t>
      </w: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标候选</w:t>
      </w:r>
      <w:r>
        <w:rPr>
          <w:rFonts w:hint="eastAsia" w:ascii="宋体" w:hAnsi="宋体" w:eastAsia="宋体" w:cs="宋体"/>
          <w:color w:val="auto"/>
          <w:sz w:val="24"/>
          <w:szCs w:val="24"/>
          <w:highlight w:val="none"/>
          <w:lang w:eastAsia="zh-CN"/>
        </w:rPr>
        <w:t>人和评标情况</w:t>
      </w:r>
      <w:r>
        <w:rPr>
          <w:rFonts w:hint="eastAsia" w:ascii="宋体" w:hAnsi="宋体" w:eastAsia="宋体" w:cs="宋体"/>
          <w:color w:val="auto"/>
          <w:sz w:val="24"/>
          <w:szCs w:val="24"/>
          <w:highlight w:val="none"/>
          <w:lang w:val="en-US" w:eastAsia="zh-CN"/>
        </w:rPr>
        <w:t>在广东省招标投标监管网和</w:t>
      </w:r>
      <w:r>
        <w:rPr>
          <w:rFonts w:hint="eastAsia" w:ascii="宋体" w:hAnsi="宋体" w:eastAsia="宋体" w:cs="宋体"/>
          <w:color w:val="auto"/>
          <w:sz w:val="24"/>
          <w:szCs w:val="24"/>
          <w:highlight w:val="none"/>
        </w:rPr>
        <w:t>韶关市公共资源交易中心</w:t>
      </w:r>
      <w:r>
        <w:rPr>
          <w:rFonts w:hint="eastAsia" w:ascii="宋体" w:hAnsi="宋体" w:eastAsia="宋体" w:cs="宋体"/>
          <w:color w:val="auto"/>
          <w:sz w:val="24"/>
          <w:szCs w:val="24"/>
          <w:highlight w:val="none"/>
          <w:lang w:eastAsia="zh-CN"/>
        </w:rPr>
        <w:t>建设工程交易系统</w:t>
      </w:r>
      <w:r>
        <w:rPr>
          <w:rFonts w:hint="eastAsia" w:ascii="宋体" w:hAnsi="宋体" w:eastAsia="宋体" w:cs="宋体"/>
          <w:color w:val="auto"/>
          <w:sz w:val="24"/>
          <w:szCs w:val="24"/>
          <w:highlight w:val="none"/>
          <w:lang w:val="en-US" w:eastAsia="zh-CN"/>
        </w:rPr>
        <w:t>上</w:t>
      </w:r>
      <w:r>
        <w:rPr>
          <w:rFonts w:hint="eastAsia" w:ascii="宋体" w:hAnsi="宋体" w:eastAsia="宋体" w:cs="宋体"/>
          <w:color w:val="auto"/>
          <w:sz w:val="24"/>
          <w:szCs w:val="24"/>
          <w:highlight w:val="none"/>
        </w:rPr>
        <w:t>公示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公示时间不少于3日。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27E5082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15.5定标结果</w:t>
      </w:r>
      <w:r>
        <w:rPr>
          <w:rFonts w:hint="eastAsia" w:ascii="宋体" w:hAnsi="宋体" w:eastAsia="宋体" w:cs="宋体"/>
          <w:b/>
          <w:color w:val="auto"/>
          <w:sz w:val="24"/>
          <w:szCs w:val="24"/>
          <w:highlight w:val="none"/>
        </w:rPr>
        <w:t>公示</w:t>
      </w:r>
    </w:p>
    <w:p w14:paraId="1535B588">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trike w:val="0"/>
          <w:dstrike w:val="0"/>
          <w:color w:val="auto"/>
          <w:kern w:val="2"/>
          <w:sz w:val="24"/>
          <w:szCs w:val="24"/>
          <w:highlight w:val="none"/>
          <w:u w:val="none"/>
          <w:lang w:val="en-US" w:eastAsia="zh-CN" w:bidi="ar-SA"/>
        </w:rPr>
        <w:t>定标委员会完成定标后，招标人应于定标会结束后3日内将中标候选人和定标情况在广东省招标投标监管网和韶关市公共资源交易中心工程交易系统上公示，公示时间不少于3日。公示主要内容包括：公示主要内容包括：定标报告（定标成员信息除外）、中标人名单、中标价和拟投入本项目的项目负责人、技术负责人及各专业负责人（如有）等内容。</w:t>
      </w:r>
    </w:p>
    <w:p w14:paraId="3D1F6B46">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rPr>
      </w:pPr>
      <w:bookmarkStart w:id="73" w:name="_Toc13287"/>
      <w:r>
        <w:rPr>
          <w:rFonts w:hint="eastAsia" w:ascii="宋体" w:hAnsi="宋体" w:eastAsia="宋体" w:cs="宋体"/>
          <w:b/>
          <w:bCs/>
          <w:color w:val="auto"/>
          <w:kern w:val="0"/>
          <w:sz w:val="24"/>
          <w:szCs w:val="24"/>
          <w:highlight w:val="none"/>
          <w:lang w:val="en-US" w:eastAsia="zh-CN"/>
        </w:rPr>
        <w:t>16</w:t>
      </w:r>
      <w:r>
        <w:rPr>
          <w:rFonts w:hint="eastAsia" w:ascii="宋体" w:hAnsi="宋体" w:eastAsia="宋体" w:cs="宋体"/>
          <w:b/>
          <w:bCs/>
          <w:color w:val="auto"/>
          <w:kern w:val="0"/>
          <w:sz w:val="24"/>
          <w:szCs w:val="24"/>
          <w:highlight w:val="none"/>
        </w:rPr>
        <w:t>．中标确认</w:t>
      </w:r>
      <w:bookmarkEnd w:id="73"/>
    </w:p>
    <w:p w14:paraId="1E57D808">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16.1.</w:t>
      </w:r>
      <w:r>
        <w:rPr>
          <w:rFonts w:hint="eastAsia" w:ascii="宋体" w:hAnsi="宋体" w:eastAsia="宋体" w:cs="宋体"/>
          <w:b/>
          <w:color w:val="auto"/>
          <w:sz w:val="24"/>
          <w:szCs w:val="24"/>
          <w:highlight w:val="none"/>
        </w:rPr>
        <w:t>中标人确定</w:t>
      </w:r>
    </w:p>
    <w:p w14:paraId="406488EE">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16.1</w:t>
      </w:r>
      <w:r>
        <w:rPr>
          <w:rFonts w:hint="eastAsia" w:ascii="宋体" w:hAnsi="宋体" w:eastAsia="宋体" w:cs="宋体"/>
          <w:color w:val="auto"/>
          <w:sz w:val="24"/>
          <w:szCs w:val="24"/>
          <w:highlight w:val="none"/>
        </w:rPr>
        <w:t>.1 中标人确定。</w:t>
      </w:r>
      <w:r>
        <w:rPr>
          <w:rFonts w:hint="eastAsia" w:ascii="宋体" w:hAnsi="宋体" w:eastAsia="宋体" w:cs="宋体"/>
          <w:color w:val="auto"/>
          <w:sz w:val="24"/>
          <w:szCs w:val="24"/>
          <w:highlight w:val="none"/>
          <w:lang w:eastAsia="zh-CN"/>
        </w:rPr>
        <w:t>中</w:t>
      </w:r>
      <w:r>
        <w:rPr>
          <w:rFonts w:hint="eastAsia" w:ascii="宋体" w:hAnsi="宋体" w:eastAsia="宋体" w:cs="宋体"/>
          <w:color w:val="auto"/>
          <w:sz w:val="24"/>
          <w:szCs w:val="24"/>
          <w:highlight w:val="none"/>
        </w:rPr>
        <w:t>标结果公示期满无异议的，招标人确认</w:t>
      </w:r>
      <w:r>
        <w:rPr>
          <w:rFonts w:hint="eastAsia" w:ascii="宋体" w:hAnsi="宋体" w:eastAsia="宋体" w:cs="宋体"/>
          <w:strike w:val="0"/>
          <w:dstrike w:val="0"/>
          <w:color w:val="auto"/>
          <w:sz w:val="24"/>
          <w:szCs w:val="24"/>
          <w:highlight w:val="none"/>
        </w:rPr>
        <w:t>排名第一的</w:t>
      </w:r>
      <w:r>
        <w:rPr>
          <w:rFonts w:hint="eastAsia" w:ascii="宋体" w:hAnsi="宋体" w:eastAsia="宋体" w:cs="宋体"/>
          <w:color w:val="auto"/>
          <w:sz w:val="24"/>
          <w:szCs w:val="24"/>
          <w:highlight w:val="none"/>
        </w:rPr>
        <w:t>中标候选人为中标人，中标人的投标报价即为中标价。</w:t>
      </w:r>
    </w:p>
    <w:p w14:paraId="5EACCF51">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16.1</w:t>
      </w:r>
      <w:r>
        <w:rPr>
          <w:rFonts w:hint="eastAsia" w:ascii="宋体" w:hAnsi="宋体" w:eastAsia="宋体" w:cs="宋体"/>
          <w:color w:val="auto"/>
          <w:sz w:val="24"/>
          <w:szCs w:val="24"/>
          <w:highlight w:val="none"/>
        </w:rPr>
        <w:t>.2 中标人确定后，招标人应当</w:t>
      </w:r>
      <w:r>
        <w:rPr>
          <w:rFonts w:hint="eastAsia" w:ascii="宋体" w:hAnsi="宋体" w:eastAsia="宋体" w:cs="宋体"/>
          <w:color w:val="auto"/>
          <w:sz w:val="24"/>
          <w:szCs w:val="24"/>
          <w:highlight w:val="none"/>
          <w:lang w:eastAsia="zh-CN"/>
        </w:rPr>
        <w:t>于</w:t>
      </w:r>
      <w:r>
        <w:rPr>
          <w:rFonts w:hint="eastAsia" w:ascii="宋体" w:hAnsi="宋体" w:eastAsia="宋体" w:cs="宋体"/>
          <w:color w:val="auto"/>
          <w:sz w:val="24"/>
          <w:szCs w:val="24"/>
          <w:highlight w:val="none"/>
        </w:rPr>
        <w:t>7日</w:t>
      </w:r>
      <w:r>
        <w:rPr>
          <w:rFonts w:hint="eastAsia" w:ascii="宋体" w:hAnsi="宋体" w:eastAsia="宋体" w:cs="宋体"/>
          <w:color w:val="auto"/>
          <w:sz w:val="24"/>
          <w:szCs w:val="24"/>
          <w:highlight w:val="none"/>
          <w:u w:val="none"/>
        </w:rPr>
        <w:t>内</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u w:val="none"/>
          <w:lang w:eastAsia="zh-CN"/>
        </w:rPr>
        <w:t>线</w:t>
      </w:r>
      <w:r>
        <w:rPr>
          <w:rFonts w:hint="eastAsia" w:ascii="宋体" w:hAnsi="宋体" w:eastAsia="宋体" w:cs="宋体"/>
          <w:color w:val="auto"/>
          <w:sz w:val="24"/>
          <w:szCs w:val="24"/>
          <w:highlight w:val="none"/>
          <w:lang w:val="en-US" w:eastAsia="zh-CN"/>
        </w:rPr>
        <w:t>完成</w:t>
      </w:r>
      <w:r>
        <w:rPr>
          <w:rFonts w:hint="eastAsia" w:ascii="宋体" w:hAnsi="宋体" w:eastAsia="宋体" w:cs="宋体"/>
          <w:color w:val="auto"/>
          <w:sz w:val="24"/>
          <w:szCs w:val="24"/>
          <w:highlight w:val="none"/>
          <w:u w:val="none"/>
        </w:rPr>
        <w:t>加盖招标人单位</w:t>
      </w:r>
      <w:r>
        <w:rPr>
          <w:rFonts w:hint="eastAsia" w:ascii="宋体" w:hAnsi="宋体" w:eastAsia="宋体" w:cs="宋体"/>
          <w:color w:val="auto"/>
          <w:sz w:val="24"/>
          <w:szCs w:val="24"/>
          <w:highlight w:val="none"/>
          <w:u w:val="none"/>
          <w:lang w:eastAsia="zh-CN"/>
        </w:rPr>
        <w:t>电子签</w:t>
      </w:r>
      <w:r>
        <w:rPr>
          <w:rFonts w:hint="eastAsia" w:ascii="宋体" w:hAnsi="宋体" w:eastAsia="宋体" w:cs="宋体"/>
          <w:color w:val="auto"/>
          <w:sz w:val="24"/>
          <w:szCs w:val="24"/>
          <w:highlight w:val="none"/>
          <w:u w:val="none"/>
        </w:rPr>
        <w:t>章的中标通知书</w:t>
      </w:r>
      <w:r>
        <w:rPr>
          <w:rFonts w:hint="eastAsia" w:ascii="宋体" w:hAnsi="宋体" w:eastAsia="宋体" w:cs="宋体"/>
          <w:color w:val="auto"/>
          <w:sz w:val="24"/>
          <w:szCs w:val="24"/>
          <w:highlight w:val="none"/>
          <w:u w:val="none"/>
          <w:lang w:eastAsia="zh-CN"/>
        </w:rPr>
        <w:t>并</w:t>
      </w:r>
      <w:r>
        <w:rPr>
          <w:rFonts w:hint="eastAsia" w:ascii="宋体" w:hAnsi="宋体" w:eastAsia="宋体" w:cs="宋体"/>
          <w:color w:val="auto"/>
          <w:sz w:val="24"/>
          <w:szCs w:val="24"/>
          <w:highlight w:val="none"/>
          <w:u w:val="none"/>
        </w:rPr>
        <w:t>发放到中标人及各相关单位</w:t>
      </w:r>
      <w:r>
        <w:rPr>
          <w:rFonts w:hint="eastAsia" w:ascii="宋体" w:hAnsi="宋体" w:eastAsia="宋体" w:cs="宋体"/>
          <w:color w:val="auto"/>
          <w:sz w:val="24"/>
          <w:szCs w:val="24"/>
          <w:highlight w:val="none"/>
        </w:rPr>
        <w:t>。招标人最迟应当在投标有效期届满30日前发出中标通知书，否则，应当按照本投标人须知投标有效期的规定延长投标有效期。</w:t>
      </w:r>
    </w:p>
    <w:p w14:paraId="7F7382ED">
      <w:pPr>
        <w:pStyle w:val="218"/>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u w:val="none"/>
          <w:lang w:val="en-US" w:eastAsia="zh-CN"/>
        </w:rPr>
        <w:t>16.1</w:t>
      </w:r>
      <w:r>
        <w:rPr>
          <w:rFonts w:hint="eastAsia" w:ascii="宋体" w:hAnsi="宋体" w:eastAsia="宋体" w:cs="宋体"/>
          <w:color w:val="auto"/>
          <w:kern w:val="2"/>
          <w:sz w:val="24"/>
          <w:szCs w:val="24"/>
          <w:highlight w:val="none"/>
          <w:u w:val="none"/>
        </w:rPr>
        <w:t>.3</w:t>
      </w:r>
      <w:r>
        <w:rPr>
          <w:rFonts w:hint="eastAsia" w:ascii="宋体" w:hAnsi="宋体" w:eastAsia="宋体" w:cs="宋体"/>
          <w:color w:val="auto"/>
          <w:kern w:val="2"/>
          <w:sz w:val="24"/>
          <w:szCs w:val="24"/>
          <w:highlight w:val="none"/>
          <w:u w:val="none"/>
          <w:lang w:val="en-US" w:eastAsia="zh-CN"/>
        </w:rPr>
        <w:t xml:space="preserve"> </w:t>
      </w:r>
      <w:r>
        <w:rPr>
          <w:rFonts w:hint="eastAsia" w:ascii="宋体" w:hAnsi="宋体" w:eastAsia="宋体" w:cs="宋体"/>
          <w:color w:val="auto"/>
          <w:sz w:val="24"/>
          <w:szCs w:val="24"/>
          <w:highlight w:val="none"/>
          <w:u w:val="none"/>
        </w:rPr>
        <w:t>招标人应当</w:t>
      </w:r>
      <w:r>
        <w:rPr>
          <w:rFonts w:hint="eastAsia" w:ascii="宋体" w:hAnsi="宋体" w:eastAsia="宋体" w:cs="宋体"/>
          <w:i w:val="0"/>
          <w:color w:val="auto"/>
          <w:kern w:val="0"/>
          <w:sz w:val="24"/>
          <w:szCs w:val="24"/>
          <w:highlight w:val="none"/>
          <w:u w:val="none"/>
          <w:lang w:val="en-US" w:eastAsia="zh-CN" w:bidi="ar"/>
        </w:rPr>
        <w:t>自中标通知书发出之日起15日内</w:t>
      </w:r>
      <w:r>
        <w:rPr>
          <w:rFonts w:hint="eastAsia" w:ascii="宋体" w:hAnsi="宋体" w:eastAsia="宋体" w:cs="宋体"/>
          <w:color w:val="auto"/>
          <w:spacing w:val="0"/>
          <w:sz w:val="24"/>
          <w:szCs w:val="24"/>
          <w:highlight w:val="none"/>
          <w:u w:val="none"/>
          <w:lang w:eastAsia="zh-CN"/>
        </w:rPr>
        <w:t>，通过</w:t>
      </w:r>
      <w:r>
        <w:rPr>
          <w:rFonts w:hint="eastAsia" w:ascii="宋体" w:hAnsi="宋体" w:eastAsia="宋体" w:cs="宋体"/>
          <w:color w:val="auto"/>
          <w:spacing w:val="0"/>
          <w:sz w:val="24"/>
          <w:szCs w:val="24"/>
          <w:highlight w:val="none"/>
          <w:u w:val="none"/>
        </w:rPr>
        <w:t>广东省招标投标监管网和公共资源交易平台</w:t>
      </w:r>
      <w:r>
        <w:rPr>
          <w:rFonts w:hint="eastAsia" w:ascii="宋体" w:hAnsi="宋体" w:eastAsia="宋体" w:cs="宋体"/>
          <w:color w:val="auto"/>
          <w:spacing w:val="0"/>
          <w:sz w:val="24"/>
          <w:szCs w:val="24"/>
          <w:highlight w:val="none"/>
          <w:u w:val="none"/>
          <w:lang w:eastAsia="zh-CN"/>
        </w:rPr>
        <w:t>发布中标结果公示。</w:t>
      </w:r>
      <w:r>
        <w:rPr>
          <w:rFonts w:hint="eastAsia" w:ascii="宋体" w:hAnsi="宋体" w:eastAsia="宋体" w:cs="宋体"/>
          <w:color w:val="auto"/>
          <w:kern w:val="2"/>
          <w:sz w:val="24"/>
          <w:szCs w:val="24"/>
          <w:highlight w:val="none"/>
          <w:u w:val="none"/>
        </w:rPr>
        <w:t xml:space="preserve"> </w:t>
      </w:r>
      <w:r>
        <w:rPr>
          <w:rFonts w:hint="eastAsia" w:ascii="宋体" w:hAnsi="宋体" w:eastAsia="宋体" w:cs="宋体"/>
          <w:color w:val="auto"/>
          <w:sz w:val="24"/>
          <w:szCs w:val="24"/>
          <w:highlight w:val="none"/>
          <w:u w:val="none"/>
        </w:rPr>
        <w:t>招标人应当自确定中标人之日起15日内，</w:t>
      </w:r>
      <w:r>
        <w:rPr>
          <w:rFonts w:hint="eastAsia" w:ascii="宋体" w:hAnsi="宋体" w:eastAsia="宋体" w:cs="宋体"/>
          <w:color w:val="auto"/>
          <w:sz w:val="24"/>
          <w:szCs w:val="24"/>
          <w:highlight w:val="none"/>
          <w:u w:val="none"/>
          <w:lang w:eastAsia="zh-CN"/>
        </w:rPr>
        <w:t>在线</w:t>
      </w:r>
      <w:r>
        <w:rPr>
          <w:rFonts w:hint="eastAsia" w:ascii="宋体" w:hAnsi="宋体" w:eastAsia="宋体" w:cs="宋体"/>
          <w:color w:val="auto"/>
          <w:sz w:val="24"/>
          <w:szCs w:val="24"/>
          <w:highlight w:val="none"/>
          <w:u w:val="none"/>
        </w:rPr>
        <w:t>向有关</w:t>
      </w:r>
      <w:r>
        <w:rPr>
          <w:rFonts w:hint="eastAsia" w:ascii="宋体" w:hAnsi="宋体" w:eastAsia="宋体" w:cs="宋体"/>
          <w:color w:val="auto"/>
          <w:sz w:val="24"/>
          <w:szCs w:val="24"/>
          <w:highlight w:val="none"/>
          <w:u w:val="none"/>
          <w:lang w:eastAsia="zh-CN"/>
        </w:rPr>
        <w:t>招标管理</w:t>
      </w:r>
      <w:r>
        <w:rPr>
          <w:rFonts w:hint="eastAsia" w:ascii="宋体" w:hAnsi="宋体" w:eastAsia="宋体" w:cs="宋体"/>
          <w:color w:val="auto"/>
          <w:sz w:val="24"/>
          <w:szCs w:val="24"/>
          <w:highlight w:val="none"/>
          <w:u w:val="none"/>
        </w:rPr>
        <w:t>部门提交招标投标情况的书面报告。</w:t>
      </w:r>
    </w:p>
    <w:p w14:paraId="7910E8B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16.2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3C20182">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16.2.1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5576AA7B">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16.2.2在定标候选人和中标候选人公示期间有关评标结果的异议成立的，招标人原则上应当组织原评标委员会和原定标委员会对有关的问题予以纠正，问题纠正后再公示定标候选人和中标候选人。</w:t>
      </w:r>
    </w:p>
    <w:p w14:paraId="2F654439">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16.2.3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001E56CC">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lang w:val="en-US" w:eastAsia="zh-CN"/>
        </w:rPr>
      </w:pPr>
      <w:bookmarkStart w:id="74" w:name="_Toc236550039"/>
      <w:r>
        <w:rPr>
          <w:rFonts w:hint="eastAsia" w:ascii="宋体" w:hAnsi="宋体" w:eastAsia="宋体" w:cs="宋体"/>
          <w:b/>
          <w:bCs/>
          <w:color w:val="auto"/>
          <w:sz w:val="24"/>
          <w:szCs w:val="24"/>
          <w:highlight w:val="none"/>
          <w:lang w:val="en-US" w:eastAsia="zh-CN"/>
        </w:rPr>
        <w:t>16.3废除授标</w:t>
      </w:r>
      <w:bookmarkEnd w:id="74"/>
      <w:r>
        <w:rPr>
          <w:rFonts w:hint="eastAsia" w:ascii="宋体" w:hAnsi="宋体" w:eastAsia="宋体" w:cs="宋体"/>
          <w:b/>
          <w:bCs/>
          <w:color w:val="auto"/>
          <w:sz w:val="24"/>
          <w:szCs w:val="24"/>
          <w:highlight w:val="none"/>
          <w:lang w:val="en-US" w:eastAsia="zh-CN"/>
        </w:rPr>
        <w:t>及授标</w:t>
      </w:r>
    </w:p>
    <w:p w14:paraId="562F6B2C">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评定标完成后，中标候选人有下列情形之一的，招标人应按规定取消中标候选人资格或废除授标</w:t>
      </w:r>
      <w:r>
        <w:rPr>
          <w:rFonts w:hint="eastAsia" w:ascii="宋体" w:hAnsi="宋体" w:eastAsia="宋体" w:cs="宋体"/>
          <w:color w:val="auto"/>
          <w:sz w:val="24"/>
          <w:szCs w:val="24"/>
          <w:highlight w:val="none"/>
        </w:rPr>
        <w:t>：</w:t>
      </w:r>
    </w:p>
    <w:p w14:paraId="65B126E4">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（1）以他人名义投标或者以其他方式弄虚作假骗取中标的；</w:t>
      </w:r>
    </w:p>
    <w:p w14:paraId="48C91AC3">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（2）与其他投标人串通投标或以行贿的手段谋取中标的；</w:t>
      </w:r>
    </w:p>
    <w:p w14:paraId="2F21570A">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）不是从本投标企业基本账户</w:t>
      </w:r>
      <w:r>
        <w:rPr>
          <w:rFonts w:hint="eastAsia" w:ascii="宋体" w:hAnsi="宋体" w:eastAsia="宋体" w:cs="宋体"/>
          <w:color w:val="auto"/>
          <w:sz w:val="24"/>
          <w:szCs w:val="24"/>
          <w:highlight w:val="none"/>
          <w:lang w:eastAsia="zh-CN"/>
        </w:rPr>
        <w:t>提交</w:t>
      </w:r>
      <w:r>
        <w:rPr>
          <w:rFonts w:hint="eastAsia" w:ascii="宋体" w:hAnsi="宋体" w:eastAsia="宋体" w:cs="宋体"/>
          <w:color w:val="auto"/>
          <w:sz w:val="24"/>
          <w:szCs w:val="24"/>
          <w:highlight w:val="none"/>
        </w:rPr>
        <w:t>投标保证金</w:t>
      </w:r>
      <w:r>
        <w:rPr>
          <w:rFonts w:hint="eastAsia" w:ascii="宋体" w:hAnsi="宋体" w:eastAsia="宋体" w:cs="宋体"/>
          <w:color w:val="auto"/>
          <w:sz w:val="24"/>
          <w:szCs w:val="24"/>
          <w:highlight w:val="none"/>
          <w:lang w:eastAsia="zh-CN"/>
        </w:rPr>
        <w:t>或以虚假方式提交投标保证金保函（保单）</w:t>
      </w:r>
      <w:r>
        <w:rPr>
          <w:rFonts w:hint="eastAsia" w:ascii="宋体" w:hAnsi="宋体" w:eastAsia="宋体" w:cs="宋体"/>
          <w:color w:val="auto"/>
          <w:sz w:val="24"/>
          <w:szCs w:val="24"/>
          <w:highlight w:val="none"/>
        </w:rPr>
        <w:t>的；</w:t>
      </w:r>
    </w:p>
    <w:p w14:paraId="189C5B29">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于投标有效期终止之前撤回投标文件，或者排名第一的中标候选人放弃中标资格的；</w:t>
      </w:r>
    </w:p>
    <w:p w14:paraId="636FAD47">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）因中标人过错而未能按照规定与招标人签订</w:t>
      </w:r>
      <w:r>
        <w:rPr>
          <w:rFonts w:hint="eastAsia" w:ascii="宋体" w:hAnsi="宋体" w:eastAsia="宋体" w:cs="宋体"/>
          <w:color w:val="auto"/>
          <w:sz w:val="24"/>
          <w:szCs w:val="24"/>
          <w:highlight w:val="none"/>
          <w:lang w:eastAsia="zh-CN"/>
        </w:rPr>
        <w:t>工程总</w:t>
      </w:r>
      <w:r>
        <w:rPr>
          <w:rFonts w:hint="eastAsia" w:ascii="宋体" w:hAnsi="宋体" w:eastAsia="宋体" w:cs="宋体"/>
          <w:color w:val="auto"/>
          <w:sz w:val="24"/>
          <w:szCs w:val="24"/>
          <w:highlight w:val="none"/>
        </w:rPr>
        <w:t>承包合同或中标人因不可抗力提出不能履行合同的；</w:t>
      </w:r>
    </w:p>
    <w:p w14:paraId="147660E1">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）因中标人过错而未能按照招标文件要求向招标人提交履约</w:t>
      </w:r>
      <w:r>
        <w:rPr>
          <w:rFonts w:hint="eastAsia" w:ascii="宋体" w:hAnsi="宋体" w:eastAsia="宋体" w:cs="宋体"/>
          <w:color w:val="auto"/>
          <w:sz w:val="24"/>
          <w:szCs w:val="24"/>
          <w:highlight w:val="none"/>
          <w:lang w:eastAsia="zh-CN"/>
        </w:rPr>
        <w:t>担</w:t>
      </w:r>
      <w:r>
        <w:rPr>
          <w:rFonts w:hint="eastAsia" w:ascii="宋体" w:hAnsi="宋体" w:eastAsia="宋体" w:cs="宋体"/>
          <w:color w:val="auto"/>
          <w:sz w:val="24"/>
          <w:szCs w:val="24"/>
          <w:highlight w:val="none"/>
        </w:rPr>
        <w:t>保的；</w:t>
      </w:r>
    </w:p>
    <w:p w14:paraId="350BC496">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sz w:val="24"/>
          <w:szCs w:val="24"/>
          <w:highlight w:val="none"/>
          <w:lang w:val="en-US" w:eastAsia="zh-CN"/>
        </w:rPr>
        <w:t>中标单位拟派的项目负责人从投标截止时间起在其他建设工程担任项目负责人；</w:t>
      </w:r>
    </w:p>
    <w:p w14:paraId="78C4E45B">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中标人被有关部门查实存在影响中标结果的违法行为，不符合中标条件的</w:t>
      </w:r>
      <w:r>
        <w:rPr>
          <w:rFonts w:hint="eastAsia" w:ascii="宋体" w:hAnsi="宋体" w:eastAsia="宋体" w:cs="宋体"/>
          <w:color w:val="auto"/>
          <w:sz w:val="24"/>
          <w:szCs w:val="24"/>
          <w:highlight w:val="none"/>
          <w:lang w:val="en-US" w:eastAsia="zh-CN"/>
        </w:rPr>
        <w:t>；</w:t>
      </w:r>
    </w:p>
    <w:p w14:paraId="1B8DEF82">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中标</w:t>
      </w:r>
      <w:r>
        <w:rPr>
          <w:rFonts w:hint="eastAsia" w:ascii="宋体" w:hAnsi="宋体" w:eastAsia="宋体" w:cs="宋体"/>
          <w:color w:val="auto"/>
          <w:sz w:val="24"/>
          <w:szCs w:val="24"/>
          <w:highlight w:val="none"/>
        </w:rPr>
        <w:t>人在参加本项目投标时有本企业投标承诺书所列被依法限制或暂停承揽业务</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停业的处罚的；</w:t>
      </w:r>
    </w:p>
    <w:p w14:paraId="53071D06">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）招标文件明确规定可以废除授标的其他情形。</w:t>
      </w:r>
    </w:p>
    <w:p w14:paraId="17207DEB">
      <w:pPr>
        <w:pStyle w:val="21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both"/>
        <w:textAlignment w:val="auto"/>
        <w:outlineLvl w:val="9"/>
        <w:rPr>
          <w:rFonts w:hint="eastAsia" w:ascii="宋体" w:hAnsi="宋体" w:eastAsia="宋体" w:cs="宋体"/>
          <w:b w:val="0"/>
          <w:bCs w:val="0"/>
          <w:color w:val="auto"/>
          <w:spacing w:val="0"/>
          <w:sz w:val="24"/>
          <w:szCs w:val="24"/>
          <w:highlight w:val="none"/>
          <w:u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 xml:space="preserve">.2 </w:t>
      </w:r>
      <w:r>
        <w:rPr>
          <w:rFonts w:hint="eastAsia" w:ascii="宋体" w:hAnsi="宋体" w:eastAsia="宋体" w:cs="宋体"/>
          <w:b w:val="0"/>
          <w:bCs w:val="0"/>
          <w:strike w:val="0"/>
          <w:dstrike w:val="0"/>
          <w:color w:val="auto"/>
          <w:spacing w:val="0"/>
          <w:sz w:val="24"/>
          <w:szCs w:val="24"/>
          <w:highlight w:val="none"/>
        </w:rPr>
        <w:t>排名第一的</w:t>
      </w:r>
      <w:r>
        <w:rPr>
          <w:rFonts w:hint="eastAsia" w:ascii="宋体" w:hAnsi="宋体" w:eastAsia="宋体" w:cs="宋体"/>
          <w:b w:val="0"/>
          <w:bCs w:val="0"/>
          <w:color w:val="auto"/>
          <w:spacing w:val="0"/>
          <w:sz w:val="24"/>
          <w:szCs w:val="24"/>
          <w:highlight w:val="none"/>
        </w:rPr>
        <w:t>中标候选人</w:t>
      </w:r>
      <w:r>
        <w:rPr>
          <w:rFonts w:hint="eastAsia" w:ascii="宋体" w:hAnsi="宋体" w:eastAsia="宋体" w:cs="宋体"/>
          <w:color w:val="auto"/>
          <w:sz w:val="24"/>
          <w:szCs w:val="24"/>
          <w:highlight w:val="none"/>
          <w:lang w:eastAsia="zh-CN"/>
        </w:rPr>
        <w:t>被</w:t>
      </w:r>
      <w:r>
        <w:rPr>
          <w:rFonts w:hint="eastAsia" w:ascii="宋体" w:hAnsi="宋体" w:eastAsia="宋体" w:cs="宋体"/>
          <w:color w:val="auto"/>
          <w:sz w:val="24"/>
          <w:szCs w:val="24"/>
          <w:highlight w:val="none"/>
        </w:rPr>
        <w:t>取消中标候选人资格或废除授标</w:t>
      </w:r>
      <w:r>
        <w:rPr>
          <w:rFonts w:hint="eastAsia" w:ascii="宋体" w:hAnsi="宋体" w:eastAsia="宋体" w:cs="宋体"/>
          <w:b w:val="0"/>
          <w:bCs w:val="0"/>
          <w:color w:val="auto"/>
          <w:spacing w:val="0"/>
          <w:sz w:val="24"/>
          <w:szCs w:val="24"/>
          <w:highlight w:val="none"/>
        </w:rPr>
        <w:t>，</w:t>
      </w:r>
      <w:r>
        <w:rPr>
          <w:rFonts w:hint="eastAsia" w:ascii="宋体" w:hAnsi="宋体" w:eastAsia="宋体" w:cs="宋体"/>
          <w:b w:val="0"/>
          <w:bCs w:val="0"/>
          <w:color w:val="auto"/>
          <w:spacing w:val="0"/>
          <w:sz w:val="24"/>
          <w:szCs w:val="24"/>
          <w:highlight w:val="none"/>
          <w:u w:val="none"/>
        </w:rPr>
        <w:t>招标人可以按照</w:t>
      </w:r>
      <w:r>
        <w:rPr>
          <w:rFonts w:hint="eastAsia" w:ascii="宋体" w:hAnsi="宋体" w:eastAsia="宋体" w:cs="宋体"/>
          <w:b w:val="0"/>
          <w:bCs w:val="0"/>
          <w:color w:val="auto"/>
          <w:spacing w:val="0"/>
          <w:sz w:val="24"/>
          <w:szCs w:val="24"/>
          <w:highlight w:val="none"/>
          <w:u w:val="none"/>
          <w:lang w:eastAsia="zh-CN"/>
        </w:rPr>
        <w:t>定标委员会</w:t>
      </w:r>
      <w:r>
        <w:rPr>
          <w:rFonts w:hint="eastAsia" w:ascii="宋体" w:hAnsi="宋体" w:eastAsia="宋体" w:cs="宋体"/>
          <w:b w:val="0"/>
          <w:bCs w:val="0"/>
          <w:color w:val="auto"/>
          <w:spacing w:val="0"/>
          <w:sz w:val="24"/>
          <w:szCs w:val="24"/>
          <w:highlight w:val="none"/>
          <w:u w:val="none"/>
        </w:rPr>
        <w:t>提出的中标候选人名单排序</w:t>
      </w:r>
      <w:r>
        <w:rPr>
          <w:rFonts w:hint="eastAsia" w:ascii="宋体" w:hAnsi="宋体" w:eastAsia="宋体" w:cs="宋体"/>
          <w:b w:val="0"/>
          <w:bCs w:val="0"/>
          <w:color w:val="auto"/>
          <w:spacing w:val="0"/>
          <w:sz w:val="24"/>
          <w:szCs w:val="24"/>
          <w:highlight w:val="none"/>
          <w:u w:val="none"/>
          <w:lang w:eastAsia="zh-CN"/>
        </w:rPr>
        <w:t>按规定</w:t>
      </w:r>
      <w:r>
        <w:rPr>
          <w:rFonts w:hint="eastAsia" w:ascii="宋体" w:hAnsi="宋体" w:eastAsia="宋体" w:cs="宋体"/>
          <w:b w:val="0"/>
          <w:bCs w:val="0"/>
          <w:color w:val="auto"/>
          <w:spacing w:val="0"/>
          <w:sz w:val="24"/>
          <w:szCs w:val="24"/>
          <w:highlight w:val="none"/>
          <w:u w:val="none"/>
        </w:rPr>
        <w:t>依次确定其他中标候选人为中标人，</w:t>
      </w:r>
      <w:r>
        <w:rPr>
          <w:rFonts w:hint="eastAsia" w:ascii="宋体" w:hAnsi="宋体" w:eastAsia="宋体" w:cs="宋体"/>
          <w:b w:val="0"/>
          <w:bCs w:val="0"/>
          <w:color w:val="auto"/>
          <w:spacing w:val="0"/>
          <w:sz w:val="24"/>
          <w:szCs w:val="24"/>
          <w:highlight w:val="none"/>
          <w:u w:val="none"/>
          <w:lang w:eastAsia="zh-CN"/>
        </w:rPr>
        <w:t>并</w:t>
      </w:r>
      <w:r>
        <w:rPr>
          <w:rFonts w:hint="eastAsia" w:ascii="宋体" w:hAnsi="宋体" w:eastAsia="宋体" w:cs="宋体"/>
          <w:color w:val="auto"/>
          <w:sz w:val="24"/>
          <w:szCs w:val="24"/>
          <w:highlight w:val="none"/>
        </w:rPr>
        <w:t>按规定实行中标结果公示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sz w:val="24"/>
          <w:szCs w:val="24"/>
          <w:highlight w:val="none"/>
          <w:u w:val="none"/>
        </w:rPr>
        <w:t>也可以</w:t>
      </w:r>
      <w:r>
        <w:rPr>
          <w:rFonts w:hint="eastAsia" w:ascii="宋体" w:hAnsi="宋体" w:eastAsia="宋体" w:cs="宋体"/>
          <w:b w:val="0"/>
          <w:bCs w:val="0"/>
          <w:color w:val="auto"/>
          <w:spacing w:val="0"/>
          <w:sz w:val="24"/>
          <w:szCs w:val="24"/>
          <w:highlight w:val="none"/>
          <w:u w:val="none"/>
          <w:lang w:eastAsia="zh-CN"/>
        </w:rPr>
        <w:t>按规定</w:t>
      </w:r>
      <w:r>
        <w:rPr>
          <w:rFonts w:hint="eastAsia" w:ascii="宋体" w:hAnsi="宋体" w:eastAsia="宋体" w:cs="宋体"/>
          <w:b w:val="0"/>
          <w:bCs w:val="0"/>
          <w:color w:val="auto"/>
          <w:spacing w:val="0"/>
          <w:sz w:val="24"/>
          <w:szCs w:val="24"/>
          <w:highlight w:val="none"/>
          <w:u w:val="none"/>
        </w:rPr>
        <w:t>重新组织招标</w:t>
      </w:r>
      <w:r>
        <w:rPr>
          <w:rFonts w:hint="eastAsia" w:ascii="宋体" w:hAnsi="宋体" w:eastAsia="宋体" w:cs="宋体"/>
          <w:color w:val="auto"/>
          <w:sz w:val="24"/>
          <w:szCs w:val="24"/>
          <w:highlight w:val="none"/>
        </w:rPr>
        <w:t>或报原项目审批</w:t>
      </w:r>
      <w:r>
        <w:rPr>
          <w:rFonts w:hint="eastAsia" w:ascii="宋体" w:hAnsi="宋体" w:eastAsia="宋体" w:cs="宋体"/>
          <w:color w:val="auto"/>
          <w:sz w:val="24"/>
          <w:szCs w:val="24"/>
          <w:highlight w:val="none"/>
          <w:lang w:eastAsia="zh-CN"/>
        </w:rPr>
        <w:t>、核准</w:t>
      </w:r>
      <w:r>
        <w:rPr>
          <w:rFonts w:hint="eastAsia" w:ascii="宋体" w:hAnsi="宋体" w:eastAsia="宋体" w:cs="宋体"/>
          <w:color w:val="auto"/>
          <w:sz w:val="24"/>
          <w:szCs w:val="24"/>
          <w:highlight w:val="none"/>
        </w:rPr>
        <w:t>部门重新</w:t>
      </w:r>
      <w:r>
        <w:rPr>
          <w:rFonts w:hint="eastAsia" w:ascii="宋体" w:hAnsi="宋体" w:eastAsia="宋体" w:cs="宋体"/>
          <w:color w:val="auto"/>
          <w:sz w:val="24"/>
          <w:szCs w:val="24"/>
          <w:highlight w:val="none"/>
          <w:lang w:eastAsia="zh-CN"/>
        </w:rPr>
        <w:t>审批、</w:t>
      </w:r>
      <w:r>
        <w:rPr>
          <w:rFonts w:hint="eastAsia" w:ascii="宋体" w:hAnsi="宋体" w:eastAsia="宋体" w:cs="宋体"/>
          <w:color w:val="auto"/>
          <w:sz w:val="24"/>
          <w:szCs w:val="24"/>
          <w:highlight w:val="none"/>
        </w:rPr>
        <w:t>核准招标方式。</w:t>
      </w:r>
    </w:p>
    <w:p w14:paraId="7C7B7E5D">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3 招标人有下列情形之一的，应依法承担相应的责任：</w:t>
      </w:r>
    </w:p>
    <w:p w14:paraId="5622B208">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（1）无正当理由不发出中标通知书的</w:t>
      </w:r>
      <w:r>
        <w:rPr>
          <w:rFonts w:hint="eastAsia" w:ascii="宋体" w:hAnsi="宋体" w:eastAsia="宋体" w:cs="宋体"/>
          <w:color w:val="auto"/>
          <w:sz w:val="24"/>
          <w:szCs w:val="24"/>
          <w:highlight w:val="none"/>
          <w:lang w:eastAsia="zh-CN"/>
        </w:rPr>
        <w:t>；</w:t>
      </w:r>
    </w:p>
    <w:p w14:paraId="6F443CD7">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（2）招标人不按照规定确定中标人的；</w:t>
      </w:r>
    </w:p>
    <w:p w14:paraId="01410CE0">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（3）中标通知书发出后无正当理由改变中标结果的；</w:t>
      </w:r>
    </w:p>
    <w:p w14:paraId="6CAC1EF1">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（4）无正当理由不与中标人签订</w:t>
      </w:r>
      <w:r>
        <w:rPr>
          <w:rFonts w:hint="eastAsia" w:ascii="宋体" w:hAnsi="宋体" w:eastAsia="宋体" w:cs="宋体"/>
          <w:color w:val="auto"/>
          <w:sz w:val="24"/>
          <w:szCs w:val="24"/>
          <w:highlight w:val="none"/>
          <w:lang w:eastAsia="zh-CN"/>
        </w:rPr>
        <w:t>工程总</w:t>
      </w:r>
      <w:r>
        <w:rPr>
          <w:rFonts w:hint="eastAsia" w:ascii="宋体" w:hAnsi="宋体" w:eastAsia="宋体" w:cs="宋体"/>
          <w:color w:val="auto"/>
          <w:sz w:val="24"/>
          <w:szCs w:val="24"/>
          <w:highlight w:val="none"/>
        </w:rPr>
        <w:t>承包合同的；</w:t>
      </w:r>
    </w:p>
    <w:p w14:paraId="483C455C">
      <w:pPr>
        <w:keepNext w:val="0"/>
        <w:keepLines w:val="0"/>
        <w:pageBreakBefore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（5）在签订</w:t>
      </w:r>
      <w:r>
        <w:rPr>
          <w:rFonts w:hint="eastAsia" w:ascii="宋体" w:hAnsi="宋体" w:eastAsia="宋体" w:cs="宋体"/>
          <w:color w:val="auto"/>
          <w:sz w:val="24"/>
          <w:szCs w:val="24"/>
          <w:highlight w:val="none"/>
          <w:lang w:eastAsia="zh-CN"/>
        </w:rPr>
        <w:t>工程总</w:t>
      </w:r>
      <w:r>
        <w:rPr>
          <w:rFonts w:hint="eastAsia" w:ascii="宋体" w:hAnsi="宋体" w:eastAsia="宋体" w:cs="宋体"/>
          <w:color w:val="auto"/>
          <w:sz w:val="24"/>
          <w:szCs w:val="24"/>
          <w:highlight w:val="none"/>
        </w:rPr>
        <w:t>承包合同时向中标人提出附加条件或者更改合同实质性内容的。</w:t>
      </w:r>
    </w:p>
    <w:p w14:paraId="62C8A4ED">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bookmarkStart w:id="75" w:name="_Toc17469"/>
      <w:r>
        <w:rPr>
          <w:rFonts w:hint="eastAsia" w:ascii="宋体" w:hAnsi="宋体" w:eastAsia="宋体" w:cs="宋体"/>
          <w:b/>
          <w:bCs/>
          <w:color w:val="auto"/>
          <w:kern w:val="0"/>
          <w:sz w:val="24"/>
          <w:szCs w:val="24"/>
          <w:highlight w:val="none"/>
          <w:lang w:val="en-US" w:eastAsia="zh-CN"/>
        </w:rPr>
        <w:t>17．电子管理规定</w:t>
      </w:r>
      <w:bookmarkEnd w:id="75"/>
    </w:p>
    <w:p w14:paraId="4219581B">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17.1</w:t>
      </w:r>
      <w:r>
        <w:rPr>
          <w:rFonts w:hint="eastAsia" w:ascii="宋体" w:hAnsi="宋体" w:eastAsia="宋体" w:cs="宋体"/>
          <w:b/>
          <w:color w:val="auto"/>
          <w:kern w:val="0"/>
          <w:sz w:val="24"/>
          <w:szCs w:val="24"/>
          <w:highlight w:val="none"/>
        </w:rPr>
        <w:t>.应急管理</w:t>
      </w:r>
    </w:p>
    <w:p w14:paraId="2E9948E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17.1</w:t>
      </w:r>
      <w:r>
        <w:rPr>
          <w:rFonts w:hint="eastAsia" w:ascii="宋体" w:hAnsi="宋体" w:eastAsia="宋体" w:cs="宋体"/>
          <w:color w:val="auto"/>
          <w:kern w:val="0"/>
          <w:sz w:val="24"/>
          <w:szCs w:val="24"/>
          <w:highlight w:val="none"/>
        </w:rPr>
        <w:t>.1发生下列情形之一时，招标人（招标代理机构）、公共资源交易中心应报告招标管理部门，未开标的暂停开标，已进入系统进行开标、评标（定标）的，宣布开标、评标（定标）无效、中止或终止，由招标人（招标代理机构）在招标管理部门代表监督和公共资源交易中心代表见证下对提交的电子投标文件进行加密封存，恢复开标、评标（定标）的时间视解决实际问题情况而定。</w:t>
      </w:r>
    </w:p>
    <w:p w14:paraId="4EFBB8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（1）因国际互联网中断、停电、网络入侵、不可抗力等非可控因素导致系统不能正常运行；</w:t>
      </w:r>
    </w:p>
    <w:p w14:paraId="532B237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（2）因系统服务器发生故障而无法访问系统或无法使用系统</w:t>
      </w:r>
      <w:r>
        <w:rPr>
          <w:rFonts w:hint="eastAsia" w:ascii="宋体" w:hAnsi="宋体" w:eastAsia="宋体" w:cs="宋体"/>
          <w:color w:val="auto"/>
          <w:kern w:val="0"/>
          <w:sz w:val="24"/>
          <w:szCs w:val="24"/>
          <w:highlight w:val="none"/>
          <w:lang w:eastAsia="zh-CN"/>
        </w:rPr>
        <w:t>，或</w:t>
      </w:r>
      <w:r>
        <w:rPr>
          <w:rFonts w:hint="eastAsia" w:ascii="宋体" w:hAnsi="宋体" w:eastAsia="宋体" w:cs="宋体"/>
          <w:color w:val="auto"/>
          <w:kern w:val="0"/>
          <w:sz w:val="24"/>
          <w:szCs w:val="24"/>
          <w:highlight w:val="none"/>
        </w:rPr>
        <w:t>因电子招标投标系统软件或网络数据库出现错误不能进行正常操作；</w:t>
      </w:r>
    </w:p>
    <w:p w14:paraId="270EAAE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）电子招</w:t>
      </w:r>
      <w:r>
        <w:rPr>
          <w:rFonts w:hint="eastAsia" w:ascii="宋体" w:hAnsi="宋体" w:eastAsia="宋体" w:cs="宋体"/>
          <w:color w:val="auto"/>
          <w:kern w:val="0"/>
          <w:sz w:val="24"/>
          <w:szCs w:val="24"/>
          <w:highlight w:val="none"/>
          <w:lang w:eastAsia="zh-CN"/>
        </w:rPr>
        <w:t>标</w:t>
      </w:r>
      <w:r>
        <w:rPr>
          <w:rFonts w:hint="eastAsia" w:ascii="宋体" w:hAnsi="宋体" w:eastAsia="宋体" w:cs="宋体"/>
          <w:color w:val="auto"/>
          <w:kern w:val="0"/>
          <w:sz w:val="24"/>
          <w:szCs w:val="24"/>
          <w:highlight w:val="none"/>
        </w:rPr>
        <w:t>投标系统发现有安全漏洞，有潜在的泄密危险；</w:t>
      </w:r>
      <w:r>
        <w:rPr>
          <w:rFonts w:hint="eastAsia" w:ascii="宋体" w:hAnsi="宋体" w:eastAsia="宋体" w:cs="宋体"/>
          <w:color w:val="auto"/>
          <w:kern w:val="0"/>
          <w:sz w:val="24"/>
          <w:szCs w:val="24"/>
          <w:highlight w:val="none"/>
          <w:lang w:eastAsia="zh-CN"/>
        </w:rPr>
        <w:t>或</w:t>
      </w:r>
      <w:r>
        <w:rPr>
          <w:rFonts w:hint="eastAsia" w:ascii="宋体" w:hAnsi="宋体" w:eastAsia="宋体" w:cs="宋体"/>
          <w:color w:val="auto"/>
          <w:kern w:val="0"/>
          <w:sz w:val="24"/>
          <w:szCs w:val="24"/>
          <w:highlight w:val="none"/>
        </w:rPr>
        <w:t>计算机病毒造成影响；</w:t>
      </w:r>
    </w:p>
    <w:p w14:paraId="4E4ECE9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）其他无法保证电子招标投标过程公平、公正和信息安全的意外情况；</w:t>
      </w:r>
    </w:p>
    <w:p w14:paraId="66E1E8C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）相关行政监督部门</w:t>
      </w:r>
      <w:r>
        <w:rPr>
          <w:rFonts w:hint="eastAsia" w:ascii="宋体" w:hAnsi="宋体" w:eastAsia="宋体" w:cs="宋体"/>
          <w:color w:val="auto"/>
          <w:kern w:val="0"/>
          <w:sz w:val="24"/>
          <w:szCs w:val="24"/>
          <w:highlight w:val="none"/>
          <w:lang w:eastAsia="zh-CN"/>
        </w:rPr>
        <w:t>和</w:t>
      </w:r>
      <w:r>
        <w:rPr>
          <w:rFonts w:hint="eastAsia" w:ascii="宋体" w:hAnsi="宋体" w:eastAsia="宋体" w:cs="宋体"/>
          <w:color w:val="auto"/>
          <w:kern w:val="0"/>
          <w:sz w:val="24"/>
          <w:szCs w:val="24"/>
          <w:highlight w:val="none"/>
        </w:rPr>
        <w:t>司法、纪检监察等机关依法要求中止或终止电子招标投标活动；</w:t>
      </w:r>
    </w:p>
    <w:p w14:paraId="28C9453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）法律法规规定的其他情形。</w:t>
      </w:r>
    </w:p>
    <w:p w14:paraId="75931B8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对于另行安排时间开标、评标（定标）的项目，有关业绩、奖项等评审资料仍以原截标时间为准，开标时，招标人（招标代理机构）须出具书面说明，提请评委注意有关评标业绩仍以原截标时间为准。</w:t>
      </w:r>
    </w:p>
    <w:p w14:paraId="0A2A2598">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17.1</w:t>
      </w:r>
      <w:r>
        <w:rPr>
          <w:rFonts w:hint="eastAsia" w:ascii="宋体" w:hAnsi="宋体" w:eastAsia="宋体" w:cs="宋体"/>
          <w:color w:val="auto"/>
          <w:kern w:val="0"/>
          <w:sz w:val="24"/>
          <w:szCs w:val="24"/>
          <w:highlight w:val="none"/>
        </w:rPr>
        <w:t>.2评审或评标过程中如遇系统故障等突发事件，评标</w:t>
      </w:r>
      <w:r>
        <w:rPr>
          <w:rFonts w:hint="eastAsia" w:ascii="宋体" w:hAnsi="宋体" w:eastAsia="宋体" w:cs="宋体"/>
          <w:color w:val="auto"/>
          <w:kern w:val="0"/>
          <w:sz w:val="24"/>
          <w:szCs w:val="24"/>
          <w:highlight w:val="none"/>
          <w:lang w:eastAsia="zh-CN"/>
        </w:rPr>
        <w:t>定标</w:t>
      </w:r>
      <w:r>
        <w:rPr>
          <w:rFonts w:hint="eastAsia" w:ascii="宋体" w:hAnsi="宋体" w:eastAsia="宋体" w:cs="宋体"/>
          <w:color w:val="auto"/>
          <w:kern w:val="0"/>
          <w:sz w:val="24"/>
          <w:szCs w:val="24"/>
          <w:highlight w:val="none"/>
        </w:rPr>
        <w:t>专家应及时与现场工作人员沟通解决。</w:t>
      </w:r>
    </w:p>
    <w:p w14:paraId="18E76764">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17.1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采用远程异地评标方式评标的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在评标活动开始前，因主场或副场网络故障、电子设备或者评标系统故障，以及其他原因导致无法正常评标时，招标人可以延迟评标开始时间，待故障解除后开始评标；超过评标开始时间2小时仍无法解除故障的，由招标人确定是否进行评标。如延期评标，招标人应当配合主场、副场做好招投标资料的封存和保密工作，另行组建评标委员会进行评标。</w:t>
      </w:r>
    </w:p>
    <w:p w14:paraId="235A8338">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17.1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采用远程异地评标方式评标的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6AD13A66">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17.1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采用远程异地评标方式评标的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主场和副场应当做好远程异地评标活动全程见证服务并采用音视频设备在线记录，妥善保存评标活动过程中的文字和音视频资料。评标结束后，副场应当在5个工作日内将评标活动过程中产生的纸质资料原件、电子文档、音视频以及其他有关资料，按双方约定的方式移交主场保存，保存期限按国家有关规定执行。</w:t>
      </w:r>
    </w:p>
    <w:p w14:paraId="680AC931">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17.1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电子招标投标中止、终止或结束后，招标人（招标代理机构）应将电子招标投标活动的记录下载打印成纸质文档存档。</w:t>
      </w:r>
    </w:p>
    <w:p w14:paraId="0756EAD3">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bookmarkStart w:id="76" w:name="_Toc28586"/>
      <w:r>
        <w:rPr>
          <w:rFonts w:hint="eastAsia" w:ascii="宋体" w:hAnsi="宋体" w:eastAsia="宋体" w:cs="宋体"/>
          <w:b/>
          <w:bCs/>
          <w:color w:val="auto"/>
          <w:kern w:val="0"/>
          <w:sz w:val="24"/>
          <w:szCs w:val="24"/>
          <w:highlight w:val="none"/>
          <w:lang w:val="en-US" w:eastAsia="zh-CN"/>
        </w:rPr>
        <w:t>18．相关规定</w:t>
      </w:r>
      <w:bookmarkEnd w:id="76"/>
    </w:p>
    <w:p w14:paraId="74C33397">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18.1</w:t>
      </w:r>
      <w:r>
        <w:rPr>
          <w:rFonts w:hint="eastAsia" w:ascii="宋体" w:hAnsi="宋体" w:eastAsia="宋体" w:cs="宋体"/>
          <w:color w:val="auto"/>
          <w:kern w:val="0"/>
          <w:sz w:val="24"/>
          <w:szCs w:val="24"/>
          <w:highlight w:val="none"/>
        </w:rPr>
        <w:t>招标人（招标代理机构）、潜在投标人遗失数字证书或密码的，应当及时到原办理机构挂失并重新申领，由此造成不能及时办理招标申请备案、澄清、修改、答疑或不能及时参加投标、提出疑问、上传投标文件等后果由招标人（招标代理机构）或潜在投标人自行负责。</w:t>
      </w:r>
    </w:p>
    <w:p w14:paraId="6960FDF0">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kern w:val="0"/>
          <w:sz w:val="24"/>
          <w:szCs w:val="24"/>
          <w:highlight w:val="none"/>
        </w:rPr>
        <w:t>投标人在电子招标投标活动中实施下列行为之一，所产生的后果由投标人自行承担。</w:t>
      </w:r>
    </w:p>
    <w:p w14:paraId="3D1E09A9">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（1）投标人的数字证书和密码被他人冒用、盗用；</w:t>
      </w:r>
    </w:p>
    <w:p w14:paraId="34F87BFD">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（2）使用他人数字证书或把数字证书借给他人使用的，依法按以他人名义投标处理；有围标串标行为的，依法按串通投标处理；</w:t>
      </w:r>
    </w:p>
    <w:p w14:paraId="60623876">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（3）因投标人计算机系统遭遇网络堵塞、病毒入侵、硬件故障等导致不能正常登录网上招标投标系统参与投标；</w:t>
      </w:r>
    </w:p>
    <w:p w14:paraId="3AD555E2">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（4）经</w:t>
      </w:r>
      <w:r>
        <w:rPr>
          <w:rFonts w:hint="eastAsia" w:ascii="宋体" w:hAnsi="宋体" w:eastAsia="宋体" w:cs="宋体"/>
          <w:color w:val="auto"/>
          <w:kern w:val="0"/>
          <w:sz w:val="24"/>
          <w:szCs w:val="24"/>
          <w:highlight w:val="none"/>
          <w:lang w:eastAsia="zh-CN"/>
        </w:rPr>
        <w:t>电子招标投标</w:t>
      </w:r>
      <w:r>
        <w:rPr>
          <w:rFonts w:hint="eastAsia" w:ascii="宋体" w:hAnsi="宋体" w:eastAsia="宋体" w:cs="宋体"/>
          <w:color w:val="auto"/>
          <w:kern w:val="0"/>
          <w:sz w:val="24"/>
          <w:szCs w:val="24"/>
          <w:highlight w:val="none"/>
        </w:rPr>
        <w:t>系统检测到投标人</w:t>
      </w:r>
      <w:r>
        <w:rPr>
          <w:rFonts w:hint="eastAsia" w:ascii="宋体" w:hAnsi="宋体" w:eastAsia="宋体" w:cs="宋体"/>
          <w:color w:val="auto"/>
          <w:kern w:val="0"/>
          <w:sz w:val="24"/>
          <w:szCs w:val="24"/>
          <w:highlight w:val="none"/>
          <w:lang w:eastAsia="zh-CN"/>
        </w:rPr>
        <w:t>的</w:t>
      </w:r>
      <w:r>
        <w:rPr>
          <w:rFonts w:hint="eastAsia" w:ascii="宋体" w:hAnsi="宋体" w:eastAsia="宋体" w:cs="宋体"/>
          <w:color w:val="auto"/>
          <w:sz w:val="24"/>
          <w:szCs w:val="24"/>
          <w:highlight w:val="none"/>
        </w:rPr>
        <w:t>投标文件编制及上传存在</w:t>
      </w:r>
      <w:r>
        <w:rPr>
          <w:rFonts w:hint="eastAsia" w:ascii="宋体" w:hAnsi="宋体" w:eastAsia="宋体" w:cs="宋体"/>
          <w:color w:val="auto"/>
          <w:sz w:val="24"/>
          <w:szCs w:val="24"/>
          <w:highlight w:val="none"/>
          <w:lang w:eastAsia="zh-CN"/>
        </w:rPr>
        <w:t>有与不同投标人</w:t>
      </w:r>
      <w:r>
        <w:rPr>
          <w:rFonts w:hint="eastAsia" w:ascii="宋体" w:hAnsi="宋体" w:eastAsia="宋体" w:cs="宋体"/>
          <w:color w:val="auto"/>
          <w:sz w:val="24"/>
          <w:szCs w:val="24"/>
          <w:highlight w:val="none"/>
        </w:rPr>
        <w:t>同一网卡地址、硬盘序列号、软件序列号或投标文件异常一致（通过</w:t>
      </w:r>
      <w:r>
        <w:rPr>
          <w:rFonts w:hint="eastAsia" w:ascii="宋体" w:hAnsi="宋体" w:eastAsia="宋体" w:cs="宋体"/>
          <w:color w:val="auto"/>
          <w:sz w:val="24"/>
          <w:szCs w:val="24"/>
          <w:highlight w:val="none"/>
          <w:lang w:eastAsia="zh-CN"/>
        </w:rPr>
        <w:t>公共资源</w:t>
      </w:r>
      <w:r>
        <w:rPr>
          <w:rFonts w:hint="eastAsia" w:ascii="宋体" w:hAnsi="宋体" w:eastAsia="宋体" w:cs="宋体"/>
          <w:color w:val="auto"/>
          <w:sz w:val="24"/>
          <w:szCs w:val="24"/>
          <w:highlight w:val="none"/>
        </w:rPr>
        <w:t>交易中心计算机编制或上传的除外）</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eastAsia="zh-CN"/>
        </w:rPr>
        <w:t>情形</w:t>
      </w:r>
      <w:r>
        <w:rPr>
          <w:rFonts w:hint="eastAsia" w:ascii="宋体" w:hAnsi="宋体" w:eastAsia="宋体" w:cs="宋体"/>
          <w:color w:val="auto"/>
          <w:kern w:val="0"/>
          <w:sz w:val="24"/>
          <w:szCs w:val="24"/>
          <w:highlight w:val="none"/>
        </w:rPr>
        <w:t>，视为串通投标行为，其投标无效，并依法处理。</w:t>
      </w:r>
    </w:p>
    <w:p w14:paraId="30257E62">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sz w:val="24"/>
          <w:szCs w:val="24"/>
          <w:highlight w:val="none"/>
        </w:rPr>
        <w:t xml:space="preserve">3 </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参加</w:t>
      </w:r>
      <w:r>
        <w:rPr>
          <w:rFonts w:hint="eastAsia" w:ascii="宋体" w:hAnsi="宋体" w:eastAsia="宋体" w:cs="宋体"/>
          <w:color w:val="auto"/>
          <w:sz w:val="24"/>
          <w:szCs w:val="24"/>
          <w:highlight w:val="none"/>
          <w:lang w:eastAsia="zh-CN"/>
        </w:rPr>
        <w:t>电子招标</w:t>
      </w:r>
      <w:r>
        <w:rPr>
          <w:rFonts w:hint="eastAsia" w:ascii="宋体" w:hAnsi="宋体" w:eastAsia="宋体" w:cs="宋体"/>
          <w:color w:val="auto"/>
          <w:sz w:val="24"/>
          <w:szCs w:val="24"/>
          <w:highlight w:val="none"/>
        </w:rPr>
        <w:t>投标活动的各类注册人员和相关从业人员，应当在</w:t>
      </w:r>
      <w:r>
        <w:rPr>
          <w:rFonts w:hint="eastAsia" w:ascii="宋体" w:hAnsi="宋体" w:eastAsia="宋体" w:cs="宋体"/>
          <w:color w:val="auto"/>
          <w:kern w:val="0"/>
          <w:sz w:val="24"/>
          <w:szCs w:val="24"/>
          <w:highlight w:val="none"/>
          <w:lang w:val="en-US" w:eastAsia="zh-CN"/>
        </w:rPr>
        <w:t>投标系统</w:t>
      </w:r>
      <w:r>
        <w:rPr>
          <w:rFonts w:hint="eastAsia" w:ascii="宋体" w:hAnsi="宋体" w:eastAsia="宋体" w:cs="宋体"/>
          <w:color w:val="auto"/>
          <w:sz w:val="24"/>
          <w:szCs w:val="24"/>
          <w:highlight w:val="none"/>
        </w:rPr>
        <w:t>中选取。</w:t>
      </w:r>
      <w:r>
        <w:rPr>
          <w:rFonts w:hint="eastAsia" w:ascii="宋体" w:hAnsi="宋体" w:eastAsia="宋体" w:cs="宋体"/>
          <w:color w:val="auto"/>
          <w:kern w:val="0"/>
          <w:sz w:val="24"/>
          <w:szCs w:val="24"/>
          <w:highlight w:val="none"/>
        </w:rPr>
        <w:t xml:space="preserve"> 参加投标之前，投标人应</w:t>
      </w:r>
      <w:r>
        <w:rPr>
          <w:rFonts w:hint="eastAsia" w:ascii="宋体" w:hAnsi="宋体" w:eastAsia="宋体" w:cs="宋体"/>
          <w:color w:val="auto"/>
          <w:kern w:val="0"/>
          <w:sz w:val="24"/>
          <w:szCs w:val="24"/>
          <w:highlight w:val="none"/>
          <w:lang w:eastAsia="zh-CN"/>
        </w:rPr>
        <w:t>确保</w:t>
      </w:r>
      <w:r>
        <w:rPr>
          <w:rFonts w:hint="eastAsia" w:ascii="宋体" w:hAnsi="宋体" w:eastAsia="宋体" w:cs="宋体"/>
          <w:color w:val="auto"/>
          <w:kern w:val="0"/>
          <w:sz w:val="24"/>
          <w:szCs w:val="24"/>
          <w:highlight w:val="none"/>
        </w:rPr>
        <w:t>拟派</w:t>
      </w:r>
      <w:r>
        <w:rPr>
          <w:rFonts w:hint="eastAsia" w:ascii="宋体" w:hAnsi="宋体" w:eastAsia="宋体" w:cs="宋体"/>
          <w:color w:val="auto"/>
          <w:kern w:val="0"/>
          <w:sz w:val="24"/>
          <w:szCs w:val="24"/>
          <w:highlight w:val="none"/>
          <w:lang w:eastAsia="zh-CN"/>
        </w:rPr>
        <w:t>参加</w:t>
      </w:r>
      <w:r>
        <w:rPr>
          <w:rFonts w:hint="eastAsia" w:ascii="宋体" w:hAnsi="宋体" w:eastAsia="宋体" w:cs="宋体"/>
          <w:color w:val="auto"/>
          <w:kern w:val="0"/>
          <w:sz w:val="24"/>
          <w:szCs w:val="24"/>
          <w:highlight w:val="none"/>
        </w:rPr>
        <w:t>投标</w:t>
      </w:r>
      <w:r>
        <w:rPr>
          <w:rFonts w:hint="eastAsia" w:ascii="宋体" w:hAnsi="宋体" w:eastAsia="宋体" w:cs="宋体"/>
          <w:color w:val="auto"/>
          <w:kern w:val="0"/>
          <w:sz w:val="24"/>
          <w:szCs w:val="24"/>
          <w:highlight w:val="none"/>
          <w:lang w:eastAsia="zh-CN"/>
        </w:rPr>
        <w:t>人员</w:t>
      </w:r>
      <w:r>
        <w:rPr>
          <w:rFonts w:hint="eastAsia" w:ascii="宋体" w:hAnsi="宋体" w:eastAsia="宋体" w:cs="宋体"/>
          <w:color w:val="auto"/>
          <w:kern w:val="0"/>
          <w:sz w:val="24"/>
          <w:szCs w:val="24"/>
          <w:highlight w:val="none"/>
        </w:rPr>
        <w:t>信息与</w:t>
      </w:r>
      <w:r>
        <w:rPr>
          <w:rFonts w:hint="eastAsia" w:ascii="宋体" w:hAnsi="宋体" w:eastAsia="宋体" w:cs="宋体"/>
          <w:color w:val="auto"/>
          <w:kern w:val="0"/>
          <w:sz w:val="24"/>
          <w:szCs w:val="24"/>
          <w:highlight w:val="none"/>
          <w:lang w:val="en-US" w:eastAsia="zh-CN"/>
        </w:rPr>
        <w:t>投标系统</w:t>
      </w:r>
      <w:r>
        <w:rPr>
          <w:rFonts w:hint="eastAsia" w:ascii="宋体" w:hAnsi="宋体" w:eastAsia="宋体" w:cs="宋体"/>
          <w:color w:val="auto"/>
          <w:sz w:val="24"/>
          <w:szCs w:val="24"/>
          <w:highlight w:val="none"/>
        </w:rPr>
        <w:t>人员</w:t>
      </w:r>
      <w:r>
        <w:rPr>
          <w:rFonts w:hint="eastAsia" w:ascii="宋体" w:hAnsi="宋体" w:eastAsia="宋体" w:cs="宋体"/>
          <w:b w:val="0"/>
          <w:bCs w:val="0"/>
          <w:color w:val="auto"/>
          <w:sz w:val="24"/>
          <w:szCs w:val="24"/>
          <w:highlight w:val="none"/>
        </w:rPr>
        <w:t>信息</w:t>
      </w:r>
      <w:r>
        <w:rPr>
          <w:rFonts w:hint="eastAsia" w:ascii="宋体" w:hAnsi="宋体" w:eastAsia="宋体" w:cs="宋体"/>
          <w:color w:val="auto"/>
          <w:kern w:val="0"/>
          <w:sz w:val="24"/>
          <w:szCs w:val="24"/>
          <w:highlight w:val="none"/>
        </w:rPr>
        <w:t>一致，以免造成投标不成功</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因其可能引起的一切后果由投标人自行承担。</w:t>
      </w:r>
    </w:p>
    <w:p w14:paraId="47706D67">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sz w:val="24"/>
          <w:szCs w:val="24"/>
          <w:highlight w:val="none"/>
        </w:rPr>
        <w:t xml:space="preserve">4 </w:t>
      </w:r>
      <w:r>
        <w:rPr>
          <w:rFonts w:hint="eastAsia" w:ascii="宋体" w:hAnsi="宋体" w:eastAsia="宋体" w:cs="宋体"/>
          <w:color w:val="auto"/>
          <w:kern w:val="0"/>
          <w:sz w:val="24"/>
          <w:szCs w:val="24"/>
          <w:highlight w:val="none"/>
        </w:rPr>
        <w:t>拟派</w:t>
      </w:r>
      <w:r>
        <w:rPr>
          <w:rFonts w:hint="eastAsia" w:ascii="宋体" w:hAnsi="宋体" w:eastAsia="宋体" w:cs="宋体"/>
          <w:color w:val="auto"/>
          <w:kern w:val="0"/>
          <w:sz w:val="24"/>
          <w:szCs w:val="24"/>
          <w:highlight w:val="none"/>
          <w:lang w:eastAsia="zh-CN"/>
        </w:rPr>
        <w:t>参加</w:t>
      </w:r>
      <w:r>
        <w:rPr>
          <w:rFonts w:hint="eastAsia" w:ascii="宋体" w:hAnsi="宋体" w:eastAsia="宋体" w:cs="宋体"/>
          <w:color w:val="auto"/>
          <w:kern w:val="0"/>
          <w:sz w:val="24"/>
          <w:szCs w:val="24"/>
          <w:highlight w:val="none"/>
        </w:rPr>
        <w:t>投标</w:t>
      </w:r>
      <w:r>
        <w:rPr>
          <w:rFonts w:hint="eastAsia" w:ascii="宋体" w:hAnsi="宋体" w:eastAsia="宋体" w:cs="宋体"/>
          <w:color w:val="auto"/>
          <w:sz w:val="24"/>
          <w:szCs w:val="24"/>
          <w:highlight w:val="none"/>
        </w:rPr>
        <w:t>担任</w:t>
      </w:r>
      <w:r>
        <w:rPr>
          <w:rFonts w:hint="eastAsia" w:ascii="宋体" w:hAnsi="宋体" w:eastAsia="宋体" w:cs="宋体"/>
          <w:color w:val="auto"/>
          <w:sz w:val="24"/>
          <w:szCs w:val="24"/>
          <w:highlight w:val="none"/>
          <w:lang w:eastAsia="zh-CN"/>
        </w:rPr>
        <w:t>施工</w:t>
      </w:r>
      <w:r>
        <w:rPr>
          <w:rFonts w:hint="eastAsia" w:ascii="宋体" w:hAnsi="宋体" w:eastAsia="宋体" w:cs="宋体"/>
          <w:color w:val="auto"/>
          <w:sz w:val="24"/>
          <w:szCs w:val="24"/>
          <w:highlight w:val="none"/>
        </w:rPr>
        <w:t>项目负责人的建造师，在施工报建时，由核发施工许可证的主管部门对其进行锁定。工程项目已通过竣工验收并提供竣工验收报告，</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可向</w:t>
      </w:r>
      <w:r>
        <w:rPr>
          <w:rFonts w:hint="eastAsia" w:ascii="宋体" w:hAnsi="宋体" w:eastAsia="宋体" w:cs="宋体"/>
          <w:color w:val="auto"/>
          <w:sz w:val="24"/>
          <w:szCs w:val="24"/>
          <w:highlight w:val="none"/>
          <w:lang w:eastAsia="zh-CN"/>
        </w:rPr>
        <w:t>原</w:t>
      </w:r>
      <w:r>
        <w:rPr>
          <w:rFonts w:hint="eastAsia" w:ascii="宋体" w:hAnsi="宋体" w:eastAsia="宋体" w:cs="宋体"/>
          <w:color w:val="auto"/>
          <w:sz w:val="24"/>
          <w:szCs w:val="24"/>
          <w:highlight w:val="none"/>
        </w:rPr>
        <w:t>核发施工许可证的主管部门申请解锁</w:t>
      </w:r>
      <w:r>
        <w:rPr>
          <w:rFonts w:hint="eastAsia" w:ascii="宋体" w:hAnsi="宋体" w:eastAsia="宋体" w:cs="宋体"/>
          <w:color w:val="auto"/>
          <w:sz w:val="24"/>
          <w:szCs w:val="24"/>
          <w:highlight w:val="none"/>
          <w:lang w:eastAsia="zh-CN"/>
        </w:rPr>
        <w:t>原已</w:t>
      </w:r>
      <w:r>
        <w:rPr>
          <w:rFonts w:hint="eastAsia" w:ascii="宋体" w:hAnsi="宋体" w:eastAsia="宋体" w:cs="宋体"/>
          <w:color w:val="auto"/>
          <w:sz w:val="24"/>
          <w:szCs w:val="24"/>
          <w:highlight w:val="none"/>
        </w:rPr>
        <w:t>锁定</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建造师</w:t>
      </w:r>
      <w:r>
        <w:rPr>
          <w:rFonts w:hint="eastAsia" w:ascii="宋体" w:hAnsi="宋体" w:eastAsia="宋体" w:cs="宋体"/>
          <w:color w:val="auto"/>
          <w:sz w:val="24"/>
          <w:szCs w:val="24"/>
          <w:highlight w:val="none"/>
          <w:lang w:eastAsia="zh-CN"/>
        </w:rPr>
        <w:t>。</w:t>
      </w:r>
    </w:p>
    <w:p w14:paraId="1B939331">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sz w:val="24"/>
          <w:szCs w:val="24"/>
          <w:highlight w:val="none"/>
        </w:rPr>
        <w:t>5</w:t>
      </w:r>
      <w:r>
        <w:rPr>
          <w:rFonts w:hint="eastAsia" w:ascii="宋体" w:hAnsi="宋体" w:eastAsia="宋体" w:cs="宋体"/>
          <w:color w:val="auto"/>
          <w:kern w:val="0"/>
          <w:sz w:val="24"/>
          <w:szCs w:val="24"/>
          <w:highlight w:val="none"/>
        </w:rPr>
        <w:t>电子评标的项目，</w:t>
      </w:r>
      <w:r>
        <w:rPr>
          <w:rFonts w:hint="eastAsia" w:ascii="宋体" w:hAnsi="宋体" w:eastAsia="宋体" w:cs="宋体"/>
          <w:color w:val="auto"/>
          <w:kern w:val="0"/>
          <w:sz w:val="24"/>
          <w:szCs w:val="24"/>
          <w:highlight w:val="none"/>
          <w:lang w:eastAsia="zh-CN"/>
        </w:rPr>
        <w:t>投标时，</w:t>
      </w:r>
      <w:r>
        <w:rPr>
          <w:rFonts w:hint="eastAsia" w:ascii="宋体" w:hAnsi="宋体" w:eastAsia="宋体" w:cs="宋体"/>
          <w:color w:val="auto"/>
          <w:kern w:val="0"/>
          <w:sz w:val="24"/>
          <w:szCs w:val="24"/>
          <w:highlight w:val="none"/>
        </w:rPr>
        <w:t>投标文件一律不接受纸质文件，投标人须递交具备法律效力的电子投标文件。</w:t>
      </w:r>
    </w:p>
    <w:p w14:paraId="08D387CF">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sz w:val="24"/>
          <w:szCs w:val="24"/>
          <w:highlight w:val="none"/>
        </w:rPr>
        <w:t>6</w:t>
      </w:r>
      <w:r>
        <w:rPr>
          <w:rFonts w:hint="eastAsia" w:ascii="宋体" w:hAnsi="宋体" w:eastAsia="宋体" w:cs="宋体"/>
          <w:color w:val="auto"/>
          <w:kern w:val="0"/>
          <w:sz w:val="24"/>
          <w:szCs w:val="24"/>
          <w:highlight w:val="none"/>
        </w:rPr>
        <w:t>经数字证书签章签名上传的招标资料或投标资料具有法律效力。招标人（招标代理机构）、潜在投标人应当对其上传资料的真实性、完整性和准确性负责。</w:t>
      </w:r>
    </w:p>
    <w:p w14:paraId="0C192D4F">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sz w:val="24"/>
          <w:szCs w:val="24"/>
          <w:highlight w:val="none"/>
        </w:rPr>
        <w:t>7</w:t>
      </w:r>
      <w:r>
        <w:rPr>
          <w:rFonts w:hint="eastAsia" w:ascii="宋体" w:hAnsi="宋体" w:eastAsia="宋体" w:cs="宋体"/>
          <w:color w:val="auto"/>
          <w:kern w:val="0"/>
          <w:sz w:val="24"/>
          <w:szCs w:val="24"/>
          <w:highlight w:val="none"/>
        </w:rPr>
        <w:t>评标（定标）工作完成后，电子招标投标系统将电子辅助评标（定标）过程产生的数据和记录自动存档，并进行数据的汇总、统计，供有关部门查询、监督。</w:t>
      </w:r>
    </w:p>
    <w:p w14:paraId="367893EF">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8电子辅助评标（定标）的档案，除纪检监察机关、行政监督部门或者司法机关依法进行核查外，其他任何单位或个人不得擅自查阅档案资料。</w:t>
      </w:r>
    </w:p>
    <w:p w14:paraId="65B75130">
      <w:pPr>
        <w:pStyle w:val="6"/>
        <w:keepNext/>
        <w:keepLines/>
        <w:pageBreakBefore w:val="0"/>
        <w:widowControl/>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jc w:val="left"/>
        <w:textAlignment w:val="auto"/>
        <w:outlineLvl w:val="2"/>
        <w:rPr>
          <w:rFonts w:hint="eastAsia" w:ascii="宋体" w:hAnsi="宋体" w:eastAsia="宋体" w:cs="宋体"/>
          <w:b/>
          <w:bCs/>
          <w:color w:val="auto"/>
          <w:kern w:val="0"/>
          <w:sz w:val="24"/>
          <w:szCs w:val="24"/>
          <w:highlight w:val="none"/>
          <w:lang w:val="en-US" w:eastAsia="zh-CN"/>
        </w:rPr>
      </w:pPr>
      <w:bookmarkStart w:id="77" w:name="_Toc3462"/>
      <w:r>
        <w:rPr>
          <w:rFonts w:hint="eastAsia" w:ascii="宋体" w:hAnsi="宋体" w:eastAsia="宋体" w:cs="宋体"/>
          <w:b/>
          <w:bCs/>
          <w:color w:val="auto"/>
          <w:kern w:val="0"/>
          <w:sz w:val="24"/>
          <w:szCs w:val="24"/>
          <w:highlight w:val="none"/>
          <w:lang w:val="en-US" w:eastAsia="zh-CN"/>
        </w:rPr>
        <w:t>19．其他</w:t>
      </w:r>
      <w:bookmarkEnd w:id="77"/>
    </w:p>
    <w:p w14:paraId="5949D171">
      <w:pPr>
        <w:keepNext w:val="0"/>
        <w:keepLines w:val="0"/>
        <w:pageBreakBefore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19.1.放弃中标的处理</w:t>
      </w:r>
    </w:p>
    <w:p w14:paraId="0FF4F2CB">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19.1.1中标人无正当理由放弃中标的，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1CF04CBC">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19.1.2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20D74BF8">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19.1.3 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25B82220">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highlight w:val="none"/>
        </w:rPr>
      </w:pPr>
      <w:r>
        <w:rPr>
          <w:rFonts w:hint="eastAsia" w:ascii="宋体" w:hAnsi="宋体" w:eastAsia="宋体" w:cs="宋体"/>
          <w:color w:val="auto"/>
          <w:kern w:val="0"/>
          <w:sz w:val="24"/>
          <w:szCs w:val="24"/>
          <w:highlight w:val="none"/>
          <w:lang w:val="en-US" w:eastAsia="zh-CN"/>
        </w:rPr>
        <w:t>19.1.4.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2890F9C9">
      <w:pPr>
        <w:rPr>
          <w:rFonts w:hint="eastAsia" w:ascii="宋体" w:hAnsi="宋体" w:eastAsia="宋体" w:cs="宋体"/>
        </w:rPr>
      </w:pPr>
      <w:bookmarkStart w:id="78" w:name="_Toc26755"/>
    </w:p>
    <w:p w14:paraId="74CCB249">
      <w:pPr>
        <w:rPr>
          <w:rFonts w:hint="eastAsia" w:ascii="宋体" w:hAnsi="宋体" w:eastAsia="宋体" w:cs="宋体"/>
          <w:color w:val="auto"/>
          <w:highlight w:val="none"/>
        </w:rPr>
      </w:pPr>
    </w:p>
    <w:p w14:paraId="1EFCB8D4">
      <w:pPr>
        <w:rPr>
          <w:rFonts w:hint="eastAsia" w:ascii="宋体" w:hAnsi="宋体" w:eastAsia="宋体" w:cs="宋体"/>
          <w:color w:val="auto"/>
          <w:highlight w:val="none"/>
        </w:rPr>
      </w:pPr>
    </w:p>
    <w:p w14:paraId="35F79079">
      <w:pPr>
        <w:rPr>
          <w:rFonts w:hint="eastAsia" w:ascii="宋体" w:hAnsi="宋体" w:eastAsia="宋体" w:cs="宋体"/>
          <w:color w:val="auto"/>
          <w:highlight w:val="none"/>
        </w:rPr>
      </w:pPr>
    </w:p>
    <w:p w14:paraId="13C69477">
      <w:pPr>
        <w:rPr>
          <w:rFonts w:hint="eastAsia" w:ascii="宋体" w:hAnsi="宋体" w:eastAsia="宋体" w:cs="宋体"/>
          <w:color w:val="auto"/>
          <w:highlight w:val="none"/>
        </w:rPr>
      </w:pPr>
    </w:p>
    <w:p w14:paraId="0C5C666D">
      <w:pPr>
        <w:rPr>
          <w:rFonts w:hint="eastAsia" w:ascii="宋体" w:hAnsi="宋体" w:eastAsia="宋体" w:cs="宋体"/>
          <w:color w:val="auto"/>
          <w:highlight w:val="none"/>
        </w:rPr>
      </w:pPr>
    </w:p>
    <w:p w14:paraId="614CA95A">
      <w:pPr>
        <w:rPr>
          <w:rFonts w:hint="eastAsia" w:ascii="宋体" w:hAnsi="宋体" w:eastAsia="宋体" w:cs="宋体"/>
          <w:color w:val="auto"/>
          <w:highlight w:val="none"/>
        </w:rPr>
      </w:pPr>
    </w:p>
    <w:p w14:paraId="30DB7CC1">
      <w:pPr>
        <w:rPr>
          <w:rFonts w:hint="eastAsia" w:ascii="宋体" w:hAnsi="宋体" w:eastAsia="宋体" w:cs="宋体"/>
          <w:color w:val="auto"/>
          <w:highlight w:val="none"/>
        </w:rPr>
      </w:pPr>
    </w:p>
    <w:p w14:paraId="1F64259E">
      <w:pPr>
        <w:rPr>
          <w:rFonts w:hint="eastAsia" w:ascii="宋体" w:hAnsi="宋体" w:eastAsia="宋体" w:cs="宋体"/>
          <w:b/>
          <w:color w:val="auto"/>
          <w:kern w:val="2"/>
          <w:sz w:val="28"/>
          <w:szCs w:val="24"/>
          <w:lang w:val="en-US" w:eastAsia="zh-CN"/>
        </w:rPr>
      </w:pPr>
      <w:bookmarkStart w:id="79" w:name="_Toc29495"/>
      <w:r>
        <w:rPr>
          <w:rFonts w:hint="eastAsia" w:ascii="宋体" w:hAnsi="宋体" w:eastAsia="宋体" w:cs="宋体"/>
          <w:b/>
          <w:color w:val="auto"/>
          <w:kern w:val="2"/>
          <w:sz w:val="28"/>
          <w:szCs w:val="24"/>
          <w:lang w:val="en-US" w:eastAsia="zh-CN"/>
        </w:rPr>
        <w:br w:type="page"/>
      </w:r>
    </w:p>
    <w:p w14:paraId="76F201E4">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r>
        <w:rPr>
          <w:rFonts w:hint="eastAsia" w:ascii="宋体" w:hAnsi="宋体" w:eastAsia="宋体" w:cs="宋体"/>
          <w:b/>
          <w:color w:val="auto"/>
          <w:kern w:val="2"/>
          <w:sz w:val="28"/>
          <w:szCs w:val="24"/>
          <w:lang w:val="en-US" w:eastAsia="zh-CN"/>
        </w:rPr>
        <w:t>第四节   评标定标办法</w:t>
      </w:r>
      <w:bookmarkEnd w:id="79"/>
    </w:p>
    <w:p w14:paraId="39EEE8F9">
      <w:pPr>
        <w:pStyle w:val="6"/>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left"/>
        <w:textAlignment w:val="auto"/>
        <w:outlineLvl w:val="2"/>
        <w:rPr>
          <w:rFonts w:hint="eastAsia" w:ascii="宋体" w:hAnsi="宋体" w:eastAsia="宋体" w:cs="宋体"/>
          <w:b/>
          <w:bCs/>
          <w:color w:val="auto"/>
          <w:kern w:val="0"/>
          <w:sz w:val="24"/>
          <w:szCs w:val="24"/>
          <w:highlight w:val="none"/>
        </w:rPr>
      </w:pPr>
      <w:bookmarkStart w:id="80" w:name="_Toc25930"/>
      <w:r>
        <w:rPr>
          <w:rFonts w:hint="eastAsia" w:ascii="宋体" w:hAnsi="宋体" w:eastAsia="宋体" w:cs="宋体"/>
          <w:b/>
          <w:bCs/>
          <w:color w:val="auto"/>
          <w:kern w:val="0"/>
          <w:sz w:val="24"/>
          <w:szCs w:val="24"/>
          <w:highlight w:val="none"/>
        </w:rPr>
        <w:t>一、评标</w:t>
      </w:r>
      <w:r>
        <w:rPr>
          <w:rFonts w:hint="eastAsia" w:ascii="宋体" w:hAnsi="宋体" w:eastAsia="宋体" w:cs="宋体"/>
          <w:b/>
          <w:bCs/>
          <w:color w:val="auto"/>
          <w:kern w:val="0"/>
          <w:sz w:val="24"/>
          <w:szCs w:val="24"/>
          <w:highlight w:val="none"/>
          <w:lang w:eastAsia="zh-CN"/>
        </w:rPr>
        <w:t>定标</w:t>
      </w:r>
      <w:r>
        <w:rPr>
          <w:rFonts w:hint="eastAsia" w:ascii="宋体" w:hAnsi="宋体" w:eastAsia="宋体" w:cs="宋体"/>
          <w:b/>
          <w:bCs/>
          <w:color w:val="auto"/>
          <w:kern w:val="0"/>
          <w:sz w:val="24"/>
          <w:szCs w:val="24"/>
          <w:highlight w:val="none"/>
        </w:rPr>
        <w:t>原则</w:t>
      </w:r>
      <w:bookmarkEnd w:id="80"/>
    </w:p>
    <w:p w14:paraId="344C302D">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w:t>
      </w:r>
      <w:r>
        <w:rPr>
          <w:rFonts w:hint="eastAsia" w:ascii="宋体" w:hAnsi="宋体" w:eastAsia="宋体" w:cs="宋体"/>
          <w:color w:val="auto"/>
          <w:sz w:val="24"/>
          <w:szCs w:val="24"/>
          <w:highlight w:val="none"/>
          <w:lang w:eastAsia="zh-CN"/>
        </w:rPr>
        <w:t>定标</w:t>
      </w:r>
      <w:r>
        <w:rPr>
          <w:rFonts w:hint="eastAsia" w:ascii="宋体" w:hAnsi="宋体" w:eastAsia="宋体" w:cs="宋体"/>
          <w:color w:val="auto"/>
          <w:sz w:val="24"/>
          <w:szCs w:val="24"/>
          <w:highlight w:val="none"/>
        </w:rPr>
        <w:t>工作应依据《中华人民共和国招标投标法》及广东省、</w:t>
      </w:r>
      <w:r>
        <w:rPr>
          <w:rFonts w:hint="eastAsia" w:ascii="宋体" w:hAnsi="宋体" w:eastAsia="宋体" w:cs="宋体"/>
          <w:color w:val="auto"/>
          <w:sz w:val="24"/>
          <w:szCs w:val="24"/>
          <w:highlight w:val="none"/>
          <w:lang w:val="en-US" w:eastAsia="zh-CN"/>
        </w:rPr>
        <w:t>韶关市</w:t>
      </w:r>
      <w:r>
        <w:rPr>
          <w:rFonts w:hint="eastAsia" w:ascii="宋体" w:hAnsi="宋体" w:eastAsia="宋体" w:cs="宋体"/>
          <w:color w:val="auto"/>
          <w:sz w:val="24"/>
          <w:szCs w:val="24"/>
          <w:highlight w:val="none"/>
        </w:rPr>
        <w:t>有关招标投标法规和规定，</w:t>
      </w:r>
      <w:r>
        <w:rPr>
          <w:rFonts w:hint="eastAsia" w:ascii="宋体" w:hAnsi="宋体" w:eastAsia="宋体" w:cs="宋体"/>
          <w:color w:val="auto"/>
          <w:sz w:val="24"/>
          <w:szCs w:val="24"/>
          <w:highlight w:val="none"/>
          <w:lang w:eastAsia="zh-CN"/>
        </w:rPr>
        <w:t>遵循“公平、公正、科学、择优”的原则</w:t>
      </w:r>
      <w:r>
        <w:rPr>
          <w:rFonts w:hint="eastAsia" w:ascii="宋体" w:hAnsi="宋体" w:eastAsia="宋体" w:cs="宋体"/>
          <w:color w:val="auto"/>
          <w:sz w:val="24"/>
          <w:szCs w:val="24"/>
          <w:highlight w:val="none"/>
        </w:rPr>
        <w:t>进行。</w:t>
      </w:r>
    </w:p>
    <w:p w14:paraId="1E542C0E">
      <w:pPr>
        <w:pStyle w:val="6"/>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left"/>
        <w:textAlignment w:val="auto"/>
        <w:outlineLvl w:val="2"/>
        <w:rPr>
          <w:rFonts w:hint="eastAsia" w:ascii="宋体" w:hAnsi="宋体" w:eastAsia="宋体" w:cs="宋体"/>
          <w:b/>
          <w:bCs/>
          <w:color w:val="auto"/>
          <w:kern w:val="0"/>
          <w:sz w:val="24"/>
          <w:szCs w:val="24"/>
          <w:highlight w:val="none"/>
          <w:lang w:eastAsia="zh-CN"/>
        </w:rPr>
      </w:pPr>
      <w:bookmarkStart w:id="81" w:name="_Toc17102"/>
      <w:r>
        <w:rPr>
          <w:rFonts w:hint="eastAsia" w:ascii="宋体" w:hAnsi="宋体" w:eastAsia="宋体" w:cs="宋体"/>
          <w:b/>
          <w:bCs/>
          <w:color w:val="auto"/>
          <w:kern w:val="0"/>
          <w:sz w:val="24"/>
          <w:szCs w:val="24"/>
          <w:highlight w:val="none"/>
          <w:lang w:eastAsia="zh-CN"/>
        </w:rPr>
        <w:t>二</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定标</w:t>
      </w:r>
      <w:r>
        <w:rPr>
          <w:rFonts w:hint="eastAsia" w:ascii="宋体" w:hAnsi="宋体" w:eastAsia="宋体" w:cs="宋体"/>
          <w:b/>
          <w:bCs/>
          <w:color w:val="auto"/>
          <w:kern w:val="0"/>
          <w:sz w:val="24"/>
          <w:szCs w:val="24"/>
          <w:highlight w:val="none"/>
          <w:lang w:eastAsia="zh-CN"/>
        </w:rPr>
        <w:t>规则</w:t>
      </w:r>
      <w:bookmarkEnd w:id="81"/>
    </w:p>
    <w:p w14:paraId="75BAFEA7">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标委员会应当根据招标文件规定的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w:t>
      </w:r>
      <w:r>
        <w:rPr>
          <w:rFonts w:hint="eastAsia" w:ascii="宋体" w:hAnsi="宋体" w:eastAsia="宋体" w:cs="宋体"/>
          <w:b w:val="0"/>
          <w:i w:val="0"/>
          <w:snapToGrid/>
          <w:color w:val="auto"/>
          <w:sz w:val="24"/>
          <w:szCs w:val="24"/>
          <w:highlight w:val="none"/>
          <w:u w:val="none"/>
          <w:shd w:val="clear" w:color="auto" w:fill="FFFFFF"/>
          <w:lang w:eastAsia="zh-CN"/>
        </w:rPr>
        <w:t>对定标候选人</w:t>
      </w:r>
      <w:r>
        <w:rPr>
          <w:rFonts w:hint="eastAsia" w:ascii="宋体" w:hAnsi="宋体" w:eastAsia="宋体" w:cs="宋体"/>
          <w:color w:val="auto"/>
          <w:sz w:val="24"/>
          <w:szCs w:val="24"/>
          <w:highlight w:val="none"/>
        </w:rPr>
        <w:t>进行系统地评审和比较。招标文件中没有规定的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不得作为</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标的依据。</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标委员会成员应依照招标文件规定的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独立完成对</w:t>
      </w:r>
      <w:r>
        <w:rPr>
          <w:rFonts w:hint="eastAsia" w:ascii="宋体" w:hAnsi="宋体" w:eastAsia="宋体" w:cs="宋体"/>
          <w:b w:val="0"/>
          <w:i w:val="0"/>
          <w:snapToGrid/>
          <w:color w:val="auto"/>
          <w:sz w:val="24"/>
          <w:szCs w:val="24"/>
          <w:highlight w:val="none"/>
          <w:u w:val="none"/>
          <w:shd w:val="clear" w:color="auto" w:fill="FFFFFF"/>
          <w:lang w:eastAsia="zh-CN"/>
        </w:rPr>
        <w:t>定标候选人</w:t>
      </w:r>
      <w:r>
        <w:rPr>
          <w:rFonts w:hint="eastAsia" w:ascii="宋体" w:hAnsi="宋体" w:eastAsia="宋体" w:cs="宋体"/>
          <w:color w:val="auto"/>
          <w:sz w:val="24"/>
          <w:szCs w:val="24"/>
          <w:highlight w:val="none"/>
        </w:rPr>
        <w:t>的评审，并对</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标结果签字确认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标委员会应依照招标文件规定的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对各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标委员会成员的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标结果进行汇总。</w:t>
      </w:r>
    </w:p>
    <w:bookmarkEnd w:id="78"/>
    <w:p w14:paraId="19A19714">
      <w:pPr>
        <w:pStyle w:val="6"/>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left"/>
        <w:textAlignment w:val="auto"/>
        <w:outlineLvl w:val="2"/>
        <w:rPr>
          <w:rFonts w:hint="eastAsia" w:ascii="宋体" w:hAnsi="宋体" w:eastAsia="宋体" w:cs="宋体"/>
          <w:b/>
          <w:bCs/>
          <w:color w:val="auto"/>
          <w:kern w:val="0"/>
          <w:sz w:val="24"/>
          <w:szCs w:val="24"/>
          <w:highlight w:val="none"/>
          <w:lang w:eastAsia="zh-CN"/>
        </w:rPr>
      </w:pPr>
      <w:bookmarkStart w:id="82" w:name="_Toc30580"/>
      <w:r>
        <w:rPr>
          <w:rFonts w:hint="eastAsia" w:ascii="宋体" w:hAnsi="宋体" w:eastAsia="宋体" w:cs="宋体"/>
          <w:b/>
          <w:bCs/>
          <w:color w:val="auto"/>
          <w:kern w:val="0"/>
          <w:sz w:val="24"/>
          <w:szCs w:val="24"/>
          <w:highlight w:val="none"/>
          <w:lang w:eastAsia="zh-CN"/>
        </w:rPr>
        <w:t>三、评标细则</w:t>
      </w:r>
      <w:bookmarkEnd w:id="82"/>
    </w:p>
    <w:p w14:paraId="0947F502">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根据有关法律、法规的相关规定，结合本招标项目资金来源和规模特点，本次招标采用</w:t>
      </w:r>
      <w:r>
        <w:rPr>
          <w:rFonts w:hint="eastAsia" w:ascii="宋体" w:hAnsi="宋体" w:eastAsia="宋体" w:cs="宋体"/>
          <w:b/>
          <w:bCs/>
          <w:snapToGrid w:val="0"/>
          <w:color w:val="auto"/>
          <w:kern w:val="0"/>
          <w:sz w:val="24"/>
          <w:highlight w:val="none"/>
          <w:u w:val="single"/>
          <w:lang w:eastAsia="zh-CN"/>
        </w:rPr>
        <w:t>综合评分法</w:t>
      </w:r>
      <w:r>
        <w:rPr>
          <w:rFonts w:hint="eastAsia" w:ascii="宋体" w:hAnsi="宋体" w:eastAsia="宋体" w:cs="宋体"/>
          <w:snapToGrid w:val="0"/>
          <w:color w:val="auto"/>
          <w:kern w:val="0"/>
          <w:sz w:val="24"/>
          <w:highlight w:val="none"/>
        </w:rPr>
        <w:t>进行评标。</w:t>
      </w:r>
    </w:p>
    <w:p w14:paraId="4B57C3F6">
      <w:pPr>
        <w:keepNext w:val="0"/>
        <w:keepLines w:val="0"/>
        <w:pageBreakBefore w:val="0"/>
        <w:widowControl w:val="0"/>
        <w:kinsoku/>
        <w:wordWrap/>
        <w:overflowPunct/>
        <w:topLinePunct w:val="0"/>
        <w:autoSpaceDE/>
        <w:autoSpaceDN/>
        <w:bidi w:val="0"/>
        <w:adjustRightInd/>
        <w:snapToGrid/>
        <w:spacing w:line="360" w:lineRule="auto"/>
        <w:ind w:firstLine="361" w:firstLineChars="150"/>
        <w:textAlignment w:val="auto"/>
        <w:rPr>
          <w:rFonts w:hint="eastAsia" w:ascii="宋体" w:hAnsi="宋体" w:eastAsia="宋体" w:cs="宋体"/>
          <w:b/>
          <w:bCs/>
          <w:color w:val="auto"/>
          <w:sz w:val="24"/>
          <w:szCs w:val="24"/>
          <w:highlight w:val="none"/>
          <w:lang w:eastAsia="zh-CN"/>
        </w:rPr>
      </w:pPr>
      <w:bookmarkStart w:id="83" w:name="_Toc15501"/>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eastAsia="zh-CN"/>
        </w:rPr>
        <w:t>）评审范围</w:t>
      </w:r>
      <w:bookmarkEnd w:id="83"/>
    </w:p>
    <w:p w14:paraId="60C8A757">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评标委员会应对所有投标人的投标文件进行评审。</w:t>
      </w:r>
    </w:p>
    <w:p w14:paraId="77CD9703">
      <w:pPr>
        <w:keepNext w:val="0"/>
        <w:keepLines w:val="0"/>
        <w:pageBreakBefore w:val="0"/>
        <w:widowControl w:val="0"/>
        <w:kinsoku/>
        <w:wordWrap/>
        <w:overflowPunct/>
        <w:topLinePunct w:val="0"/>
        <w:autoSpaceDE/>
        <w:autoSpaceDN/>
        <w:bidi w:val="0"/>
        <w:adjustRightInd/>
        <w:snapToGrid/>
        <w:spacing w:line="360" w:lineRule="auto"/>
        <w:ind w:firstLine="361" w:firstLineChars="150"/>
        <w:textAlignment w:val="auto"/>
        <w:rPr>
          <w:rFonts w:hint="eastAsia" w:ascii="宋体" w:hAnsi="宋体" w:eastAsia="宋体" w:cs="宋体"/>
          <w:b/>
          <w:bCs/>
          <w:color w:val="auto"/>
          <w:sz w:val="24"/>
          <w:szCs w:val="24"/>
          <w:highlight w:val="none"/>
        </w:rPr>
      </w:pPr>
      <w:bookmarkStart w:id="84" w:name="_Toc20456"/>
      <w:bookmarkStart w:id="85" w:name="_Toc17846"/>
      <w:bookmarkStart w:id="86" w:name="_Toc27584"/>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初步评审阶段</w:t>
      </w:r>
      <w:bookmarkEnd w:id="84"/>
      <w:bookmarkEnd w:id="85"/>
    </w:p>
    <w:bookmarkEnd w:id="86"/>
    <w:p w14:paraId="2E54F764">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初步评审阶段分为资格评审、形式评审和响应性评审三个环节。</w:t>
      </w:r>
    </w:p>
    <w:p w14:paraId="7FFA50B9">
      <w:pPr>
        <w:wordWrap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在初步评审阶段任何环节，有效投标人数量不足3个时，评标委员会可以否决全部投标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未否决全部投标的，评标委员会应当在评标报告中阐明理由，但评标委员会在进行详细评审时仍有权否决全部投标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评标委员会未在详细评审时否决全部投标的，应当在评标报告中阐明理由并推荐定标候选人。</w:t>
      </w:r>
    </w:p>
    <w:p w14:paraId="70CEB90C">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1.</w:t>
      </w:r>
      <w:r>
        <w:rPr>
          <w:rFonts w:hint="eastAsia" w:ascii="宋体" w:hAnsi="宋体" w:eastAsia="宋体" w:cs="宋体"/>
          <w:snapToGrid w:val="0"/>
          <w:color w:val="auto"/>
          <w:kern w:val="0"/>
          <w:sz w:val="24"/>
          <w:highlight w:val="none"/>
        </w:rPr>
        <w:t>资格评审环节</w:t>
      </w:r>
    </w:p>
    <w:p w14:paraId="34F431EF">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资格评审事项包括：</w:t>
      </w:r>
    </w:p>
    <w:p w14:paraId="225C7B6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（1）投标人是否符合本章第三节</w:t>
      </w:r>
      <w:r>
        <w:rPr>
          <w:rFonts w:hint="eastAsia" w:ascii="宋体" w:hAnsi="宋体" w:eastAsia="宋体" w:cs="宋体"/>
          <w:b/>
          <w:bCs/>
          <w:snapToGrid w:val="0"/>
          <w:color w:val="auto"/>
          <w:kern w:val="0"/>
          <w:sz w:val="24"/>
          <w:szCs w:val="24"/>
          <w:highlight w:val="none"/>
        </w:rPr>
        <w:t>第2.4条</w:t>
      </w:r>
      <w:r>
        <w:rPr>
          <w:rFonts w:hint="eastAsia" w:ascii="宋体" w:hAnsi="宋体" w:eastAsia="宋体" w:cs="宋体"/>
          <w:snapToGrid w:val="0"/>
          <w:color w:val="auto"/>
          <w:kern w:val="0"/>
          <w:sz w:val="24"/>
          <w:szCs w:val="24"/>
          <w:highlight w:val="none"/>
        </w:rPr>
        <w:t>“禁止投标条款”规定。</w:t>
      </w:r>
    </w:p>
    <w:p w14:paraId="4AEBDCF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（2）投标人名称是否与营业执照、资质证书一致。</w:t>
      </w:r>
    </w:p>
    <w:p w14:paraId="0687596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（3）投标人的资质是否符合招标文件规定；其营业执照、资质证书是否合法、有效、准确。</w:t>
      </w:r>
    </w:p>
    <w:p w14:paraId="0860199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color w:val="auto"/>
          <w:sz w:val="24"/>
          <w:szCs w:val="24"/>
          <w:highlight w:val="none"/>
          <w:lang w:eastAsia="zh-CN"/>
        </w:rPr>
        <w:t>设计/勘察负责人简历表</w:t>
      </w:r>
      <w:r>
        <w:rPr>
          <w:rFonts w:hint="eastAsia" w:ascii="宋体" w:hAnsi="宋体" w:eastAsia="宋体" w:cs="宋体"/>
          <w:snapToGrid w:val="0"/>
          <w:color w:val="auto"/>
          <w:kern w:val="0"/>
          <w:sz w:val="24"/>
          <w:szCs w:val="24"/>
          <w:highlight w:val="none"/>
        </w:rPr>
        <w:t>》中</w:t>
      </w:r>
      <w:r>
        <w:rPr>
          <w:rFonts w:hint="eastAsia" w:ascii="宋体" w:hAnsi="宋体" w:eastAsia="宋体" w:cs="宋体"/>
          <w:color w:val="auto"/>
          <w:sz w:val="24"/>
          <w:szCs w:val="24"/>
          <w:highlight w:val="none"/>
        </w:rPr>
        <w:t>拟派项目负责人（设计负责人）</w:t>
      </w:r>
      <w:r>
        <w:rPr>
          <w:rFonts w:hint="eastAsia" w:ascii="宋体" w:hAnsi="宋体" w:eastAsia="宋体" w:cs="宋体"/>
          <w:snapToGrid w:val="0"/>
          <w:color w:val="auto"/>
          <w:kern w:val="0"/>
          <w:sz w:val="24"/>
          <w:szCs w:val="24"/>
          <w:highlight w:val="none"/>
        </w:rPr>
        <w:t>是否与《开标一览表》一致。</w:t>
      </w:r>
    </w:p>
    <w:p w14:paraId="189C85E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color w:val="auto"/>
          <w:sz w:val="24"/>
          <w:szCs w:val="24"/>
          <w:highlight w:val="none"/>
        </w:rPr>
        <w:t>拟派项目负责人（设计负责人）</w:t>
      </w:r>
      <w:r>
        <w:rPr>
          <w:rFonts w:hint="eastAsia" w:ascii="宋体" w:hAnsi="宋体" w:cs="宋体"/>
          <w:color w:val="auto"/>
          <w:sz w:val="24"/>
          <w:szCs w:val="24"/>
          <w:highlight w:val="none"/>
          <w:lang w:eastAsia="zh-CN"/>
        </w:rPr>
        <w:t>、勘察负责人</w:t>
      </w:r>
      <w:r>
        <w:rPr>
          <w:rFonts w:hint="eastAsia" w:ascii="宋体" w:hAnsi="宋体" w:eastAsia="宋体" w:cs="宋体"/>
          <w:snapToGrid w:val="0"/>
          <w:color w:val="auto"/>
          <w:kern w:val="0"/>
          <w:sz w:val="24"/>
          <w:szCs w:val="24"/>
          <w:highlight w:val="none"/>
        </w:rPr>
        <w:t>的条件是否符合招标文件规定；</w:t>
      </w:r>
      <w:r>
        <w:rPr>
          <w:rFonts w:hint="eastAsia" w:ascii="宋体" w:hAnsi="宋体" w:eastAsia="宋体" w:cs="宋体"/>
          <w:color w:val="auto"/>
          <w:sz w:val="24"/>
          <w:szCs w:val="24"/>
          <w:highlight w:val="none"/>
        </w:rPr>
        <w:t>拟派项目负责人（设计负责人）</w:t>
      </w:r>
      <w:r>
        <w:rPr>
          <w:rFonts w:hint="eastAsia" w:ascii="宋体" w:hAnsi="宋体" w:cs="宋体"/>
          <w:color w:val="auto"/>
          <w:sz w:val="24"/>
          <w:szCs w:val="24"/>
          <w:highlight w:val="none"/>
          <w:lang w:eastAsia="zh-CN"/>
        </w:rPr>
        <w:t>、勘察负责人</w:t>
      </w:r>
      <w:r>
        <w:rPr>
          <w:rFonts w:hint="eastAsia" w:ascii="宋体" w:hAnsi="宋体" w:eastAsia="宋体" w:cs="宋体"/>
          <w:snapToGrid w:val="0"/>
          <w:color w:val="auto"/>
          <w:kern w:val="0"/>
          <w:sz w:val="24"/>
          <w:szCs w:val="24"/>
          <w:highlight w:val="none"/>
        </w:rPr>
        <w:t>的各类证书、证件、证明是否合法、有效、准确。</w:t>
      </w:r>
    </w:p>
    <w:p w14:paraId="3B9D16D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6829FEFC">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szCs w:val="24"/>
          <w:highlight w:val="none"/>
        </w:rPr>
        <w:t>（7）投标人为外省建筑企业的，是否按规定在“进粤企业和人员诚信信息登记平台”录入企业及其拟派人员有关信息并通过数据规范检查。</w:t>
      </w:r>
    </w:p>
    <w:p w14:paraId="59A90624">
      <w:pPr>
        <w:wordWrap w:val="0"/>
        <w:adjustRightInd w:val="0"/>
        <w:snapToGrid w:val="0"/>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bCs/>
          <w:snapToGrid w:val="0"/>
          <w:color w:val="auto"/>
          <w:kern w:val="0"/>
          <w:sz w:val="24"/>
          <w:highlight w:val="none"/>
          <w:lang w:val="en-US" w:eastAsia="zh-CN"/>
        </w:rPr>
        <w:t>2.</w:t>
      </w:r>
      <w:r>
        <w:rPr>
          <w:rFonts w:hint="eastAsia" w:ascii="宋体" w:hAnsi="宋体" w:eastAsia="宋体" w:cs="宋体"/>
          <w:snapToGrid w:val="0"/>
          <w:color w:val="auto"/>
          <w:kern w:val="0"/>
          <w:sz w:val="24"/>
          <w:highlight w:val="none"/>
        </w:rPr>
        <w:t>形式评审环节</w:t>
      </w:r>
    </w:p>
    <w:p w14:paraId="4A3B47AC">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形式评审事项包括：</w:t>
      </w:r>
    </w:p>
    <w:p w14:paraId="03D9B946">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（1）各分册是否按招标文件规定加盖电子印章。</w:t>
      </w:r>
    </w:p>
    <w:p w14:paraId="6AFD2D94">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（2）本节第10.2.2目、第10.3.2目中规定的“所有投标人均应提供”的组成内容（包括该组成内容的所附资料）是否完整、齐全。</w:t>
      </w:r>
    </w:p>
    <w:p w14:paraId="47B4F59A">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3.</w:t>
      </w:r>
      <w:r>
        <w:rPr>
          <w:rFonts w:hint="eastAsia" w:ascii="宋体" w:hAnsi="宋体" w:eastAsia="宋体" w:cs="宋体"/>
          <w:snapToGrid w:val="0"/>
          <w:color w:val="auto"/>
          <w:kern w:val="0"/>
          <w:sz w:val="24"/>
          <w:highlight w:val="none"/>
        </w:rPr>
        <w:t>响应性评审环节</w:t>
      </w:r>
    </w:p>
    <w:p w14:paraId="0D3EC4EC">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响应性评审事项包括：</w:t>
      </w:r>
    </w:p>
    <w:p w14:paraId="19C95407">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（1）投标有效期、质量标准、工期等是否响应招标文件实质性要求；是否擅自修改、遗漏《投标函》《各项承诺一览表》的实质性内容。</w:t>
      </w:r>
    </w:p>
    <w:p w14:paraId="45AD3865">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（2）出现两个或两个以上投标总价的（同一个投标总价大、小写不一致的除外）；投标总价超出最高投标总价限价的；勘察费及设计费是否超出对应的最高投标限价。</w:t>
      </w:r>
    </w:p>
    <w:p w14:paraId="69A59D46">
      <w:pPr>
        <w:wordWrap w:val="0"/>
        <w:adjustRightInd w:val="0"/>
        <w:snapToGrid w:val="0"/>
        <w:spacing w:line="360" w:lineRule="auto"/>
        <w:ind w:firstLine="562"/>
        <w:rPr>
          <w:rFonts w:hint="eastAsia" w:ascii="宋体" w:hAnsi="宋体" w:eastAsia="宋体" w:cs="宋体"/>
          <w:b w:val="0"/>
          <w:bCs w:val="0"/>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4.</w:t>
      </w:r>
      <w:r>
        <w:rPr>
          <w:rFonts w:hint="eastAsia" w:ascii="宋体" w:hAnsi="宋体" w:eastAsia="宋体" w:cs="宋体"/>
          <w:b w:val="0"/>
          <w:bCs w:val="0"/>
          <w:snapToGrid w:val="0"/>
          <w:color w:val="auto"/>
          <w:kern w:val="0"/>
          <w:sz w:val="24"/>
          <w:highlight w:val="none"/>
        </w:rPr>
        <w:t>否决投标说明</w:t>
      </w:r>
    </w:p>
    <w:p w14:paraId="7A5E549F">
      <w:pPr>
        <w:wordWrap w:val="0"/>
        <w:adjustRightInd w:val="0"/>
        <w:snapToGrid w:val="0"/>
        <w:spacing w:line="360" w:lineRule="auto"/>
        <w:ind w:firstLine="562"/>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初步评审阶段各个环节否决投标的全部条件，在本章第</w:t>
      </w:r>
      <w:r>
        <w:rPr>
          <w:rFonts w:hint="eastAsia" w:ascii="宋体" w:hAnsi="宋体" w:eastAsia="宋体" w:cs="宋体"/>
          <w:snapToGrid w:val="0"/>
          <w:color w:val="auto"/>
          <w:kern w:val="0"/>
          <w:sz w:val="24"/>
          <w:highlight w:val="none"/>
          <w:lang w:val="en-US" w:eastAsia="zh-CN"/>
        </w:rPr>
        <w:t>五</w:t>
      </w:r>
      <w:r>
        <w:rPr>
          <w:rFonts w:hint="eastAsia" w:ascii="宋体" w:hAnsi="宋体" w:eastAsia="宋体" w:cs="宋体"/>
          <w:snapToGrid w:val="0"/>
          <w:color w:val="auto"/>
          <w:kern w:val="0"/>
          <w:sz w:val="24"/>
          <w:highlight w:val="none"/>
        </w:rPr>
        <w:t>节“否决投标条件”第</w:t>
      </w:r>
      <w:r>
        <w:rPr>
          <w:rFonts w:hint="eastAsia" w:ascii="宋体" w:hAnsi="宋体" w:eastAsia="宋体" w:cs="宋体"/>
          <w:b/>
          <w:bCs/>
          <w:snapToGrid w:val="0"/>
          <w:color w:val="auto"/>
          <w:kern w:val="0"/>
          <w:sz w:val="24"/>
          <w:highlight w:val="none"/>
        </w:rPr>
        <w:t>1</w:t>
      </w:r>
      <w:r>
        <w:rPr>
          <w:rFonts w:hint="eastAsia" w:ascii="宋体" w:hAnsi="宋体" w:eastAsia="宋体" w:cs="宋体"/>
          <w:snapToGrid w:val="0"/>
          <w:color w:val="auto"/>
          <w:kern w:val="0"/>
          <w:sz w:val="24"/>
          <w:highlight w:val="none"/>
        </w:rPr>
        <w:t>条至第</w:t>
      </w:r>
      <w:r>
        <w:rPr>
          <w:rFonts w:hint="eastAsia" w:ascii="宋体" w:hAnsi="宋体" w:eastAsia="宋体" w:cs="宋体"/>
          <w:b/>
          <w:bCs/>
          <w:snapToGrid w:val="0"/>
          <w:color w:val="auto"/>
          <w:kern w:val="0"/>
          <w:sz w:val="24"/>
          <w:highlight w:val="none"/>
        </w:rPr>
        <w:t>4</w:t>
      </w:r>
      <w:r>
        <w:rPr>
          <w:rFonts w:hint="eastAsia" w:ascii="宋体" w:hAnsi="宋体" w:eastAsia="宋体" w:cs="宋体"/>
          <w:snapToGrid w:val="0"/>
          <w:color w:val="auto"/>
          <w:kern w:val="0"/>
          <w:sz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3E5612A5">
      <w:pPr>
        <w:wordWrap w:val="0"/>
        <w:adjustRightInd w:val="0"/>
        <w:snapToGrid w:val="0"/>
        <w:spacing w:line="360" w:lineRule="auto"/>
        <w:ind w:firstLine="482" w:firstLineChars="200"/>
        <w:rPr>
          <w:rFonts w:hint="eastAsia" w:ascii="宋体" w:hAnsi="宋体" w:eastAsia="宋体" w:cs="宋体"/>
          <w:b/>
          <w:bCs/>
          <w:snapToGrid w:val="0"/>
          <w:color w:val="auto"/>
          <w:kern w:val="0"/>
          <w:sz w:val="24"/>
          <w:highlight w:val="none"/>
          <w:lang w:val="en-US" w:eastAsia="zh-CN"/>
        </w:rPr>
      </w:pPr>
      <w:bookmarkStart w:id="87" w:name="_Toc13281"/>
      <w:r>
        <w:rPr>
          <w:rFonts w:hint="eastAsia" w:ascii="宋体" w:hAnsi="宋体" w:eastAsia="宋体" w:cs="宋体"/>
          <w:b/>
          <w:bCs/>
          <w:snapToGrid w:val="0"/>
          <w:color w:val="auto"/>
          <w:kern w:val="0"/>
          <w:sz w:val="24"/>
          <w:highlight w:val="none"/>
          <w:lang w:val="en-US" w:eastAsia="zh-CN"/>
        </w:rPr>
        <w:t>5.</w:t>
      </w:r>
      <w:r>
        <w:rPr>
          <w:rFonts w:hint="eastAsia" w:ascii="宋体" w:hAnsi="宋体" w:eastAsia="宋体" w:cs="宋体"/>
          <w:b w:val="0"/>
          <w:bCs w:val="0"/>
          <w:snapToGrid w:val="0"/>
          <w:color w:val="auto"/>
          <w:kern w:val="0"/>
          <w:sz w:val="24"/>
          <w:highlight w:val="none"/>
          <w:lang w:val="en-US" w:eastAsia="zh-CN"/>
        </w:rPr>
        <w:t>详细评审</w:t>
      </w:r>
      <w:bookmarkStart w:id="88" w:name="_Hlt121629839"/>
      <w:r>
        <w:rPr>
          <w:rFonts w:hint="eastAsia" w:ascii="宋体" w:hAnsi="宋体" w:eastAsia="宋体" w:cs="宋体"/>
          <w:b w:val="0"/>
          <w:bCs w:val="0"/>
          <w:snapToGrid w:val="0"/>
          <w:color w:val="auto"/>
          <w:kern w:val="0"/>
          <w:sz w:val="24"/>
          <w:highlight w:val="none"/>
          <w:lang w:val="en-US" w:eastAsia="zh-CN"/>
        </w:rPr>
        <w:t>阶段</w:t>
      </w:r>
      <w:bookmarkEnd w:id="87"/>
    </w:p>
    <w:p w14:paraId="50C91373">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5.</w:t>
      </w:r>
      <w:r>
        <w:rPr>
          <w:rFonts w:hint="eastAsia" w:ascii="宋体" w:hAnsi="宋体" w:eastAsia="宋体" w:cs="宋体"/>
          <w:b/>
          <w:bCs/>
          <w:snapToGrid w:val="0"/>
          <w:color w:val="auto"/>
          <w:kern w:val="0"/>
          <w:sz w:val="24"/>
          <w:highlight w:val="none"/>
        </w:rPr>
        <w:t>1</w:t>
      </w:r>
      <w:r>
        <w:rPr>
          <w:rFonts w:hint="eastAsia" w:ascii="宋体" w:hAnsi="宋体" w:eastAsia="宋体" w:cs="宋体"/>
          <w:bCs/>
          <w:snapToGrid w:val="0"/>
          <w:color w:val="auto"/>
          <w:kern w:val="0"/>
          <w:sz w:val="24"/>
          <w:highlight w:val="none"/>
        </w:rPr>
        <w:t xml:space="preserve"> “</w:t>
      </w:r>
      <w:r>
        <w:rPr>
          <w:rFonts w:hint="eastAsia" w:ascii="宋体" w:hAnsi="宋体" w:eastAsia="宋体" w:cs="宋体"/>
          <w:bCs/>
          <w:snapToGrid w:val="0"/>
          <w:color w:val="auto"/>
          <w:kern w:val="0"/>
          <w:sz w:val="24"/>
          <w:highlight w:val="none"/>
          <w:lang w:eastAsia="zh-CN"/>
        </w:rPr>
        <w:t>综合评分法</w:t>
      </w:r>
      <w:r>
        <w:rPr>
          <w:rFonts w:hint="eastAsia" w:ascii="宋体" w:hAnsi="宋体" w:eastAsia="宋体" w:cs="宋体"/>
          <w:bCs/>
          <w:snapToGrid w:val="0"/>
          <w:color w:val="auto"/>
          <w:kern w:val="0"/>
          <w:sz w:val="24"/>
          <w:highlight w:val="none"/>
        </w:rPr>
        <w:t>”评审程序</w:t>
      </w:r>
    </w:p>
    <w:p w14:paraId="6898DEF9">
      <w:pPr>
        <w:wordWrap w:val="0"/>
        <w:adjustRightIn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评审内容分为商务、技术和投标报价三大部分，综合得分满分为100分。其中，商务部分满分为</w:t>
      </w:r>
      <w:r>
        <w:rPr>
          <w:rFonts w:hint="eastAsia" w:ascii="宋体" w:hAnsi="宋体" w:eastAsia="宋体" w:cs="宋体"/>
          <w:snapToGrid w:val="0"/>
          <w:color w:val="auto"/>
          <w:kern w:val="0"/>
          <w:sz w:val="24"/>
          <w:szCs w:val="24"/>
          <w:highlight w:val="none"/>
          <w:u w:val="single"/>
          <w:lang w:val="en-US" w:eastAsia="zh-CN"/>
        </w:rPr>
        <w:t>60</w:t>
      </w:r>
      <w:r>
        <w:rPr>
          <w:rFonts w:hint="eastAsia" w:ascii="宋体" w:hAnsi="宋体" w:eastAsia="宋体" w:cs="宋体"/>
          <w:snapToGrid w:val="0"/>
          <w:color w:val="auto"/>
          <w:kern w:val="0"/>
          <w:sz w:val="24"/>
          <w:szCs w:val="24"/>
          <w:highlight w:val="none"/>
        </w:rPr>
        <w:t>分，技术部分满分为</w:t>
      </w:r>
      <w:r>
        <w:rPr>
          <w:rFonts w:hint="eastAsia" w:ascii="宋体" w:hAnsi="宋体" w:eastAsia="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分，投标报价部分满分为</w:t>
      </w:r>
      <w:r>
        <w:rPr>
          <w:rFonts w:hint="eastAsia" w:ascii="宋体" w:hAnsi="宋体" w:eastAsia="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p w14:paraId="4DFEF078">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除特别注明外，综合得分以及商务得分、技术得分、投标报价得分的中间过程计算值和最终值，均按“四舍五入”原则精确到两位小数。</w:t>
      </w:r>
    </w:p>
    <w:p w14:paraId="5114FE07">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（1）商务得分M</w:t>
      </w:r>
      <w:r>
        <w:rPr>
          <w:rFonts w:hint="eastAsia" w:ascii="宋体" w:hAnsi="宋体" w:eastAsia="宋体" w:cs="宋体"/>
          <w:snapToGrid w:val="0"/>
          <w:color w:val="auto"/>
          <w:kern w:val="0"/>
          <w:sz w:val="24"/>
          <w:highlight w:val="none"/>
          <w:vertAlign w:val="subscript"/>
        </w:rPr>
        <w:t>1</w:t>
      </w:r>
    </w:p>
    <w:p w14:paraId="3048C3DF">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sz w:val="24"/>
          <w:highlight w:val="none"/>
          <w:vertAlign w:val="subscript"/>
        </w:rPr>
        <w:t>1</w:t>
      </w:r>
      <w:r>
        <w:rPr>
          <w:rFonts w:hint="eastAsia" w:ascii="宋体" w:hAnsi="宋体" w:eastAsia="宋体" w:cs="宋体"/>
          <w:snapToGrid w:val="0"/>
          <w:color w:val="auto"/>
          <w:kern w:val="0"/>
          <w:sz w:val="24"/>
          <w:highlight w:val="none"/>
        </w:rPr>
        <w:t>。</w:t>
      </w:r>
    </w:p>
    <w:p w14:paraId="6157DB4C">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rPr>
        <w:t>（2）技术得分M</w:t>
      </w:r>
      <w:r>
        <w:rPr>
          <w:rFonts w:hint="eastAsia" w:ascii="宋体" w:hAnsi="宋体" w:eastAsia="宋体" w:cs="宋体"/>
          <w:snapToGrid w:val="0"/>
          <w:color w:val="auto"/>
          <w:kern w:val="0"/>
          <w:sz w:val="24"/>
          <w:highlight w:val="none"/>
          <w:vertAlign w:val="subscript"/>
        </w:rPr>
        <w:t>2</w:t>
      </w:r>
    </w:p>
    <w:p w14:paraId="5A01E4C3">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color w:val="auto"/>
          <w:sz w:val="24"/>
          <w:szCs w:val="24"/>
          <w:highlight w:val="none"/>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得分</w:t>
      </w:r>
      <w:r>
        <w:rPr>
          <w:rFonts w:hint="eastAsia" w:ascii="宋体" w:hAnsi="宋体" w:eastAsia="宋体" w:cs="宋体"/>
          <w:snapToGrid w:val="0"/>
          <w:color w:val="auto"/>
          <w:kern w:val="0"/>
          <w:sz w:val="24"/>
          <w:highlight w:val="none"/>
        </w:rPr>
        <w:t>M</w:t>
      </w:r>
      <w:r>
        <w:rPr>
          <w:rFonts w:hint="eastAsia" w:ascii="宋体" w:hAnsi="宋体" w:eastAsia="宋体" w:cs="宋体"/>
          <w:snapToGrid w:val="0"/>
          <w:color w:val="auto"/>
          <w:kern w:val="0"/>
          <w:sz w:val="24"/>
          <w:highlight w:val="none"/>
          <w:vertAlign w:val="subscript"/>
        </w:rPr>
        <w:t>2</w:t>
      </w:r>
      <w:r>
        <w:rPr>
          <w:rFonts w:hint="eastAsia" w:ascii="宋体" w:hAnsi="宋体" w:eastAsia="宋体" w:cs="宋体"/>
          <w:snapToGrid w:val="0"/>
          <w:color w:val="auto"/>
          <w:kern w:val="0"/>
          <w:sz w:val="24"/>
          <w:highlight w:val="none"/>
        </w:rPr>
        <w:t>。</w:t>
      </w:r>
    </w:p>
    <w:p w14:paraId="470A5F44">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rPr>
        <w:t>（3）投标报价得分M</w:t>
      </w:r>
      <w:r>
        <w:rPr>
          <w:rFonts w:hint="eastAsia" w:ascii="宋体" w:hAnsi="宋体" w:eastAsia="宋体" w:cs="宋体"/>
          <w:snapToGrid w:val="0"/>
          <w:color w:val="auto"/>
          <w:kern w:val="0"/>
          <w:sz w:val="24"/>
          <w:highlight w:val="none"/>
          <w:vertAlign w:val="subscript"/>
        </w:rPr>
        <w:t>3</w:t>
      </w:r>
    </w:p>
    <w:p w14:paraId="2D8722D9">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a</w:t>
      </w:r>
      <w:r>
        <w:rPr>
          <w:rFonts w:hint="eastAsia" w:ascii="宋体" w:hAnsi="宋体" w:eastAsia="宋体" w:cs="宋体"/>
          <w:snapToGrid w:val="0"/>
          <w:color w:val="auto"/>
          <w:kern w:val="0"/>
          <w:sz w:val="24"/>
          <w:highlight w:val="none"/>
        </w:rPr>
        <w:t>．评标委员会按照《综合评分表》投标报价部分指定的方法计算评标基准价D。</w:t>
      </w:r>
    </w:p>
    <w:p w14:paraId="259138DC">
      <w:pPr>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b</w:t>
      </w:r>
      <w:r>
        <w:rPr>
          <w:rFonts w:hint="eastAsia" w:ascii="宋体" w:hAnsi="宋体" w:eastAsia="宋体" w:cs="宋体"/>
          <w:snapToGrid w:val="0"/>
          <w:color w:val="auto"/>
          <w:kern w:val="0"/>
          <w:sz w:val="24"/>
          <w:highlight w:val="none"/>
        </w:rPr>
        <w:t>．采用内插法计算某投标人的投标报价得分M</w:t>
      </w:r>
      <w:r>
        <w:rPr>
          <w:rFonts w:hint="eastAsia" w:ascii="宋体" w:hAnsi="宋体" w:eastAsia="宋体" w:cs="宋体"/>
          <w:snapToGrid w:val="0"/>
          <w:color w:val="auto"/>
          <w:kern w:val="0"/>
          <w:sz w:val="24"/>
          <w:highlight w:val="none"/>
          <w:vertAlign w:val="subscript"/>
        </w:rPr>
        <w:t>3</w:t>
      </w:r>
      <w:r>
        <w:rPr>
          <w:rFonts w:hint="eastAsia" w:ascii="宋体" w:hAnsi="宋体" w:eastAsia="宋体" w:cs="宋体"/>
          <w:snapToGrid w:val="0"/>
          <w:color w:val="auto"/>
          <w:kern w:val="0"/>
          <w:sz w:val="24"/>
          <w:highlight w:val="none"/>
        </w:rPr>
        <w:t>，即当投标人的投标总价等于评标基准价时得</w:t>
      </w:r>
      <w:r>
        <w:rPr>
          <w:rFonts w:hint="eastAsia" w:ascii="宋体" w:hAnsi="宋体" w:eastAsia="宋体" w:cs="宋体"/>
          <w:snapToGrid w:val="0"/>
          <w:color w:val="auto"/>
          <w:kern w:val="0"/>
          <w:sz w:val="24"/>
          <w:highlight w:val="none"/>
          <w:lang w:val="en-US" w:eastAsia="zh-CN"/>
        </w:rPr>
        <w:t>30</w:t>
      </w:r>
      <w:r>
        <w:rPr>
          <w:rFonts w:hint="eastAsia" w:ascii="宋体" w:hAnsi="宋体" w:eastAsia="宋体" w:cs="宋体"/>
          <w:snapToGrid w:val="0"/>
          <w:color w:val="auto"/>
          <w:kern w:val="0"/>
          <w:sz w:val="24"/>
          <w:highlight w:val="none"/>
        </w:rPr>
        <w:t>分，每高于评标基准价一个百分点扣</w:t>
      </w:r>
      <w:r>
        <w:rPr>
          <w:rFonts w:hint="eastAsia" w:ascii="宋体" w:hAnsi="宋体" w:cs="宋体"/>
          <w:snapToGrid w:val="0"/>
          <w:color w:val="auto"/>
          <w:kern w:val="0"/>
          <w:sz w:val="24"/>
          <w:highlight w:val="none"/>
          <w:lang w:val="en-US" w:eastAsia="zh-CN"/>
        </w:rPr>
        <w:t>1</w:t>
      </w:r>
      <w:r>
        <w:rPr>
          <w:rFonts w:hint="eastAsia" w:ascii="宋体" w:hAnsi="宋体" w:eastAsia="宋体" w:cs="宋体"/>
          <w:snapToGrid w:val="0"/>
          <w:color w:val="auto"/>
          <w:kern w:val="0"/>
          <w:sz w:val="24"/>
          <w:highlight w:val="none"/>
        </w:rPr>
        <w:t>分，每低于评标基准价一个百分点扣</w:t>
      </w:r>
      <w:r>
        <w:rPr>
          <w:rFonts w:hint="eastAsia" w:ascii="宋体" w:hAnsi="宋体" w:cs="宋体"/>
          <w:snapToGrid w:val="0"/>
          <w:color w:val="auto"/>
          <w:kern w:val="0"/>
          <w:sz w:val="24"/>
          <w:highlight w:val="none"/>
          <w:lang w:val="en-US" w:eastAsia="zh-CN"/>
        </w:rPr>
        <w:t>0.5</w:t>
      </w:r>
      <w:r>
        <w:rPr>
          <w:rFonts w:hint="eastAsia" w:ascii="宋体" w:hAnsi="宋体" w:eastAsia="宋体" w:cs="宋体"/>
          <w:snapToGrid w:val="0"/>
          <w:color w:val="auto"/>
          <w:kern w:val="0"/>
          <w:sz w:val="24"/>
          <w:highlight w:val="none"/>
        </w:rPr>
        <w:t>分，扣完为止。公式如下：</w:t>
      </w:r>
    </w:p>
    <w:p w14:paraId="0FE8D050">
      <w:pPr>
        <w:wordWrap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M</w:t>
      </w:r>
      <w:r>
        <w:rPr>
          <w:rFonts w:hint="eastAsia" w:ascii="宋体" w:hAnsi="宋体" w:eastAsia="宋体" w:cs="宋体"/>
          <w:snapToGrid w:val="0"/>
          <w:color w:val="auto"/>
          <w:kern w:val="0"/>
          <w:sz w:val="24"/>
          <w:highlight w:val="none"/>
          <w:vertAlign w:val="subscript"/>
        </w:rPr>
        <w:t>3</w:t>
      </w: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en-US" w:eastAsia="zh-CN"/>
        </w:rPr>
        <w:t>30</w:t>
      </w:r>
      <w:r>
        <w:rPr>
          <w:rFonts w:hint="eastAsia" w:ascii="宋体" w:hAnsi="宋体" w:eastAsia="宋体" w:cs="宋体"/>
          <w:snapToGrid w:val="0"/>
          <w:color w:val="auto"/>
          <w:kern w:val="0"/>
          <w:sz w:val="24"/>
          <w:highlight w:val="none"/>
        </w:rPr>
        <w:t>－（| Di－D | ÷D）×100×E</w:t>
      </w:r>
    </w:p>
    <w:p w14:paraId="032DF182">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式中：D为评标基准价；Di为某投标人的投标总价；E为扣分因子，当Di＞D时，E＝</w:t>
      </w:r>
      <w:r>
        <w:rPr>
          <w:rFonts w:hint="eastAsia" w:ascii="宋体" w:hAnsi="宋体" w:eastAsia="宋体" w:cs="宋体"/>
          <w:snapToGrid w:val="0"/>
          <w:color w:val="auto"/>
          <w:kern w:val="0"/>
          <w:sz w:val="24"/>
          <w:highlight w:val="none"/>
          <w:lang w:val="en-US" w:eastAsia="zh-CN"/>
        </w:rPr>
        <w:t>0.</w:t>
      </w:r>
      <w:r>
        <w:rPr>
          <w:rFonts w:hint="eastAsia" w:ascii="宋体" w:hAnsi="宋体" w:cs="宋体"/>
          <w:snapToGrid w:val="0"/>
          <w:color w:val="auto"/>
          <w:kern w:val="0"/>
          <w:sz w:val="24"/>
          <w:highlight w:val="none"/>
          <w:lang w:val="en-US" w:eastAsia="zh-CN"/>
        </w:rPr>
        <w:t>2</w:t>
      </w:r>
      <w:r>
        <w:rPr>
          <w:rFonts w:hint="eastAsia" w:ascii="宋体" w:hAnsi="宋体" w:eastAsia="宋体" w:cs="宋体"/>
          <w:snapToGrid w:val="0"/>
          <w:color w:val="auto"/>
          <w:kern w:val="0"/>
          <w:sz w:val="24"/>
          <w:highlight w:val="none"/>
        </w:rPr>
        <w:t>；当Di＜D时，E＝</w:t>
      </w:r>
      <w:r>
        <w:rPr>
          <w:rFonts w:hint="eastAsia" w:ascii="宋体" w:hAnsi="宋体" w:eastAsia="宋体" w:cs="宋体"/>
          <w:snapToGrid w:val="0"/>
          <w:color w:val="auto"/>
          <w:kern w:val="0"/>
          <w:sz w:val="24"/>
          <w:highlight w:val="none"/>
          <w:lang w:val="en-US" w:eastAsia="zh-CN"/>
        </w:rPr>
        <w:t>0.</w:t>
      </w:r>
      <w:r>
        <w:rPr>
          <w:rFonts w:hint="eastAsia" w:ascii="宋体" w:hAnsi="宋体" w:cs="宋体"/>
          <w:snapToGrid w:val="0"/>
          <w:color w:val="auto"/>
          <w:kern w:val="0"/>
          <w:sz w:val="24"/>
          <w:highlight w:val="none"/>
          <w:lang w:val="en-US" w:eastAsia="zh-CN"/>
        </w:rPr>
        <w:t>1</w:t>
      </w:r>
      <w:r>
        <w:rPr>
          <w:rFonts w:hint="eastAsia" w:ascii="宋体" w:hAnsi="宋体" w:eastAsia="宋体" w:cs="宋体"/>
          <w:snapToGrid w:val="0"/>
          <w:color w:val="auto"/>
          <w:kern w:val="0"/>
          <w:sz w:val="24"/>
          <w:highlight w:val="none"/>
        </w:rPr>
        <w:t>。</w:t>
      </w:r>
    </w:p>
    <w:p w14:paraId="3BCE7596">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（3）综合得分M</w:t>
      </w:r>
    </w:p>
    <w:p w14:paraId="4BD26652">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综合得分满分100分，公式如下：</w:t>
      </w:r>
    </w:p>
    <w:p w14:paraId="3909BF6E">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rPr>
        <w:t>综合得分M＝ M</w:t>
      </w:r>
      <w:r>
        <w:rPr>
          <w:rFonts w:hint="eastAsia" w:ascii="宋体" w:hAnsi="宋体" w:eastAsia="宋体" w:cs="宋体"/>
          <w:snapToGrid w:val="0"/>
          <w:color w:val="auto"/>
          <w:kern w:val="0"/>
          <w:sz w:val="24"/>
          <w:highlight w:val="none"/>
          <w:vertAlign w:val="subscript"/>
        </w:rPr>
        <w:t>1</w:t>
      </w:r>
      <w:r>
        <w:rPr>
          <w:rFonts w:hint="eastAsia" w:ascii="宋体" w:hAnsi="宋体" w:eastAsia="宋体" w:cs="宋体"/>
          <w:snapToGrid w:val="0"/>
          <w:color w:val="auto"/>
          <w:kern w:val="0"/>
          <w:sz w:val="24"/>
          <w:highlight w:val="none"/>
        </w:rPr>
        <w:t>＋M</w:t>
      </w:r>
      <w:r>
        <w:rPr>
          <w:rFonts w:hint="eastAsia" w:ascii="宋体" w:hAnsi="宋体" w:eastAsia="宋体" w:cs="宋体"/>
          <w:snapToGrid w:val="0"/>
          <w:color w:val="auto"/>
          <w:kern w:val="0"/>
          <w:sz w:val="24"/>
          <w:highlight w:val="none"/>
          <w:vertAlign w:val="subscript"/>
        </w:rPr>
        <w:t>2</w:t>
      </w:r>
      <w:r>
        <w:rPr>
          <w:rFonts w:hint="eastAsia" w:ascii="宋体" w:hAnsi="宋体" w:eastAsia="宋体" w:cs="宋体"/>
          <w:snapToGrid w:val="0"/>
          <w:color w:val="auto"/>
          <w:kern w:val="0"/>
          <w:sz w:val="24"/>
          <w:highlight w:val="none"/>
        </w:rPr>
        <w:t>＋M</w:t>
      </w:r>
      <w:r>
        <w:rPr>
          <w:rFonts w:hint="eastAsia" w:ascii="宋体" w:hAnsi="宋体" w:eastAsia="宋体" w:cs="宋体"/>
          <w:snapToGrid w:val="0"/>
          <w:color w:val="auto"/>
          <w:kern w:val="0"/>
          <w:sz w:val="24"/>
          <w:highlight w:val="none"/>
          <w:vertAlign w:val="subscript"/>
        </w:rPr>
        <w:t>3</w:t>
      </w:r>
    </w:p>
    <w:p w14:paraId="271709DD">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式中：M</w:t>
      </w:r>
      <w:r>
        <w:rPr>
          <w:rFonts w:hint="eastAsia" w:ascii="宋体" w:hAnsi="宋体" w:eastAsia="宋体" w:cs="宋体"/>
          <w:color w:val="auto"/>
          <w:sz w:val="24"/>
          <w:szCs w:val="24"/>
          <w:highlight w:val="none"/>
        </w:rPr>
        <w:t>为综合得分</w:t>
      </w:r>
      <w:r>
        <w:rPr>
          <w:rFonts w:hint="eastAsia" w:ascii="宋体" w:hAnsi="宋体" w:eastAsia="宋体" w:cs="宋体"/>
          <w:snapToGrid w:val="0"/>
          <w:color w:val="auto"/>
          <w:kern w:val="0"/>
          <w:sz w:val="24"/>
          <w:highlight w:val="none"/>
        </w:rPr>
        <w:t>，M</w:t>
      </w:r>
      <w:r>
        <w:rPr>
          <w:rFonts w:hint="eastAsia" w:ascii="宋体" w:hAnsi="宋体" w:eastAsia="宋体" w:cs="宋体"/>
          <w:snapToGrid w:val="0"/>
          <w:color w:val="auto"/>
          <w:kern w:val="0"/>
          <w:sz w:val="24"/>
          <w:highlight w:val="none"/>
          <w:vertAlign w:val="subscript"/>
        </w:rPr>
        <w:t>1</w:t>
      </w:r>
      <w:r>
        <w:rPr>
          <w:rFonts w:hint="eastAsia" w:ascii="宋体" w:hAnsi="宋体" w:eastAsia="宋体" w:cs="宋体"/>
          <w:color w:val="auto"/>
          <w:sz w:val="24"/>
          <w:szCs w:val="24"/>
          <w:highlight w:val="none"/>
        </w:rPr>
        <w:t>为商务得分，</w:t>
      </w:r>
      <w:r>
        <w:rPr>
          <w:rFonts w:hint="eastAsia" w:ascii="宋体" w:hAnsi="宋体" w:eastAsia="宋体" w:cs="宋体"/>
          <w:snapToGrid w:val="0"/>
          <w:color w:val="auto"/>
          <w:kern w:val="0"/>
          <w:sz w:val="24"/>
          <w:highlight w:val="none"/>
        </w:rPr>
        <w:t>M</w:t>
      </w:r>
      <w:r>
        <w:rPr>
          <w:rFonts w:hint="eastAsia" w:ascii="宋体" w:hAnsi="宋体" w:eastAsia="宋体" w:cs="宋体"/>
          <w:snapToGrid w:val="0"/>
          <w:color w:val="auto"/>
          <w:kern w:val="0"/>
          <w:sz w:val="24"/>
          <w:highlight w:val="none"/>
          <w:vertAlign w:val="subscript"/>
        </w:rPr>
        <w:t>2</w:t>
      </w:r>
      <w:r>
        <w:rPr>
          <w:rFonts w:hint="eastAsia" w:ascii="宋体" w:hAnsi="宋体" w:eastAsia="宋体" w:cs="宋体"/>
          <w:color w:val="auto"/>
          <w:sz w:val="24"/>
          <w:szCs w:val="24"/>
          <w:highlight w:val="none"/>
        </w:rPr>
        <w:t>为技术得分，</w:t>
      </w:r>
      <w:r>
        <w:rPr>
          <w:rFonts w:hint="eastAsia" w:ascii="宋体" w:hAnsi="宋体" w:eastAsia="宋体" w:cs="宋体"/>
          <w:snapToGrid w:val="0"/>
          <w:color w:val="auto"/>
          <w:kern w:val="0"/>
          <w:sz w:val="24"/>
          <w:highlight w:val="none"/>
        </w:rPr>
        <w:t>M</w:t>
      </w:r>
      <w:r>
        <w:rPr>
          <w:rFonts w:hint="eastAsia" w:ascii="宋体" w:hAnsi="宋体" w:eastAsia="宋体" w:cs="宋体"/>
          <w:snapToGrid w:val="0"/>
          <w:color w:val="auto"/>
          <w:kern w:val="0"/>
          <w:sz w:val="24"/>
          <w:highlight w:val="none"/>
          <w:vertAlign w:val="subscript"/>
        </w:rPr>
        <w:t>3</w:t>
      </w:r>
      <w:r>
        <w:rPr>
          <w:rFonts w:hint="eastAsia" w:ascii="宋体" w:hAnsi="宋体" w:eastAsia="宋体" w:cs="宋体"/>
          <w:snapToGrid w:val="0"/>
          <w:color w:val="auto"/>
          <w:kern w:val="0"/>
          <w:sz w:val="24"/>
          <w:highlight w:val="none"/>
        </w:rPr>
        <w:t>为投标报价得分。</w:t>
      </w:r>
    </w:p>
    <w:p w14:paraId="4EAD58A3">
      <w:pPr>
        <w:keepNext w:val="0"/>
        <w:keepLines w:val="0"/>
        <w:pageBreakBefore w:val="0"/>
        <w:widowControl w:val="0"/>
        <w:kinsoku/>
        <w:wordWrap/>
        <w:overflowPunct/>
        <w:topLinePunct w:val="0"/>
        <w:autoSpaceDE/>
        <w:autoSpaceDN/>
        <w:bidi w:val="0"/>
        <w:adjustRightInd/>
        <w:snapToGrid/>
        <w:spacing w:line="360" w:lineRule="auto"/>
        <w:ind w:firstLine="361" w:firstLineChars="15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评标委员会根据招标文件规定的评分细则，对招标文件中的各评审因素进行评审、比较、打分，将得分前5名不排序（按企业统一社会信用代码后4位由大到小排位）的投标人作为定标候选人推荐给招标人，并对每个定标候选人的优势、风险等评审情况进行说明。当投标人综合总得分相同时，以报价低为前；当投标人综合总得分相同且报价相同时，由评标委员会投票确定排</w:t>
      </w:r>
      <w:r>
        <w:rPr>
          <w:rFonts w:hint="eastAsia" w:ascii="宋体" w:hAnsi="宋体" w:eastAsia="宋体" w:cs="宋体"/>
          <w:b/>
          <w:bCs/>
          <w:color w:val="auto"/>
          <w:sz w:val="24"/>
          <w:szCs w:val="24"/>
          <w:highlight w:val="none"/>
          <w:lang w:eastAsia="zh-CN"/>
        </w:rPr>
        <w:t>前</w:t>
      </w:r>
      <w:r>
        <w:rPr>
          <w:rFonts w:hint="eastAsia" w:ascii="宋体" w:hAnsi="宋体" w:eastAsia="宋体" w:cs="宋体"/>
          <w:b/>
          <w:bCs/>
          <w:color w:val="auto"/>
          <w:sz w:val="24"/>
          <w:szCs w:val="24"/>
          <w:highlight w:val="none"/>
        </w:rPr>
        <w:t>。</w:t>
      </w:r>
    </w:p>
    <w:p w14:paraId="43E99877">
      <w:pPr>
        <w:keepNext w:val="0"/>
        <w:keepLines w:val="0"/>
        <w:pageBreakBefore w:val="0"/>
        <w:widowControl w:val="0"/>
        <w:kinsoku/>
        <w:wordWrap/>
        <w:overflowPunct/>
        <w:topLinePunct w:val="0"/>
        <w:autoSpaceDE/>
        <w:autoSpaceDN/>
        <w:bidi w:val="0"/>
        <w:adjustRightInd/>
        <w:snapToGrid/>
        <w:spacing w:line="360" w:lineRule="auto"/>
        <w:ind w:firstLine="361" w:firstLineChars="15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定标候选人得分只作为评标委员会的推荐依据，不作为定标委员会对中标候选人排序的依据。</w:t>
      </w:r>
      <w:r>
        <w:rPr>
          <w:rFonts w:hint="eastAsia" w:ascii="宋体" w:hAnsi="宋体" w:eastAsia="宋体" w:cs="宋体"/>
          <w:b/>
          <w:bCs/>
          <w:color w:val="auto"/>
          <w:sz w:val="24"/>
          <w:szCs w:val="24"/>
          <w:highlight w:val="none"/>
          <w:lang w:val="en-US" w:eastAsia="zh-CN"/>
        </w:rPr>
        <w:t>当有效投标人数量不足5名时，所有通过评审的有效投标人均应作为定标候选人。</w:t>
      </w:r>
    </w:p>
    <w:p w14:paraId="35F33E32">
      <w:pPr>
        <w:rPr>
          <w:rFonts w:hint="eastAsia" w:ascii="宋体" w:hAnsi="宋体" w:eastAsia="宋体" w:cs="宋体"/>
          <w:lang w:val="en-US" w:eastAsia="zh-CN"/>
        </w:rPr>
      </w:pPr>
    </w:p>
    <w:p w14:paraId="6C1E7CF8">
      <w:pPr>
        <w:rPr>
          <w:rFonts w:hint="eastAsia" w:ascii="宋体" w:hAnsi="宋体" w:eastAsia="宋体" w:cs="宋体"/>
          <w:lang w:val="en-US" w:eastAsia="zh-CN"/>
        </w:rPr>
      </w:pPr>
    </w:p>
    <w:p w14:paraId="3C3F0CD4">
      <w:pPr>
        <w:rPr>
          <w:rFonts w:hint="eastAsia" w:ascii="宋体" w:hAnsi="宋体" w:eastAsia="宋体" w:cs="宋体"/>
          <w:lang w:val="en-US" w:eastAsia="zh-CN"/>
        </w:rPr>
      </w:pPr>
    </w:p>
    <w:p w14:paraId="11F2571E">
      <w:pPr>
        <w:rPr>
          <w:rFonts w:hint="eastAsia" w:ascii="宋体" w:hAnsi="宋体" w:eastAsia="宋体" w:cs="宋体"/>
          <w:b/>
          <w:bCs/>
          <w:snapToGrid w:val="0"/>
          <w:color w:val="auto"/>
          <w:kern w:val="0"/>
          <w:sz w:val="30"/>
          <w:szCs w:val="30"/>
          <w:highlight w:val="none"/>
          <w:lang w:val="en-US" w:eastAsia="zh-CN"/>
        </w:rPr>
      </w:pPr>
      <w:r>
        <w:rPr>
          <w:rFonts w:hint="eastAsia" w:ascii="宋体" w:hAnsi="宋体" w:eastAsia="宋体" w:cs="宋体"/>
          <w:b/>
          <w:bCs/>
          <w:snapToGrid w:val="0"/>
          <w:color w:val="auto"/>
          <w:kern w:val="0"/>
          <w:sz w:val="24"/>
          <w:highlight w:val="none"/>
          <w:lang w:val="en-US" w:eastAsia="zh-CN"/>
        </w:rPr>
        <w:t xml:space="preserve">                                    </w:t>
      </w:r>
      <w:r>
        <w:rPr>
          <w:rFonts w:hint="eastAsia" w:ascii="宋体" w:hAnsi="宋体" w:eastAsia="宋体" w:cs="宋体"/>
          <w:b/>
          <w:bCs/>
          <w:snapToGrid w:val="0"/>
          <w:color w:val="auto"/>
          <w:kern w:val="0"/>
          <w:sz w:val="30"/>
          <w:szCs w:val="30"/>
          <w:highlight w:val="none"/>
        </w:rPr>
        <w:t>综合评分表</w:t>
      </w:r>
    </w:p>
    <w:tbl>
      <w:tblPr>
        <w:tblStyle w:val="33"/>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107"/>
        <w:gridCol w:w="3562"/>
        <w:gridCol w:w="3834"/>
      </w:tblGrid>
      <w:tr w14:paraId="7125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9313" w:type="dxa"/>
            <w:gridSpan w:val="4"/>
            <w:noWrap w:val="0"/>
            <w:vAlign w:val="center"/>
          </w:tcPr>
          <w:p w14:paraId="7D08C858">
            <w:pPr>
              <w:keepNext w:val="0"/>
              <w:keepLines w:val="0"/>
              <w:pageBreakBefore w:val="0"/>
              <w:widowControl w:val="0"/>
              <w:kinsoku/>
              <w:overflowPunct/>
              <w:topLinePunct w:val="0"/>
              <w:autoSpaceDN/>
              <w:bidi w:val="0"/>
              <w:spacing w:line="460" w:lineRule="exact"/>
              <w:textAlignment w:val="auto"/>
              <w:rPr>
                <w:rFonts w:hint="eastAsia" w:ascii="宋体" w:hAnsi="宋体" w:eastAsia="宋体" w:cs="宋体"/>
                <w:b/>
                <w:bCs/>
                <w:color w:val="000000"/>
                <w:spacing w:val="10"/>
                <w:sz w:val="24"/>
                <w:szCs w:val="24"/>
              </w:rPr>
            </w:pPr>
            <w:r>
              <w:rPr>
                <w:rFonts w:hint="eastAsia" w:ascii="宋体" w:hAnsi="宋体" w:eastAsia="宋体" w:cs="宋体"/>
                <w:b/>
                <w:bCs/>
                <w:color w:val="000000"/>
                <w:spacing w:val="10"/>
                <w:sz w:val="24"/>
                <w:szCs w:val="24"/>
              </w:rPr>
              <w:br w:type="page"/>
            </w:r>
            <w:r>
              <w:rPr>
                <w:rFonts w:hint="eastAsia" w:ascii="宋体" w:hAnsi="宋体" w:eastAsia="宋体" w:cs="宋体"/>
                <w:b/>
                <w:bCs/>
                <w:color w:val="000000"/>
                <w:kern w:val="0"/>
                <w:sz w:val="24"/>
                <w:szCs w:val="24"/>
              </w:rPr>
              <w:t>商务部分M1，满分：</w:t>
            </w:r>
            <w:r>
              <w:rPr>
                <w:rFonts w:hint="eastAsia" w:ascii="宋体" w:hAnsi="宋体" w:eastAsia="宋体" w:cs="宋体"/>
                <w:b/>
                <w:bCs/>
                <w:color w:val="000000"/>
                <w:kern w:val="0"/>
                <w:sz w:val="24"/>
                <w:szCs w:val="24"/>
                <w:u w:val="single"/>
                <w:lang w:val="en-US" w:eastAsia="zh-CN"/>
              </w:rPr>
              <w:t>60</w:t>
            </w:r>
            <w:r>
              <w:rPr>
                <w:rFonts w:hint="eastAsia" w:ascii="宋体" w:hAnsi="宋体" w:eastAsia="宋体" w:cs="宋体"/>
                <w:b/>
                <w:bCs/>
                <w:color w:val="000000"/>
                <w:kern w:val="0"/>
                <w:sz w:val="24"/>
                <w:szCs w:val="24"/>
              </w:rPr>
              <w:t>分。</w:t>
            </w:r>
          </w:p>
        </w:tc>
      </w:tr>
      <w:tr w14:paraId="2729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17" w:type="dxa"/>
            <w:gridSpan w:val="2"/>
            <w:noWrap w:val="0"/>
            <w:vAlign w:val="center"/>
          </w:tcPr>
          <w:p w14:paraId="1BCAE807">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eastAsia" w:ascii="宋体" w:hAnsi="宋体" w:eastAsia="宋体" w:cs="宋体"/>
                <w:b/>
                <w:bCs/>
                <w:snapToGrid w:val="0"/>
                <w:color w:val="000000"/>
                <w:kern w:val="0"/>
                <w:sz w:val="24"/>
                <w:szCs w:val="24"/>
                <w:lang w:val="en-US" w:eastAsia="zh-CN" w:bidi="ar-SA"/>
              </w:rPr>
            </w:pPr>
            <w:r>
              <w:rPr>
                <w:rFonts w:hint="eastAsia" w:ascii="宋体" w:hAnsi="宋体" w:eastAsia="宋体" w:cs="宋体"/>
                <w:b/>
                <w:bCs/>
                <w:color w:val="000000"/>
                <w:kern w:val="0"/>
                <w:sz w:val="24"/>
                <w:szCs w:val="24"/>
              </w:rPr>
              <w:t>评分因素</w:t>
            </w:r>
          </w:p>
        </w:tc>
        <w:tc>
          <w:tcPr>
            <w:tcW w:w="3562" w:type="dxa"/>
            <w:noWrap w:val="0"/>
            <w:vAlign w:val="center"/>
          </w:tcPr>
          <w:p w14:paraId="0B04EBFF">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eastAsia" w:ascii="宋体" w:hAnsi="宋体" w:eastAsia="宋体" w:cs="宋体"/>
                <w:b/>
                <w:bCs/>
                <w:snapToGrid w:val="0"/>
                <w:color w:val="000000"/>
                <w:kern w:val="0"/>
                <w:sz w:val="24"/>
                <w:szCs w:val="24"/>
                <w:lang w:val="en-US" w:eastAsia="zh-CN" w:bidi="ar-SA"/>
              </w:rPr>
            </w:pPr>
            <w:r>
              <w:rPr>
                <w:rFonts w:hint="eastAsia" w:ascii="宋体" w:hAnsi="宋体" w:eastAsia="宋体" w:cs="宋体"/>
                <w:b/>
                <w:bCs/>
                <w:color w:val="000000"/>
                <w:kern w:val="0"/>
                <w:sz w:val="24"/>
                <w:szCs w:val="24"/>
              </w:rPr>
              <w:t>评分标准</w:t>
            </w:r>
          </w:p>
        </w:tc>
        <w:tc>
          <w:tcPr>
            <w:tcW w:w="3834" w:type="dxa"/>
            <w:noWrap w:val="0"/>
            <w:vAlign w:val="center"/>
          </w:tcPr>
          <w:p w14:paraId="4BC8A691">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eastAsia" w:ascii="宋体" w:hAnsi="宋体" w:eastAsia="宋体" w:cs="宋体"/>
                <w:b/>
                <w:bCs/>
                <w:snapToGrid w:val="0"/>
                <w:color w:val="000000"/>
                <w:kern w:val="0"/>
                <w:sz w:val="24"/>
                <w:szCs w:val="24"/>
                <w:lang w:val="en-US" w:eastAsia="zh-CN" w:bidi="ar-SA"/>
              </w:rPr>
            </w:pPr>
            <w:r>
              <w:rPr>
                <w:rFonts w:hint="eastAsia" w:ascii="宋体" w:hAnsi="宋体" w:eastAsia="宋体" w:cs="宋体"/>
                <w:b/>
                <w:bCs/>
                <w:color w:val="000000"/>
                <w:kern w:val="0"/>
                <w:sz w:val="24"/>
                <w:szCs w:val="24"/>
              </w:rPr>
              <w:t>备注</w:t>
            </w:r>
          </w:p>
        </w:tc>
      </w:tr>
      <w:tr w14:paraId="5A4E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810" w:type="dxa"/>
            <w:vMerge w:val="restart"/>
            <w:noWrap w:val="0"/>
            <w:vAlign w:val="center"/>
          </w:tcPr>
          <w:p w14:paraId="5310CC9B">
            <w:pPr>
              <w:keepNext w:val="0"/>
              <w:keepLines w:val="0"/>
              <w:pageBreakBefore w:val="0"/>
              <w:widowControl w:val="0"/>
              <w:kinsoku/>
              <w:overflowPunct/>
              <w:topLinePunct w:val="0"/>
              <w:autoSpaceDN/>
              <w:bidi w:val="0"/>
              <w:spacing w:line="46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highlight w:val="none"/>
              </w:rPr>
              <w:t>设计企业（</w:t>
            </w:r>
            <w:r>
              <w:rPr>
                <w:rFonts w:hint="eastAsia" w:ascii="宋体" w:hAnsi="宋体" w:eastAsia="宋体" w:cs="宋体"/>
                <w:color w:val="000000"/>
                <w:sz w:val="24"/>
                <w:szCs w:val="24"/>
                <w:highlight w:val="none"/>
                <w:lang w:val="en-US" w:eastAsia="zh-CN"/>
              </w:rPr>
              <w:t>50</w:t>
            </w:r>
            <w:r>
              <w:rPr>
                <w:rFonts w:hint="eastAsia" w:ascii="宋体" w:hAnsi="宋体" w:eastAsia="宋体" w:cs="宋体"/>
                <w:color w:val="000000"/>
                <w:sz w:val="24"/>
                <w:szCs w:val="24"/>
                <w:highlight w:val="none"/>
              </w:rPr>
              <w:t>分）</w:t>
            </w:r>
          </w:p>
        </w:tc>
        <w:tc>
          <w:tcPr>
            <w:tcW w:w="1107" w:type="dxa"/>
            <w:shd w:val="clear" w:color="auto" w:fill="auto"/>
            <w:noWrap w:val="0"/>
            <w:vAlign w:val="center"/>
          </w:tcPr>
          <w:p w14:paraId="6132EA24">
            <w:pPr>
              <w:keepNext w:val="0"/>
              <w:keepLines w:val="0"/>
              <w:pageBreakBefore w:val="0"/>
              <w:kinsoku/>
              <w:overflowPunct/>
              <w:topLinePunct w:val="0"/>
              <w:autoSpaceDN/>
              <w:bidi w:val="0"/>
              <w:spacing w:line="3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企业奖项</w:t>
            </w:r>
          </w:p>
          <w:p w14:paraId="71B0BA66">
            <w:pPr>
              <w:keepNext w:val="0"/>
              <w:keepLines w:val="0"/>
              <w:pageBreakBefore w:val="0"/>
              <w:kinsoku/>
              <w:overflowPunct/>
              <w:topLinePunct w:val="0"/>
              <w:autoSpaceDN/>
              <w:bidi w:val="0"/>
              <w:spacing w:line="32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3562" w:type="dxa"/>
            <w:shd w:val="clear" w:color="auto" w:fill="auto"/>
            <w:noWrap w:val="0"/>
            <w:vAlign w:val="center"/>
          </w:tcPr>
          <w:p w14:paraId="393AF9B1">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rPr>
            </w:pPr>
          </w:p>
          <w:p w14:paraId="19ED578F">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企业近5年来（</w:t>
            </w: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年1月1日</w:t>
            </w:r>
            <w:r>
              <w:rPr>
                <w:rFonts w:hint="eastAsia" w:ascii="宋体" w:hAnsi="宋体" w:eastAsia="宋体" w:cs="宋体"/>
                <w:color w:val="auto"/>
                <w:sz w:val="24"/>
                <w:szCs w:val="24"/>
                <w:highlight w:val="none"/>
                <w:lang w:val="en-US" w:eastAsia="zh-CN"/>
              </w:rPr>
              <w:t>至今）</w:t>
            </w:r>
            <w:r>
              <w:rPr>
                <w:rFonts w:hint="eastAsia" w:ascii="宋体" w:hAnsi="宋体" w:eastAsia="宋体" w:cs="宋体"/>
                <w:color w:val="auto"/>
                <w:sz w:val="24"/>
                <w:szCs w:val="24"/>
                <w:highlight w:val="none"/>
              </w:rPr>
              <w:t>获得</w:t>
            </w:r>
            <w:r>
              <w:rPr>
                <w:rFonts w:hint="eastAsia" w:ascii="宋体" w:hAnsi="宋体" w:eastAsia="宋体" w:cs="宋体"/>
                <w:color w:val="auto"/>
                <w:sz w:val="24"/>
                <w:szCs w:val="24"/>
                <w:highlight w:val="none"/>
                <w:u w:val="single"/>
              </w:rPr>
              <w:t>工程类设计奖</w:t>
            </w:r>
            <w:r>
              <w:rPr>
                <w:rFonts w:hint="eastAsia" w:ascii="宋体" w:hAnsi="宋体" w:eastAsia="宋体" w:cs="宋体"/>
                <w:color w:val="auto"/>
                <w:sz w:val="24"/>
                <w:szCs w:val="24"/>
                <w:highlight w:val="none"/>
                <w:lang w:val="en-US" w:eastAsia="zh-CN"/>
              </w:rPr>
              <w:t>情况：</w:t>
            </w:r>
          </w:p>
          <w:p w14:paraId="7898481F">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1.获得国家级奖项的，</w:t>
            </w:r>
            <w:r>
              <w:rPr>
                <w:rFonts w:hint="eastAsia" w:ascii="宋体" w:hAnsi="宋体" w:eastAsia="宋体" w:cs="宋体"/>
                <w:color w:val="auto"/>
                <w:sz w:val="24"/>
                <w:szCs w:val="24"/>
                <w:highlight w:val="none"/>
                <w:lang w:eastAsia="zh-CN"/>
              </w:rPr>
              <w:t>每项得</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757DF8C4">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获得省级奖项的，</w:t>
            </w:r>
            <w:r>
              <w:rPr>
                <w:rFonts w:hint="eastAsia" w:ascii="宋体" w:hAnsi="宋体" w:eastAsia="宋体" w:cs="宋体"/>
                <w:color w:val="auto"/>
                <w:sz w:val="24"/>
                <w:szCs w:val="24"/>
                <w:highlight w:val="none"/>
                <w:lang w:eastAsia="zh-CN"/>
              </w:rPr>
              <w:t>每项得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分</w:t>
            </w:r>
            <w:r>
              <w:rPr>
                <w:rFonts w:hint="eastAsia" w:ascii="宋体" w:hAnsi="宋体" w:eastAsia="宋体" w:cs="宋体"/>
                <w:color w:val="auto"/>
                <w:sz w:val="24"/>
                <w:szCs w:val="24"/>
                <w:highlight w:val="none"/>
              </w:rPr>
              <w:t>；</w:t>
            </w:r>
          </w:p>
          <w:p w14:paraId="0005CA32">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.获得地市级奖项的，</w:t>
            </w:r>
            <w:r>
              <w:rPr>
                <w:rFonts w:hint="eastAsia" w:ascii="宋体" w:hAnsi="宋体" w:eastAsia="宋体" w:cs="宋体"/>
                <w:color w:val="auto"/>
                <w:sz w:val="24"/>
                <w:szCs w:val="24"/>
                <w:highlight w:val="none"/>
                <w:lang w:eastAsia="zh-CN"/>
              </w:rPr>
              <w:t>每项得</w:t>
            </w:r>
            <w:r>
              <w:rPr>
                <w:rFonts w:hint="eastAsia" w:ascii="宋体" w:hAnsi="宋体" w:eastAsia="宋体" w:cs="宋体"/>
                <w:color w:val="auto"/>
                <w:sz w:val="24"/>
                <w:szCs w:val="24"/>
                <w:highlight w:val="none"/>
                <w:lang w:val="en-US" w:eastAsia="zh-CN"/>
              </w:rPr>
              <w:t>2</w:t>
            </w:r>
          </w:p>
          <w:p w14:paraId="4DD6E657">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w:t>
            </w:r>
          </w:p>
          <w:p w14:paraId="66C9A37E">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4.以上奖项均未获得的，不予计分。</w:t>
            </w:r>
          </w:p>
          <w:p w14:paraId="20C585AF">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.本项最高得</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3834" w:type="dxa"/>
            <w:shd w:val="clear" w:color="auto" w:fill="auto"/>
            <w:noWrap w:val="0"/>
            <w:vAlign w:val="center"/>
          </w:tcPr>
          <w:p w14:paraId="0120E541">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1.允许投标人提交多个业绩，但同一业绩只按最高级别奖项计分一次。</w:t>
            </w:r>
          </w:p>
          <w:p w14:paraId="7D4B6D8A">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2.需附有关奖项证明彩色扫描件。</w:t>
            </w:r>
          </w:p>
          <w:p w14:paraId="7A3DE716">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3.颁发机构限定以下范围：</w:t>
            </w:r>
          </w:p>
          <w:p w14:paraId="041C4A7C">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u w:val="single"/>
                <w:lang w:val="en-US" w:eastAsia="zh-CN"/>
              </w:rPr>
            </w:pPr>
            <w:r>
              <w:rPr>
                <w:rFonts w:hint="eastAsia" w:ascii="宋体" w:hAnsi="宋体" w:eastAsia="宋体" w:cs="宋体"/>
                <w:snapToGrid w:val="0"/>
                <w:color w:val="auto"/>
                <w:kern w:val="0"/>
                <w:sz w:val="24"/>
                <w:szCs w:val="24"/>
                <w:highlight w:val="none"/>
                <w:lang w:val="en-US" w:eastAsia="zh-CN"/>
              </w:rPr>
              <w:t>①国家级奖项：</w:t>
            </w:r>
            <w:r>
              <w:rPr>
                <w:rFonts w:hint="eastAsia" w:ascii="宋体" w:hAnsi="宋体" w:eastAsia="宋体" w:cs="宋体"/>
                <w:snapToGrid w:val="0"/>
                <w:color w:val="auto"/>
                <w:kern w:val="0"/>
                <w:sz w:val="24"/>
                <w:szCs w:val="24"/>
                <w:highlight w:val="none"/>
                <w:u w:val="single"/>
                <w:lang w:val="en-US" w:eastAsia="zh-CN"/>
              </w:rPr>
              <w:t>国务院、住建部、中国勘察设计协会或工程勘察设计行业协会、中国建筑业协会；</w:t>
            </w:r>
          </w:p>
          <w:p w14:paraId="03CAD7F9">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u w:val="single"/>
                <w:lang w:val="en-US" w:eastAsia="zh-CN"/>
              </w:rPr>
            </w:pPr>
            <w:r>
              <w:rPr>
                <w:rFonts w:hint="eastAsia" w:ascii="宋体" w:hAnsi="宋体" w:eastAsia="宋体" w:cs="宋体"/>
                <w:snapToGrid w:val="0"/>
                <w:color w:val="auto"/>
                <w:kern w:val="0"/>
                <w:sz w:val="24"/>
                <w:szCs w:val="24"/>
                <w:highlight w:val="none"/>
                <w:lang w:val="en-US" w:eastAsia="zh-CN"/>
              </w:rPr>
              <w:t>②省级奖项：</w:t>
            </w:r>
            <w:r>
              <w:rPr>
                <w:rFonts w:hint="eastAsia" w:ascii="宋体" w:hAnsi="宋体" w:eastAsia="宋体" w:cs="宋体"/>
                <w:snapToGrid w:val="0"/>
                <w:color w:val="auto"/>
                <w:kern w:val="0"/>
                <w:sz w:val="24"/>
                <w:szCs w:val="24"/>
                <w:highlight w:val="none"/>
                <w:u w:val="single"/>
                <w:lang w:val="en-US" w:eastAsia="zh-CN"/>
              </w:rPr>
              <w:t>省级人民政府、省级住建部门、省级勘察设计协会或工程勘察设计行业协会、省级建筑业协会；</w:t>
            </w:r>
          </w:p>
          <w:p w14:paraId="305568C7">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③地市级奖项：</w:t>
            </w:r>
            <w:r>
              <w:rPr>
                <w:rFonts w:hint="eastAsia" w:ascii="宋体" w:hAnsi="宋体" w:eastAsia="宋体" w:cs="宋体"/>
                <w:snapToGrid w:val="0"/>
                <w:color w:val="auto"/>
                <w:kern w:val="0"/>
                <w:sz w:val="24"/>
                <w:szCs w:val="24"/>
                <w:highlight w:val="none"/>
                <w:u w:val="single"/>
                <w:lang w:val="en-US" w:eastAsia="zh-CN"/>
              </w:rPr>
              <w:t>地市级人民政府、地市级住建部门、地市级勘察设计协会或工程勘察设计行业协会、地市级建筑业协会。</w:t>
            </w:r>
          </w:p>
          <w:p w14:paraId="3B1B4A7D">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4.获奖时间以奖项证明的落款日期为准。</w:t>
            </w:r>
          </w:p>
          <w:p w14:paraId="6D3826D5">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5.任一奖项有以下情形之一的，该奖项视为无效，不予计分：</w:t>
            </w:r>
          </w:p>
          <w:p w14:paraId="440BC146">
            <w:pPr>
              <w:pStyle w:val="3"/>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①奖项不属于指定类别的；</w:t>
            </w:r>
          </w:p>
          <w:p w14:paraId="024BAC5C">
            <w:pPr>
              <w:pStyle w:val="3"/>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②颁发机构不符合要求的；</w:t>
            </w:r>
          </w:p>
          <w:p w14:paraId="33A8E7F5">
            <w:pPr>
              <w:pStyle w:val="3"/>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③获奖时间不符合要求的。</w:t>
            </w:r>
          </w:p>
          <w:p w14:paraId="32F5A532">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rPr>
              <w:t>说明：以上所称“要求”均指本表评分标准及备注的要求，下同。</w:t>
            </w:r>
          </w:p>
        </w:tc>
      </w:tr>
      <w:tr w14:paraId="636D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810" w:type="dxa"/>
            <w:vMerge w:val="continue"/>
            <w:noWrap w:val="0"/>
            <w:vAlign w:val="center"/>
          </w:tcPr>
          <w:p w14:paraId="510E2559">
            <w:pPr>
              <w:keepNext w:val="0"/>
              <w:keepLines w:val="0"/>
              <w:pageBreakBefore w:val="0"/>
              <w:widowControl w:val="0"/>
              <w:kinsoku/>
              <w:overflowPunct/>
              <w:topLinePunct w:val="0"/>
              <w:autoSpaceDN/>
              <w:bidi w:val="0"/>
              <w:spacing w:line="460" w:lineRule="exact"/>
              <w:jc w:val="center"/>
              <w:textAlignment w:val="auto"/>
              <w:rPr>
                <w:rFonts w:hint="eastAsia" w:ascii="宋体" w:hAnsi="宋体" w:eastAsia="宋体" w:cs="宋体"/>
                <w:color w:val="000000"/>
                <w:kern w:val="0"/>
                <w:sz w:val="24"/>
                <w:szCs w:val="24"/>
              </w:rPr>
            </w:pPr>
          </w:p>
        </w:tc>
        <w:tc>
          <w:tcPr>
            <w:tcW w:w="1107" w:type="dxa"/>
            <w:shd w:val="clear" w:color="auto" w:fill="auto"/>
            <w:noWrap w:val="0"/>
            <w:vAlign w:val="center"/>
          </w:tcPr>
          <w:p w14:paraId="5B62F3CF">
            <w:pPr>
              <w:keepNext w:val="0"/>
              <w:keepLines w:val="0"/>
              <w:pageBreakBefore w:val="0"/>
              <w:kinsoku/>
              <w:overflowPunct/>
              <w:topLinePunct w:val="0"/>
              <w:autoSpaceDN/>
              <w:bidi w:val="0"/>
              <w:spacing w:line="3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企业业绩</w:t>
            </w:r>
          </w:p>
          <w:p w14:paraId="69E1D532">
            <w:pPr>
              <w:keepNext w:val="0"/>
              <w:keepLines w:val="0"/>
              <w:pageBreakBefore w:val="0"/>
              <w:kinsoku/>
              <w:overflowPunct/>
              <w:topLinePunct w:val="0"/>
              <w:autoSpaceDN/>
              <w:bidi w:val="0"/>
              <w:spacing w:line="32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3562" w:type="dxa"/>
            <w:shd w:val="clear" w:color="auto" w:fill="auto"/>
            <w:noWrap w:val="0"/>
            <w:vAlign w:val="center"/>
          </w:tcPr>
          <w:p w14:paraId="4900FA2C">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企业近 5 年来（</w:t>
            </w: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年1月1日</w:t>
            </w:r>
            <w:r>
              <w:rPr>
                <w:rFonts w:hint="eastAsia" w:ascii="宋体" w:hAnsi="宋体" w:eastAsia="宋体" w:cs="宋体"/>
                <w:color w:val="auto"/>
                <w:sz w:val="24"/>
                <w:szCs w:val="24"/>
                <w:highlight w:val="none"/>
                <w:lang w:val="en-US" w:eastAsia="zh-CN"/>
              </w:rPr>
              <w:t>至今）业绩情况：</w:t>
            </w:r>
          </w:p>
          <w:p w14:paraId="655C6DA8">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承接过类似</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lang w:eastAsia="zh-CN"/>
              </w:rPr>
              <w:t>项目的，</w:t>
            </w:r>
            <w:r>
              <w:rPr>
                <w:rFonts w:hint="eastAsia" w:ascii="宋体" w:hAnsi="宋体" w:eastAsia="宋体" w:cs="宋体"/>
                <w:color w:val="auto"/>
                <w:sz w:val="24"/>
                <w:szCs w:val="24"/>
                <w:highlight w:val="none"/>
                <w:lang w:val="zh-CN" w:eastAsia="zh-CN"/>
              </w:rPr>
              <w:t>每</w:t>
            </w:r>
            <w:r>
              <w:rPr>
                <w:rFonts w:hint="eastAsia" w:ascii="宋体" w:hAnsi="宋体" w:eastAsia="宋体" w:cs="宋体"/>
                <w:color w:val="auto"/>
                <w:sz w:val="24"/>
                <w:szCs w:val="24"/>
                <w:highlight w:val="none"/>
                <w:lang w:val="en-US" w:eastAsia="zh-CN"/>
              </w:rPr>
              <w:t>个</w:t>
            </w:r>
            <w:r>
              <w:rPr>
                <w:rFonts w:hint="eastAsia" w:ascii="宋体" w:hAnsi="宋体" w:eastAsia="宋体" w:cs="宋体"/>
                <w:color w:val="auto"/>
                <w:sz w:val="24"/>
                <w:szCs w:val="24"/>
                <w:highlight w:val="none"/>
                <w:lang w:val="zh-CN" w:eastAsia="zh-CN"/>
              </w:rPr>
              <w:t>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zh-CN" w:eastAsia="zh-CN"/>
              </w:rPr>
              <w:t>分；</w:t>
            </w:r>
          </w:p>
          <w:p w14:paraId="31032219">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未承接过类似</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lang w:val="zh-CN" w:eastAsia="zh-CN"/>
              </w:rPr>
              <w:t>项目的，不予计分；</w:t>
            </w:r>
          </w:p>
          <w:p w14:paraId="7B77D7D7">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本项最高得</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zh-CN" w:eastAsia="zh-CN"/>
              </w:rPr>
              <w:t>分。</w:t>
            </w:r>
          </w:p>
        </w:tc>
        <w:tc>
          <w:tcPr>
            <w:tcW w:w="3834" w:type="dxa"/>
            <w:shd w:val="clear" w:color="auto" w:fill="auto"/>
            <w:noWrap w:val="0"/>
            <w:vAlign w:val="center"/>
          </w:tcPr>
          <w:p w14:paraId="63F0B1FA">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1.类似项目指：市政</w:t>
            </w:r>
            <w:r>
              <w:rPr>
                <w:rFonts w:hint="eastAsia" w:ascii="宋体" w:hAnsi="宋体" w:eastAsia="宋体" w:cs="宋体"/>
                <w:snapToGrid w:val="0"/>
                <w:color w:val="auto"/>
                <w:kern w:val="0"/>
                <w:sz w:val="24"/>
                <w:szCs w:val="24"/>
                <w:highlight w:val="none"/>
              </w:rPr>
              <w:t>类工程设计项目（含设计，勘察设计，勘察设计施工总承包项目）</w:t>
            </w:r>
            <w:r>
              <w:rPr>
                <w:rFonts w:hint="eastAsia" w:ascii="宋体" w:hAnsi="宋体" w:eastAsia="宋体" w:cs="宋体"/>
                <w:snapToGrid w:val="0"/>
                <w:color w:val="auto"/>
                <w:kern w:val="0"/>
                <w:sz w:val="24"/>
                <w:szCs w:val="24"/>
                <w:highlight w:val="none"/>
                <w:lang w:val="en-US" w:eastAsia="zh-CN"/>
              </w:rPr>
              <w:t>。</w:t>
            </w:r>
          </w:p>
          <w:p w14:paraId="59E46E06">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2.需附有关业绩合同协议书彩色扫描件。</w:t>
            </w:r>
          </w:p>
          <w:p w14:paraId="762362EB">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3.业绩时间以合同协议书日期为准。</w:t>
            </w:r>
          </w:p>
          <w:p w14:paraId="764BFBBD">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4.任一业绩有以下情形之一的，该业绩视为无效，不予计分：</w:t>
            </w:r>
          </w:p>
          <w:p w14:paraId="58F50410">
            <w:pPr>
              <w:pStyle w:val="3"/>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①业绩不属于类似工程的；</w:t>
            </w:r>
          </w:p>
          <w:p w14:paraId="23BE833B">
            <w:pPr>
              <w:pStyle w:val="3"/>
              <w:wordWrap w:val="0"/>
              <w:adjustRightInd w:val="0"/>
              <w:snapToGrid w:val="0"/>
              <w:spacing w:after="0"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②</w:t>
            </w:r>
            <w:r>
              <w:rPr>
                <w:rFonts w:hint="eastAsia" w:ascii="宋体" w:hAnsi="宋体" w:eastAsia="宋体" w:cs="宋体"/>
                <w:snapToGrid w:val="0"/>
                <w:color w:val="auto"/>
                <w:kern w:val="0"/>
                <w:sz w:val="24"/>
                <w:szCs w:val="24"/>
                <w:highlight w:val="none"/>
                <w:lang w:val="en-US" w:eastAsia="zh-CN"/>
              </w:rPr>
              <w:t>业绩时间不符合要求的。</w:t>
            </w:r>
          </w:p>
        </w:tc>
      </w:tr>
      <w:tr w14:paraId="7BFB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atLeast"/>
        </w:trPr>
        <w:tc>
          <w:tcPr>
            <w:tcW w:w="810" w:type="dxa"/>
            <w:vMerge w:val="continue"/>
            <w:noWrap w:val="0"/>
            <w:vAlign w:val="center"/>
          </w:tcPr>
          <w:p w14:paraId="2B724D1E">
            <w:pPr>
              <w:keepNext w:val="0"/>
              <w:keepLines w:val="0"/>
              <w:pageBreakBefore w:val="0"/>
              <w:widowControl w:val="0"/>
              <w:kinsoku/>
              <w:overflowPunct/>
              <w:topLinePunct w:val="0"/>
              <w:autoSpaceDN/>
              <w:bidi w:val="0"/>
              <w:spacing w:line="460" w:lineRule="exact"/>
              <w:jc w:val="center"/>
              <w:textAlignment w:val="auto"/>
              <w:rPr>
                <w:rFonts w:hint="eastAsia" w:ascii="宋体" w:hAnsi="宋体" w:eastAsia="宋体" w:cs="宋体"/>
                <w:snapToGrid w:val="0"/>
                <w:color w:val="000000"/>
                <w:kern w:val="0"/>
                <w:sz w:val="24"/>
                <w:szCs w:val="24"/>
              </w:rPr>
            </w:pPr>
          </w:p>
        </w:tc>
        <w:tc>
          <w:tcPr>
            <w:tcW w:w="1107" w:type="dxa"/>
            <w:shd w:val="clear" w:color="auto" w:fill="auto"/>
            <w:noWrap w:val="0"/>
            <w:vAlign w:val="center"/>
          </w:tcPr>
          <w:p w14:paraId="0461BE49">
            <w:pPr>
              <w:keepNext w:val="0"/>
              <w:keepLines w:val="0"/>
              <w:pageBreakBefore w:val="0"/>
              <w:kinsoku/>
              <w:overflowPunct/>
              <w:topLinePunct w:val="0"/>
              <w:autoSpaceDN/>
              <w:bidi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设计负责人</w:t>
            </w:r>
            <w:r>
              <w:rPr>
                <w:rFonts w:hint="eastAsia" w:ascii="宋体" w:hAnsi="宋体" w:eastAsia="宋体" w:cs="宋体"/>
                <w:snapToGrid w:val="0"/>
                <w:color w:val="auto"/>
                <w:kern w:val="0"/>
                <w:sz w:val="24"/>
                <w:szCs w:val="24"/>
                <w:highlight w:val="none"/>
              </w:rPr>
              <w:t>综合素质（</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分）</w:t>
            </w:r>
          </w:p>
        </w:tc>
        <w:tc>
          <w:tcPr>
            <w:tcW w:w="3562" w:type="dxa"/>
            <w:shd w:val="clear" w:color="auto" w:fill="auto"/>
            <w:noWrap w:val="0"/>
            <w:vAlign w:val="center"/>
          </w:tcPr>
          <w:p w14:paraId="674E8988">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具有市政类专业高级工程师及以上职称证书</w:t>
            </w:r>
            <w:r>
              <w:rPr>
                <w:rFonts w:hint="eastAsia" w:ascii="宋体" w:hAnsi="宋体" w:eastAsia="宋体" w:cs="宋体"/>
                <w:color w:val="auto"/>
                <w:sz w:val="24"/>
                <w:szCs w:val="24"/>
                <w:highlight w:val="none"/>
                <w:lang w:eastAsia="zh-CN"/>
              </w:rPr>
              <w:t>，得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分；</w:t>
            </w:r>
          </w:p>
          <w:p w14:paraId="330698DE">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具有市政类专业中级工程师职称证书</w:t>
            </w:r>
            <w:r>
              <w:rPr>
                <w:rFonts w:hint="eastAsia" w:ascii="宋体" w:hAnsi="宋体" w:eastAsia="宋体" w:cs="宋体"/>
                <w:color w:val="auto"/>
                <w:sz w:val="24"/>
                <w:szCs w:val="24"/>
                <w:highlight w:val="none"/>
                <w:lang w:eastAsia="zh-CN"/>
              </w:rPr>
              <w:t>，得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分。</w:t>
            </w:r>
          </w:p>
          <w:p w14:paraId="6B0A5AFC">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本项最高得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分。</w:t>
            </w:r>
          </w:p>
        </w:tc>
        <w:tc>
          <w:tcPr>
            <w:tcW w:w="3834" w:type="dxa"/>
            <w:shd w:val="clear" w:color="auto" w:fill="auto"/>
            <w:noWrap w:val="0"/>
            <w:vAlign w:val="top"/>
          </w:tcPr>
          <w:p w14:paraId="73B55330">
            <w:pPr>
              <w:pStyle w:val="3"/>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1.需附职称证彩色扫描件（</w:t>
            </w:r>
            <w:r>
              <w:rPr>
                <w:rFonts w:hint="eastAsia" w:ascii="宋体" w:hAnsi="宋体" w:eastAsia="宋体" w:cs="宋体"/>
                <w:color w:val="auto"/>
                <w:sz w:val="24"/>
                <w:szCs w:val="24"/>
                <w:highlight w:val="none"/>
                <w:lang w:val="en-US" w:eastAsia="zh-CN"/>
              </w:rPr>
              <w:t>或电子职称证</w:t>
            </w:r>
            <w:r>
              <w:rPr>
                <w:rFonts w:hint="eastAsia" w:ascii="宋体" w:hAnsi="宋体" w:eastAsia="宋体" w:cs="宋体"/>
                <w:snapToGrid w:val="0"/>
                <w:color w:val="auto"/>
                <w:kern w:val="0"/>
                <w:sz w:val="24"/>
                <w:szCs w:val="24"/>
                <w:highlight w:val="none"/>
                <w:lang w:val="en-US" w:eastAsia="zh-CN"/>
              </w:rPr>
              <w:t>）；</w:t>
            </w:r>
          </w:p>
          <w:p w14:paraId="7C7C8985">
            <w:pPr>
              <w:pStyle w:val="3"/>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提供近3个月（其中必须有2026年</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月）的社保证明（非独立法人分支机构出具社保，予以认可）彩色扫描件；为退休返聘人员无法提供社保证明的，提供退休证(附返聘证明）彩色扫描件</w:t>
            </w:r>
            <w:r>
              <w:rPr>
                <w:rFonts w:hint="eastAsia" w:ascii="宋体" w:hAnsi="宋体" w:eastAsia="宋体" w:cs="宋体"/>
                <w:snapToGrid w:val="0"/>
                <w:color w:val="auto"/>
                <w:kern w:val="0"/>
                <w:sz w:val="24"/>
                <w:szCs w:val="24"/>
                <w:highlight w:val="none"/>
                <w:lang w:val="en-US" w:eastAsia="zh-CN"/>
              </w:rPr>
              <w:t>。</w:t>
            </w:r>
          </w:p>
        </w:tc>
      </w:tr>
      <w:tr w14:paraId="2E2A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810" w:type="dxa"/>
            <w:vMerge w:val="continue"/>
            <w:noWrap w:val="0"/>
            <w:vAlign w:val="center"/>
          </w:tcPr>
          <w:p w14:paraId="7CC7EA86">
            <w:pPr>
              <w:keepNext w:val="0"/>
              <w:keepLines w:val="0"/>
              <w:pageBreakBefore w:val="0"/>
              <w:widowControl w:val="0"/>
              <w:kinsoku/>
              <w:overflowPunct/>
              <w:topLinePunct w:val="0"/>
              <w:autoSpaceDN/>
              <w:bidi w:val="0"/>
              <w:spacing w:line="460" w:lineRule="exact"/>
              <w:jc w:val="center"/>
              <w:textAlignment w:val="auto"/>
              <w:rPr>
                <w:rFonts w:hint="eastAsia" w:ascii="宋体" w:hAnsi="宋体" w:eastAsia="宋体" w:cs="宋体"/>
                <w:color w:val="000000"/>
                <w:sz w:val="24"/>
                <w:szCs w:val="24"/>
              </w:rPr>
            </w:pPr>
          </w:p>
        </w:tc>
        <w:tc>
          <w:tcPr>
            <w:tcW w:w="1107" w:type="dxa"/>
            <w:shd w:val="clear" w:color="auto" w:fill="auto"/>
            <w:noWrap w:val="0"/>
            <w:vAlign w:val="center"/>
          </w:tcPr>
          <w:p w14:paraId="5EF95734">
            <w:pPr>
              <w:pStyle w:val="3"/>
              <w:keepNext w:val="0"/>
              <w:keepLines w:val="0"/>
              <w:pageBreakBefore w:val="0"/>
              <w:kinsoku/>
              <w:wordWrap w:val="0"/>
              <w:overflowPunct/>
              <w:topLinePunct w:val="0"/>
              <w:autoSpaceDN/>
              <w:bidi w:val="0"/>
              <w:adjustRightInd w:val="0"/>
              <w:snapToGrid w:val="0"/>
              <w:spacing w:after="0" w:line="36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color w:val="auto"/>
                <w:sz w:val="24"/>
                <w:szCs w:val="24"/>
                <w:highlight w:val="none"/>
              </w:rPr>
              <w:t>其他人员综合素质</w:t>
            </w:r>
          </w:p>
          <w:p w14:paraId="5697EE95">
            <w:pPr>
              <w:pStyle w:val="3"/>
              <w:keepNext w:val="0"/>
              <w:keepLines w:val="0"/>
              <w:pageBreakBefore w:val="0"/>
              <w:kinsoku/>
              <w:wordWrap w:val="0"/>
              <w:overflowPunct/>
              <w:topLinePunct w:val="0"/>
              <w:autoSpaceDN/>
              <w:bidi w:val="0"/>
              <w:adjustRightInd w:val="0"/>
              <w:snapToGrid w:val="0"/>
              <w:spacing w:after="0"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（10分）</w:t>
            </w:r>
          </w:p>
        </w:tc>
        <w:tc>
          <w:tcPr>
            <w:tcW w:w="3562" w:type="dxa"/>
            <w:shd w:val="clear" w:color="auto" w:fill="auto"/>
            <w:noWrap w:val="0"/>
            <w:vAlign w:val="center"/>
          </w:tcPr>
          <w:p w14:paraId="73D97C5D">
            <w:pPr>
              <w:pStyle w:val="3"/>
              <w:keepNext w:val="0"/>
              <w:keepLines w:val="0"/>
              <w:pageBreakBefore w:val="0"/>
              <w:numPr>
                <w:ilvl w:val="0"/>
                <w:numId w:val="2"/>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拟投入本项目各专业负责人</w:t>
            </w:r>
            <w:r>
              <w:rPr>
                <w:rFonts w:hint="eastAsia" w:ascii="宋体" w:hAnsi="宋体" w:eastAsia="宋体" w:cs="宋体"/>
                <w:color w:val="auto"/>
                <w:sz w:val="24"/>
                <w:szCs w:val="24"/>
                <w:highlight w:val="none"/>
                <w:lang w:val="en-US" w:eastAsia="zh-CN"/>
              </w:rPr>
              <w:t>：</w:t>
            </w:r>
          </w:p>
          <w:p w14:paraId="609950FF">
            <w:pPr>
              <w:pStyle w:val="3"/>
              <w:keepNext w:val="0"/>
              <w:keepLines w:val="0"/>
              <w:pageBreakBefore w:val="0"/>
              <w:numPr>
                <w:ilvl w:val="-1"/>
                <w:numId w:val="0"/>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①具有市政路桥</w:t>
            </w:r>
            <w:r>
              <w:rPr>
                <w:rFonts w:hint="eastAsia" w:ascii="宋体" w:hAnsi="宋体" w:eastAsia="宋体" w:cs="宋体"/>
                <w:color w:val="auto"/>
                <w:sz w:val="24"/>
                <w:szCs w:val="24"/>
                <w:highlight w:val="none"/>
                <w:lang w:val="en-US" w:eastAsia="zh-CN"/>
              </w:rPr>
              <w:t>类专业</w:t>
            </w:r>
            <w:r>
              <w:rPr>
                <w:rFonts w:hint="eastAsia" w:ascii="宋体" w:hAnsi="宋体" w:eastAsia="宋体" w:cs="宋体"/>
                <w:color w:val="auto"/>
                <w:sz w:val="24"/>
                <w:szCs w:val="24"/>
                <w:highlight w:val="none"/>
              </w:rPr>
              <w:t>高级</w:t>
            </w:r>
            <w:r>
              <w:rPr>
                <w:rFonts w:hint="eastAsia" w:ascii="宋体" w:hAnsi="宋体" w:eastAsia="宋体" w:cs="宋体"/>
                <w:color w:val="auto"/>
                <w:sz w:val="24"/>
                <w:szCs w:val="24"/>
                <w:highlight w:val="none"/>
                <w:lang w:val="en-US" w:eastAsia="zh-CN"/>
              </w:rPr>
              <w:t>工程师或以上</w:t>
            </w:r>
            <w:r>
              <w:rPr>
                <w:rFonts w:hint="eastAsia" w:ascii="宋体" w:hAnsi="宋体" w:eastAsia="宋体" w:cs="宋体"/>
                <w:color w:val="auto"/>
                <w:sz w:val="24"/>
                <w:szCs w:val="24"/>
                <w:highlight w:val="none"/>
              </w:rPr>
              <w:t>职称证书或市政路桥</w:t>
            </w:r>
            <w:r>
              <w:rPr>
                <w:rFonts w:hint="eastAsia" w:ascii="宋体" w:hAnsi="宋体" w:eastAsia="宋体" w:cs="宋体"/>
                <w:color w:val="auto"/>
                <w:sz w:val="24"/>
                <w:szCs w:val="24"/>
                <w:highlight w:val="none"/>
                <w:lang w:val="en-US" w:eastAsia="zh-CN"/>
              </w:rPr>
              <w:t>类专业</w:t>
            </w:r>
            <w:r>
              <w:rPr>
                <w:rFonts w:hint="eastAsia" w:ascii="宋体" w:hAnsi="宋体" w:eastAsia="宋体" w:cs="宋体"/>
                <w:color w:val="auto"/>
                <w:sz w:val="24"/>
                <w:szCs w:val="24"/>
                <w:highlight w:val="none"/>
              </w:rPr>
              <w:t>注册证书的，得</w:t>
            </w: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分；</w:t>
            </w:r>
          </w:p>
          <w:p w14:paraId="279409BC">
            <w:pPr>
              <w:pStyle w:val="3"/>
              <w:keepNext w:val="0"/>
              <w:keepLines w:val="0"/>
              <w:pageBreakBefore w:val="0"/>
              <w:numPr>
                <w:ilvl w:val="-1"/>
                <w:numId w:val="0"/>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②具有给排水专业高级</w:t>
            </w:r>
            <w:r>
              <w:rPr>
                <w:rFonts w:hint="eastAsia" w:ascii="宋体" w:hAnsi="宋体" w:eastAsia="宋体" w:cs="宋体"/>
                <w:color w:val="auto"/>
                <w:sz w:val="24"/>
                <w:szCs w:val="24"/>
                <w:highlight w:val="none"/>
                <w:lang w:val="en-US" w:eastAsia="zh-CN"/>
              </w:rPr>
              <w:t>工程师或以上</w:t>
            </w:r>
            <w:r>
              <w:rPr>
                <w:rFonts w:hint="eastAsia" w:ascii="宋体" w:hAnsi="宋体" w:eastAsia="宋体" w:cs="宋体"/>
                <w:color w:val="auto"/>
                <w:sz w:val="24"/>
                <w:szCs w:val="24"/>
                <w:highlight w:val="none"/>
              </w:rPr>
              <w:t>技术职称证书或给排水专业注册证书的，得</w:t>
            </w: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31AD2C4D">
            <w:pPr>
              <w:pStyle w:val="3"/>
              <w:keepNext w:val="0"/>
              <w:keepLines w:val="0"/>
              <w:pageBreakBefore w:val="0"/>
              <w:numPr>
                <w:ilvl w:val="-1"/>
                <w:numId w:val="0"/>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lang w:val="en-US" w:eastAsia="zh-CN"/>
              </w:rPr>
              <w:t>具</w:t>
            </w:r>
            <w:r>
              <w:rPr>
                <w:rFonts w:hint="eastAsia" w:ascii="宋体" w:hAnsi="宋体" w:eastAsia="宋体" w:cs="宋体"/>
                <w:color w:val="auto"/>
                <w:sz w:val="24"/>
                <w:szCs w:val="24"/>
                <w:highlight w:val="none"/>
              </w:rPr>
              <w:t>有造价</w:t>
            </w:r>
            <w:r>
              <w:rPr>
                <w:rFonts w:hint="eastAsia" w:ascii="宋体" w:hAnsi="宋体" w:eastAsia="宋体" w:cs="宋体"/>
                <w:color w:val="auto"/>
                <w:sz w:val="24"/>
                <w:szCs w:val="24"/>
                <w:highlight w:val="none"/>
                <w:lang w:val="en-US" w:eastAsia="zh-CN"/>
              </w:rPr>
              <w:t>专业</w:t>
            </w:r>
            <w:r>
              <w:rPr>
                <w:rFonts w:hint="eastAsia" w:ascii="宋体" w:hAnsi="宋体" w:eastAsia="宋体" w:cs="宋体"/>
                <w:color w:val="auto"/>
                <w:sz w:val="24"/>
                <w:szCs w:val="24"/>
                <w:highlight w:val="none"/>
              </w:rPr>
              <w:t>高级</w:t>
            </w:r>
            <w:r>
              <w:rPr>
                <w:rFonts w:hint="eastAsia" w:ascii="宋体" w:hAnsi="宋体" w:eastAsia="宋体" w:cs="宋体"/>
                <w:color w:val="auto"/>
                <w:sz w:val="24"/>
                <w:szCs w:val="24"/>
                <w:highlight w:val="none"/>
                <w:lang w:val="en-US" w:eastAsia="zh-CN"/>
              </w:rPr>
              <w:t>工程师或以上</w:t>
            </w:r>
            <w:r>
              <w:rPr>
                <w:rFonts w:hint="eastAsia" w:ascii="宋体" w:hAnsi="宋体" w:eastAsia="宋体" w:cs="宋体"/>
                <w:color w:val="auto"/>
                <w:sz w:val="24"/>
                <w:szCs w:val="24"/>
                <w:highlight w:val="none"/>
              </w:rPr>
              <w:t>技术职称证书或造价专业注册证书的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547AB5C7">
            <w:pPr>
              <w:pStyle w:val="3"/>
              <w:keepNext w:val="0"/>
              <w:keepLines w:val="0"/>
              <w:pageBreakBefore w:val="0"/>
              <w:numPr>
                <w:ilvl w:val="-1"/>
                <w:numId w:val="0"/>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④具</w:t>
            </w:r>
            <w:r>
              <w:rPr>
                <w:rFonts w:hint="eastAsia" w:ascii="宋体" w:hAnsi="宋体" w:eastAsia="宋体" w:cs="宋体"/>
                <w:color w:val="auto"/>
                <w:sz w:val="24"/>
                <w:szCs w:val="24"/>
                <w:highlight w:val="none"/>
              </w:rPr>
              <w:t>有</w:t>
            </w:r>
            <w:r>
              <w:rPr>
                <w:rFonts w:hint="eastAsia" w:ascii="宋体" w:hAnsi="宋体" w:eastAsia="宋体" w:cs="宋体"/>
                <w:color w:val="auto"/>
                <w:sz w:val="24"/>
                <w:szCs w:val="24"/>
                <w:highlight w:val="none"/>
                <w:lang w:val="en-US" w:eastAsia="zh-CN"/>
              </w:rPr>
              <w:t>电气专业</w:t>
            </w:r>
            <w:r>
              <w:rPr>
                <w:rFonts w:hint="eastAsia" w:ascii="宋体" w:hAnsi="宋体" w:eastAsia="宋体" w:cs="宋体"/>
                <w:color w:val="auto"/>
                <w:sz w:val="24"/>
                <w:szCs w:val="24"/>
                <w:highlight w:val="none"/>
              </w:rPr>
              <w:t>高级</w:t>
            </w:r>
            <w:r>
              <w:rPr>
                <w:rFonts w:hint="eastAsia" w:ascii="宋体" w:hAnsi="宋体" w:eastAsia="宋体" w:cs="宋体"/>
                <w:color w:val="auto"/>
                <w:sz w:val="24"/>
                <w:szCs w:val="24"/>
                <w:highlight w:val="none"/>
                <w:lang w:val="en-US" w:eastAsia="zh-CN"/>
              </w:rPr>
              <w:t>工程师或以上</w:t>
            </w:r>
            <w:r>
              <w:rPr>
                <w:rFonts w:hint="eastAsia" w:ascii="宋体" w:hAnsi="宋体" w:eastAsia="宋体" w:cs="宋体"/>
                <w:color w:val="auto"/>
                <w:sz w:val="24"/>
                <w:szCs w:val="24"/>
                <w:highlight w:val="none"/>
              </w:rPr>
              <w:t>技术职称证书或</w:t>
            </w:r>
            <w:r>
              <w:rPr>
                <w:rFonts w:hint="eastAsia" w:ascii="宋体" w:hAnsi="宋体" w:eastAsia="宋体" w:cs="宋体"/>
                <w:color w:val="auto"/>
                <w:sz w:val="24"/>
                <w:szCs w:val="24"/>
                <w:highlight w:val="none"/>
                <w:lang w:val="en-US" w:eastAsia="zh-CN"/>
              </w:rPr>
              <w:t>电气</w:t>
            </w:r>
            <w:r>
              <w:rPr>
                <w:rFonts w:hint="eastAsia" w:ascii="宋体" w:hAnsi="宋体" w:eastAsia="宋体" w:cs="宋体"/>
                <w:color w:val="auto"/>
                <w:sz w:val="24"/>
                <w:szCs w:val="24"/>
                <w:highlight w:val="none"/>
              </w:rPr>
              <w:t>专业注册证书的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2F9166B0">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.同专业人员不重复计分。</w:t>
            </w:r>
          </w:p>
          <w:p w14:paraId="4986E79B">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.本项最高得</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eastAsia="zh-CN"/>
              </w:rPr>
              <w:t>分。</w:t>
            </w:r>
          </w:p>
        </w:tc>
        <w:tc>
          <w:tcPr>
            <w:tcW w:w="3834" w:type="dxa"/>
            <w:shd w:val="clear" w:color="auto" w:fill="auto"/>
            <w:noWrap w:val="0"/>
            <w:vAlign w:val="center"/>
          </w:tcPr>
          <w:p w14:paraId="1511B492">
            <w:pPr>
              <w:pStyle w:val="3"/>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1.需附</w:t>
            </w:r>
            <w:r>
              <w:rPr>
                <w:rFonts w:hint="eastAsia" w:ascii="宋体" w:hAnsi="宋体" w:eastAsia="宋体" w:cs="宋体"/>
                <w:color w:val="auto"/>
                <w:sz w:val="24"/>
                <w:szCs w:val="24"/>
                <w:highlight w:val="none"/>
              </w:rPr>
              <w:t>注册证书</w:t>
            </w:r>
            <w:r>
              <w:rPr>
                <w:rFonts w:hint="eastAsia" w:ascii="宋体" w:hAnsi="宋体" w:eastAsia="宋体" w:cs="宋体"/>
                <w:snapToGrid w:val="0"/>
                <w:color w:val="auto"/>
                <w:kern w:val="0"/>
                <w:sz w:val="24"/>
                <w:szCs w:val="24"/>
                <w:highlight w:val="none"/>
              </w:rPr>
              <w:t>彩色扫描件。</w:t>
            </w:r>
          </w:p>
          <w:p w14:paraId="2C744B5C">
            <w:pPr>
              <w:pStyle w:val="3"/>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提供近</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个月（其中必须有202</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月）的社保证明（非独立法人分支机构出具社保，予以认可）彩色扫描件；为退休返聘人员无法提供社保证明的，提供退休证(附返聘证明）彩色扫描件</w:t>
            </w:r>
            <w:r>
              <w:rPr>
                <w:rFonts w:hint="eastAsia" w:ascii="宋体" w:hAnsi="宋体" w:eastAsia="宋体" w:cs="宋体"/>
                <w:snapToGrid w:val="0"/>
                <w:color w:val="auto"/>
                <w:kern w:val="0"/>
                <w:sz w:val="24"/>
                <w:szCs w:val="24"/>
                <w:highlight w:val="none"/>
                <w:lang w:eastAsia="zh-CN"/>
              </w:rPr>
              <w:t>。</w:t>
            </w:r>
          </w:p>
          <w:p w14:paraId="6266DEA0">
            <w:pPr>
              <w:pStyle w:val="3"/>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3.证书或专业类别不符合要求，视为无效，不予计分。</w:t>
            </w:r>
          </w:p>
          <w:p w14:paraId="4BC3B46B">
            <w:pPr>
              <w:pStyle w:val="3"/>
              <w:shd w:val="clear" w:color="auto" w:fill="auto"/>
              <w:wordWrap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bidi="ar-SA"/>
              </w:rPr>
            </w:pPr>
          </w:p>
        </w:tc>
      </w:tr>
      <w:tr w14:paraId="7B9B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810" w:type="dxa"/>
            <w:vMerge w:val="continue"/>
            <w:noWrap w:val="0"/>
            <w:vAlign w:val="center"/>
          </w:tcPr>
          <w:p w14:paraId="33262FA6">
            <w:pPr>
              <w:keepNext w:val="0"/>
              <w:keepLines w:val="0"/>
              <w:pageBreakBefore w:val="0"/>
              <w:widowControl w:val="0"/>
              <w:kinsoku/>
              <w:overflowPunct/>
              <w:topLinePunct w:val="0"/>
              <w:autoSpaceDN/>
              <w:bidi w:val="0"/>
              <w:spacing w:line="460" w:lineRule="exact"/>
              <w:jc w:val="center"/>
              <w:textAlignment w:val="auto"/>
              <w:rPr>
                <w:rFonts w:hint="eastAsia" w:ascii="宋体" w:hAnsi="宋体" w:eastAsia="宋体" w:cs="宋体"/>
                <w:color w:val="000000"/>
                <w:kern w:val="2"/>
                <w:sz w:val="24"/>
                <w:szCs w:val="24"/>
                <w:highlight w:val="none"/>
                <w:lang w:val="en-US" w:eastAsia="zh-CN" w:bidi="ar-SA"/>
              </w:rPr>
            </w:pPr>
          </w:p>
        </w:tc>
        <w:tc>
          <w:tcPr>
            <w:tcW w:w="1107" w:type="dxa"/>
            <w:shd w:val="clear" w:color="auto" w:fill="auto"/>
            <w:noWrap w:val="0"/>
            <w:vAlign w:val="center"/>
          </w:tcPr>
          <w:p w14:paraId="781C42DB">
            <w:pPr>
              <w:pStyle w:val="3"/>
              <w:widowControl/>
              <w:shd w:val="clear" w:color="auto" w:fill="auto"/>
              <w:wordWrap w:val="0"/>
              <w:adjustRightInd w:val="0"/>
              <w:snapToGrid w:val="0"/>
              <w:spacing w:after="0" w:line="24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企业荣誉（4分）</w:t>
            </w:r>
          </w:p>
        </w:tc>
        <w:tc>
          <w:tcPr>
            <w:tcW w:w="3562" w:type="dxa"/>
            <w:shd w:val="clear" w:color="auto" w:fill="auto"/>
            <w:noWrap w:val="0"/>
            <w:vAlign w:val="center"/>
          </w:tcPr>
          <w:p w14:paraId="46CDA297">
            <w:pPr>
              <w:pStyle w:val="3"/>
              <w:keepNext w:val="0"/>
              <w:keepLines w:val="0"/>
              <w:pageBreakBefore w:val="0"/>
              <w:numPr>
                <w:ilvl w:val="0"/>
                <w:numId w:val="3"/>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企业近 5年来（2021年1月1日至今） 获得过中国市政工程协会颁发的企业信用等级AAA级证书的得4分；</w:t>
            </w:r>
          </w:p>
          <w:p w14:paraId="4B57A206">
            <w:pPr>
              <w:pStyle w:val="3"/>
              <w:keepNext w:val="0"/>
              <w:keepLines w:val="0"/>
              <w:pageBreakBefore w:val="0"/>
              <w:numPr>
                <w:ilvl w:val="0"/>
                <w:numId w:val="3"/>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其他情形的，不予计分。</w:t>
            </w:r>
          </w:p>
        </w:tc>
        <w:tc>
          <w:tcPr>
            <w:tcW w:w="3834" w:type="dxa"/>
            <w:shd w:val="clear" w:color="auto" w:fill="auto"/>
            <w:noWrap w:val="0"/>
            <w:vAlign w:val="center"/>
          </w:tcPr>
          <w:p w14:paraId="43D5559B">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1.证书由“中国市政工程协会”颁发，须提供有关证书彩色扫描件。</w:t>
            </w:r>
          </w:p>
          <w:p w14:paraId="25DB3292">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2.颁发机构不符合要求的，按第 2 项标准处理。</w:t>
            </w:r>
          </w:p>
        </w:tc>
      </w:tr>
      <w:tr w14:paraId="755A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810" w:type="dxa"/>
            <w:vMerge w:val="continue"/>
            <w:noWrap w:val="0"/>
            <w:vAlign w:val="center"/>
          </w:tcPr>
          <w:p w14:paraId="49095DED">
            <w:pPr>
              <w:keepNext w:val="0"/>
              <w:keepLines w:val="0"/>
              <w:pageBreakBefore w:val="0"/>
              <w:widowControl w:val="0"/>
              <w:kinsoku/>
              <w:overflowPunct/>
              <w:topLinePunct w:val="0"/>
              <w:autoSpaceDN/>
              <w:bidi w:val="0"/>
              <w:spacing w:line="460" w:lineRule="exact"/>
              <w:jc w:val="center"/>
              <w:textAlignment w:val="auto"/>
              <w:rPr>
                <w:rFonts w:hint="eastAsia" w:ascii="宋体" w:hAnsi="宋体" w:eastAsia="宋体" w:cs="宋体"/>
                <w:snapToGrid w:val="0"/>
                <w:color w:val="000000"/>
                <w:kern w:val="0"/>
                <w:sz w:val="24"/>
                <w:szCs w:val="24"/>
                <w:lang w:val="en-US" w:eastAsia="zh-CN"/>
              </w:rPr>
            </w:pPr>
          </w:p>
        </w:tc>
        <w:tc>
          <w:tcPr>
            <w:tcW w:w="1107" w:type="dxa"/>
            <w:shd w:val="clear" w:color="auto" w:fill="auto"/>
            <w:noWrap w:val="0"/>
            <w:vAlign w:val="center"/>
          </w:tcPr>
          <w:p w14:paraId="5AA7F129">
            <w:pPr>
              <w:shd w:val="clear" w:color="auto" w:fill="auto"/>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rPr>
              <w:t>企业</w:t>
            </w:r>
            <w:r>
              <w:rPr>
                <w:rFonts w:hint="eastAsia" w:ascii="宋体" w:hAnsi="宋体" w:eastAsia="宋体" w:cs="宋体"/>
                <w:b w:val="0"/>
                <w:bCs w:val="0"/>
                <w:color w:val="auto"/>
                <w:kern w:val="0"/>
                <w:sz w:val="24"/>
                <w:szCs w:val="24"/>
                <w:highlight w:val="none"/>
                <w:lang w:val="en-US" w:eastAsia="zh-CN"/>
              </w:rPr>
              <w:t>管理体系认证</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rPr>
              <w:t>分）</w:t>
            </w:r>
          </w:p>
        </w:tc>
        <w:tc>
          <w:tcPr>
            <w:tcW w:w="3562" w:type="dxa"/>
            <w:shd w:val="clear" w:color="auto" w:fill="auto"/>
            <w:noWrap w:val="0"/>
            <w:vAlign w:val="center"/>
          </w:tcPr>
          <w:p w14:paraId="226BB55D">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1．质量管理体系认证、职业健康安全管理体系认证、环境管理体系认证，每获得1项认证得1分，最高得3分。 </w:t>
            </w:r>
          </w:p>
          <w:p w14:paraId="2BC44E27">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2．未获得以上认证的，不予计分。</w:t>
            </w:r>
          </w:p>
        </w:tc>
        <w:tc>
          <w:tcPr>
            <w:tcW w:w="3834" w:type="dxa"/>
            <w:shd w:val="clear" w:color="auto" w:fill="auto"/>
            <w:noWrap w:val="0"/>
            <w:vAlign w:val="center"/>
          </w:tcPr>
          <w:p w14:paraId="32C76F41">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1.需附在有效期内的认证证书彩色扫描件</w:t>
            </w:r>
            <w:r>
              <w:rPr>
                <w:rFonts w:hint="eastAsia" w:ascii="宋体" w:hAnsi="宋体" w:eastAsia="宋体" w:cs="宋体"/>
                <w:color w:val="auto"/>
                <w:spacing w:val="6"/>
                <w:sz w:val="24"/>
                <w:szCs w:val="24"/>
                <w:highlight w:val="none"/>
              </w:rPr>
              <w:t>。</w:t>
            </w:r>
          </w:p>
          <w:p w14:paraId="453CD4E8">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2.任一认证证书有以下情形之一的，该认证证书视为无效，不予计分：</w:t>
            </w:r>
          </w:p>
          <w:p w14:paraId="22097FE8">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①认证证书不在有效期内的。</w:t>
            </w:r>
          </w:p>
        </w:tc>
      </w:tr>
      <w:tr w14:paraId="620D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10" w:type="dxa"/>
            <w:vMerge w:val="continue"/>
            <w:noWrap w:val="0"/>
            <w:vAlign w:val="center"/>
          </w:tcPr>
          <w:p w14:paraId="469ED5D3">
            <w:pPr>
              <w:pStyle w:val="27"/>
              <w:keepNext w:val="0"/>
              <w:keepLines w:val="0"/>
              <w:pageBreakBefore w:val="0"/>
              <w:widowControl w:val="0"/>
              <w:kinsoku/>
              <w:overflowPunct/>
              <w:topLinePunct w:val="0"/>
              <w:autoSpaceDN/>
              <w:bidi w:val="0"/>
              <w:spacing w:line="460" w:lineRule="exact"/>
              <w:jc w:val="center"/>
              <w:textAlignment w:val="auto"/>
              <w:rPr>
                <w:rFonts w:hint="eastAsia" w:ascii="宋体" w:hAnsi="宋体" w:eastAsia="宋体" w:cs="宋体"/>
                <w:b w:val="0"/>
                <w:bCs w:val="0"/>
                <w:strike w:val="0"/>
                <w:dstrike w:val="0"/>
                <w:snapToGrid w:val="0"/>
                <w:color w:val="000000"/>
                <w:kern w:val="0"/>
                <w:sz w:val="24"/>
                <w:szCs w:val="24"/>
                <w:highlight w:val="none"/>
                <w:u w:val="none"/>
                <w:lang w:val="en-US" w:eastAsia="zh-CN" w:bidi="ar-SA"/>
              </w:rPr>
            </w:pPr>
          </w:p>
        </w:tc>
        <w:tc>
          <w:tcPr>
            <w:tcW w:w="1107" w:type="dxa"/>
            <w:shd w:val="clear" w:color="auto" w:fill="auto"/>
            <w:noWrap w:val="0"/>
            <w:vAlign w:val="center"/>
          </w:tcPr>
          <w:p w14:paraId="27637D23">
            <w:pPr>
              <w:pStyle w:val="3"/>
              <w:widowControl/>
              <w:shd w:val="clear" w:color="auto" w:fill="auto"/>
              <w:wordWrap w:val="0"/>
              <w:adjustRightInd w:val="0"/>
              <w:snapToGrid w:val="0"/>
              <w:spacing w:after="0" w:line="24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纳税信用（10分）</w:t>
            </w:r>
          </w:p>
        </w:tc>
        <w:tc>
          <w:tcPr>
            <w:tcW w:w="3562" w:type="dxa"/>
            <w:shd w:val="clear" w:color="auto" w:fill="auto"/>
            <w:noWrap w:val="0"/>
            <w:vAlign w:val="center"/>
          </w:tcPr>
          <w:p w14:paraId="134750A1">
            <w:pPr>
              <w:pStyle w:val="3"/>
              <w:keepNext w:val="0"/>
              <w:keepLines w:val="0"/>
              <w:pageBreakBefore w:val="0"/>
              <w:numPr>
                <w:ilvl w:val="0"/>
                <w:numId w:val="4"/>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企业连续5年以上（含5年）获得纳税信用A级纳税人的，得10分；(其中必须有2025年度)。</w:t>
            </w:r>
          </w:p>
          <w:p w14:paraId="483D0E52">
            <w:pPr>
              <w:pStyle w:val="3"/>
              <w:keepNext w:val="0"/>
              <w:keepLines w:val="0"/>
              <w:pageBreakBefore w:val="0"/>
              <w:numPr>
                <w:ilvl w:val="0"/>
                <w:numId w:val="4"/>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企业连续3年或4年获得纳税信用A级纳税人的，得7分；(其中必须有2025年度)。</w:t>
            </w:r>
          </w:p>
          <w:p w14:paraId="3A1E2AAD">
            <w:pPr>
              <w:pStyle w:val="3"/>
              <w:keepNext w:val="0"/>
              <w:keepLines w:val="0"/>
              <w:pageBreakBefore w:val="0"/>
              <w:numPr>
                <w:ilvl w:val="0"/>
                <w:numId w:val="4"/>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企业连续1年或2年获得纳税信用A级纳税人的，得4分；(其中必须有2025年度)。</w:t>
            </w:r>
          </w:p>
          <w:p w14:paraId="3FA98540">
            <w:pPr>
              <w:pStyle w:val="3"/>
              <w:keepNext w:val="0"/>
              <w:keepLines w:val="0"/>
              <w:pageBreakBefore w:val="0"/>
              <w:numPr>
                <w:ilvl w:val="0"/>
                <w:numId w:val="0"/>
              </w:numPr>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4.其他情形不予计分。</w:t>
            </w:r>
          </w:p>
        </w:tc>
        <w:tc>
          <w:tcPr>
            <w:tcW w:w="3834" w:type="dxa"/>
            <w:shd w:val="clear" w:color="auto" w:fill="auto"/>
            <w:noWrap w:val="0"/>
            <w:vAlign w:val="center"/>
          </w:tcPr>
          <w:p w14:paraId="575B0391">
            <w:pPr>
              <w:pStyle w:val="3"/>
              <w:wordWrap w:val="0"/>
              <w:adjustRightInd w:val="0"/>
              <w:snapToGrid w:val="0"/>
              <w:spacing w:line="360" w:lineRule="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1.必须提供企业纳税信用 A 级纳税人证明材料（或证书）及国家税务总局网上查询截图，否则不得分。</w:t>
            </w:r>
          </w:p>
          <w:p w14:paraId="4275F0D3">
            <w:pPr>
              <w:pStyle w:val="3"/>
              <w:wordWrap w:val="0"/>
              <w:adjustRightInd w:val="0"/>
              <w:snapToGrid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2.只计算投标人自身（投标人的分公司、子公司及分支机构除外）。</w:t>
            </w:r>
          </w:p>
        </w:tc>
      </w:tr>
      <w:tr w14:paraId="106A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10" w:type="dxa"/>
            <w:vMerge w:val="restart"/>
            <w:noWrap w:val="0"/>
            <w:vAlign w:val="center"/>
          </w:tcPr>
          <w:p w14:paraId="49ED5616">
            <w:pPr>
              <w:pStyle w:val="27"/>
              <w:keepNext w:val="0"/>
              <w:keepLines w:val="0"/>
              <w:pageBreakBefore w:val="0"/>
              <w:widowControl w:val="0"/>
              <w:kinsoku/>
              <w:overflowPunct/>
              <w:topLinePunct w:val="0"/>
              <w:autoSpaceDN/>
              <w:bidi w:val="0"/>
              <w:spacing w:line="460" w:lineRule="exact"/>
              <w:jc w:val="center"/>
              <w:textAlignment w:val="auto"/>
              <w:rPr>
                <w:rFonts w:hint="eastAsia" w:ascii="宋体" w:hAnsi="宋体" w:eastAsia="宋体" w:cs="宋体"/>
                <w:b w:val="0"/>
                <w:bCs w:val="0"/>
                <w:strike w:val="0"/>
                <w:dstrike w:val="0"/>
                <w:snapToGrid w:val="0"/>
                <w:color w:val="000000"/>
                <w:kern w:val="0"/>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勘察企业（10分）</w:t>
            </w:r>
          </w:p>
        </w:tc>
        <w:tc>
          <w:tcPr>
            <w:tcW w:w="1107" w:type="dxa"/>
            <w:noWrap w:val="0"/>
            <w:vAlign w:val="center"/>
          </w:tcPr>
          <w:p w14:paraId="471FBAE1">
            <w:pPr>
              <w:pStyle w:val="3"/>
              <w:keepNext w:val="0"/>
              <w:keepLines w:val="0"/>
              <w:pageBreakBefore w:val="0"/>
              <w:kinsoku/>
              <w:wordWrap w:val="0"/>
              <w:overflowPunct/>
              <w:topLinePunct w:val="0"/>
              <w:autoSpaceDN/>
              <w:bidi w:val="0"/>
              <w:adjustRightInd w:val="0"/>
              <w:snapToGrid w:val="0"/>
              <w:spacing w:after="0"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勘察负责人综合素质（5分）</w:t>
            </w:r>
          </w:p>
        </w:tc>
        <w:tc>
          <w:tcPr>
            <w:tcW w:w="3562" w:type="dxa"/>
            <w:noWrap w:val="0"/>
            <w:vAlign w:val="center"/>
          </w:tcPr>
          <w:p w14:paraId="5B9D15DC">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w:t>
            </w:r>
            <w:r>
              <w:rPr>
                <w:rFonts w:hint="eastAsia" w:ascii="宋体" w:hAnsi="宋体" w:cs="宋体"/>
                <w:color w:val="auto"/>
                <w:sz w:val="24"/>
                <w:szCs w:val="24"/>
                <w:highlight w:val="none"/>
                <w:lang w:val="en-US" w:eastAsia="zh-CN"/>
              </w:rPr>
              <w:t>有</w:t>
            </w:r>
            <w:r>
              <w:rPr>
                <w:rFonts w:hint="eastAsia" w:ascii="宋体" w:hAnsi="宋体" w:eastAsia="宋体" w:cs="宋体"/>
                <w:color w:val="auto"/>
                <w:sz w:val="24"/>
                <w:szCs w:val="24"/>
                <w:highlight w:val="none"/>
                <w:lang w:val="en-US" w:eastAsia="zh-CN"/>
              </w:rPr>
              <w:t>岩土工程专业高级工程师（或以上）职称的得5分；</w:t>
            </w:r>
          </w:p>
          <w:p w14:paraId="01FB70C2">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w:t>
            </w:r>
            <w:r>
              <w:rPr>
                <w:rFonts w:hint="eastAsia" w:ascii="宋体" w:hAnsi="宋体" w:cs="宋体"/>
                <w:color w:val="auto"/>
                <w:sz w:val="24"/>
                <w:szCs w:val="24"/>
                <w:highlight w:val="none"/>
                <w:lang w:val="en-US" w:eastAsia="zh-CN"/>
              </w:rPr>
              <w:t>有</w:t>
            </w:r>
            <w:r>
              <w:rPr>
                <w:rFonts w:hint="eastAsia" w:ascii="宋体" w:hAnsi="宋体" w:eastAsia="宋体" w:cs="宋体"/>
                <w:color w:val="auto"/>
                <w:sz w:val="24"/>
                <w:szCs w:val="24"/>
                <w:highlight w:val="none"/>
                <w:lang w:val="en-US" w:eastAsia="zh-CN"/>
              </w:rPr>
              <w:t>岩土工程专业工程师职称的得3分；</w:t>
            </w:r>
          </w:p>
          <w:p w14:paraId="01081C89">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w:t>
            </w:r>
            <w:r>
              <w:rPr>
                <w:rFonts w:hint="eastAsia" w:ascii="宋体" w:hAnsi="宋体" w:cs="宋体"/>
                <w:color w:val="auto"/>
                <w:sz w:val="24"/>
                <w:szCs w:val="24"/>
                <w:highlight w:val="none"/>
                <w:lang w:val="en-US" w:eastAsia="zh-CN"/>
              </w:rPr>
              <w:t>有</w:t>
            </w:r>
            <w:r>
              <w:rPr>
                <w:rFonts w:hint="eastAsia" w:ascii="宋体" w:hAnsi="宋体" w:eastAsia="宋体" w:cs="宋体"/>
                <w:color w:val="auto"/>
                <w:sz w:val="24"/>
                <w:szCs w:val="24"/>
                <w:highlight w:val="none"/>
                <w:lang w:val="en-US" w:eastAsia="zh-CN"/>
              </w:rPr>
              <w:t>岩土工程专业助理工程师职称的得1分；</w:t>
            </w:r>
          </w:p>
          <w:p w14:paraId="2608C3FF">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4.其他情形的，不予计分。</w:t>
            </w:r>
          </w:p>
          <w:p w14:paraId="75E43535">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5.本项最高得5分。</w:t>
            </w:r>
          </w:p>
        </w:tc>
        <w:tc>
          <w:tcPr>
            <w:tcW w:w="3834" w:type="dxa"/>
            <w:noWrap w:val="0"/>
            <w:vAlign w:val="center"/>
          </w:tcPr>
          <w:p w14:paraId="15F479FD">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需附职称证彩色扫描件（或电子职称证）。</w:t>
            </w:r>
          </w:p>
          <w:p w14:paraId="03D04923">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2.需提供</w:t>
            </w:r>
            <w:r>
              <w:rPr>
                <w:rFonts w:hint="eastAsia" w:ascii="宋体" w:hAnsi="宋体" w:eastAsia="宋体" w:cs="宋体"/>
                <w:color w:val="auto"/>
                <w:sz w:val="24"/>
                <w:szCs w:val="24"/>
                <w:highlight w:val="none"/>
                <w:lang w:val="en-US" w:eastAsia="zh-CN"/>
              </w:rPr>
              <w:t>勘察负责人</w:t>
            </w:r>
            <w:r>
              <w:rPr>
                <w:rFonts w:hint="eastAsia" w:ascii="宋体" w:hAnsi="宋体" w:eastAsia="宋体" w:cs="宋体"/>
                <w:color w:val="auto"/>
                <w:sz w:val="24"/>
                <w:szCs w:val="24"/>
                <w:highlight w:val="none"/>
              </w:rPr>
              <w:t>在本单位缴纳</w:t>
            </w:r>
            <w:r>
              <w:rPr>
                <w:rFonts w:hint="eastAsia" w:ascii="宋体" w:hAnsi="宋体" w:eastAsia="宋体" w:cs="宋体"/>
                <w:color w:val="auto"/>
                <w:sz w:val="24"/>
                <w:szCs w:val="24"/>
                <w:highlight w:val="none"/>
                <w:lang w:val="en-US" w:eastAsia="zh-CN"/>
              </w:rPr>
              <w:t>连续3个月</w:t>
            </w:r>
            <w:r>
              <w:rPr>
                <w:rFonts w:hint="eastAsia" w:ascii="宋体" w:hAnsi="宋体" w:eastAsia="宋体" w:cs="宋体"/>
                <w:color w:val="auto"/>
                <w:sz w:val="24"/>
                <w:szCs w:val="24"/>
                <w:highlight w:val="none"/>
              </w:rPr>
              <w:t>社保的证明（其中必须有</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rPr>
              <w:t>）彩色扫描件，返聘人员除外；若是退休人员需提供退休证和返聘合同（协议）彩色扫描件。</w:t>
            </w:r>
          </w:p>
        </w:tc>
      </w:tr>
      <w:tr w14:paraId="101F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8" w:hRule="atLeast"/>
        </w:trPr>
        <w:tc>
          <w:tcPr>
            <w:tcW w:w="810" w:type="dxa"/>
            <w:vMerge w:val="continue"/>
            <w:noWrap w:val="0"/>
            <w:vAlign w:val="center"/>
          </w:tcPr>
          <w:p w14:paraId="58F11F1A">
            <w:pPr>
              <w:pStyle w:val="27"/>
              <w:keepNext w:val="0"/>
              <w:keepLines w:val="0"/>
              <w:pageBreakBefore w:val="0"/>
              <w:widowControl w:val="0"/>
              <w:kinsoku/>
              <w:overflowPunct/>
              <w:topLinePunct w:val="0"/>
              <w:autoSpaceDN/>
              <w:bidi w:val="0"/>
              <w:spacing w:line="460" w:lineRule="exact"/>
              <w:jc w:val="center"/>
              <w:textAlignment w:val="auto"/>
              <w:rPr>
                <w:rFonts w:hint="eastAsia" w:ascii="宋体" w:hAnsi="宋体" w:eastAsia="宋体" w:cs="宋体"/>
                <w:color w:val="000000"/>
                <w:sz w:val="24"/>
                <w:szCs w:val="24"/>
                <w:lang w:val="en-US" w:eastAsia="zh-CN"/>
              </w:rPr>
            </w:pPr>
          </w:p>
        </w:tc>
        <w:tc>
          <w:tcPr>
            <w:tcW w:w="1107" w:type="dxa"/>
            <w:noWrap w:val="0"/>
            <w:vAlign w:val="center"/>
          </w:tcPr>
          <w:p w14:paraId="1AA21992">
            <w:pPr>
              <w:pStyle w:val="3"/>
              <w:keepNext w:val="0"/>
              <w:keepLines w:val="0"/>
              <w:pageBreakBefore w:val="0"/>
              <w:kinsoku/>
              <w:wordWrap w:val="0"/>
              <w:overflowPunct/>
              <w:topLinePunct w:val="0"/>
              <w:autoSpaceDN/>
              <w:bidi w:val="0"/>
              <w:adjustRightInd w:val="0"/>
              <w:snapToGrid w:val="0"/>
              <w:spacing w:after="0"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w:t>
            </w:r>
          </w:p>
          <w:p w14:paraId="65FBE3DB">
            <w:pPr>
              <w:pStyle w:val="3"/>
              <w:keepNext w:val="0"/>
              <w:keepLines w:val="0"/>
              <w:pageBreakBefore w:val="0"/>
              <w:kinsoku/>
              <w:wordWrap w:val="0"/>
              <w:overflowPunct/>
              <w:topLinePunct w:val="0"/>
              <w:autoSpaceDN/>
              <w:bidi w:val="0"/>
              <w:adjustRightInd w:val="0"/>
              <w:snapToGrid w:val="0"/>
              <w:spacing w:after="0"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业绩</w:t>
            </w:r>
          </w:p>
          <w:p w14:paraId="593CC68B">
            <w:pPr>
              <w:pStyle w:val="3"/>
              <w:keepNext w:val="0"/>
              <w:keepLines w:val="0"/>
              <w:pageBreakBefore w:val="0"/>
              <w:kinsoku/>
              <w:wordWrap w:val="0"/>
              <w:overflowPunct/>
              <w:topLinePunct w:val="0"/>
              <w:autoSpaceDN/>
              <w:bidi w:val="0"/>
              <w:adjustRightInd w:val="0"/>
              <w:snapToGrid w:val="0"/>
              <w:spacing w:after="0"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（5分）</w:t>
            </w:r>
          </w:p>
        </w:tc>
        <w:tc>
          <w:tcPr>
            <w:tcW w:w="3562" w:type="dxa"/>
            <w:noWrap w:val="0"/>
            <w:vAlign w:val="center"/>
          </w:tcPr>
          <w:p w14:paraId="7A5B804D">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企业近5年来（2021年1月1日至今）业绩情况：</w:t>
            </w:r>
          </w:p>
          <w:p w14:paraId="3BE61183">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 承接过类似项目的的单项工程，每个得5分。</w:t>
            </w:r>
          </w:p>
          <w:p w14:paraId="3A121E0E">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2．未承接过类似项目的，不予计分。</w:t>
            </w:r>
          </w:p>
          <w:p w14:paraId="007EB622">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3.本项最高得5分。</w:t>
            </w:r>
          </w:p>
        </w:tc>
        <w:tc>
          <w:tcPr>
            <w:tcW w:w="3834" w:type="dxa"/>
            <w:noWrap w:val="0"/>
            <w:vAlign w:val="center"/>
          </w:tcPr>
          <w:p w14:paraId="17D27969">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1．类似项目指：市政类工程勘察项目 （含勘察、勘察设计、勘察设计施工总承包项目）。</w:t>
            </w:r>
          </w:p>
          <w:p w14:paraId="0BD3492E">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2．需附有关业绩合同协议书彩色扫描件。</w:t>
            </w:r>
          </w:p>
          <w:p w14:paraId="4C88AF67">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3．业绩时间以合同协议书日期为准。</w:t>
            </w:r>
          </w:p>
          <w:p w14:paraId="29E2F220">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4．任一业绩有以下情形之一的，该业绩视为无效，不予计分：</w:t>
            </w:r>
          </w:p>
          <w:p w14:paraId="416342DC">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①业绩不属于类似项目的；</w:t>
            </w:r>
          </w:p>
          <w:p w14:paraId="5E726CA1">
            <w:pPr>
              <w:pStyle w:val="3"/>
              <w:keepNext w:val="0"/>
              <w:keepLines w:val="0"/>
              <w:pageBreakBefore w:val="0"/>
              <w:kinsoku/>
              <w:wordWrap w:val="0"/>
              <w:overflowPunct/>
              <w:topLinePunct w:val="0"/>
              <w:autoSpaceDN/>
              <w:bidi w:val="0"/>
              <w:adjustRightInd w:val="0"/>
              <w:snapToGrid w:val="0"/>
              <w:spacing w:after="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②业绩时间不符合要求的。</w:t>
            </w:r>
          </w:p>
        </w:tc>
      </w:tr>
      <w:tr w14:paraId="0A21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9313" w:type="dxa"/>
            <w:gridSpan w:val="4"/>
            <w:noWrap w:val="0"/>
            <w:vAlign w:val="center"/>
          </w:tcPr>
          <w:p w14:paraId="0644436F">
            <w:pPr>
              <w:keepNext w:val="0"/>
              <w:keepLines w:val="0"/>
              <w:pageBreakBefore w:val="0"/>
              <w:widowControl w:val="0"/>
              <w:kinsoku/>
              <w:overflowPunct/>
              <w:topLinePunct w:val="0"/>
              <w:autoSpaceDN/>
              <w:bidi w:val="0"/>
              <w:spacing w:line="460" w:lineRule="exac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技术部分M2，满分：</w:t>
            </w:r>
            <w:r>
              <w:rPr>
                <w:rFonts w:hint="eastAsia" w:ascii="宋体" w:hAnsi="宋体" w:eastAsia="宋体" w:cs="宋体"/>
                <w:b/>
                <w:bCs/>
                <w:color w:val="000000"/>
                <w:kern w:val="0"/>
                <w:sz w:val="24"/>
                <w:szCs w:val="24"/>
                <w:u w:val="single"/>
              </w:rPr>
              <w:t>10</w:t>
            </w:r>
            <w:r>
              <w:rPr>
                <w:rFonts w:hint="eastAsia" w:ascii="宋体" w:hAnsi="宋体" w:eastAsia="宋体" w:cs="宋体"/>
                <w:b/>
                <w:bCs/>
                <w:color w:val="000000"/>
                <w:kern w:val="0"/>
                <w:sz w:val="24"/>
                <w:szCs w:val="24"/>
              </w:rPr>
              <w:t>分。</w:t>
            </w:r>
          </w:p>
        </w:tc>
      </w:tr>
      <w:tr w14:paraId="2D61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917" w:type="dxa"/>
            <w:gridSpan w:val="2"/>
            <w:noWrap w:val="0"/>
            <w:vAlign w:val="center"/>
          </w:tcPr>
          <w:p w14:paraId="371097E4">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snapToGrid w:val="0"/>
                <w:color w:val="000000"/>
                <w:kern w:val="0"/>
                <w:sz w:val="24"/>
                <w:szCs w:val="24"/>
                <w:lang w:val="en-US" w:eastAsia="zh-CN" w:bidi="ar-SA"/>
              </w:rPr>
            </w:pPr>
            <w:r>
              <w:rPr>
                <w:rFonts w:hint="eastAsia" w:ascii="宋体" w:hAnsi="宋体" w:eastAsia="宋体" w:cs="宋体"/>
                <w:b/>
                <w:bCs/>
                <w:snapToGrid w:val="0"/>
                <w:color w:val="000000"/>
                <w:kern w:val="0"/>
                <w:sz w:val="24"/>
                <w:szCs w:val="24"/>
              </w:rPr>
              <w:t>评分因素</w:t>
            </w:r>
          </w:p>
        </w:tc>
        <w:tc>
          <w:tcPr>
            <w:tcW w:w="7396" w:type="dxa"/>
            <w:gridSpan w:val="2"/>
            <w:noWrap w:val="0"/>
            <w:vAlign w:val="center"/>
          </w:tcPr>
          <w:p w14:paraId="1D6EE9D5">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snapToGrid w:val="0"/>
                <w:color w:val="000000"/>
                <w:kern w:val="0"/>
                <w:sz w:val="24"/>
                <w:szCs w:val="24"/>
                <w:lang w:val="en-US" w:eastAsia="zh-CN" w:bidi="ar-SA"/>
              </w:rPr>
            </w:pPr>
            <w:r>
              <w:rPr>
                <w:rFonts w:hint="eastAsia" w:ascii="宋体" w:hAnsi="宋体" w:eastAsia="宋体" w:cs="宋体"/>
                <w:b/>
                <w:bCs/>
                <w:snapToGrid w:val="0"/>
                <w:color w:val="000000"/>
                <w:kern w:val="0"/>
                <w:sz w:val="24"/>
                <w:szCs w:val="24"/>
              </w:rPr>
              <w:t>评分标准</w:t>
            </w:r>
          </w:p>
        </w:tc>
      </w:tr>
      <w:tr w14:paraId="2054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3" w:hRule="atLeast"/>
        </w:trPr>
        <w:tc>
          <w:tcPr>
            <w:tcW w:w="1917" w:type="dxa"/>
            <w:gridSpan w:val="2"/>
            <w:noWrap w:val="0"/>
            <w:vAlign w:val="center"/>
          </w:tcPr>
          <w:p w14:paraId="7C3EA385">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center"/>
              <w:textAlignment w:val="auto"/>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color w:val="auto"/>
                <w:spacing w:val="-2"/>
                <w:sz w:val="24"/>
                <w:szCs w:val="24"/>
                <w:highlight w:val="none"/>
                <w:lang w:val="en-US" w:eastAsia="zh-CN"/>
              </w:rPr>
              <w:t>项目设计重点、难点分析（3分）</w:t>
            </w:r>
          </w:p>
        </w:tc>
        <w:tc>
          <w:tcPr>
            <w:tcW w:w="7396" w:type="dxa"/>
            <w:gridSpan w:val="2"/>
            <w:noWrap w:val="0"/>
            <w:vAlign w:val="center"/>
          </w:tcPr>
          <w:p w14:paraId="1AA263E5">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对本招标项目的重点、难点的分析，以及相关应对措施：</w:t>
            </w:r>
          </w:p>
          <w:p w14:paraId="47CB187E">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【优】对本招标项目的重点、难点的分析，以及相关应对措施描述详尽、透彻的得3.0分；</w:t>
            </w:r>
          </w:p>
          <w:p w14:paraId="4365F6C6">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【良】对本招标项目的重点、难点的分析，以及相关应对措施描述较详尽、较透彻的得2.5分；</w:t>
            </w:r>
          </w:p>
          <w:p w14:paraId="499720DC">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【合格】对本招标项目的重点、难点的分析，以及相关应对措施描述不够详尽、不够透彻的得2.0分；</w:t>
            </w:r>
          </w:p>
          <w:p w14:paraId="57649BD9">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color w:val="auto"/>
                <w:spacing w:val="-2"/>
                <w:sz w:val="24"/>
                <w:szCs w:val="24"/>
                <w:highlight w:val="none"/>
                <w:lang w:val="en-US" w:eastAsia="zh-CN"/>
              </w:rPr>
              <w:t>无该项描述得0分。</w:t>
            </w:r>
          </w:p>
        </w:tc>
      </w:tr>
      <w:tr w14:paraId="5BFE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17" w:type="dxa"/>
            <w:gridSpan w:val="2"/>
            <w:noWrap w:val="0"/>
            <w:vAlign w:val="center"/>
          </w:tcPr>
          <w:p w14:paraId="625C9C36">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center"/>
              <w:textAlignment w:val="auto"/>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color w:val="auto"/>
                <w:spacing w:val="-2"/>
                <w:sz w:val="24"/>
                <w:szCs w:val="24"/>
                <w:highlight w:val="none"/>
                <w:lang w:val="en-US" w:eastAsia="zh-CN"/>
              </w:rPr>
              <w:t>质量和进度保证措施（3分）</w:t>
            </w:r>
          </w:p>
        </w:tc>
        <w:tc>
          <w:tcPr>
            <w:tcW w:w="7396" w:type="dxa"/>
            <w:gridSpan w:val="2"/>
            <w:noWrap w:val="0"/>
            <w:vAlign w:val="center"/>
          </w:tcPr>
          <w:p w14:paraId="667E65C7">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据投标人对质量和进度的保证措施及承诺进行评分：</w:t>
            </w:r>
          </w:p>
          <w:p w14:paraId="4EACA6BF">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【优】对质量和进度的保证措施及承诺描述详尽、透彻的得3.0分；</w:t>
            </w:r>
          </w:p>
          <w:p w14:paraId="510D45D0">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【良】对质量和进度的保证措施及承诺描述较详尽、较透彻的得2.5分；</w:t>
            </w:r>
          </w:p>
          <w:p w14:paraId="1DBC55A9">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【合格】对质量和进度的保证措施及承诺描述不够详尽、不够透彻的得2.0分；</w:t>
            </w:r>
          </w:p>
          <w:p w14:paraId="72D43959">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color w:val="auto"/>
                <w:spacing w:val="-2"/>
                <w:sz w:val="24"/>
                <w:szCs w:val="24"/>
                <w:highlight w:val="none"/>
                <w:lang w:val="en-US" w:eastAsia="zh-CN"/>
              </w:rPr>
              <w:t>无该项描述得0分。</w:t>
            </w:r>
          </w:p>
        </w:tc>
      </w:tr>
      <w:tr w14:paraId="0F1F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trPr>
        <w:tc>
          <w:tcPr>
            <w:tcW w:w="1917" w:type="dxa"/>
            <w:gridSpan w:val="2"/>
            <w:noWrap w:val="0"/>
            <w:vAlign w:val="center"/>
          </w:tcPr>
          <w:p w14:paraId="79D9587C">
            <w:pPr>
              <w:keepNext w:val="0"/>
              <w:keepLines w:val="0"/>
              <w:pageBreakBefore w:val="0"/>
              <w:widowControl w:val="0"/>
              <w:kinsoku/>
              <w:overflowPunct/>
              <w:topLinePunct w:val="0"/>
              <w:autoSpaceDN/>
              <w:bidi w:val="0"/>
              <w:spacing w:line="360" w:lineRule="auto"/>
              <w:jc w:val="center"/>
              <w:textAlignment w:val="auto"/>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color w:val="auto"/>
                <w:spacing w:val="-2"/>
                <w:sz w:val="24"/>
                <w:szCs w:val="24"/>
                <w:highlight w:val="none"/>
              </w:rPr>
              <w:t>设计方案合理性（</w:t>
            </w:r>
            <w:r>
              <w:rPr>
                <w:rFonts w:hint="eastAsia" w:ascii="宋体" w:hAnsi="宋体" w:eastAsia="宋体" w:cs="宋体"/>
                <w:color w:val="auto"/>
                <w:spacing w:val="-2"/>
                <w:sz w:val="24"/>
                <w:szCs w:val="24"/>
                <w:highlight w:val="none"/>
                <w:lang w:val="en-US" w:eastAsia="zh-CN"/>
              </w:rPr>
              <w:t>4</w:t>
            </w:r>
            <w:r>
              <w:rPr>
                <w:rFonts w:hint="eastAsia" w:ascii="宋体" w:hAnsi="宋体" w:eastAsia="宋体" w:cs="宋体"/>
                <w:color w:val="auto"/>
                <w:spacing w:val="-2"/>
                <w:sz w:val="24"/>
                <w:szCs w:val="24"/>
                <w:highlight w:val="none"/>
              </w:rPr>
              <w:t>分）</w:t>
            </w:r>
          </w:p>
        </w:tc>
        <w:tc>
          <w:tcPr>
            <w:tcW w:w="7396" w:type="dxa"/>
            <w:gridSpan w:val="2"/>
            <w:noWrap w:val="0"/>
            <w:vAlign w:val="center"/>
          </w:tcPr>
          <w:p w14:paraId="0ED6D35F">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根据投标人的设计方案合理性进行评分：</w:t>
            </w:r>
          </w:p>
          <w:p w14:paraId="1F2F82EF">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【优】投标人的设计方案非常合理的得4.0分；</w:t>
            </w:r>
          </w:p>
          <w:p w14:paraId="0E063E23">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【良】投标人的设计方案较合理的得3.5分；</w:t>
            </w:r>
          </w:p>
          <w:p w14:paraId="4DC928ED">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【合格】投标人的设计方案不够合理的得3.0分；</w:t>
            </w:r>
          </w:p>
          <w:p w14:paraId="26BC1BC2">
            <w:pPr>
              <w:pStyle w:val="3"/>
              <w:keepNext w:val="0"/>
              <w:keepLines w:val="0"/>
              <w:pageBreakBefore w:val="0"/>
              <w:widowControl w:val="0"/>
              <w:kinsoku/>
              <w:wordWrap w:val="0"/>
              <w:overflowPunct/>
              <w:topLinePunct w:val="0"/>
              <w:autoSpaceDE w:val="0"/>
              <w:autoSpaceDN/>
              <w:bidi w:val="0"/>
              <w:adjustRightInd w:val="0"/>
              <w:snapToGrid w:val="0"/>
              <w:spacing w:after="0" w:afterLines="0" w:line="360" w:lineRule="auto"/>
              <w:jc w:val="left"/>
              <w:textAlignment w:val="auto"/>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color w:val="auto"/>
                <w:spacing w:val="-2"/>
                <w:sz w:val="24"/>
                <w:szCs w:val="24"/>
                <w:highlight w:val="none"/>
                <w:lang w:val="en-US" w:eastAsia="zh-CN"/>
              </w:rPr>
              <w:t>无该项描述得0分。</w:t>
            </w:r>
          </w:p>
        </w:tc>
      </w:tr>
      <w:tr w14:paraId="3222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9313" w:type="dxa"/>
            <w:gridSpan w:val="4"/>
            <w:noWrap w:val="0"/>
            <w:vAlign w:val="center"/>
          </w:tcPr>
          <w:p w14:paraId="0F7E3B27">
            <w:pPr>
              <w:keepNext w:val="0"/>
              <w:keepLines w:val="0"/>
              <w:pageBreakBefore w:val="0"/>
              <w:widowControl w:val="0"/>
              <w:kinsoku/>
              <w:wordWrap w:val="0"/>
              <w:overflowPunct/>
              <w:topLinePunct w:val="0"/>
              <w:autoSpaceDE w:val="0"/>
              <w:autoSpaceDN/>
              <w:bidi w:val="0"/>
              <w:adjustRightInd w:val="0"/>
              <w:snapToGrid w:val="0"/>
              <w:spacing w:line="460" w:lineRule="exac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投标报价部分M</w:t>
            </w:r>
            <w:r>
              <w:rPr>
                <w:rFonts w:hint="eastAsia" w:ascii="宋体" w:hAnsi="宋体" w:eastAsia="宋体" w:cs="宋体"/>
                <w:b/>
                <w:bCs/>
                <w:color w:val="000000"/>
                <w:kern w:val="0"/>
                <w:sz w:val="24"/>
                <w:szCs w:val="24"/>
                <w:lang w:val="en-US" w:eastAsia="zh-CN"/>
              </w:rPr>
              <w:t>3</w:t>
            </w:r>
            <w:r>
              <w:rPr>
                <w:rFonts w:hint="eastAsia" w:ascii="宋体" w:hAnsi="宋体" w:eastAsia="宋体" w:cs="宋体"/>
                <w:b/>
                <w:bCs/>
                <w:color w:val="000000"/>
                <w:kern w:val="0"/>
                <w:sz w:val="24"/>
                <w:szCs w:val="24"/>
              </w:rPr>
              <w:t>，满分：</w:t>
            </w:r>
            <w:r>
              <w:rPr>
                <w:rFonts w:hint="eastAsia" w:ascii="宋体" w:hAnsi="宋体" w:eastAsia="宋体" w:cs="宋体"/>
                <w:b/>
                <w:bCs/>
                <w:color w:val="000000"/>
                <w:kern w:val="0"/>
                <w:sz w:val="24"/>
                <w:szCs w:val="24"/>
                <w:lang w:val="en-US" w:eastAsia="zh-CN"/>
              </w:rPr>
              <w:t>30</w:t>
            </w:r>
            <w:r>
              <w:rPr>
                <w:rFonts w:hint="eastAsia" w:ascii="宋体" w:hAnsi="宋体" w:eastAsia="宋体" w:cs="宋体"/>
                <w:b/>
                <w:bCs/>
                <w:color w:val="000000"/>
                <w:kern w:val="0"/>
                <w:sz w:val="24"/>
                <w:szCs w:val="24"/>
              </w:rPr>
              <w:t>分。</w:t>
            </w:r>
          </w:p>
        </w:tc>
      </w:tr>
      <w:tr w14:paraId="5557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917" w:type="dxa"/>
            <w:gridSpan w:val="2"/>
            <w:noWrap w:val="0"/>
            <w:vAlign w:val="center"/>
          </w:tcPr>
          <w:p w14:paraId="75C5FA1F">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评分事项</w:t>
            </w:r>
          </w:p>
        </w:tc>
        <w:tc>
          <w:tcPr>
            <w:tcW w:w="7396" w:type="dxa"/>
            <w:gridSpan w:val="2"/>
            <w:noWrap w:val="0"/>
            <w:vAlign w:val="center"/>
          </w:tcPr>
          <w:p w14:paraId="73F50DDC">
            <w:pPr>
              <w:keepNext w:val="0"/>
              <w:keepLines w:val="0"/>
              <w:pageBreakBefore w:val="0"/>
              <w:widowControl w:val="0"/>
              <w:kinsoku/>
              <w:wordWrap w:val="0"/>
              <w:overflowPunct/>
              <w:topLinePunct w:val="0"/>
              <w:autoSpaceDE w:val="0"/>
              <w:autoSpaceDN/>
              <w:bidi w:val="0"/>
              <w:adjustRightInd w:val="0"/>
              <w:snapToGrid w:val="0"/>
              <w:spacing w:after="120" w:line="460" w:lineRule="exact"/>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评分方法</w:t>
            </w:r>
          </w:p>
        </w:tc>
      </w:tr>
      <w:tr w14:paraId="0485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917" w:type="dxa"/>
            <w:gridSpan w:val="2"/>
            <w:noWrap w:val="0"/>
            <w:vAlign w:val="center"/>
          </w:tcPr>
          <w:p w14:paraId="4E92E710">
            <w:pPr>
              <w:keepNext w:val="0"/>
              <w:keepLines w:val="0"/>
              <w:pageBreakBefore w:val="0"/>
              <w:widowControl w:val="0"/>
              <w:kinsoku/>
              <w:wordWrap w:val="0"/>
              <w:overflowPunct/>
              <w:topLinePunct w:val="0"/>
              <w:autoSpaceDE w:val="0"/>
              <w:autoSpaceDN/>
              <w:bidi w:val="0"/>
              <w:adjustRightInd w:val="0"/>
              <w:snapToGrid w:val="0"/>
              <w:spacing w:line="46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snapToGrid w:val="0"/>
                <w:color w:val="000000"/>
                <w:kern w:val="0"/>
                <w:sz w:val="24"/>
                <w:szCs w:val="24"/>
              </w:rPr>
              <w:t>评标基准价D</w:t>
            </w:r>
          </w:p>
        </w:tc>
        <w:tc>
          <w:tcPr>
            <w:tcW w:w="7396" w:type="dxa"/>
            <w:gridSpan w:val="2"/>
            <w:noWrap w:val="0"/>
            <w:vAlign w:val="center"/>
          </w:tcPr>
          <w:p w14:paraId="3E349CD9">
            <w:pPr>
              <w:keepNext w:val="0"/>
              <w:keepLines w:val="0"/>
              <w:pageBreakBefore w:val="0"/>
              <w:widowControl w:val="0"/>
              <w:kinsoku/>
              <w:wordWrap w:val="0"/>
              <w:overflowPunct/>
              <w:topLinePunct w:val="0"/>
              <w:autoSpaceDN/>
              <w:bidi w:val="0"/>
              <w:adjustRightInd w:val="0"/>
              <w:snapToGrid w:val="0"/>
              <w:spacing w:line="460" w:lineRule="exact"/>
              <w:jc w:val="left"/>
              <w:textAlignment w:val="auto"/>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eastAsia="zh-CN"/>
              </w:rPr>
              <w:t>(1)</w:t>
            </w:r>
            <w:r>
              <w:rPr>
                <w:rFonts w:hint="eastAsia" w:ascii="宋体" w:hAnsi="宋体" w:eastAsia="宋体" w:cs="宋体"/>
                <w:snapToGrid w:val="0"/>
                <w:color w:val="000000"/>
                <w:kern w:val="0"/>
                <w:sz w:val="24"/>
                <w:szCs w:val="24"/>
              </w:rPr>
              <w:t>确定最高投标限价下浮系数n：用1～21号球分别代表一个下浮系数，由评委代表从这21个号码中随机抽取</w:t>
            </w:r>
            <w:r>
              <w:rPr>
                <w:rFonts w:hint="eastAsia" w:ascii="宋体" w:hAnsi="宋体" w:eastAsia="宋体" w:cs="宋体"/>
                <w:snapToGrid w:val="0"/>
                <w:color w:val="000000"/>
                <w:kern w:val="0"/>
                <w:sz w:val="24"/>
                <w:szCs w:val="24"/>
                <w:u w:val="single"/>
              </w:rPr>
              <w:t xml:space="preserve"> 3 </w:t>
            </w:r>
            <w:r>
              <w:rPr>
                <w:rFonts w:hint="eastAsia" w:ascii="宋体" w:hAnsi="宋体" w:eastAsia="宋体" w:cs="宋体"/>
                <w:snapToGrid w:val="0"/>
                <w:color w:val="000000"/>
                <w:kern w:val="0"/>
                <w:sz w:val="24"/>
                <w:szCs w:val="24"/>
              </w:rPr>
              <w:t>次，每次抽取1个号码，抽出的号球不参与下次抽取。所抽取的3个号码对应下浮系数的算术平均值作为最高投标限价下浮系数n。具体号码对应的下浮系数可参考下表</w:t>
            </w:r>
            <w:r>
              <w:rPr>
                <w:rFonts w:hint="eastAsia" w:ascii="宋体" w:hAnsi="宋体" w:eastAsia="宋体" w:cs="宋体"/>
                <w:snapToGrid w:val="0"/>
                <w:color w:val="000000"/>
                <w:kern w:val="0"/>
                <w:sz w:val="24"/>
                <w:szCs w:val="24"/>
                <w:lang w:eastAsia="zh-CN"/>
              </w:rPr>
              <w:t>：</w:t>
            </w:r>
          </w:p>
          <w:tbl>
            <w:tblPr>
              <w:tblStyle w:val="33"/>
              <w:tblW w:w="7115" w:type="dxa"/>
              <w:tblInd w:w="0" w:type="dxa"/>
              <w:tblLayout w:type="fixed"/>
              <w:tblCellMar>
                <w:top w:w="0" w:type="dxa"/>
                <w:left w:w="108" w:type="dxa"/>
                <w:bottom w:w="0" w:type="dxa"/>
                <w:right w:w="108" w:type="dxa"/>
              </w:tblCellMar>
            </w:tblPr>
            <w:tblGrid>
              <w:gridCol w:w="1672"/>
              <w:gridCol w:w="777"/>
              <w:gridCol w:w="777"/>
              <w:gridCol w:w="777"/>
              <w:gridCol w:w="777"/>
              <w:gridCol w:w="777"/>
              <w:gridCol w:w="777"/>
              <w:gridCol w:w="781"/>
            </w:tblGrid>
            <w:tr w14:paraId="0C375154">
              <w:tblPrEx>
                <w:tblCellMar>
                  <w:top w:w="0" w:type="dxa"/>
                  <w:left w:w="108" w:type="dxa"/>
                  <w:bottom w:w="0" w:type="dxa"/>
                  <w:right w:w="108" w:type="dxa"/>
                </w:tblCellMar>
              </w:tblPrEx>
              <w:trPr>
                <w:trHeight w:val="422" w:hRule="atLeast"/>
              </w:trPr>
              <w:tc>
                <w:tcPr>
                  <w:tcW w:w="1672" w:type="dxa"/>
                  <w:tcBorders>
                    <w:top w:val="single" w:color="000000" w:sz="4" w:space="0"/>
                    <w:left w:val="single" w:color="000000" w:sz="4" w:space="0"/>
                    <w:bottom w:val="single" w:color="000000" w:sz="4" w:space="0"/>
                    <w:right w:val="single" w:color="000000" w:sz="4" w:space="0"/>
                  </w:tcBorders>
                  <w:noWrap w:val="0"/>
                  <w:vAlign w:val="center"/>
                </w:tcPr>
                <w:p w14:paraId="32BECF7F">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号球</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72191435">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1</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7016799D">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2</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43C423B4">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3</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01FF420C">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4</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43BFE6E4">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5</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42796BD6">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6</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42C138C9">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7</w:t>
                  </w:r>
                </w:p>
              </w:tc>
            </w:tr>
            <w:tr w14:paraId="3A5E3E89">
              <w:tblPrEx>
                <w:tblCellMar>
                  <w:top w:w="0" w:type="dxa"/>
                  <w:left w:w="108" w:type="dxa"/>
                  <w:bottom w:w="0" w:type="dxa"/>
                  <w:right w:w="108" w:type="dxa"/>
                </w:tblCellMar>
              </w:tblPrEx>
              <w:trPr>
                <w:trHeight w:val="562" w:hRule="atLeast"/>
              </w:trPr>
              <w:tc>
                <w:tcPr>
                  <w:tcW w:w="1672" w:type="dxa"/>
                  <w:tcBorders>
                    <w:top w:val="single" w:color="000000" w:sz="4" w:space="0"/>
                    <w:left w:val="single" w:color="000000" w:sz="4" w:space="0"/>
                    <w:bottom w:val="single" w:color="000000" w:sz="4" w:space="0"/>
                    <w:right w:val="single" w:color="000000" w:sz="4" w:space="0"/>
                  </w:tcBorders>
                  <w:noWrap w:val="0"/>
                  <w:vAlign w:val="center"/>
                </w:tcPr>
                <w:p w14:paraId="7C8E2E9F">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下浮系数（%）</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1261860E">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1.0</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787007A7">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1.1</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4ECCA8F5">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1.2</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0FD5B8E4">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1.3</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4B5C354E">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1.4</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6C94BFF2">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1.5</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719E91DB">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1.6</w:t>
                  </w:r>
                </w:p>
              </w:tc>
            </w:tr>
            <w:tr w14:paraId="3A1C1EF3">
              <w:tblPrEx>
                <w:tblCellMar>
                  <w:top w:w="0" w:type="dxa"/>
                  <w:left w:w="108" w:type="dxa"/>
                  <w:bottom w:w="0" w:type="dxa"/>
                  <w:right w:w="108" w:type="dxa"/>
                </w:tblCellMar>
              </w:tblPrEx>
              <w:trPr>
                <w:trHeight w:val="465" w:hRule="atLeast"/>
              </w:trPr>
              <w:tc>
                <w:tcPr>
                  <w:tcW w:w="1672" w:type="dxa"/>
                  <w:tcBorders>
                    <w:top w:val="single" w:color="000000" w:sz="4" w:space="0"/>
                    <w:left w:val="single" w:color="000000" w:sz="4" w:space="0"/>
                    <w:bottom w:val="single" w:color="000000" w:sz="4" w:space="0"/>
                    <w:right w:val="single" w:color="000000" w:sz="4" w:space="0"/>
                  </w:tcBorders>
                  <w:noWrap w:val="0"/>
                  <w:vAlign w:val="center"/>
                </w:tcPr>
                <w:p w14:paraId="2AD178AB">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号球</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5EE3141B">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8</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6666D020">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9</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31F06A55">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10</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4829F585">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11</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6BB75D98">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12</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088D9B27">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13</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1D1A938A">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14</w:t>
                  </w:r>
                </w:p>
              </w:tc>
            </w:tr>
            <w:tr w14:paraId="76BEDAF4">
              <w:tblPrEx>
                <w:tblCellMar>
                  <w:top w:w="0" w:type="dxa"/>
                  <w:left w:w="108" w:type="dxa"/>
                  <w:bottom w:w="0" w:type="dxa"/>
                  <w:right w:w="108" w:type="dxa"/>
                </w:tblCellMar>
              </w:tblPrEx>
              <w:trPr>
                <w:trHeight w:val="562" w:hRule="atLeast"/>
              </w:trPr>
              <w:tc>
                <w:tcPr>
                  <w:tcW w:w="1672" w:type="dxa"/>
                  <w:tcBorders>
                    <w:top w:val="single" w:color="000000" w:sz="4" w:space="0"/>
                    <w:left w:val="single" w:color="000000" w:sz="4" w:space="0"/>
                    <w:bottom w:val="single" w:color="000000" w:sz="4" w:space="0"/>
                    <w:right w:val="single" w:color="000000" w:sz="4" w:space="0"/>
                  </w:tcBorders>
                  <w:noWrap w:val="0"/>
                  <w:vAlign w:val="center"/>
                </w:tcPr>
                <w:p w14:paraId="5F2CFEE3">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下浮系数（%）</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649E22D2">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1.7</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62F206C2">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1.8</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09AC5F49">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1.9</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3CE23DF5">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2.0</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1AE62634">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2.1</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2DCAA886">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2.2</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415EDAD9">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2.3</w:t>
                  </w:r>
                </w:p>
              </w:tc>
            </w:tr>
            <w:tr w14:paraId="52102443">
              <w:tblPrEx>
                <w:tblCellMar>
                  <w:top w:w="0" w:type="dxa"/>
                  <w:left w:w="108" w:type="dxa"/>
                  <w:bottom w:w="0" w:type="dxa"/>
                  <w:right w:w="108" w:type="dxa"/>
                </w:tblCellMar>
              </w:tblPrEx>
              <w:trPr>
                <w:trHeight w:val="427" w:hRule="atLeast"/>
              </w:trPr>
              <w:tc>
                <w:tcPr>
                  <w:tcW w:w="1672" w:type="dxa"/>
                  <w:tcBorders>
                    <w:top w:val="single" w:color="000000" w:sz="4" w:space="0"/>
                    <w:left w:val="single" w:color="000000" w:sz="4" w:space="0"/>
                    <w:bottom w:val="single" w:color="000000" w:sz="4" w:space="0"/>
                    <w:right w:val="single" w:color="000000" w:sz="4" w:space="0"/>
                  </w:tcBorders>
                  <w:noWrap w:val="0"/>
                  <w:vAlign w:val="center"/>
                </w:tcPr>
                <w:p w14:paraId="44C3969D">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号球</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6846C8A7">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15</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01A2F3FB">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16</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6DDC4DC9">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17</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0D3FF286">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18</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0D2DE6F7">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19</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0920084A">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20</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6A85F9D8">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b/>
                      <w:bCs w:val="0"/>
                      <w:snapToGrid w:val="0"/>
                      <w:color w:val="000000"/>
                      <w:kern w:val="0"/>
                      <w:sz w:val="24"/>
                      <w:szCs w:val="24"/>
                    </w:rPr>
                  </w:pPr>
                  <w:r>
                    <w:rPr>
                      <w:rFonts w:hint="eastAsia" w:ascii="宋体" w:hAnsi="宋体" w:eastAsia="宋体" w:cs="宋体"/>
                      <w:b/>
                      <w:bCs w:val="0"/>
                      <w:snapToGrid w:val="0"/>
                      <w:color w:val="000000"/>
                      <w:kern w:val="0"/>
                      <w:sz w:val="24"/>
                      <w:szCs w:val="24"/>
                    </w:rPr>
                    <w:t>21</w:t>
                  </w:r>
                </w:p>
              </w:tc>
            </w:tr>
            <w:tr w14:paraId="59EB7DFC">
              <w:tblPrEx>
                <w:tblCellMar>
                  <w:top w:w="0" w:type="dxa"/>
                  <w:left w:w="108" w:type="dxa"/>
                  <w:bottom w:w="0" w:type="dxa"/>
                  <w:right w:w="108" w:type="dxa"/>
                </w:tblCellMar>
              </w:tblPrEx>
              <w:trPr>
                <w:trHeight w:val="582" w:hRule="atLeast"/>
              </w:trPr>
              <w:tc>
                <w:tcPr>
                  <w:tcW w:w="1672" w:type="dxa"/>
                  <w:tcBorders>
                    <w:top w:val="single" w:color="000000" w:sz="4" w:space="0"/>
                    <w:left w:val="single" w:color="000000" w:sz="4" w:space="0"/>
                    <w:bottom w:val="single" w:color="000000" w:sz="4" w:space="0"/>
                    <w:right w:val="single" w:color="000000" w:sz="4" w:space="0"/>
                  </w:tcBorders>
                  <w:noWrap w:val="0"/>
                  <w:vAlign w:val="center"/>
                </w:tcPr>
                <w:p w14:paraId="6911DA55">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下浮系数（%）</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7320382F">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2.4</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2177D0F3">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2.5</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72D51303">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2.6</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46B4A3F9">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2.7</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7E6BDF67">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2.8</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5EE381F9">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2.9</w:t>
                  </w:r>
                </w:p>
              </w:tc>
              <w:tc>
                <w:tcPr>
                  <w:tcW w:w="781" w:type="dxa"/>
                  <w:tcBorders>
                    <w:top w:val="single" w:color="000000" w:sz="4" w:space="0"/>
                    <w:left w:val="single" w:color="000000" w:sz="4" w:space="0"/>
                    <w:bottom w:val="single" w:color="000000" w:sz="4" w:space="0"/>
                    <w:right w:val="single" w:color="000000" w:sz="4" w:space="0"/>
                  </w:tcBorders>
                  <w:noWrap w:val="0"/>
                  <w:vAlign w:val="center"/>
                </w:tcPr>
                <w:p w14:paraId="4FBAB614">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3.0</w:t>
                  </w:r>
                </w:p>
              </w:tc>
            </w:tr>
          </w:tbl>
          <w:p w14:paraId="258807E2">
            <w:pPr>
              <w:keepNext w:val="0"/>
              <w:keepLines w:val="0"/>
              <w:pageBreakBefore w:val="0"/>
              <w:widowControl w:val="0"/>
              <w:kinsoku/>
              <w:wordWrap w:val="0"/>
              <w:overflowPunct/>
              <w:topLinePunct w:val="0"/>
              <w:autoSpaceDE w:val="0"/>
              <w:autoSpaceDN/>
              <w:bidi w:val="0"/>
              <w:adjustRightInd w:val="0"/>
              <w:snapToGrid w:val="0"/>
              <w:spacing w:line="460" w:lineRule="exact"/>
              <w:jc w:val="left"/>
              <w:textAlignment w:val="auto"/>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eastAsia="zh-CN"/>
              </w:rPr>
              <w:t>(2)</w:t>
            </w:r>
            <w:r>
              <w:rPr>
                <w:rFonts w:hint="eastAsia" w:ascii="宋体" w:hAnsi="宋体" w:eastAsia="宋体" w:cs="宋体"/>
                <w:snapToGrid w:val="0"/>
                <w:color w:val="000000"/>
                <w:kern w:val="0"/>
                <w:sz w:val="24"/>
                <w:szCs w:val="24"/>
              </w:rPr>
              <w:t>评标基准价D＝最高投标限价×（1－n）</w:t>
            </w:r>
          </w:p>
        </w:tc>
      </w:tr>
      <w:tr w14:paraId="7B03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917" w:type="dxa"/>
            <w:gridSpan w:val="2"/>
            <w:noWrap w:val="0"/>
            <w:vAlign w:val="center"/>
          </w:tcPr>
          <w:p w14:paraId="1C9EB3AE">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投标报价</w:t>
            </w:r>
          </w:p>
          <w:p w14:paraId="63EBAA1D">
            <w:pPr>
              <w:keepNext w:val="0"/>
              <w:keepLines w:val="0"/>
              <w:pageBreakBefore w:val="0"/>
              <w:widowControl w:val="0"/>
              <w:kinsoku/>
              <w:wordWrap w:val="0"/>
              <w:overflowPunct/>
              <w:topLinePunct w:val="0"/>
              <w:autoSpaceDN/>
              <w:bidi w:val="0"/>
              <w:adjustRightInd w:val="0"/>
              <w:snapToGrid w:val="0"/>
              <w:spacing w:line="460" w:lineRule="exact"/>
              <w:jc w:val="center"/>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得分M</w:t>
            </w:r>
            <w:r>
              <w:rPr>
                <w:rFonts w:hint="eastAsia" w:ascii="宋体" w:hAnsi="宋体" w:eastAsia="宋体" w:cs="宋体"/>
                <w:snapToGrid w:val="0"/>
                <w:color w:val="000000"/>
                <w:kern w:val="0"/>
                <w:sz w:val="24"/>
                <w:szCs w:val="24"/>
                <w:lang w:val="en-US" w:eastAsia="zh-CN"/>
              </w:rPr>
              <w:t>3</w:t>
            </w:r>
          </w:p>
        </w:tc>
        <w:tc>
          <w:tcPr>
            <w:tcW w:w="7396" w:type="dxa"/>
            <w:gridSpan w:val="2"/>
            <w:noWrap w:val="0"/>
            <w:vAlign w:val="center"/>
          </w:tcPr>
          <w:p w14:paraId="57105759">
            <w:pPr>
              <w:keepNext w:val="0"/>
              <w:keepLines w:val="0"/>
              <w:pageBreakBefore w:val="0"/>
              <w:widowControl w:val="0"/>
              <w:kinsoku/>
              <w:wordWrap w:val="0"/>
              <w:overflowPunct/>
              <w:topLinePunct w:val="0"/>
              <w:autoSpaceDN/>
              <w:bidi w:val="0"/>
              <w:adjustRightInd w:val="0"/>
              <w:snapToGrid w:val="0"/>
              <w:spacing w:line="460" w:lineRule="exact"/>
              <w:ind w:firstLine="480" w:firstLineChars="200"/>
              <w:jc w:val="left"/>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采用内插法计算某投标人的投标报价得分M</w:t>
            </w:r>
            <w:r>
              <w:rPr>
                <w:rFonts w:hint="eastAsia" w:ascii="宋体" w:hAnsi="宋体" w:eastAsia="宋体" w:cs="宋体"/>
                <w:snapToGrid w:val="0"/>
                <w:color w:val="000000"/>
                <w:kern w:val="0"/>
                <w:sz w:val="24"/>
                <w:szCs w:val="24"/>
                <w:lang w:val="en-US" w:eastAsia="zh-CN"/>
              </w:rPr>
              <w:t>3</w:t>
            </w:r>
            <w:r>
              <w:rPr>
                <w:rFonts w:hint="eastAsia" w:ascii="宋体" w:hAnsi="宋体" w:eastAsia="宋体" w:cs="宋体"/>
                <w:snapToGrid w:val="0"/>
                <w:color w:val="000000"/>
                <w:kern w:val="0"/>
                <w:sz w:val="24"/>
                <w:szCs w:val="24"/>
              </w:rPr>
              <w:t>，即当投标人的投标总价等于评标基准价时得</w:t>
            </w:r>
            <w:r>
              <w:rPr>
                <w:rFonts w:hint="eastAsia" w:ascii="宋体" w:hAnsi="宋体" w:eastAsia="宋体" w:cs="宋体"/>
                <w:snapToGrid w:val="0"/>
                <w:color w:val="000000"/>
                <w:kern w:val="0"/>
                <w:sz w:val="24"/>
                <w:szCs w:val="24"/>
                <w:lang w:val="en-US" w:eastAsia="zh-CN"/>
              </w:rPr>
              <w:t>30</w:t>
            </w:r>
            <w:r>
              <w:rPr>
                <w:rFonts w:hint="eastAsia" w:ascii="宋体" w:hAnsi="宋体" w:eastAsia="宋体" w:cs="宋体"/>
                <w:snapToGrid w:val="0"/>
                <w:color w:val="000000"/>
                <w:kern w:val="0"/>
                <w:sz w:val="24"/>
                <w:szCs w:val="24"/>
              </w:rPr>
              <w:t>分，每高于评标基准价一个百分点扣</w:t>
            </w:r>
            <w:r>
              <w:rPr>
                <w:rFonts w:hint="eastAsia" w:ascii="宋体" w:hAnsi="宋体" w:cs="宋体"/>
                <w:snapToGrid w:val="0"/>
                <w:color w:val="000000"/>
                <w:kern w:val="0"/>
                <w:sz w:val="24"/>
                <w:szCs w:val="24"/>
                <w:lang w:val="en-US" w:eastAsia="zh-CN"/>
              </w:rPr>
              <w:t>1</w:t>
            </w:r>
            <w:r>
              <w:rPr>
                <w:rFonts w:hint="eastAsia" w:ascii="宋体" w:hAnsi="宋体" w:eastAsia="宋体" w:cs="宋体"/>
                <w:snapToGrid w:val="0"/>
                <w:color w:val="000000"/>
                <w:kern w:val="0"/>
                <w:sz w:val="24"/>
                <w:szCs w:val="24"/>
              </w:rPr>
              <w:t>分, 每低于评标基准价一个百分点扣0.</w:t>
            </w:r>
            <w:r>
              <w:rPr>
                <w:rFonts w:hint="eastAsia" w:ascii="宋体" w:hAnsi="宋体" w:cs="宋体"/>
                <w:snapToGrid w:val="0"/>
                <w:color w:val="000000"/>
                <w:kern w:val="0"/>
                <w:sz w:val="24"/>
                <w:szCs w:val="24"/>
                <w:lang w:val="en-US" w:eastAsia="zh-CN"/>
              </w:rPr>
              <w:t>5</w:t>
            </w:r>
            <w:r>
              <w:rPr>
                <w:rFonts w:hint="eastAsia" w:ascii="宋体" w:hAnsi="宋体" w:eastAsia="宋体" w:cs="宋体"/>
                <w:snapToGrid w:val="0"/>
                <w:color w:val="000000"/>
                <w:kern w:val="0"/>
                <w:sz w:val="24"/>
                <w:szCs w:val="24"/>
              </w:rPr>
              <w:t>分，扣完为止。公式如下：</w:t>
            </w:r>
          </w:p>
          <w:p w14:paraId="1E222180">
            <w:pPr>
              <w:keepNext w:val="0"/>
              <w:keepLines w:val="0"/>
              <w:pageBreakBefore w:val="0"/>
              <w:widowControl w:val="0"/>
              <w:kinsoku/>
              <w:wordWrap w:val="0"/>
              <w:overflowPunct/>
              <w:topLinePunct w:val="0"/>
              <w:autoSpaceDN/>
              <w:bidi w:val="0"/>
              <w:adjustRightInd w:val="0"/>
              <w:snapToGrid w:val="0"/>
              <w:spacing w:line="460" w:lineRule="exact"/>
              <w:ind w:firstLine="480" w:firstLineChars="200"/>
              <w:jc w:val="left"/>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M</w:t>
            </w:r>
            <w:r>
              <w:rPr>
                <w:rFonts w:hint="eastAsia" w:ascii="宋体" w:hAnsi="宋体" w:eastAsia="宋体" w:cs="宋体"/>
                <w:snapToGrid w:val="0"/>
                <w:color w:val="000000"/>
                <w:kern w:val="0"/>
                <w:sz w:val="24"/>
                <w:szCs w:val="24"/>
                <w:lang w:val="en-US" w:eastAsia="zh-CN"/>
              </w:rPr>
              <w:t>3</w:t>
            </w:r>
            <w:r>
              <w:rPr>
                <w:rFonts w:hint="eastAsia" w:ascii="宋体" w:hAnsi="宋体" w:eastAsia="宋体" w:cs="宋体"/>
                <w:snapToGrid w:val="0"/>
                <w:color w:val="000000"/>
                <w:kern w:val="0"/>
                <w:sz w:val="24"/>
                <w:szCs w:val="24"/>
                <w:lang w:eastAsia="zh-CN"/>
              </w:rPr>
              <w:t>=</w:t>
            </w:r>
            <w:r>
              <w:rPr>
                <w:rFonts w:hint="eastAsia" w:ascii="宋体" w:hAnsi="宋体" w:eastAsia="宋体" w:cs="宋体"/>
                <w:snapToGrid w:val="0"/>
                <w:color w:val="000000"/>
                <w:kern w:val="0"/>
                <w:sz w:val="24"/>
                <w:szCs w:val="24"/>
                <w:lang w:val="en-US" w:eastAsia="zh-CN"/>
              </w:rPr>
              <w:t>30</w:t>
            </w:r>
            <w:r>
              <w:rPr>
                <w:rFonts w:hint="eastAsia" w:ascii="宋体" w:hAnsi="宋体" w:eastAsia="宋体" w:cs="宋体"/>
                <w:snapToGrid w:val="0"/>
                <w:color w:val="000000"/>
                <w:kern w:val="0"/>
                <w:sz w:val="24"/>
                <w:szCs w:val="24"/>
              </w:rPr>
              <w:t>－（| Di－D | ÷D）×100×E</w:t>
            </w:r>
          </w:p>
          <w:p w14:paraId="43A830C5">
            <w:pPr>
              <w:keepNext w:val="0"/>
              <w:keepLines w:val="0"/>
              <w:pageBreakBefore w:val="0"/>
              <w:widowControl w:val="0"/>
              <w:kinsoku/>
              <w:wordWrap w:val="0"/>
              <w:overflowPunct/>
              <w:topLinePunct w:val="0"/>
              <w:autoSpaceDN/>
              <w:bidi w:val="0"/>
              <w:adjustRightInd w:val="0"/>
              <w:snapToGrid w:val="0"/>
              <w:spacing w:line="460" w:lineRule="exact"/>
              <w:ind w:firstLine="480" w:firstLineChars="200"/>
              <w:jc w:val="left"/>
              <w:textAlignment w:val="auto"/>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式中：D为评标基准价；Di为某投标人的投标总价；E为扣分因子，当Di＞D时，E＝</w:t>
            </w:r>
            <w:r>
              <w:rPr>
                <w:rFonts w:hint="eastAsia" w:ascii="宋体" w:hAnsi="宋体" w:cs="宋体"/>
                <w:snapToGrid w:val="0"/>
                <w:color w:val="000000"/>
                <w:kern w:val="0"/>
                <w:sz w:val="24"/>
                <w:szCs w:val="24"/>
                <w:lang w:val="en-US" w:eastAsia="zh-CN"/>
              </w:rPr>
              <w:t>1</w:t>
            </w:r>
            <w:r>
              <w:rPr>
                <w:rFonts w:hint="eastAsia" w:ascii="宋体" w:hAnsi="宋体" w:eastAsia="宋体" w:cs="宋体"/>
                <w:snapToGrid w:val="0"/>
                <w:color w:val="000000"/>
                <w:kern w:val="0"/>
                <w:sz w:val="24"/>
                <w:szCs w:val="24"/>
              </w:rPr>
              <w:t>；当Di＜D时，E＝0.</w:t>
            </w:r>
            <w:r>
              <w:rPr>
                <w:rFonts w:hint="eastAsia" w:ascii="宋体" w:hAnsi="宋体" w:cs="宋体"/>
                <w:snapToGrid w:val="0"/>
                <w:color w:val="000000"/>
                <w:kern w:val="0"/>
                <w:sz w:val="24"/>
                <w:szCs w:val="24"/>
                <w:lang w:val="en-US" w:eastAsia="zh-CN"/>
              </w:rPr>
              <w:t>5</w:t>
            </w:r>
            <w:r>
              <w:rPr>
                <w:rFonts w:hint="eastAsia" w:ascii="宋体" w:hAnsi="宋体" w:eastAsia="宋体" w:cs="宋体"/>
                <w:snapToGrid w:val="0"/>
                <w:color w:val="000000"/>
                <w:kern w:val="0"/>
                <w:sz w:val="24"/>
                <w:szCs w:val="24"/>
              </w:rPr>
              <w:t>。</w:t>
            </w:r>
          </w:p>
        </w:tc>
      </w:tr>
    </w:tbl>
    <w:p w14:paraId="373452A2">
      <w:pPr>
        <w:spacing w:before="0" w:line="240" w:lineRule="auto"/>
        <w:ind w:firstLine="0" w:firstLineChars="0"/>
        <w:outlineLvl w:val="9"/>
        <w:rPr>
          <w:rFonts w:hint="eastAsia" w:ascii="宋体" w:hAnsi="宋体" w:eastAsia="宋体" w:cs="宋体"/>
          <w:b/>
          <w:bCs/>
          <w:color w:val="auto"/>
          <w:spacing w:val="-3"/>
          <w:sz w:val="24"/>
          <w:szCs w:val="24"/>
          <w:highlight w:val="none"/>
        </w:rPr>
      </w:pPr>
      <w:r>
        <w:rPr>
          <w:rFonts w:hint="eastAsia" w:ascii="宋体" w:hAnsi="宋体" w:eastAsia="宋体" w:cs="宋体"/>
          <w:snapToGrid w:val="0"/>
          <w:color w:val="auto"/>
          <w:kern w:val="0"/>
          <w:sz w:val="24"/>
          <w:highlight w:val="none"/>
        </w:rPr>
        <w:t>注：除特别注明外，综合得分以及商务得分、技术得分、投标报价得分的中间过程计算值和最终值，均按“四舍五入”原则精确到两位小数。</w:t>
      </w:r>
    </w:p>
    <w:p w14:paraId="247EC813">
      <w:pPr>
        <w:spacing w:before="155" w:line="360" w:lineRule="auto"/>
        <w:ind w:firstLine="420" w:firstLineChars="200"/>
        <w:outlineLvl w:val="9"/>
      </w:pPr>
    </w:p>
    <w:p w14:paraId="500222B0">
      <w:pPr>
        <w:spacing w:before="155" w:line="360" w:lineRule="auto"/>
        <w:ind w:firstLine="470" w:firstLineChars="200"/>
        <w:outlineLvl w:val="9"/>
        <w:rPr>
          <w:rFonts w:hint="eastAsia" w:ascii="宋体" w:hAnsi="宋体" w:eastAsia="宋体" w:cs="宋体"/>
          <w:color w:val="auto"/>
          <w:sz w:val="25"/>
          <w:szCs w:val="25"/>
          <w:highlight w:val="none"/>
        </w:rPr>
      </w:pPr>
      <w:r>
        <w:rPr>
          <w:rFonts w:hint="eastAsia" w:ascii="宋体" w:hAnsi="宋体" w:cs="宋体"/>
          <w:b/>
          <w:bCs/>
          <w:color w:val="auto"/>
          <w:spacing w:val="-3"/>
          <w:sz w:val="24"/>
          <w:szCs w:val="24"/>
          <w:highlight w:val="none"/>
          <w:lang w:val="en-US" w:eastAsia="zh-CN"/>
        </w:rPr>
        <w:t>5.2</w:t>
      </w:r>
      <w:r>
        <w:rPr>
          <w:rFonts w:hint="eastAsia" w:ascii="宋体" w:hAnsi="宋体" w:eastAsia="宋体" w:cs="宋体"/>
          <w:color w:val="auto"/>
          <w:spacing w:val="-3"/>
          <w:sz w:val="24"/>
          <w:szCs w:val="24"/>
          <w:highlight w:val="none"/>
        </w:rPr>
        <w:t>否决投标说明</w:t>
      </w:r>
    </w:p>
    <w:p w14:paraId="49B74CAB">
      <w:pPr>
        <w:spacing w:before="150" w:line="360" w:lineRule="auto"/>
        <w:ind w:right="195" w:firstLine="460" w:firstLineChars="200"/>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w:t>
      </w:r>
      <w:r>
        <w:rPr>
          <w:rFonts w:hint="eastAsia" w:ascii="宋体" w:hAnsi="宋体" w:eastAsia="宋体" w:cs="宋体"/>
          <w:color w:val="auto"/>
          <w:spacing w:val="-5"/>
          <w:sz w:val="24"/>
          <w:szCs w:val="24"/>
          <w:highlight w:val="none"/>
          <w:lang w:val="en-US" w:eastAsia="zh-CN"/>
        </w:rPr>
        <w:t>五</w:t>
      </w:r>
      <w:r>
        <w:rPr>
          <w:rFonts w:hint="eastAsia" w:ascii="宋体" w:hAnsi="宋体" w:eastAsia="宋体" w:cs="宋体"/>
          <w:color w:val="auto"/>
          <w:spacing w:val="-5"/>
          <w:sz w:val="24"/>
          <w:szCs w:val="24"/>
          <w:highlight w:val="none"/>
        </w:rPr>
        <w:t>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26E362A4">
      <w:pPr>
        <w:spacing w:before="59" w:line="360" w:lineRule="auto"/>
        <w:ind w:left="10" w:right="195" w:firstLine="480"/>
        <w:jc w:val="both"/>
        <w:rPr>
          <w:rFonts w:hint="eastAsia" w:ascii="宋体" w:hAnsi="宋体" w:eastAsia="宋体" w:cs="宋体"/>
          <w:b/>
          <w:snapToGrid w:val="0"/>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bookmarkStart w:id="89" w:name="bookmark138"/>
      <w:bookmarkEnd w:id="89"/>
      <w:bookmarkStart w:id="90" w:name="bookmark137"/>
      <w:bookmarkEnd w:id="90"/>
      <w:bookmarkStart w:id="91" w:name="_Toc2769"/>
      <w:bookmarkStart w:id="92" w:name="_Toc19232"/>
      <w:bookmarkStart w:id="93" w:name="_Toc18711"/>
      <w:bookmarkStart w:id="94" w:name="_Toc13897"/>
      <w:bookmarkStart w:id="95" w:name="_Toc7762"/>
      <w:bookmarkStart w:id="96" w:name="_Toc32569"/>
      <w:bookmarkStart w:id="97" w:name="_Toc10900"/>
    </w:p>
    <w:p w14:paraId="41508FB9">
      <w:pPr>
        <w:spacing w:before="155" w:line="360" w:lineRule="auto"/>
        <w:ind w:firstLine="470" w:firstLineChars="200"/>
        <w:outlineLvl w:val="9"/>
        <w:rPr>
          <w:rFonts w:hint="eastAsia" w:ascii="宋体" w:hAnsi="宋体" w:eastAsia="宋体" w:cs="宋体"/>
          <w:b/>
          <w:bCs/>
          <w:color w:val="auto"/>
          <w:spacing w:val="-3"/>
          <w:sz w:val="24"/>
          <w:szCs w:val="24"/>
          <w:highlight w:val="none"/>
        </w:rPr>
      </w:pPr>
      <w:r>
        <w:rPr>
          <w:rFonts w:hint="eastAsia" w:ascii="宋体" w:hAnsi="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w:t>
      </w:r>
      <w:bookmarkEnd w:id="91"/>
      <w:bookmarkEnd w:id="92"/>
      <w:bookmarkEnd w:id="93"/>
      <w:bookmarkEnd w:id="94"/>
      <w:bookmarkEnd w:id="95"/>
      <w:r>
        <w:rPr>
          <w:rFonts w:hint="eastAsia" w:ascii="宋体" w:hAnsi="宋体" w:eastAsia="宋体" w:cs="宋体"/>
          <w:b/>
          <w:bCs/>
          <w:color w:val="auto"/>
          <w:spacing w:val="-3"/>
          <w:sz w:val="24"/>
          <w:szCs w:val="24"/>
          <w:highlight w:val="none"/>
          <w:lang w:eastAsia="zh-CN"/>
        </w:rPr>
        <w:t>评标结果公示</w:t>
      </w:r>
      <w:bookmarkEnd w:id="96"/>
      <w:bookmarkEnd w:id="97"/>
    </w:p>
    <w:p w14:paraId="0DEB9DD7">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rPr>
        <w:t>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1B4ECD5A">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eastAsia" w:ascii="宋体" w:hAnsi="宋体" w:eastAsia="宋体" w:cs="宋体"/>
          <w:snapToGrid w:val="0"/>
          <w:color w:val="auto"/>
          <w:kern w:val="0"/>
          <w:sz w:val="24"/>
          <w:szCs w:val="24"/>
          <w:highlight w:val="none"/>
          <w:lang w:val="en-US" w:eastAsia="zh-CN"/>
        </w:rPr>
      </w:pPr>
    </w:p>
    <w:p w14:paraId="4DBB02B9">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eastAsia" w:ascii="宋体" w:hAnsi="宋体" w:eastAsia="宋体" w:cs="宋体"/>
          <w:snapToGrid w:val="0"/>
          <w:color w:val="auto"/>
          <w:kern w:val="0"/>
          <w:sz w:val="24"/>
          <w:szCs w:val="24"/>
          <w:highlight w:val="none"/>
          <w:lang w:val="en-US" w:eastAsia="zh-CN"/>
        </w:rPr>
      </w:pPr>
    </w:p>
    <w:p w14:paraId="00A9E85A">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eastAsia" w:ascii="宋体" w:hAnsi="宋体" w:eastAsia="宋体" w:cs="宋体"/>
          <w:snapToGrid w:val="0"/>
          <w:color w:val="auto"/>
          <w:kern w:val="0"/>
          <w:sz w:val="24"/>
          <w:szCs w:val="24"/>
          <w:highlight w:val="none"/>
          <w:lang w:val="en-US" w:eastAsia="zh-CN"/>
        </w:rPr>
      </w:pPr>
    </w:p>
    <w:p w14:paraId="75526BC9">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eastAsia" w:ascii="宋体" w:hAnsi="宋体" w:eastAsia="宋体" w:cs="宋体"/>
          <w:snapToGrid w:val="0"/>
          <w:color w:val="auto"/>
          <w:kern w:val="0"/>
          <w:sz w:val="24"/>
          <w:szCs w:val="24"/>
          <w:highlight w:val="none"/>
          <w:lang w:val="en-US" w:eastAsia="zh-CN"/>
        </w:rPr>
      </w:pPr>
    </w:p>
    <w:p w14:paraId="2952508A">
      <w:pPr>
        <w:pStyle w:val="2"/>
        <w:rPr>
          <w:rFonts w:hint="eastAsia" w:ascii="宋体" w:hAnsi="宋体" w:eastAsia="宋体" w:cs="宋体"/>
          <w:snapToGrid w:val="0"/>
          <w:color w:val="auto"/>
          <w:kern w:val="0"/>
          <w:sz w:val="24"/>
          <w:szCs w:val="24"/>
          <w:highlight w:val="none"/>
          <w:lang w:val="en-US" w:eastAsia="zh-CN"/>
        </w:rPr>
      </w:pPr>
    </w:p>
    <w:p w14:paraId="6A0EDFFE">
      <w:pPr>
        <w:pStyle w:val="2"/>
        <w:rPr>
          <w:rFonts w:hint="eastAsia" w:ascii="宋体" w:hAnsi="宋体" w:eastAsia="宋体" w:cs="宋体"/>
          <w:snapToGrid w:val="0"/>
          <w:color w:val="auto"/>
          <w:kern w:val="0"/>
          <w:sz w:val="24"/>
          <w:szCs w:val="24"/>
          <w:highlight w:val="none"/>
          <w:lang w:val="en-US" w:eastAsia="zh-CN"/>
        </w:rPr>
      </w:pPr>
    </w:p>
    <w:p w14:paraId="11EAC9C5">
      <w:pPr>
        <w:pStyle w:val="2"/>
        <w:rPr>
          <w:rFonts w:hint="eastAsia" w:ascii="宋体" w:hAnsi="宋体" w:eastAsia="宋体" w:cs="宋体"/>
          <w:snapToGrid w:val="0"/>
          <w:color w:val="auto"/>
          <w:kern w:val="0"/>
          <w:sz w:val="24"/>
          <w:szCs w:val="24"/>
          <w:highlight w:val="none"/>
          <w:lang w:val="en-US" w:eastAsia="zh-CN"/>
        </w:rPr>
      </w:pPr>
    </w:p>
    <w:p w14:paraId="5C1BDCBA">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eastAsia" w:ascii="宋体" w:hAnsi="宋体" w:eastAsia="宋体" w:cs="宋体"/>
          <w:snapToGrid w:val="0"/>
          <w:color w:val="auto"/>
          <w:kern w:val="0"/>
          <w:sz w:val="24"/>
          <w:szCs w:val="24"/>
          <w:highlight w:val="none"/>
          <w:lang w:val="en-US" w:eastAsia="zh-CN"/>
        </w:rPr>
      </w:pPr>
    </w:p>
    <w:p w14:paraId="3728E410">
      <w:pPr>
        <w:pStyle w:val="5"/>
        <w:keepNext/>
        <w:tabs>
          <w:tab w:val="left" w:pos="1995"/>
        </w:tabs>
        <w:autoSpaceDE/>
        <w:autoSpaceDN/>
        <w:bidi w:val="0"/>
        <w:adjustRightInd/>
        <w:spacing w:line="360" w:lineRule="auto"/>
        <w:ind w:left="0" w:leftChars="0" w:firstLine="0" w:firstLineChars="0"/>
        <w:rPr>
          <w:rFonts w:hint="eastAsia" w:ascii="宋体" w:hAnsi="宋体" w:eastAsia="宋体" w:cs="宋体"/>
          <w:b/>
          <w:color w:val="auto"/>
          <w:kern w:val="2"/>
          <w:sz w:val="28"/>
          <w:szCs w:val="24"/>
          <w:lang w:val="en-US" w:eastAsia="zh-CN"/>
        </w:rPr>
      </w:pPr>
      <w:bookmarkStart w:id="98" w:name="_Toc25350"/>
      <w:bookmarkStart w:id="99" w:name="_Toc30876"/>
      <w:r>
        <w:rPr>
          <w:rFonts w:hint="eastAsia" w:ascii="宋体" w:hAnsi="宋体" w:eastAsia="宋体" w:cs="宋体"/>
          <w:b/>
          <w:color w:val="auto"/>
          <w:kern w:val="2"/>
          <w:sz w:val="28"/>
          <w:szCs w:val="24"/>
          <w:lang w:val="en-US" w:eastAsia="zh-CN"/>
        </w:rPr>
        <w:t>第五节   否决投标条件</w:t>
      </w:r>
      <w:bookmarkEnd w:id="98"/>
      <w:bookmarkEnd w:id="99"/>
    </w:p>
    <w:p w14:paraId="791894DD">
      <w:pPr>
        <w:wordWrap w:val="0"/>
        <w:adjustRightInd w:val="0"/>
        <w:snapToGrid w:val="0"/>
        <w:spacing w:line="360" w:lineRule="auto"/>
        <w:ind w:firstLine="480"/>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sz w:val="24"/>
          <w:highlight w:val="none"/>
        </w:rPr>
        <w:t>投标人未有列入本节情形的，评标时一律不得否决其投标。</w:t>
      </w:r>
      <w:r>
        <w:rPr>
          <w:rFonts w:hint="eastAsia" w:ascii="宋体" w:hAnsi="宋体" w:eastAsia="宋体" w:cs="宋体"/>
          <w:snapToGrid w:val="0"/>
          <w:color w:val="auto"/>
          <w:kern w:val="0"/>
          <w:sz w:val="24"/>
          <w:highlight w:val="none"/>
        </w:rPr>
        <w:t>本节所称“规定”均指招标文件的规定。</w:t>
      </w:r>
    </w:p>
    <w:p w14:paraId="2F67F7E2">
      <w:pPr>
        <w:pStyle w:val="6"/>
        <w:keepNext/>
        <w:keepLines/>
        <w:pageBreakBefore w:val="0"/>
        <w:widowControl/>
        <w:kinsoku/>
        <w:wordWrap/>
        <w:overflowPunct/>
        <w:topLinePunct w:val="0"/>
        <w:autoSpaceDE/>
        <w:autoSpaceDN/>
        <w:bidi w:val="0"/>
        <w:adjustRightInd/>
        <w:snapToGrid/>
        <w:spacing w:before="240" w:beforeAutospacing="0" w:after="120" w:afterAutospacing="0" w:line="240" w:lineRule="auto"/>
        <w:ind w:firstLine="420"/>
        <w:jc w:val="left"/>
        <w:textAlignment w:val="auto"/>
        <w:outlineLvl w:val="2"/>
        <w:rPr>
          <w:rFonts w:hint="eastAsia" w:ascii="宋体" w:hAnsi="宋体" w:eastAsia="宋体" w:cs="宋体"/>
          <w:b/>
          <w:bCs/>
          <w:color w:val="auto"/>
          <w:kern w:val="0"/>
          <w:sz w:val="24"/>
          <w:szCs w:val="24"/>
          <w:highlight w:val="none"/>
        </w:rPr>
      </w:pPr>
      <w:bookmarkStart w:id="100" w:name="_Toc10871"/>
      <w:bookmarkStart w:id="101" w:name="_Toc17350"/>
      <w:r>
        <w:rPr>
          <w:rFonts w:hint="eastAsia" w:ascii="宋体" w:hAnsi="宋体" w:eastAsia="宋体" w:cs="宋体"/>
          <w:b/>
          <w:bCs/>
          <w:color w:val="auto"/>
          <w:kern w:val="0"/>
          <w:sz w:val="24"/>
          <w:szCs w:val="24"/>
          <w:highlight w:val="none"/>
        </w:rPr>
        <w:t>1．资格评审环节</w:t>
      </w:r>
      <w:bookmarkEnd w:id="100"/>
      <w:bookmarkEnd w:id="101"/>
    </w:p>
    <w:p w14:paraId="756CCB7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投标人有下列情形之一的，评标委员会应否决其投标。被否决的投标人，不进入形式评审环节。</w:t>
      </w:r>
    </w:p>
    <w:p w14:paraId="3CEAD6A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（1）有本章第三节第2.4条“禁止投标条款”规定的任何一种情形；</w:t>
      </w:r>
    </w:p>
    <w:p w14:paraId="48E5023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（2）投标人资质不符合规定的；</w:t>
      </w:r>
    </w:p>
    <w:p w14:paraId="5E52771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（3）投标人名称与营业执照、资质证书上的企业名称相互不一致的；其资质证书不是由住房城乡建设主管部门颁发的；营业执照、资质证书被吊销、暂扣或不在有效期内的；</w:t>
      </w:r>
    </w:p>
    <w:p w14:paraId="0CC94F49">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注：投标人已经工商变更，但其企业资质证书的企业名称未完成变更的，不得否决其投标；投标人营业执照、资质证书之间登记的信息不一致，应当允许投标人澄清，不得直接否决其投标。</w:t>
      </w:r>
    </w:p>
    <w:p w14:paraId="493DC688">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根据有关文件精神，投标人的企业资质证书有效期届满的，但投标人提供了发证机构相关行业主管部门的证明材料（如自动顺延或推迟办理延期业务的通知），证明在开标日继续有效的，不得否决其投标。</w:t>
      </w:r>
    </w:p>
    <w:p w14:paraId="4618011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设计/勘察负责人简历表</w:t>
      </w:r>
      <w:r>
        <w:rPr>
          <w:rFonts w:hint="eastAsia" w:ascii="宋体" w:hAnsi="宋体" w:eastAsia="宋体" w:cs="宋体"/>
          <w:sz w:val="24"/>
          <w:szCs w:val="24"/>
        </w:rPr>
        <w:t>》中拟派项目负责人（设计负责人）与《开标一览表》</w:t>
      </w:r>
      <w:r>
        <w:rPr>
          <w:rFonts w:hint="eastAsia" w:ascii="宋体" w:hAnsi="宋体" w:cs="宋体"/>
          <w:sz w:val="24"/>
          <w:szCs w:val="24"/>
          <w:lang w:val="en-US" w:eastAsia="zh-CN"/>
        </w:rPr>
        <w:t>不</w:t>
      </w:r>
      <w:r>
        <w:rPr>
          <w:rFonts w:hint="eastAsia" w:ascii="宋体" w:hAnsi="宋体" w:eastAsia="宋体" w:cs="宋体"/>
          <w:sz w:val="24"/>
          <w:szCs w:val="24"/>
        </w:rPr>
        <w:t>一致。</w:t>
      </w:r>
    </w:p>
    <w:p w14:paraId="6AF08AE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（5）拟派项目负责人（设计负责人）</w:t>
      </w:r>
      <w:r>
        <w:rPr>
          <w:rFonts w:hint="eastAsia"/>
          <w:sz w:val="24"/>
          <w:szCs w:val="24"/>
          <w:lang w:val="en-US" w:eastAsia="zh-CN"/>
        </w:rPr>
        <w:t>或勘察负责人</w:t>
      </w:r>
      <w:r>
        <w:rPr>
          <w:rFonts w:hint="eastAsia" w:ascii="宋体" w:hAnsi="宋体" w:eastAsia="宋体" w:cs="宋体"/>
          <w:sz w:val="24"/>
          <w:szCs w:val="24"/>
        </w:rPr>
        <w:t>的条件是否符合招标文件规定；拟派项目负责人（设计负责人）</w:t>
      </w:r>
      <w:r>
        <w:rPr>
          <w:rFonts w:hint="eastAsia" w:ascii="宋体" w:hAnsi="宋体" w:cs="宋体"/>
          <w:sz w:val="24"/>
          <w:szCs w:val="24"/>
          <w:lang w:eastAsia="zh-CN"/>
        </w:rPr>
        <w:t>、</w:t>
      </w:r>
      <w:r>
        <w:rPr>
          <w:rFonts w:hint="eastAsia"/>
          <w:sz w:val="24"/>
          <w:szCs w:val="24"/>
          <w:lang w:val="en-US" w:eastAsia="zh-CN"/>
        </w:rPr>
        <w:t>勘察负责人</w:t>
      </w:r>
      <w:r>
        <w:rPr>
          <w:rFonts w:hint="eastAsia" w:ascii="宋体" w:hAnsi="宋体" w:eastAsia="宋体" w:cs="宋体"/>
          <w:sz w:val="24"/>
          <w:szCs w:val="24"/>
        </w:rPr>
        <w:t>的各类证书、证件、证明是否合法、有效、准确。</w:t>
      </w:r>
    </w:p>
    <w:p w14:paraId="459288E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（6）联合体投标，未提交《联合体协议书》的；擅自修改、遗漏《联合体协议书》实质性内容的；联合体成员的数量、资质不符合规定的；联合体成员同时以自己名义单独投标或者参加其他联合体投标的；</w:t>
      </w:r>
    </w:p>
    <w:p w14:paraId="24666DE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7</w:t>
      </w:r>
      <w:r>
        <w:rPr>
          <w:rFonts w:hint="eastAsia" w:ascii="宋体" w:hAnsi="宋体" w:eastAsia="宋体" w:cs="宋体"/>
          <w:sz w:val="24"/>
          <w:szCs w:val="24"/>
        </w:rPr>
        <w:t>）投标人为外省建筑企业，但未提供“进粤企业和人员诚信信息登记平台”企业信息情况扫描件的。</w:t>
      </w:r>
    </w:p>
    <w:p w14:paraId="448A85CC">
      <w:pPr>
        <w:pStyle w:val="6"/>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left"/>
        <w:textAlignment w:val="auto"/>
        <w:outlineLvl w:val="2"/>
        <w:rPr>
          <w:rFonts w:hint="eastAsia" w:ascii="宋体" w:hAnsi="宋体" w:eastAsia="宋体" w:cs="宋体"/>
          <w:b/>
          <w:bCs/>
          <w:color w:val="auto"/>
          <w:kern w:val="0"/>
          <w:sz w:val="24"/>
          <w:szCs w:val="24"/>
          <w:highlight w:val="none"/>
        </w:rPr>
      </w:pPr>
      <w:bookmarkStart w:id="102" w:name="_Toc12948"/>
      <w:bookmarkStart w:id="103" w:name="_Toc28308"/>
      <w:r>
        <w:rPr>
          <w:rFonts w:hint="eastAsia" w:ascii="宋体" w:hAnsi="宋体" w:eastAsia="宋体" w:cs="宋体"/>
          <w:b/>
          <w:bCs/>
          <w:color w:val="auto"/>
          <w:kern w:val="0"/>
          <w:sz w:val="24"/>
          <w:szCs w:val="24"/>
          <w:highlight w:val="none"/>
        </w:rPr>
        <w:t>2．形式评审环节</w:t>
      </w:r>
      <w:bookmarkEnd w:id="102"/>
      <w:bookmarkEnd w:id="103"/>
    </w:p>
    <w:p w14:paraId="71F7DA8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投标人有下列情形之一的，评标委员会应否决其投标。被否决的投标人，不进入响应性评审环节。</w:t>
      </w:r>
    </w:p>
    <w:p w14:paraId="057FAA9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（1）各分册未按招标文件规定加盖电子印章。</w:t>
      </w:r>
    </w:p>
    <w:p w14:paraId="17DD2A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（2）本章第三节第10.2.2目、第10.3.2目中规定的“所有投标人均应提供”的组成内容（包括该组成内容的所附资料）中，任何一项有缺漏的；</w:t>
      </w:r>
    </w:p>
    <w:p w14:paraId="7D50997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关键字迹模糊、无法辨认，且该种过错将导致评标委员会无法判断投标文件是否响应招标文件实质性要求的；出现手工涂改、行间插字或删除，但未加盖单位电子印章或未按招标文件要求在相应位置加盖个人电子印章或在线下完成签字或盖章后扫描上传的；</w:t>
      </w:r>
    </w:p>
    <w:p w14:paraId="4EB6338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（4）投标文件未按规定签字、盖章的。</w:t>
      </w:r>
    </w:p>
    <w:p w14:paraId="7CB57A3F">
      <w:pPr>
        <w:pStyle w:val="6"/>
        <w:keepNext/>
        <w:keepLines/>
        <w:pageBreakBefore w:val="0"/>
        <w:widowControl/>
        <w:kinsoku/>
        <w:wordWrap/>
        <w:overflowPunct/>
        <w:topLinePunct w:val="0"/>
        <w:autoSpaceDE/>
        <w:autoSpaceDN/>
        <w:bidi w:val="0"/>
        <w:adjustRightInd/>
        <w:snapToGrid/>
        <w:spacing w:before="240" w:beforeAutospacing="0" w:after="120" w:afterAutospacing="0" w:line="240" w:lineRule="auto"/>
        <w:ind w:firstLine="420"/>
        <w:jc w:val="left"/>
        <w:textAlignment w:val="auto"/>
        <w:outlineLvl w:val="2"/>
        <w:rPr>
          <w:rFonts w:hint="eastAsia" w:ascii="宋体" w:hAnsi="宋体" w:eastAsia="宋体" w:cs="宋体"/>
          <w:b/>
          <w:bCs/>
          <w:color w:val="auto"/>
          <w:kern w:val="0"/>
          <w:sz w:val="24"/>
          <w:szCs w:val="24"/>
          <w:highlight w:val="none"/>
        </w:rPr>
      </w:pPr>
      <w:bookmarkStart w:id="104" w:name="_Toc182"/>
      <w:bookmarkStart w:id="105" w:name="_Toc22236"/>
      <w:r>
        <w:rPr>
          <w:rFonts w:hint="eastAsia" w:ascii="宋体" w:hAnsi="宋体" w:eastAsia="宋体" w:cs="宋体"/>
          <w:b/>
          <w:bCs/>
          <w:color w:val="auto"/>
          <w:kern w:val="0"/>
          <w:sz w:val="24"/>
          <w:szCs w:val="24"/>
          <w:highlight w:val="none"/>
        </w:rPr>
        <w:t>3．响应性评审环节</w:t>
      </w:r>
      <w:bookmarkEnd w:id="104"/>
      <w:bookmarkEnd w:id="105"/>
    </w:p>
    <w:p w14:paraId="6A2B432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投标人有下列情形之一的，评标委员会应否决其投标。被否决的投标人，不进入详细评审阶段。</w:t>
      </w:r>
    </w:p>
    <w:p w14:paraId="7754547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（1）承诺的投标有效期短于规定的；质量标准低于规定的；工期超出规定的；擅自修改、遗漏《投标函》《各项承诺一览表》实质性内容的；</w:t>
      </w:r>
    </w:p>
    <w:p w14:paraId="5E465D1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（2）出现两个或两个以上投标总价的（同一个投标总价大、小写不一致的除外）；投标总价超出最高投标限价的。</w:t>
      </w:r>
    </w:p>
    <w:p w14:paraId="1E66F3EE">
      <w:pPr>
        <w:pStyle w:val="6"/>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left"/>
        <w:textAlignment w:val="auto"/>
        <w:outlineLvl w:val="2"/>
        <w:rPr>
          <w:rFonts w:hint="eastAsia" w:ascii="宋体" w:hAnsi="宋体" w:eastAsia="宋体" w:cs="宋体"/>
          <w:b/>
          <w:bCs/>
          <w:color w:val="auto"/>
          <w:kern w:val="0"/>
          <w:sz w:val="24"/>
          <w:szCs w:val="24"/>
          <w:highlight w:val="none"/>
        </w:rPr>
      </w:pPr>
      <w:bookmarkStart w:id="106" w:name="_Toc13399"/>
      <w:bookmarkStart w:id="107" w:name="_Toc25694"/>
      <w:r>
        <w:rPr>
          <w:rFonts w:hint="eastAsia" w:ascii="宋体" w:hAnsi="宋体" w:eastAsia="宋体" w:cs="宋体"/>
          <w:b/>
          <w:bCs/>
          <w:color w:val="auto"/>
          <w:kern w:val="0"/>
          <w:sz w:val="24"/>
          <w:szCs w:val="24"/>
          <w:highlight w:val="none"/>
        </w:rPr>
        <w:t>4．其他</w:t>
      </w:r>
      <w:bookmarkEnd w:id="106"/>
      <w:bookmarkEnd w:id="107"/>
    </w:p>
    <w:p w14:paraId="6A785F1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在任何评标环节（或阶段），投标人有下列情形之一的，评标委员会应否决其投标。被否决的投标人，不进入下一环节（或阶段）。</w:t>
      </w:r>
    </w:p>
    <w:p w14:paraId="387CDD7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（1）不按评标委员会要求澄清、说明或补正的；</w:t>
      </w:r>
    </w:p>
    <w:p w14:paraId="64B75A4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（2）有下列情形之一，被评标委员会认定属于串通投标的：</w:t>
      </w:r>
    </w:p>
    <w:p w14:paraId="2D3765A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①不同投标人的投标文件两处以上（含两处）错、漏一致；</w:t>
      </w:r>
    </w:p>
    <w:p w14:paraId="4679DDC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②不同投标人的投标总价相近且各分项报价、综合单价分析表内容混乱不能相互对应、乱调乱压或乱抬的，而在询标时没有合理的解释或者不能提供计算依据和报价依据；</w:t>
      </w:r>
    </w:p>
    <w:p w14:paraId="0773BEC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③不同投标人的投标各项报价存在异常一致或者呈规律性变化；</w:t>
      </w:r>
    </w:p>
    <w:p w14:paraId="69B27B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④不同投标人的投标文件由同一单位或者同一个人编制；</w:t>
      </w:r>
    </w:p>
    <w:p w14:paraId="01B1533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⑤不同投标人的投标文件中投标资料（包括电子资料）相互混装或项目班子成员出现同一人；</w:t>
      </w:r>
    </w:p>
    <w:p w14:paraId="25A36D1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⑥不同投标人的投标文件由同一电脑编制或上传；</w:t>
      </w:r>
    </w:p>
    <w:p w14:paraId="0AC3CA1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⑦不同投标人的投标保证由同一企业或同一账户资金缴纳；</w:t>
      </w:r>
    </w:p>
    <w:p w14:paraId="6792C517">
      <w:pPr>
        <w:spacing w:line="360" w:lineRule="auto"/>
        <w:ind w:firstLine="480" w:firstLineChars="200"/>
      </w:pPr>
      <w:r>
        <w:rPr>
          <w:rFonts w:hint="eastAsia" w:ascii="宋体" w:hAnsi="宋体" w:eastAsia="宋体" w:cs="宋体"/>
          <w:sz w:val="24"/>
          <w:szCs w:val="24"/>
        </w:rPr>
        <w:t>⑧不同投标人委托同一个人或注册在同一家企业的注册人员或同一家企业为其投标提供投标咨询、商务报价、技术咨询（招标项目本身要求采用专有技术的除外）等服务。</w:t>
      </w:r>
      <w:bookmarkEnd w:id="88"/>
      <w:bookmarkStart w:id="108" w:name="_Hlt70150994"/>
      <w:bookmarkEnd w:id="108"/>
      <w:bookmarkStart w:id="109" w:name="_Hlt69669771"/>
      <w:bookmarkEnd w:id="109"/>
      <w:bookmarkStart w:id="110" w:name="_Hlt112206772"/>
      <w:bookmarkEnd w:id="110"/>
      <w:bookmarkStart w:id="111" w:name="_Hlt87952408"/>
      <w:bookmarkEnd w:id="111"/>
      <w:bookmarkStart w:id="112" w:name="_Hlt69698741"/>
      <w:bookmarkStart w:id="113" w:name="_Hlt69698722"/>
      <w:bookmarkStart w:id="114" w:name="_Hlt69698769"/>
      <w:bookmarkStart w:id="115" w:name="_Toc31841"/>
    </w:p>
    <w:p w14:paraId="7A34DADD">
      <w:pPr>
        <w:pStyle w:val="12"/>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⑨监督部门于韶关市公共交易一体化平台发现系统提示风险预警，如提示投标单位上传投标文件使用的电脑IP地址一致等。</w:t>
      </w:r>
    </w:p>
    <w:p w14:paraId="11167FF5">
      <w:pPr>
        <w:pStyle w:val="2"/>
        <w:rPr>
          <w:rFonts w:hint="eastAsia"/>
        </w:rPr>
      </w:pPr>
    </w:p>
    <w:p w14:paraId="0CE8D1C3">
      <w:pPr>
        <w:rPr>
          <w:rFonts w:hint="eastAsia" w:ascii="宋体" w:hAnsi="宋体" w:eastAsia="宋体" w:cs="宋体"/>
        </w:rPr>
      </w:pPr>
    </w:p>
    <w:p w14:paraId="5FCF6AF7">
      <w:pPr>
        <w:rPr>
          <w:rFonts w:hint="eastAsia" w:ascii="宋体" w:hAnsi="宋体" w:eastAsia="宋体" w:cs="宋体"/>
        </w:rPr>
      </w:pPr>
    </w:p>
    <w:p w14:paraId="2938D379">
      <w:pPr>
        <w:rPr>
          <w:rFonts w:hint="eastAsia" w:ascii="宋体" w:hAnsi="宋体" w:eastAsia="宋体" w:cs="宋体"/>
        </w:rPr>
      </w:pPr>
    </w:p>
    <w:p w14:paraId="51898FE0">
      <w:pPr>
        <w:rPr>
          <w:rFonts w:hint="eastAsia" w:ascii="宋体" w:hAnsi="宋体" w:eastAsia="宋体" w:cs="宋体"/>
        </w:rPr>
      </w:pPr>
    </w:p>
    <w:p w14:paraId="6A3B2458">
      <w:pPr>
        <w:rPr>
          <w:rFonts w:hint="eastAsia" w:ascii="宋体" w:hAnsi="宋体" w:eastAsia="宋体" w:cs="宋体"/>
        </w:rPr>
      </w:pPr>
    </w:p>
    <w:p w14:paraId="7607ED02">
      <w:pPr>
        <w:rPr>
          <w:rFonts w:hint="eastAsia" w:ascii="宋体" w:hAnsi="宋体" w:eastAsia="宋体" w:cs="宋体"/>
        </w:rPr>
      </w:pPr>
    </w:p>
    <w:p w14:paraId="78E7135F">
      <w:pPr>
        <w:rPr>
          <w:rFonts w:hint="eastAsia" w:ascii="宋体" w:hAnsi="宋体" w:eastAsia="宋体" w:cs="宋体"/>
        </w:rPr>
      </w:pPr>
    </w:p>
    <w:p w14:paraId="3826BFE5">
      <w:pPr>
        <w:rPr>
          <w:rFonts w:hint="eastAsia" w:ascii="宋体" w:hAnsi="宋体" w:eastAsia="宋体" w:cs="宋体"/>
        </w:rPr>
      </w:pPr>
    </w:p>
    <w:p w14:paraId="5F219F83">
      <w:pPr>
        <w:rPr>
          <w:rFonts w:hint="eastAsia" w:ascii="宋体" w:hAnsi="宋体" w:eastAsia="宋体" w:cs="宋体"/>
        </w:rPr>
      </w:pPr>
    </w:p>
    <w:p w14:paraId="11E8A772">
      <w:pPr>
        <w:rPr>
          <w:rFonts w:hint="eastAsia" w:ascii="宋体" w:hAnsi="宋体" w:eastAsia="宋体" w:cs="宋体"/>
        </w:rPr>
      </w:pPr>
    </w:p>
    <w:p w14:paraId="45927647">
      <w:pPr>
        <w:rPr>
          <w:rFonts w:hint="eastAsia" w:ascii="宋体" w:hAnsi="宋体" w:eastAsia="宋体" w:cs="宋体"/>
        </w:rPr>
      </w:pPr>
    </w:p>
    <w:p w14:paraId="63B3AAD9">
      <w:pPr>
        <w:rPr>
          <w:rFonts w:hint="eastAsia" w:ascii="宋体" w:hAnsi="宋体" w:eastAsia="宋体" w:cs="宋体"/>
        </w:rPr>
      </w:pPr>
    </w:p>
    <w:p w14:paraId="0FB2A604">
      <w:pPr>
        <w:rPr>
          <w:rFonts w:hint="eastAsia" w:ascii="宋体" w:hAnsi="宋体" w:eastAsia="宋体" w:cs="宋体"/>
        </w:rPr>
      </w:pPr>
    </w:p>
    <w:p w14:paraId="0FE2F104">
      <w:pPr>
        <w:rPr>
          <w:rFonts w:hint="eastAsia" w:ascii="宋体" w:hAnsi="宋体" w:eastAsia="宋体" w:cs="宋体"/>
        </w:rPr>
      </w:pPr>
    </w:p>
    <w:p w14:paraId="4A409C15">
      <w:pPr>
        <w:rPr>
          <w:rFonts w:hint="eastAsia" w:ascii="宋体" w:hAnsi="宋体" w:eastAsia="宋体" w:cs="宋体"/>
        </w:rPr>
      </w:pPr>
    </w:p>
    <w:p w14:paraId="549BC2F7">
      <w:pPr>
        <w:rPr>
          <w:rFonts w:hint="eastAsia" w:ascii="宋体" w:hAnsi="宋体" w:eastAsia="宋体" w:cs="宋体"/>
        </w:rPr>
      </w:pPr>
    </w:p>
    <w:p w14:paraId="50B53AA4">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16" w:name="_Toc22243"/>
      <w:bookmarkStart w:id="117" w:name="_Toc13872"/>
      <w:r>
        <w:rPr>
          <w:rFonts w:hint="eastAsia" w:ascii="宋体" w:hAnsi="宋体" w:eastAsia="宋体" w:cs="宋体"/>
          <w:b/>
          <w:color w:val="auto"/>
          <w:kern w:val="2"/>
          <w:sz w:val="28"/>
          <w:szCs w:val="24"/>
          <w:lang w:val="en-US" w:eastAsia="zh-CN"/>
        </w:rPr>
        <w:t>第六节   定标规定及细则（本项目采用票决数量法定标）</w:t>
      </w:r>
      <w:bookmarkEnd w:id="116"/>
      <w:bookmarkEnd w:id="117"/>
    </w:p>
    <w:p w14:paraId="3C75614D">
      <w:pPr>
        <w:pStyle w:val="6"/>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left"/>
        <w:textAlignment w:val="auto"/>
        <w:outlineLvl w:val="2"/>
        <w:rPr>
          <w:rFonts w:hint="eastAsia" w:ascii="宋体" w:hAnsi="宋体" w:eastAsia="宋体" w:cs="宋体"/>
          <w:b/>
          <w:bCs/>
          <w:color w:val="auto"/>
          <w:kern w:val="0"/>
          <w:sz w:val="24"/>
          <w:szCs w:val="24"/>
          <w:highlight w:val="none"/>
        </w:rPr>
      </w:pPr>
      <w:bookmarkStart w:id="118" w:name="_Toc21902"/>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确定</w:t>
      </w:r>
      <w:r>
        <w:rPr>
          <w:rFonts w:hint="eastAsia" w:ascii="宋体" w:hAnsi="宋体" w:eastAsia="宋体" w:cs="宋体"/>
          <w:b/>
          <w:bCs/>
          <w:color w:val="auto"/>
          <w:kern w:val="0"/>
          <w:sz w:val="24"/>
          <w:szCs w:val="24"/>
          <w:highlight w:val="none"/>
        </w:rPr>
        <w:t>定标时间</w:t>
      </w:r>
      <w:bookmarkEnd w:id="118"/>
    </w:p>
    <w:p w14:paraId="34C2206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招标人</w:t>
      </w:r>
      <w:r>
        <w:rPr>
          <w:rFonts w:hint="eastAsia" w:ascii="宋体" w:hAnsi="宋体" w:eastAsia="宋体" w:cs="宋体"/>
          <w:sz w:val="24"/>
          <w:szCs w:val="24"/>
          <w:lang w:eastAsia="zh-CN"/>
        </w:rPr>
        <w:t>应</w:t>
      </w:r>
      <w:r>
        <w:rPr>
          <w:rFonts w:hint="eastAsia" w:ascii="宋体" w:hAnsi="宋体" w:eastAsia="宋体" w:cs="宋体"/>
          <w:sz w:val="24"/>
          <w:szCs w:val="24"/>
        </w:rPr>
        <w:t>自</w:t>
      </w:r>
      <w:r>
        <w:rPr>
          <w:rFonts w:hint="eastAsia" w:ascii="宋体" w:hAnsi="宋体" w:eastAsia="宋体" w:cs="宋体"/>
          <w:sz w:val="24"/>
          <w:szCs w:val="24"/>
          <w:lang w:val="en-US" w:eastAsia="zh-CN"/>
        </w:rPr>
        <w:t>定标候选人</w:t>
      </w:r>
      <w:r>
        <w:rPr>
          <w:rFonts w:hint="eastAsia" w:ascii="宋体" w:hAnsi="宋体" w:eastAsia="宋体" w:cs="宋体"/>
          <w:sz w:val="24"/>
          <w:szCs w:val="24"/>
        </w:rPr>
        <w:t>公示期满后</w:t>
      </w:r>
      <w:r>
        <w:rPr>
          <w:rFonts w:hint="eastAsia" w:ascii="宋体" w:hAnsi="宋体" w:eastAsia="宋体" w:cs="宋体"/>
          <w:sz w:val="24"/>
          <w:szCs w:val="24"/>
          <w:lang w:val="en-US" w:eastAsia="zh-CN"/>
        </w:rPr>
        <w:t>5</w:t>
      </w:r>
      <w:r>
        <w:rPr>
          <w:rFonts w:hint="eastAsia" w:ascii="宋体" w:hAnsi="宋体" w:eastAsia="宋体" w:cs="宋体"/>
          <w:sz w:val="24"/>
          <w:szCs w:val="24"/>
        </w:rPr>
        <w:t>个工作日内进入公共资源交易平台（与评标阶段公共资源交易平台相同）进行定标。定标会议全过程录音录像。招标人需要延期定标的，</w:t>
      </w:r>
      <w:r>
        <w:rPr>
          <w:rFonts w:hint="eastAsia" w:ascii="宋体" w:hAnsi="宋体" w:eastAsia="宋体" w:cs="宋体"/>
          <w:sz w:val="24"/>
          <w:szCs w:val="24"/>
          <w:lang w:eastAsia="zh-CN"/>
        </w:rPr>
        <w:t>应</w:t>
      </w:r>
      <w:r>
        <w:rPr>
          <w:rFonts w:hint="eastAsia" w:ascii="宋体" w:hAnsi="宋体" w:eastAsia="宋体" w:cs="宋体"/>
          <w:sz w:val="24"/>
          <w:szCs w:val="24"/>
        </w:rPr>
        <w:t>通过公共资源交易平台公布延期原因和定标时间。</w:t>
      </w:r>
    </w:p>
    <w:p w14:paraId="0EFB8C2B">
      <w:pPr>
        <w:pStyle w:val="6"/>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left"/>
        <w:textAlignment w:val="auto"/>
        <w:outlineLvl w:val="2"/>
        <w:rPr>
          <w:rFonts w:hint="eastAsia" w:ascii="宋体" w:hAnsi="宋体" w:eastAsia="宋体" w:cs="宋体"/>
          <w:b/>
          <w:bCs/>
          <w:color w:val="auto"/>
          <w:kern w:val="0"/>
          <w:sz w:val="24"/>
          <w:szCs w:val="24"/>
          <w:highlight w:val="none"/>
          <w:lang w:val="en-US" w:eastAsia="zh-CN"/>
        </w:rPr>
      </w:pPr>
      <w:bookmarkStart w:id="119" w:name="_Toc22372"/>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定标委员会</w:t>
      </w:r>
      <w:bookmarkEnd w:id="119"/>
    </w:p>
    <w:p w14:paraId="20E8DD43">
      <w:pPr>
        <w:keepNext w:val="0"/>
        <w:keepLines w:val="0"/>
        <w:pageBreakBefore w:val="0"/>
        <w:wordWrap/>
        <w:overflowPunct/>
        <w:topLinePunct w:val="0"/>
        <w:bidi w:val="0"/>
        <w:spacing w:line="360" w:lineRule="auto"/>
        <w:ind w:firstLine="480" w:firstLineChars="200"/>
        <w:rPr>
          <w:rStyle w:val="64"/>
          <w:rFonts w:hint="eastAsia" w:ascii="宋体" w:hAnsi="宋体" w:eastAsia="宋体" w:cs="宋体"/>
          <w:color w:val="auto"/>
          <w:kern w:val="0"/>
          <w:sz w:val="24"/>
          <w:szCs w:val="24"/>
          <w:highlight w:val="none"/>
          <w:lang w:val="en-US" w:eastAsia="zh-CN"/>
        </w:rPr>
      </w:pPr>
      <w:r>
        <w:rPr>
          <w:rStyle w:val="64"/>
          <w:rFonts w:hint="eastAsia" w:ascii="宋体" w:hAnsi="宋体" w:eastAsia="宋体" w:cs="宋体"/>
          <w:color w:val="auto"/>
          <w:kern w:val="0"/>
          <w:sz w:val="24"/>
          <w:szCs w:val="24"/>
          <w:highlight w:val="none"/>
          <w:lang w:val="en-US" w:eastAsia="zh-CN"/>
        </w:rPr>
        <w:t>2.1定标委员会由项目业主单位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2BB68FD9">
      <w:pPr>
        <w:keepNext w:val="0"/>
        <w:keepLines w:val="0"/>
        <w:pageBreakBefore w:val="0"/>
        <w:wordWrap/>
        <w:overflowPunct/>
        <w:topLinePunct w:val="0"/>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38026271">
      <w:pPr>
        <w:keepNext w:val="0"/>
        <w:keepLines w:val="0"/>
        <w:pageBreakBefore w:val="0"/>
        <w:wordWrap/>
        <w:overflowPunct/>
        <w:topLinePunct w:val="0"/>
        <w:bidi w:val="0"/>
        <w:spacing w:line="360" w:lineRule="auto"/>
        <w:ind w:firstLine="480" w:firstLineChars="200"/>
        <w:rPr>
          <w:rFonts w:hint="eastAsia" w:ascii="宋体" w:hAnsi="宋体" w:eastAsia="宋体" w:cs="宋体"/>
          <w:color w:val="auto"/>
          <w:sz w:val="24"/>
          <w:szCs w:val="24"/>
          <w:highlight w:val="none"/>
          <w:lang w:val="en-US" w:eastAsia="zh-CN"/>
        </w:rPr>
      </w:pPr>
      <w:r>
        <w:rPr>
          <w:rStyle w:val="64"/>
          <w:rFonts w:hint="eastAsia" w:ascii="宋体" w:hAnsi="宋体" w:eastAsia="宋体" w:cs="宋体"/>
          <w:color w:val="auto"/>
          <w:kern w:val="0"/>
          <w:sz w:val="24"/>
          <w:szCs w:val="24"/>
          <w:highlight w:val="none"/>
          <w:lang w:val="en-US" w:eastAsia="zh-CN"/>
        </w:rPr>
        <w:t>2</w:t>
      </w:r>
      <w:r>
        <w:rPr>
          <w:rStyle w:val="64"/>
          <w:rFonts w:hint="eastAsia" w:ascii="宋体" w:hAnsi="宋体" w:eastAsia="宋体" w:cs="宋体"/>
          <w:color w:val="auto"/>
          <w:kern w:val="0"/>
          <w:sz w:val="24"/>
          <w:szCs w:val="24"/>
          <w:highlight w:val="none"/>
        </w:rPr>
        <w:t>.</w:t>
      </w:r>
      <w:r>
        <w:rPr>
          <w:rStyle w:val="64"/>
          <w:rFonts w:hint="eastAsia" w:ascii="宋体" w:hAnsi="宋体" w:eastAsia="宋体" w:cs="宋体"/>
          <w:color w:val="auto"/>
          <w:kern w:val="0"/>
          <w:sz w:val="24"/>
          <w:szCs w:val="24"/>
          <w:highlight w:val="none"/>
          <w:lang w:val="en-US" w:eastAsia="zh-CN"/>
        </w:rPr>
        <w:t>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59E8102D">
      <w:pPr>
        <w:pStyle w:val="6"/>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left"/>
        <w:textAlignment w:val="auto"/>
        <w:outlineLvl w:val="2"/>
        <w:rPr>
          <w:rFonts w:hint="eastAsia" w:ascii="宋体" w:hAnsi="宋体" w:eastAsia="宋体" w:cs="宋体"/>
          <w:b/>
          <w:bCs/>
          <w:color w:val="auto"/>
          <w:kern w:val="0"/>
          <w:sz w:val="24"/>
          <w:szCs w:val="24"/>
          <w:highlight w:val="none"/>
          <w:lang w:val="en-US" w:eastAsia="zh-CN"/>
        </w:rPr>
      </w:pPr>
      <w:bookmarkStart w:id="120" w:name="_Toc5823"/>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组建招标监督小组</w:t>
      </w:r>
      <w:bookmarkEnd w:id="120"/>
    </w:p>
    <w:p w14:paraId="79C3CDC1">
      <w:pPr>
        <w:keepNext w:val="0"/>
        <w:keepLines w:val="0"/>
        <w:pageBreakBefore w:val="0"/>
        <w:wordWrap/>
        <w:overflowPunct/>
        <w:topLinePunct w:val="0"/>
        <w:bidi w:val="0"/>
        <w:spacing w:line="360" w:lineRule="auto"/>
        <w:ind w:firstLine="480" w:firstLineChars="200"/>
        <w:rPr>
          <w:rStyle w:val="64"/>
          <w:rFonts w:hint="eastAsia" w:ascii="宋体" w:hAnsi="宋体" w:eastAsia="宋体" w:cs="宋体"/>
          <w:color w:val="auto"/>
          <w:kern w:val="0"/>
          <w:sz w:val="24"/>
          <w:szCs w:val="24"/>
          <w:highlight w:val="none"/>
          <w:lang w:val="en-US" w:eastAsia="zh-CN"/>
        </w:rPr>
      </w:pPr>
      <w:r>
        <w:rPr>
          <w:rStyle w:val="64"/>
          <w:rFonts w:hint="eastAsia" w:ascii="宋体" w:hAnsi="宋体" w:eastAsia="宋体" w:cs="宋体"/>
          <w:color w:val="auto"/>
          <w:kern w:val="0"/>
          <w:sz w:val="24"/>
          <w:szCs w:val="24"/>
          <w:highlight w:val="none"/>
          <w:lang w:val="en-US" w:eastAsia="zh-CN"/>
        </w:rPr>
        <w:t>项目业主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1550A21D">
      <w:pPr>
        <w:pStyle w:val="6"/>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left"/>
        <w:textAlignment w:val="auto"/>
        <w:outlineLvl w:val="2"/>
        <w:rPr>
          <w:rFonts w:hint="eastAsia" w:ascii="宋体" w:hAnsi="宋体" w:eastAsia="宋体" w:cs="宋体"/>
          <w:b/>
          <w:bCs/>
          <w:color w:val="auto"/>
          <w:kern w:val="0"/>
          <w:sz w:val="24"/>
          <w:szCs w:val="24"/>
          <w:highlight w:val="none"/>
          <w:lang w:val="en-US" w:eastAsia="zh-CN"/>
        </w:rPr>
      </w:pPr>
      <w:bookmarkStart w:id="121" w:name="_Toc7179"/>
      <w:r>
        <w:rPr>
          <w:rFonts w:hint="eastAsia" w:ascii="宋体" w:hAnsi="宋体" w:eastAsia="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定标办法</w:t>
      </w:r>
      <w:bookmarkEnd w:id="121"/>
    </w:p>
    <w:p w14:paraId="30BE5938">
      <w:pPr>
        <w:keepNext w:val="0"/>
        <w:keepLines w:val="0"/>
        <w:pageBreakBefore w:val="0"/>
        <w:wordWrap/>
        <w:overflowPunct/>
        <w:topLinePunct w:val="0"/>
        <w:bidi w:val="0"/>
        <w:spacing w:line="360" w:lineRule="auto"/>
        <w:ind w:firstLine="480" w:firstLineChars="200"/>
        <w:rPr>
          <w:rStyle w:val="64"/>
          <w:rFonts w:hint="eastAsia" w:ascii="宋体" w:hAnsi="宋体" w:eastAsia="宋体" w:cs="宋体"/>
          <w:color w:val="auto"/>
          <w:kern w:val="0"/>
          <w:sz w:val="24"/>
          <w:szCs w:val="24"/>
          <w:highlight w:val="none"/>
          <w:lang w:val="en-US" w:eastAsia="zh-CN"/>
        </w:rPr>
      </w:pPr>
      <w:r>
        <w:rPr>
          <w:rStyle w:val="64"/>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3400C1DA">
      <w:pPr>
        <w:keepNext w:val="0"/>
        <w:keepLines w:val="0"/>
        <w:pageBreakBefore w:val="0"/>
        <w:wordWrap/>
        <w:overflowPunct/>
        <w:topLinePunct w:val="0"/>
        <w:bidi w:val="0"/>
        <w:spacing w:line="360" w:lineRule="auto"/>
        <w:ind w:firstLine="482" w:firstLineChars="200"/>
        <w:rPr>
          <w:rFonts w:hint="eastAsia" w:ascii="宋体" w:hAnsi="宋体" w:eastAsia="宋体" w:cs="宋体"/>
          <w:color w:val="auto"/>
          <w:sz w:val="24"/>
          <w:szCs w:val="24"/>
          <w:highlight w:val="none"/>
        </w:rPr>
      </w:pPr>
      <w:bookmarkStart w:id="122" w:name="OLE_LINK3"/>
      <w:r>
        <w:rPr>
          <w:rFonts w:hint="eastAsia" w:ascii="宋体" w:hAnsi="宋体" w:eastAsia="宋体" w:cs="宋体"/>
          <w:b/>
          <w:bCs/>
          <w:color w:val="auto"/>
          <w:sz w:val="24"/>
          <w:szCs w:val="24"/>
          <w:highlight w:val="none"/>
          <w:lang w:val="en-US" w:eastAsia="zh-CN"/>
        </w:rPr>
        <w:t>本项目</w:t>
      </w:r>
      <w:bookmarkEnd w:id="122"/>
      <w:r>
        <w:rPr>
          <w:rFonts w:hint="eastAsia" w:ascii="宋体" w:hAnsi="宋体" w:eastAsia="宋体" w:cs="宋体"/>
          <w:b/>
          <w:bCs/>
          <w:color w:val="auto"/>
          <w:sz w:val="24"/>
          <w:szCs w:val="24"/>
          <w:highlight w:val="none"/>
          <w:lang w:val="en-US" w:eastAsia="zh-CN"/>
        </w:rPr>
        <w:t>采用票决数量法定标。</w:t>
      </w:r>
    </w:p>
    <w:p w14:paraId="48D9D701">
      <w:pPr>
        <w:pStyle w:val="6"/>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left"/>
        <w:textAlignment w:val="auto"/>
        <w:outlineLvl w:val="2"/>
        <w:rPr>
          <w:rFonts w:hint="eastAsia" w:ascii="宋体" w:hAnsi="宋体" w:eastAsia="宋体" w:cs="宋体"/>
          <w:b/>
          <w:bCs/>
          <w:color w:val="auto"/>
          <w:kern w:val="0"/>
          <w:sz w:val="24"/>
          <w:szCs w:val="24"/>
          <w:highlight w:val="none"/>
          <w:lang w:val="en-US" w:eastAsia="zh-CN"/>
        </w:rPr>
      </w:pPr>
      <w:bookmarkStart w:id="123" w:name="_Toc19519"/>
      <w:r>
        <w:rPr>
          <w:rFonts w:hint="eastAsia" w:ascii="宋体" w:hAnsi="宋体" w:eastAsia="宋体" w:cs="宋体"/>
          <w:b/>
          <w:bCs/>
          <w:color w:val="auto"/>
          <w:kern w:val="0"/>
          <w:sz w:val="24"/>
          <w:szCs w:val="24"/>
          <w:highlight w:val="none"/>
          <w:lang w:val="en-US" w:eastAsia="zh-CN"/>
        </w:rPr>
        <w:t>5．定标细则</w:t>
      </w:r>
      <w:bookmarkEnd w:id="123"/>
    </w:p>
    <w:p w14:paraId="138D338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AAC571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081008C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78FFEC8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7C09177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70DEF3A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7FEB2684">
      <w:pPr>
        <w:pStyle w:val="29"/>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5D9EDF5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4093470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51F81F4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2137E3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5174E05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2BFDEC70">
      <w:pPr>
        <w:pStyle w:val="29"/>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67EF311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76EFF09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11CBEF3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在同等条件下，择优的定标因素和相对标准有以下几个方面（组成联合体投标时由联合体牵头人提供）：</w:t>
      </w:r>
    </w:p>
    <w:p w14:paraId="4145368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w:t>
      </w:r>
      <w:r>
        <w:rPr>
          <w:rFonts w:hint="eastAsia" w:ascii="宋体" w:hAnsi="宋体" w:cs="宋体"/>
          <w:b w:val="0"/>
          <w:bCs w:val="0"/>
          <w:color w:val="auto"/>
          <w:spacing w:val="0"/>
          <w:position w:val="0"/>
          <w:sz w:val="24"/>
          <w:szCs w:val="24"/>
          <w:highlight w:val="none"/>
          <w:u w:val="none" w:color="auto"/>
          <w:lang w:val="en-US" w:eastAsia="zh-CN"/>
        </w:rPr>
        <w:t>综合服务保障能力（包括行政单位或业主单位评价、企业信用等）</w:t>
      </w:r>
    </w:p>
    <w:p w14:paraId="7BFF338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yellow"/>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相对标准：获同类项目业主评价度高（含表扬信）的定标候选人</w:t>
      </w:r>
      <w:r>
        <w:rPr>
          <w:rFonts w:hint="eastAsia" w:ascii="宋体" w:hAnsi="宋体" w:cs="宋体"/>
          <w:b w:val="0"/>
          <w:bCs w:val="0"/>
          <w:color w:val="auto"/>
          <w:spacing w:val="0"/>
          <w:position w:val="0"/>
          <w:sz w:val="24"/>
          <w:szCs w:val="24"/>
          <w:highlight w:val="none"/>
          <w:u w:val="none" w:color="auto"/>
          <w:lang w:val="en-US" w:eastAsia="zh-CN"/>
        </w:rPr>
        <w:t>优于一般的定标候选人</w:t>
      </w:r>
      <w:r>
        <w:rPr>
          <w:rFonts w:hint="eastAsia" w:ascii="宋体" w:hAnsi="宋体" w:eastAsia="宋体" w:cs="宋体"/>
          <w:b w:val="0"/>
          <w:bCs w:val="0"/>
          <w:color w:val="auto"/>
          <w:spacing w:val="0"/>
          <w:position w:val="0"/>
          <w:sz w:val="24"/>
          <w:szCs w:val="24"/>
          <w:highlight w:val="none"/>
          <w:u w:val="none" w:color="auto"/>
          <w:lang w:val="en-US" w:eastAsia="zh-CN"/>
        </w:rPr>
        <w:t>。</w:t>
      </w:r>
    </w:p>
    <w:p w14:paraId="5DB470B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（2）评标报告</w:t>
      </w:r>
    </w:p>
    <w:p w14:paraId="49B9459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1666338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（3）设计方案（包括技术方案的先进性、安全性、节能环保措施、进度控制的科学性等。）</w:t>
      </w:r>
    </w:p>
    <w:p w14:paraId="2EE0D32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相对标准：方案设计好的定标候选人优于方案设计一般的定标候选人。</w:t>
      </w:r>
    </w:p>
    <w:p w14:paraId="7AD7A5B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（4）履约及后续服务（包括履约保障承诺、过程响应机制、后期服务与维护方案等。）</w:t>
      </w:r>
    </w:p>
    <w:p w14:paraId="6C1A33B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相对标准：服务能力好的定标候选人优于服务能力一般的定标候选人。</w:t>
      </w:r>
    </w:p>
    <w:p w14:paraId="4EEEC6F2">
      <w:pPr>
        <w:pStyle w:val="6"/>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left"/>
        <w:textAlignment w:val="auto"/>
        <w:outlineLvl w:val="2"/>
        <w:rPr>
          <w:rFonts w:hint="eastAsia" w:ascii="宋体" w:hAnsi="宋体" w:eastAsia="宋体" w:cs="宋体"/>
          <w:b/>
          <w:bCs/>
          <w:color w:val="auto"/>
          <w:kern w:val="0"/>
          <w:sz w:val="24"/>
          <w:szCs w:val="24"/>
          <w:highlight w:val="none"/>
          <w:lang w:val="en-US" w:eastAsia="zh-CN"/>
        </w:rPr>
      </w:pPr>
      <w:bookmarkStart w:id="124" w:name="_Toc7367"/>
      <w:r>
        <w:rPr>
          <w:rFonts w:hint="eastAsia" w:ascii="宋体" w:hAnsi="宋体" w:eastAsia="宋体" w:cs="宋体"/>
          <w:b/>
          <w:bCs/>
          <w:color w:val="auto"/>
          <w:kern w:val="0"/>
          <w:sz w:val="24"/>
          <w:szCs w:val="24"/>
          <w:highlight w:val="none"/>
          <w:lang w:val="en-US" w:eastAsia="zh-CN"/>
        </w:rPr>
        <w:t>6．定标结果公示</w:t>
      </w:r>
      <w:bookmarkEnd w:id="124"/>
    </w:p>
    <w:p w14:paraId="2E8C084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64"/>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64"/>
          <w:rFonts w:hint="eastAsia" w:ascii="宋体" w:hAnsi="宋体" w:eastAsia="宋体" w:cs="宋体"/>
          <w:b w:val="0"/>
          <w:bCs w:val="0"/>
          <w:color w:val="auto"/>
          <w:kern w:val="0"/>
          <w:sz w:val="24"/>
          <w:szCs w:val="24"/>
          <w:highlight w:val="none"/>
          <w:lang w:val="en-US" w:eastAsia="zh-CN"/>
        </w:rPr>
        <w:t>后</w:t>
      </w:r>
      <w:r>
        <w:rPr>
          <w:rStyle w:val="64"/>
          <w:rFonts w:hint="eastAsia" w:ascii="宋体" w:hAnsi="宋体" w:eastAsia="宋体" w:cs="宋体"/>
          <w:color w:val="auto"/>
          <w:kern w:val="0"/>
          <w:sz w:val="24"/>
          <w:szCs w:val="24"/>
          <w:highlight w:val="none"/>
          <w:lang w:val="en-US" w:eastAsia="zh-CN"/>
        </w:rPr>
        <w:t>，招标人应于定标会结束后3日内将中标候选人和定标情况在广东省招标投标监管网和韶关市公共资源交易中心工程交易系统上公示，公示时间不少于3日。公示主要内容包括：公示主要内容包括：定标报告（定标成员信息除外）、中标人名单、中标价和拟投入本项目的项目负责人、技术负责人及各专业负责人（如有）等内容。</w:t>
      </w:r>
    </w:p>
    <w:p w14:paraId="197F0BC6">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25" w:name="_Toc25461"/>
      <w:r>
        <w:rPr>
          <w:rFonts w:hint="eastAsia" w:ascii="宋体" w:hAnsi="宋体" w:eastAsia="宋体" w:cs="宋体"/>
          <w:b/>
          <w:color w:val="auto"/>
          <w:kern w:val="2"/>
          <w:sz w:val="28"/>
          <w:szCs w:val="24"/>
          <w:lang w:val="en-US" w:eastAsia="zh-CN"/>
        </w:rPr>
        <w:t>第七节   中标确认</w:t>
      </w:r>
      <w:bookmarkEnd w:id="125"/>
    </w:p>
    <w:p w14:paraId="7D8967FC">
      <w:pPr>
        <w:pStyle w:val="6"/>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left"/>
        <w:textAlignment w:val="auto"/>
        <w:outlineLvl w:val="2"/>
        <w:rPr>
          <w:rFonts w:hint="eastAsia" w:ascii="宋体" w:hAnsi="宋体" w:eastAsia="宋体" w:cs="宋体"/>
          <w:b/>
          <w:bCs/>
          <w:color w:val="auto"/>
          <w:kern w:val="0"/>
          <w:sz w:val="24"/>
          <w:szCs w:val="24"/>
          <w:highlight w:val="none"/>
          <w:lang w:val="en-US" w:eastAsia="zh-CN"/>
        </w:rPr>
      </w:pPr>
      <w:bookmarkStart w:id="126" w:name="_Toc4999"/>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中标人确定</w:t>
      </w:r>
      <w:bookmarkEnd w:id="126"/>
    </w:p>
    <w:p w14:paraId="3809732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4A6E502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2AD3C1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064B322B">
      <w:pPr>
        <w:pStyle w:val="6"/>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left"/>
        <w:textAlignment w:val="auto"/>
        <w:outlineLvl w:val="2"/>
        <w:rPr>
          <w:rFonts w:hint="eastAsia" w:ascii="宋体" w:hAnsi="宋体" w:eastAsia="宋体" w:cs="宋体"/>
          <w:b/>
          <w:bCs/>
          <w:color w:val="auto"/>
          <w:kern w:val="0"/>
          <w:sz w:val="24"/>
          <w:szCs w:val="24"/>
          <w:highlight w:val="none"/>
          <w:lang w:val="en-US" w:eastAsia="zh-CN"/>
        </w:rPr>
      </w:pPr>
      <w:bookmarkStart w:id="127" w:name="_Toc12333"/>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异议和投诉</w:t>
      </w:r>
      <w:bookmarkEnd w:id="127"/>
    </w:p>
    <w:p w14:paraId="4547C6A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71D6C2C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0684DDD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1AF7E5C0">
      <w:pPr>
        <w:pStyle w:val="6"/>
        <w:keepNext/>
        <w:keepLines/>
        <w:pageBreakBefore w:val="0"/>
        <w:widowControl/>
        <w:kinsoku/>
        <w:wordWrap/>
        <w:overflowPunct/>
        <w:topLinePunct w:val="0"/>
        <w:autoSpaceDE/>
        <w:autoSpaceDN/>
        <w:bidi w:val="0"/>
        <w:adjustRightInd/>
        <w:snapToGrid/>
        <w:spacing w:before="240" w:beforeAutospacing="0" w:after="120" w:afterAutospacing="0" w:line="360" w:lineRule="auto"/>
        <w:ind w:firstLine="420"/>
        <w:jc w:val="left"/>
        <w:textAlignment w:val="auto"/>
        <w:outlineLvl w:val="2"/>
        <w:rPr>
          <w:rFonts w:hint="eastAsia" w:ascii="宋体" w:hAnsi="宋体" w:eastAsia="宋体" w:cs="宋体"/>
          <w:b/>
          <w:bCs/>
          <w:color w:val="auto"/>
          <w:kern w:val="0"/>
          <w:sz w:val="24"/>
          <w:szCs w:val="24"/>
          <w:highlight w:val="none"/>
          <w:lang w:val="en-US" w:eastAsia="zh-CN"/>
        </w:rPr>
      </w:pPr>
      <w:bookmarkStart w:id="128" w:name="_Toc26651"/>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废除授标及授标</w:t>
      </w:r>
      <w:bookmarkEnd w:id="128"/>
    </w:p>
    <w:p w14:paraId="0A340C0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3.1评定标完成后，中标候选人有下列情形之一的，招标人应按规定取消中标候选人资格或废除授标：</w:t>
      </w:r>
    </w:p>
    <w:p w14:paraId="28600AE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（1）以他人名义投标或者以其他方式弄虚作假骗取中标的；</w:t>
      </w:r>
    </w:p>
    <w:p w14:paraId="4A4E0A9F">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（2）与其他投标人串通投标或以行贿的手段谋取中标的；</w:t>
      </w:r>
    </w:p>
    <w:p w14:paraId="1ABABB9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（3）不是从本投标企业基本账户提交投标担保或以虚假方式提交投标保证金保函（保单）的；</w:t>
      </w:r>
    </w:p>
    <w:p w14:paraId="5138F4E7">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（4）中标人于投标有效期终止之前撤回投标文件，或者排名第一的中标候选人放弃中标资格的；</w:t>
      </w:r>
    </w:p>
    <w:p w14:paraId="3BB0894C">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（5）因中标人过错而未能按照规定与招标人签订工程总承包合同或中标人因不可抗力提出不能履行合同的；</w:t>
      </w:r>
    </w:p>
    <w:p w14:paraId="15EFBF89">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（6）因中标人过错而未能按照招标文件要求向招标人提交履约担保的；</w:t>
      </w:r>
    </w:p>
    <w:p w14:paraId="220DF798">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（7）中标单位拟派的项目负责人从投标截止时间起在其他建设工程担任项目负责人；</w:t>
      </w:r>
    </w:p>
    <w:p w14:paraId="24DE979D">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（8）中标人被有关部门查实存在影响中标结果的违法行为，不符合中标条件的；</w:t>
      </w:r>
    </w:p>
    <w:p w14:paraId="4DFDBDDC">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（9）中标人在参加本项目投标时有本企业投标承诺书所列被依法限制或暂停承揽业务或停业的处罚的；</w:t>
      </w:r>
    </w:p>
    <w:p w14:paraId="28FE909C">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（10）招标文件明确规定可以废除授标的其他情形。</w:t>
      </w:r>
    </w:p>
    <w:p w14:paraId="773DB408">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4316692B">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 招标人有下列情形之一的，应依法承担相应的责任：</w:t>
      </w:r>
    </w:p>
    <w:p w14:paraId="52ED7768">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（1）无正当理由不发出中标通知书的；</w:t>
      </w:r>
    </w:p>
    <w:p w14:paraId="0C9E8C3E">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（2）招标人不按照规定确定中标人的；</w:t>
      </w:r>
    </w:p>
    <w:p w14:paraId="1BBB6F30">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（3）中标通知书发出后无正当理由改变中标结果的；</w:t>
      </w:r>
    </w:p>
    <w:p w14:paraId="6B4CC4F9">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（4）无正当理由不与中标人签订工程总承包合同的；</w:t>
      </w:r>
    </w:p>
    <w:p w14:paraId="5E8B51F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（5）在签订工程总承包合同时向中标人提出附加条件或者更改合同实质性内容的。</w:t>
      </w:r>
    </w:p>
    <w:p w14:paraId="7DD2A2C3">
      <w:pPr>
        <w:rPr>
          <w:rFonts w:hint="eastAsia" w:ascii="宋体" w:hAnsi="宋体" w:eastAsia="宋体" w:cs="宋体"/>
          <w:sz w:val="24"/>
          <w:szCs w:val="24"/>
          <w:lang w:val="en-US" w:eastAsia="zh-CN"/>
        </w:rPr>
      </w:pPr>
    </w:p>
    <w:p w14:paraId="6008A92A">
      <w:pPr>
        <w:rPr>
          <w:rFonts w:hint="eastAsia" w:ascii="宋体" w:hAnsi="宋体" w:eastAsia="宋体" w:cs="宋体"/>
          <w:lang w:val="en-US" w:eastAsia="zh-CN"/>
        </w:rPr>
      </w:pPr>
    </w:p>
    <w:p w14:paraId="1171CBE5">
      <w:pPr>
        <w:rPr>
          <w:rFonts w:hint="eastAsia" w:ascii="宋体" w:hAnsi="宋体" w:eastAsia="宋体" w:cs="宋体"/>
          <w:lang w:val="en-US" w:eastAsia="zh-CN"/>
        </w:rPr>
      </w:pPr>
    </w:p>
    <w:p w14:paraId="1A217379">
      <w:pPr>
        <w:rPr>
          <w:rFonts w:hint="eastAsia" w:ascii="宋体" w:hAnsi="宋体" w:eastAsia="宋体" w:cs="宋体"/>
          <w:lang w:val="en-US" w:eastAsia="zh-CN"/>
        </w:rPr>
      </w:pPr>
    </w:p>
    <w:p w14:paraId="1CD0E1D8">
      <w:pPr>
        <w:rPr>
          <w:rFonts w:hint="eastAsia" w:ascii="宋体" w:hAnsi="宋体" w:eastAsia="宋体" w:cs="宋体"/>
          <w:lang w:val="en-US" w:eastAsia="zh-CN"/>
        </w:rPr>
      </w:pPr>
    </w:p>
    <w:p w14:paraId="6E24EE2D">
      <w:pPr>
        <w:rPr>
          <w:rFonts w:hint="eastAsia" w:ascii="宋体" w:hAnsi="宋体" w:eastAsia="宋体" w:cs="宋体"/>
          <w:lang w:val="en-US" w:eastAsia="zh-CN"/>
        </w:rPr>
      </w:pPr>
    </w:p>
    <w:p w14:paraId="702913B5">
      <w:pPr>
        <w:rPr>
          <w:rFonts w:hint="eastAsia" w:ascii="宋体" w:hAnsi="宋体" w:eastAsia="宋体" w:cs="宋体"/>
          <w:lang w:val="en-US" w:eastAsia="zh-CN"/>
        </w:rPr>
      </w:pPr>
    </w:p>
    <w:p w14:paraId="28A16DDE">
      <w:pPr>
        <w:rPr>
          <w:rFonts w:hint="eastAsia" w:ascii="宋体" w:hAnsi="宋体" w:eastAsia="宋体" w:cs="宋体"/>
          <w:lang w:val="en-US" w:eastAsia="zh-CN"/>
        </w:rPr>
      </w:pPr>
    </w:p>
    <w:p w14:paraId="644B7CC2">
      <w:pPr>
        <w:rPr>
          <w:rFonts w:hint="eastAsia" w:ascii="宋体" w:hAnsi="宋体" w:eastAsia="宋体" w:cs="宋体"/>
          <w:lang w:val="en-US" w:eastAsia="zh-CN"/>
        </w:rPr>
      </w:pPr>
    </w:p>
    <w:p w14:paraId="174510D6">
      <w:pPr>
        <w:rPr>
          <w:rFonts w:hint="eastAsia" w:ascii="宋体" w:hAnsi="宋体" w:eastAsia="宋体" w:cs="宋体"/>
          <w:lang w:val="en-US" w:eastAsia="zh-CN"/>
        </w:rPr>
      </w:pPr>
    </w:p>
    <w:p w14:paraId="3E982228">
      <w:pPr>
        <w:rPr>
          <w:rFonts w:hint="eastAsia" w:ascii="宋体" w:hAnsi="宋体" w:eastAsia="宋体" w:cs="宋体"/>
          <w:lang w:val="en-US" w:eastAsia="zh-CN"/>
        </w:rPr>
      </w:pPr>
    </w:p>
    <w:p w14:paraId="328C5191">
      <w:pPr>
        <w:rPr>
          <w:rFonts w:hint="eastAsia" w:ascii="宋体" w:hAnsi="宋体" w:eastAsia="宋体" w:cs="宋体"/>
          <w:lang w:val="en-US" w:eastAsia="zh-CN"/>
        </w:rPr>
      </w:pPr>
    </w:p>
    <w:p w14:paraId="0B4C08AC">
      <w:pPr>
        <w:rPr>
          <w:rFonts w:hint="eastAsia" w:ascii="宋体" w:hAnsi="宋体" w:eastAsia="宋体" w:cs="宋体"/>
          <w:lang w:val="en-US" w:eastAsia="zh-CN"/>
        </w:rPr>
      </w:pPr>
    </w:p>
    <w:p w14:paraId="45CED9E6">
      <w:pPr>
        <w:rPr>
          <w:rFonts w:hint="eastAsia" w:ascii="宋体" w:hAnsi="宋体" w:eastAsia="宋体" w:cs="宋体"/>
          <w:lang w:val="en-US" w:eastAsia="zh-CN"/>
        </w:rPr>
      </w:pPr>
    </w:p>
    <w:p w14:paraId="3B519D65">
      <w:pPr>
        <w:rPr>
          <w:rFonts w:hint="eastAsia" w:ascii="宋体" w:hAnsi="宋体" w:eastAsia="宋体" w:cs="宋体"/>
          <w:lang w:val="en-US" w:eastAsia="zh-CN"/>
        </w:rPr>
      </w:pPr>
    </w:p>
    <w:p w14:paraId="04BF8B4A">
      <w:pPr>
        <w:rPr>
          <w:rFonts w:hint="eastAsia" w:ascii="宋体" w:hAnsi="宋体" w:eastAsia="宋体" w:cs="宋体"/>
          <w:lang w:val="en-US" w:eastAsia="zh-CN"/>
        </w:rPr>
      </w:pPr>
    </w:p>
    <w:p w14:paraId="730C686E">
      <w:pPr>
        <w:rPr>
          <w:rFonts w:hint="eastAsia" w:ascii="宋体" w:hAnsi="宋体" w:eastAsia="宋体" w:cs="宋体"/>
          <w:lang w:val="en-US" w:eastAsia="zh-CN"/>
        </w:rPr>
      </w:pPr>
    </w:p>
    <w:p w14:paraId="115DBC52">
      <w:pPr>
        <w:rPr>
          <w:rFonts w:hint="eastAsia" w:ascii="宋体" w:hAnsi="宋体" w:eastAsia="宋体" w:cs="宋体"/>
          <w:lang w:val="en-US" w:eastAsia="zh-CN"/>
        </w:rPr>
      </w:pPr>
    </w:p>
    <w:p w14:paraId="259E2688">
      <w:pPr>
        <w:rPr>
          <w:rFonts w:hint="eastAsia" w:ascii="宋体" w:hAnsi="宋体" w:eastAsia="宋体" w:cs="宋体"/>
          <w:lang w:val="en-US" w:eastAsia="zh-CN"/>
        </w:rPr>
      </w:pPr>
    </w:p>
    <w:p w14:paraId="13D6FFA3">
      <w:pPr>
        <w:rPr>
          <w:rFonts w:hint="eastAsia" w:ascii="宋体" w:hAnsi="宋体" w:eastAsia="宋体" w:cs="宋体"/>
          <w:lang w:val="en-US" w:eastAsia="zh-CN"/>
        </w:rPr>
      </w:pPr>
    </w:p>
    <w:p w14:paraId="3E3EC92B">
      <w:pPr>
        <w:rPr>
          <w:rFonts w:hint="eastAsia" w:ascii="宋体" w:hAnsi="宋体" w:eastAsia="宋体" w:cs="宋体"/>
          <w:lang w:val="en-US" w:eastAsia="zh-CN"/>
        </w:rPr>
      </w:pPr>
    </w:p>
    <w:p w14:paraId="7BBAA578">
      <w:pPr>
        <w:rPr>
          <w:rFonts w:hint="eastAsia" w:ascii="宋体" w:hAnsi="宋体" w:eastAsia="宋体" w:cs="宋体"/>
          <w:lang w:val="en-US" w:eastAsia="zh-CN"/>
        </w:rPr>
      </w:pPr>
    </w:p>
    <w:p w14:paraId="0CBF13A7">
      <w:pPr>
        <w:rPr>
          <w:rFonts w:hint="eastAsia" w:ascii="宋体" w:hAnsi="宋体" w:eastAsia="宋体" w:cs="宋体"/>
          <w:lang w:val="en-US" w:eastAsia="zh-CN"/>
        </w:rPr>
      </w:pPr>
    </w:p>
    <w:p w14:paraId="4CC1D4EE">
      <w:pPr>
        <w:rPr>
          <w:rFonts w:hint="eastAsia" w:ascii="宋体" w:hAnsi="宋体" w:eastAsia="宋体" w:cs="宋体"/>
          <w:lang w:val="en-US" w:eastAsia="zh-CN"/>
        </w:rPr>
      </w:pPr>
    </w:p>
    <w:p w14:paraId="67FF3241">
      <w:pPr>
        <w:rPr>
          <w:rFonts w:hint="eastAsia" w:ascii="宋体" w:hAnsi="宋体" w:eastAsia="宋体" w:cs="宋体"/>
          <w:lang w:val="en-US" w:eastAsia="zh-CN"/>
        </w:rPr>
      </w:pPr>
    </w:p>
    <w:p w14:paraId="727A2974">
      <w:pPr>
        <w:rPr>
          <w:rFonts w:hint="eastAsia" w:ascii="宋体" w:hAnsi="宋体" w:eastAsia="宋体" w:cs="宋体"/>
          <w:sz w:val="24"/>
          <w:szCs w:val="24"/>
          <w:lang w:val="en-US" w:eastAsia="zh-CN"/>
        </w:rPr>
      </w:pPr>
    </w:p>
    <w:p w14:paraId="20AF8258">
      <w:pPr>
        <w:pStyle w:val="4"/>
        <w:keepNext/>
        <w:keepLines w:val="0"/>
        <w:pageBreakBefore w:val="0"/>
        <w:shd w:val="clear" w:color="auto" w:fill="auto"/>
        <w:tabs>
          <w:tab w:val="left" w:pos="1830"/>
        </w:tabs>
        <w:kinsoku/>
        <w:wordWrap/>
        <w:overflowPunct/>
        <w:topLinePunct w:val="0"/>
        <w:autoSpaceDE/>
        <w:autoSpaceDN/>
        <w:bidi w:val="0"/>
        <w:adjustRightInd/>
        <w:snapToGrid/>
        <w:spacing w:line="360" w:lineRule="exact"/>
        <w:ind w:left="0" w:firstLine="0"/>
        <w:jc w:val="center"/>
        <w:textAlignment w:val="auto"/>
        <w:rPr>
          <w:rFonts w:hint="eastAsia" w:ascii="宋体" w:hAnsi="宋体" w:eastAsia="宋体" w:cs="宋体"/>
          <w:b/>
          <w:color w:val="auto"/>
          <w:kern w:val="2"/>
          <w:sz w:val="32"/>
          <w:szCs w:val="32"/>
          <w:highlight w:val="none"/>
        </w:rPr>
      </w:pPr>
      <w:bookmarkStart w:id="129" w:name="_Toc6494"/>
      <w:r>
        <w:rPr>
          <w:rFonts w:hint="eastAsia" w:ascii="宋体" w:hAnsi="宋体" w:eastAsia="宋体" w:cs="宋体"/>
          <w:b/>
          <w:color w:val="auto"/>
          <w:kern w:val="2"/>
          <w:sz w:val="32"/>
          <w:szCs w:val="32"/>
          <w:highlight w:val="none"/>
        </w:rPr>
        <w:t>第</w:t>
      </w:r>
      <w:bookmarkStart w:id="130" w:name="_Hlt69669171"/>
      <w:bookmarkEnd w:id="130"/>
      <w:r>
        <w:rPr>
          <w:rFonts w:hint="eastAsia" w:ascii="宋体" w:hAnsi="宋体" w:eastAsia="宋体" w:cs="宋体"/>
          <w:b/>
          <w:color w:val="auto"/>
          <w:kern w:val="2"/>
          <w:sz w:val="32"/>
          <w:szCs w:val="32"/>
          <w:highlight w:val="none"/>
        </w:rPr>
        <w:t>二章</w:t>
      </w:r>
      <w:bookmarkStart w:id="131" w:name="_Hlt87793839"/>
      <w:bookmarkEnd w:id="131"/>
      <w:r>
        <w:rPr>
          <w:rFonts w:hint="eastAsia" w:ascii="宋体" w:hAnsi="宋体" w:eastAsia="宋体" w:cs="宋体"/>
          <w:b/>
          <w:color w:val="auto"/>
          <w:kern w:val="2"/>
          <w:sz w:val="32"/>
          <w:szCs w:val="32"/>
          <w:highlight w:val="none"/>
        </w:rPr>
        <w:t xml:space="preserve"> </w:t>
      </w:r>
      <w:r>
        <w:rPr>
          <w:rFonts w:hint="eastAsia" w:ascii="宋体" w:hAnsi="宋体" w:eastAsia="宋体" w:cs="宋体"/>
          <w:b/>
          <w:color w:val="auto"/>
          <w:kern w:val="2"/>
          <w:sz w:val="32"/>
          <w:szCs w:val="32"/>
          <w:highlight w:val="none"/>
          <w:lang w:val="en-US" w:eastAsia="zh-CN"/>
        </w:rPr>
        <w:t xml:space="preserve">  </w:t>
      </w:r>
      <w:r>
        <w:rPr>
          <w:rFonts w:hint="eastAsia" w:ascii="宋体" w:hAnsi="宋体" w:eastAsia="宋体" w:cs="宋体"/>
          <w:b/>
          <w:color w:val="auto"/>
          <w:kern w:val="2"/>
          <w:sz w:val="32"/>
          <w:szCs w:val="32"/>
          <w:highlight w:val="none"/>
        </w:rPr>
        <w:t>中标人须知</w:t>
      </w:r>
      <w:bookmarkEnd w:id="112"/>
      <w:bookmarkEnd w:id="113"/>
      <w:bookmarkEnd w:id="114"/>
      <w:bookmarkEnd w:id="115"/>
      <w:bookmarkEnd w:id="129"/>
    </w:p>
    <w:p w14:paraId="56150DBF">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32" w:name="_Toc21697"/>
      <w:bookmarkStart w:id="133" w:name="_Toc12893"/>
      <w:bookmarkStart w:id="134" w:name="_Toc22662"/>
      <w:bookmarkStart w:id="135" w:name="_Toc21686"/>
      <w:r>
        <w:rPr>
          <w:rFonts w:hint="eastAsia" w:ascii="宋体" w:hAnsi="宋体" w:eastAsia="宋体" w:cs="宋体"/>
          <w:b/>
          <w:color w:val="auto"/>
          <w:kern w:val="2"/>
          <w:sz w:val="28"/>
          <w:szCs w:val="24"/>
          <w:lang w:val="en-US" w:eastAsia="zh-CN"/>
        </w:rPr>
        <w:t>1．中标通知书</w:t>
      </w:r>
      <w:bookmarkEnd w:id="132"/>
      <w:bookmarkEnd w:id="133"/>
    </w:p>
    <w:p w14:paraId="4D779AE7">
      <w:pPr>
        <w:spacing w:before="152" w:line="332" w:lineRule="auto"/>
        <w:ind w:firstLine="484"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65A06245">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36" w:name="_Toc31031"/>
      <w:bookmarkStart w:id="137" w:name="_Toc979"/>
      <w:r>
        <w:rPr>
          <w:rFonts w:hint="eastAsia" w:ascii="宋体" w:hAnsi="宋体" w:eastAsia="宋体" w:cs="宋体"/>
          <w:b/>
          <w:color w:val="auto"/>
          <w:kern w:val="2"/>
          <w:sz w:val="28"/>
          <w:szCs w:val="24"/>
          <w:lang w:val="en-US" w:eastAsia="zh-CN"/>
        </w:rPr>
        <w:t>2．中标结果公示</w:t>
      </w:r>
      <w:bookmarkEnd w:id="136"/>
      <w:bookmarkEnd w:id="137"/>
    </w:p>
    <w:p w14:paraId="62D386FE">
      <w:pPr>
        <w:spacing w:before="152" w:line="332" w:lineRule="auto"/>
        <w:ind w:firstLine="484" w:firstLineChars="20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中标通知书发出后 15日内，招标人应将中标结果在广东省招标投标监管网（http: //zbtb.gd.gov.cn）、全国公共资源交易平台（广东省·韶关市）（https://ygp.gdzwfw.gov. cn/ggzy-portal/#/440200/index）进行公示。</w:t>
      </w:r>
    </w:p>
    <w:p w14:paraId="64EE0210">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38" w:name="_Toc26259"/>
      <w:r>
        <w:rPr>
          <w:rFonts w:hint="eastAsia" w:ascii="宋体" w:hAnsi="宋体" w:eastAsia="宋体" w:cs="宋体"/>
          <w:b/>
          <w:color w:val="auto"/>
          <w:kern w:val="2"/>
          <w:sz w:val="28"/>
          <w:szCs w:val="24"/>
          <w:lang w:val="en-US" w:eastAsia="zh-CN"/>
        </w:rPr>
        <w:t>3．</w:t>
      </w:r>
      <w:bookmarkEnd w:id="134"/>
      <w:bookmarkEnd w:id="135"/>
      <w:bookmarkStart w:id="139" w:name="_Toc22995"/>
      <w:r>
        <w:rPr>
          <w:rFonts w:hint="eastAsia" w:ascii="宋体" w:hAnsi="宋体" w:eastAsia="宋体" w:cs="宋体"/>
          <w:b/>
          <w:color w:val="auto"/>
          <w:kern w:val="2"/>
          <w:sz w:val="28"/>
          <w:szCs w:val="24"/>
          <w:lang w:val="en-US" w:eastAsia="zh-CN"/>
        </w:rPr>
        <w:t>履约保证</w:t>
      </w:r>
      <w:bookmarkEnd w:id="138"/>
    </w:p>
    <w:p w14:paraId="2B5D477F">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lang w:val="en-US" w:eastAsia="zh-CN"/>
        </w:rPr>
        <w:t>3</w:t>
      </w:r>
      <w:r>
        <w:rPr>
          <w:rFonts w:hint="eastAsia" w:ascii="宋体" w:hAnsi="宋体" w:eastAsia="宋体" w:cs="宋体"/>
          <w:b/>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中标人须在领取中标通知书之日起 </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lang w:val="en-US" w:eastAsia="zh-CN"/>
        </w:rPr>
        <w:t xml:space="preserve">  3  </w:t>
      </w:r>
      <w:r>
        <w:rPr>
          <w:rFonts w:hint="eastAsia" w:ascii="宋体" w:hAnsi="宋体" w:eastAsia="宋体" w:cs="宋体"/>
          <w:snapToGrid w:val="0"/>
          <w:color w:val="auto"/>
          <w:kern w:val="0"/>
          <w:sz w:val="24"/>
          <w:szCs w:val="24"/>
          <w:highlight w:val="none"/>
        </w:rPr>
        <w:t>%的履约保证。</w:t>
      </w:r>
      <w:r>
        <w:rPr>
          <w:rFonts w:hint="eastAsia" w:ascii="宋体" w:hAnsi="宋体" w:eastAsia="宋体" w:cs="宋体"/>
          <w:color w:val="auto"/>
          <w:sz w:val="24"/>
          <w:szCs w:val="24"/>
          <w:highlight w:val="none"/>
        </w:rPr>
        <w:t>联合体中标的，由联合体牵头人提交。</w:t>
      </w:r>
    </w:p>
    <w:p w14:paraId="2DE0C923">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lang w:val="en-US" w:eastAsia="zh-CN"/>
        </w:rPr>
        <w:t>3</w:t>
      </w:r>
      <w:r>
        <w:rPr>
          <w:rFonts w:hint="eastAsia" w:ascii="宋体" w:hAnsi="宋体" w:eastAsia="宋体" w:cs="宋体"/>
          <w:b/>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履约保证的形式包括</w:t>
      </w:r>
      <w:r>
        <w:rPr>
          <w:rStyle w:val="64"/>
          <w:rFonts w:hint="eastAsia" w:ascii="宋体" w:hAnsi="宋体" w:eastAsia="宋体" w:cs="宋体"/>
          <w:color w:val="auto"/>
          <w:kern w:val="0"/>
          <w:highlight w:val="none"/>
        </w:rPr>
        <w:t>履约保证金、履约保证担保、履约保证保险三种</w:t>
      </w:r>
      <w:r>
        <w:rPr>
          <w:rFonts w:hint="eastAsia" w:ascii="宋体" w:hAnsi="宋体" w:eastAsia="宋体" w:cs="宋体"/>
          <w:snapToGrid w:val="0"/>
          <w:color w:val="auto"/>
          <w:kern w:val="0"/>
          <w:sz w:val="24"/>
          <w:szCs w:val="24"/>
          <w:highlight w:val="none"/>
        </w:rPr>
        <w:t>，由中标人自主选择。</w:t>
      </w:r>
      <w:r>
        <w:rPr>
          <w:rFonts w:hint="eastAsia" w:ascii="宋体" w:hAnsi="宋体" w:eastAsia="宋体" w:cs="宋体"/>
          <w:color w:val="auto"/>
          <w:sz w:val="24"/>
          <w:szCs w:val="24"/>
          <w:highlight w:val="none"/>
        </w:rPr>
        <w:t>根据《关于统一在市公共资源交易一体化服务平台缴退工程建设项目履约保证金的通知》在线办理工程建设项目履约保证，请各招标人(项目业主)通过《履约保证金招标人、招标代理操作指引》了解具体操作，熟悉操作流程。在使用该功能时如遇系统操作问题，可通过0751-8379671获取技术支持。</w:t>
      </w:r>
    </w:p>
    <w:p w14:paraId="7DC9AB5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（1）采用履约保证金的，中标人须从其法人开户银行的账号将履约保证金划至招标人账户，并详细注明工程名称及用途。</w:t>
      </w:r>
    </w:p>
    <w:p w14:paraId="4445725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（2）采用履约保证担保或履约保证保险的，中标人应提交有效的银行保函或保险合同（或保险单）原件，银行保函或保险合同（或保险单）的有效期应当自合同生效之日起至项目</w:t>
      </w:r>
      <w:r>
        <w:rPr>
          <w:rFonts w:hint="eastAsia" w:ascii="宋体" w:hAnsi="宋体" w:eastAsia="宋体" w:cs="宋体"/>
          <w:color w:val="auto"/>
          <w:sz w:val="24"/>
          <w:szCs w:val="24"/>
          <w:highlight w:val="none"/>
        </w:rPr>
        <w:t>通过竣工验收之日后28天止</w:t>
      </w:r>
      <w:r>
        <w:rPr>
          <w:rFonts w:hint="eastAsia" w:ascii="宋体" w:hAnsi="宋体" w:eastAsia="宋体" w:cs="宋体"/>
          <w:snapToGrid w:val="0"/>
          <w:color w:val="auto"/>
          <w:kern w:val="0"/>
          <w:sz w:val="24"/>
          <w:szCs w:val="24"/>
          <w:highlight w:val="none"/>
        </w:rPr>
        <w:t>。如果中标人无法获得具体截止日期，银行保函或保险合同（或保险单）中应当有“变更工程竣工日期的，保证期间按照变更后的竣工日期做相应调整”或类似约定的条款。</w:t>
      </w:r>
    </w:p>
    <w:p w14:paraId="7550F56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1</w:t>
      </w:r>
      <w:r>
        <w:rPr>
          <w:rFonts w:hint="eastAsia" w:ascii="宋体" w:hAnsi="宋体" w:eastAsia="宋体" w:cs="宋体"/>
          <w:bCs/>
          <w:snapToGrid w:val="0"/>
          <w:color w:val="auto"/>
          <w:kern w:val="0"/>
          <w:sz w:val="24"/>
          <w:szCs w:val="24"/>
          <w:highlight w:val="none"/>
        </w:rPr>
        <w:t>.3</w:t>
      </w:r>
      <w:r>
        <w:rPr>
          <w:rFonts w:hint="eastAsia" w:ascii="宋体" w:hAnsi="宋体" w:eastAsia="宋体" w:cs="宋体"/>
          <w:snapToGrid w:val="0"/>
          <w:color w:val="auto"/>
          <w:kern w:val="0"/>
          <w:sz w:val="24"/>
          <w:szCs w:val="24"/>
          <w:highlight w:val="none"/>
        </w:rPr>
        <w:t xml:space="preserve"> 中标人在领取中标通知书之日起</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个工作日内仍未提交履约保证的，视其放弃中标。</w:t>
      </w:r>
    </w:p>
    <w:p w14:paraId="4F8F762B">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1.</w:t>
      </w:r>
      <w:r>
        <w:rPr>
          <w:rFonts w:hint="eastAsia" w:ascii="宋体" w:hAnsi="宋体" w:eastAsia="宋体" w:cs="宋体"/>
          <w:bCs/>
          <w:snapToGrid w:val="0"/>
          <w:color w:val="auto"/>
          <w:kern w:val="0"/>
          <w:sz w:val="24"/>
          <w:szCs w:val="24"/>
          <w:highlight w:val="none"/>
        </w:rPr>
        <w:t>4在项目实施过程中，如果承包人（即招标阶段的中标人，下同）由于自身的资金、技术、质量、非不可抗力等原因给发包人（即招标阶段的招标人，下同）造成经济损失，扣除相应履约保证。</w:t>
      </w:r>
    </w:p>
    <w:p w14:paraId="028674E7">
      <w:pPr>
        <w:wordWrap w:val="0"/>
        <w:adjustRightInd w:val="0"/>
        <w:snapToGrid w:val="0"/>
        <w:spacing w:line="360" w:lineRule="auto"/>
        <w:ind w:firstLine="480" w:firstLineChars="200"/>
        <w:rPr>
          <w:rFonts w:hint="eastAsia" w:ascii="宋体" w:hAnsi="宋体" w:eastAsia="宋体" w:cs="宋体"/>
          <w:b/>
          <w:snapToGrid w:val="0"/>
          <w:color w:val="auto"/>
          <w:sz w:val="24"/>
          <w:highlight w:val="none"/>
        </w:rPr>
      </w:pPr>
      <w:r>
        <w:rPr>
          <w:rFonts w:hint="eastAsia" w:ascii="宋体" w:hAnsi="宋体" w:eastAsia="宋体" w:cs="宋体"/>
          <w:bCs/>
          <w:snapToGrid w:val="0"/>
          <w:color w:val="auto"/>
          <w:kern w:val="0"/>
          <w:sz w:val="24"/>
          <w:szCs w:val="24"/>
          <w:highlight w:val="none"/>
          <w:lang w:val="en-US" w:eastAsia="zh-CN"/>
        </w:rPr>
        <w:t>1</w:t>
      </w:r>
      <w:r>
        <w:rPr>
          <w:rFonts w:hint="eastAsia" w:ascii="宋体" w:hAnsi="宋体" w:eastAsia="宋体" w:cs="宋体"/>
          <w:bCs/>
          <w:snapToGrid w:val="0"/>
          <w:color w:val="auto"/>
          <w:kern w:val="0"/>
          <w:sz w:val="24"/>
          <w:szCs w:val="24"/>
          <w:highlight w:val="none"/>
        </w:rPr>
        <w:t>.5项目通过竣工验收之日后起28天内，招标人将履约保证退还给承包人。</w:t>
      </w:r>
    </w:p>
    <w:p w14:paraId="32C801C1">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40" w:name="_Toc11006"/>
      <w:bookmarkStart w:id="141" w:name="_Toc12912"/>
      <w:r>
        <w:rPr>
          <w:rFonts w:hint="eastAsia" w:ascii="宋体" w:hAnsi="宋体" w:eastAsia="宋体" w:cs="宋体"/>
          <w:b/>
          <w:color w:val="auto"/>
          <w:kern w:val="2"/>
          <w:sz w:val="28"/>
          <w:szCs w:val="24"/>
          <w:lang w:val="en-US" w:eastAsia="zh-CN"/>
        </w:rPr>
        <w:t>4．</w:t>
      </w:r>
      <w:bookmarkEnd w:id="139"/>
      <w:bookmarkStart w:id="142" w:name="_Toc24400"/>
      <w:r>
        <w:rPr>
          <w:rFonts w:hint="eastAsia" w:ascii="宋体" w:hAnsi="宋体" w:eastAsia="宋体" w:cs="宋体"/>
          <w:b/>
          <w:color w:val="auto"/>
          <w:kern w:val="2"/>
          <w:sz w:val="28"/>
          <w:szCs w:val="24"/>
          <w:lang w:val="en-US" w:eastAsia="zh-CN"/>
        </w:rPr>
        <w:t>合同订立</w:t>
      </w:r>
      <w:bookmarkEnd w:id="140"/>
      <w:bookmarkEnd w:id="141"/>
      <w:bookmarkEnd w:id="142"/>
    </w:p>
    <w:p w14:paraId="181F7884">
      <w:pPr>
        <w:spacing w:before="152" w:line="360" w:lineRule="auto"/>
        <w:ind w:firstLine="486" w:firstLineChars="200"/>
        <w:jc w:val="both"/>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4</w:t>
      </w:r>
      <w:r>
        <w:rPr>
          <w:rFonts w:hint="eastAsia" w:ascii="宋体" w:hAnsi="宋体" w:eastAsia="宋体" w:cs="宋体"/>
          <w:b/>
          <w:bCs/>
          <w:color w:val="auto"/>
          <w:spacing w:val="1"/>
          <w:sz w:val="24"/>
          <w:szCs w:val="24"/>
          <w:highlight w:val="none"/>
        </w:rPr>
        <w:t xml:space="preserve">.1 </w:t>
      </w:r>
      <w:r>
        <w:rPr>
          <w:rFonts w:hint="eastAsia" w:ascii="宋体" w:hAnsi="宋体" w:eastAsia="宋体" w:cs="宋体"/>
          <w:color w:val="auto"/>
          <w:spacing w:val="1"/>
          <w:sz w:val="24"/>
          <w:szCs w:val="24"/>
          <w:highlight w:val="none"/>
        </w:rPr>
        <w:t>招标人应当自中标通知书发出之日起30日内，按照招标文件、中标人的投标文件与中标人订立书面合同。</w:t>
      </w:r>
    </w:p>
    <w:p w14:paraId="38616985">
      <w:pPr>
        <w:spacing w:before="152" w:line="360" w:lineRule="auto"/>
        <w:ind w:firstLine="486" w:firstLineChars="200"/>
        <w:jc w:val="both"/>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4</w:t>
      </w:r>
      <w:r>
        <w:rPr>
          <w:rFonts w:hint="eastAsia" w:ascii="宋体" w:hAnsi="宋体" w:eastAsia="宋体" w:cs="宋体"/>
          <w:b/>
          <w:bCs/>
          <w:color w:val="auto"/>
          <w:spacing w:val="1"/>
          <w:sz w:val="24"/>
          <w:szCs w:val="24"/>
          <w:highlight w:val="none"/>
        </w:rPr>
        <w:t xml:space="preserve">.2 </w:t>
      </w:r>
      <w:r>
        <w:rPr>
          <w:rFonts w:hint="eastAsia" w:ascii="宋体" w:hAnsi="宋体" w:eastAsia="宋体" w:cs="宋体"/>
          <w:color w:val="auto"/>
          <w:spacing w:val="1"/>
          <w:sz w:val="24"/>
          <w:szCs w:val="24"/>
          <w:highlight w:val="none"/>
        </w:rPr>
        <w:t>本招标项目合同计价</w:t>
      </w:r>
      <w:r>
        <w:rPr>
          <w:rFonts w:hint="eastAsia" w:ascii="宋体" w:hAnsi="宋体" w:eastAsia="宋体" w:cs="宋体"/>
          <w:color w:val="auto"/>
          <w:spacing w:val="1"/>
          <w:sz w:val="24"/>
          <w:szCs w:val="24"/>
          <w:highlight w:val="none"/>
          <w:lang w:val="en-US" w:eastAsia="zh-CN"/>
        </w:rPr>
        <w:t>方式为：</w:t>
      </w:r>
      <w:r>
        <w:rPr>
          <w:rFonts w:hint="eastAsia" w:ascii="宋体" w:hAnsi="宋体" w:eastAsia="宋体" w:cs="宋体"/>
          <w:color w:val="auto"/>
          <w:spacing w:val="1"/>
          <w:sz w:val="24"/>
          <w:szCs w:val="24"/>
          <w:highlight w:val="none"/>
          <w:u w:val="single"/>
          <w:lang w:eastAsia="zh-CN"/>
        </w:rPr>
        <w:t>总价</w:t>
      </w:r>
      <w:r>
        <w:rPr>
          <w:rFonts w:hint="eastAsia" w:ascii="宋体" w:hAnsi="宋体" w:eastAsia="宋体" w:cs="宋体"/>
          <w:color w:val="auto"/>
          <w:spacing w:val="1"/>
          <w:sz w:val="24"/>
          <w:szCs w:val="24"/>
          <w:highlight w:val="none"/>
          <w:u w:val="single"/>
          <w:lang w:val="en-US" w:eastAsia="zh-CN"/>
        </w:rPr>
        <w:t>合同</w:t>
      </w:r>
      <w:r>
        <w:rPr>
          <w:rFonts w:hint="eastAsia" w:ascii="宋体" w:hAnsi="宋体" w:eastAsia="宋体" w:cs="宋体"/>
          <w:color w:val="auto"/>
          <w:spacing w:val="1"/>
          <w:sz w:val="24"/>
          <w:szCs w:val="24"/>
          <w:highlight w:val="none"/>
        </w:rPr>
        <w:t>。</w:t>
      </w:r>
    </w:p>
    <w:p w14:paraId="6C458B7F">
      <w:pPr>
        <w:wordWrap w:val="0"/>
        <w:adjustRightInd w:val="0"/>
        <w:snapToGrid w:val="0"/>
        <w:spacing w:line="360" w:lineRule="auto"/>
        <w:ind w:firstLine="482" w:firstLineChars="200"/>
        <w:rPr>
          <w:rFonts w:hint="eastAsia" w:ascii="宋体" w:hAnsi="宋体" w:eastAsia="宋体" w:cs="宋体"/>
          <w:strike/>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4</w:t>
      </w:r>
      <w:r>
        <w:rPr>
          <w:rFonts w:hint="eastAsia" w:ascii="宋体" w:hAnsi="宋体" w:eastAsia="宋体" w:cs="宋体"/>
          <w:b/>
          <w:bCs/>
          <w:snapToGrid w:val="0"/>
          <w:color w:val="auto"/>
          <w:kern w:val="0"/>
          <w:sz w:val="24"/>
          <w:highlight w:val="none"/>
        </w:rPr>
        <w:t>.3</w:t>
      </w:r>
      <w:r>
        <w:rPr>
          <w:rFonts w:hint="eastAsia" w:ascii="宋体" w:hAnsi="宋体" w:eastAsia="宋体" w:cs="宋体"/>
          <w:snapToGrid w:val="0"/>
          <w:color w:val="auto"/>
          <w:kern w:val="0"/>
          <w:sz w:val="24"/>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1E620266">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4</w:t>
      </w:r>
      <w:r>
        <w:rPr>
          <w:rFonts w:hint="eastAsia" w:ascii="宋体" w:hAnsi="宋体" w:eastAsia="宋体" w:cs="宋体"/>
          <w:b/>
          <w:bCs/>
          <w:snapToGrid w:val="0"/>
          <w:color w:val="auto"/>
          <w:kern w:val="0"/>
          <w:sz w:val="24"/>
          <w:highlight w:val="none"/>
        </w:rPr>
        <w:t>.4</w:t>
      </w:r>
      <w:r>
        <w:rPr>
          <w:rFonts w:hint="eastAsia" w:ascii="宋体" w:hAnsi="宋体" w:eastAsia="宋体" w:cs="宋体"/>
          <w:snapToGrid w:val="0"/>
          <w:color w:val="auto"/>
          <w:kern w:val="0"/>
          <w:sz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32F526AC">
      <w:pPr>
        <w:wordWrap w:val="0"/>
        <w:adjustRightInd w:val="0"/>
        <w:snapToGrid w:val="0"/>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bCs/>
          <w:snapToGrid w:val="0"/>
          <w:color w:val="auto"/>
          <w:kern w:val="0"/>
          <w:sz w:val="24"/>
          <w:highlight w:val="none"/>
          <w:lang w:val="en-US" w:eastAsia="zh-CN"/>
        </w:rPr>
        <w:t>4</w:t>
      </w:r>
      <w:r>
        <w:rPr>
          <w:rFonts w:hint="eastAsia" w:ascii="宋体" w:hAnsi="宋体" w:eastAsia="宋体" w:cs="宋体"/>
          <w:b/>
          <w:bCs/>
          <w:snapToGrid w:val="0"/>
          <w:color w:val="auto"/>
          <w:kern w:val="0"/>
          <w:sz w:val="24"/>
          <w:highlight w:val="none"/>
        </w:rPr>
        <w:t>.5</w:t>
      </w:r>
      <w:r>
        <w:rPr>
          <w:rFonts w:hint="eastAsia" w:ascii="宋体" w:hAnsi="宋体" w:eastAsia="宋体" w:cs="宋体"/>
          <w:snapToGrid w:val="0"/>
          <w:color w:val="auto"/>
          <w:kern w:val="0"/>
          <w:sz w:val="24"/>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54C2BC80">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43" w:name="_Toc23989"/>
      <w:bookmarkStart w:id="144" w:name="_Toc19148"/>
      <w:bookmarkStart w:id="145" w:name="_Toc17915"/>
      <w:r>
        <w:rPr>
          <w:rFonts w:hint="eastAsia" w:ascii="宋体" w:hAnsi="宋体" w:eastAsia="宋体" w:cs="宋体"/>
          <w:b/>
          <w:color w:val="auto"/>
          <w:kern w:val="2"/>
          <w:sz w:val="28"/>
          <w:szCs w:val="24"/>
          <w:lang w:val="en-US" w:eastAsia="zh-CN"/>
        </w:rPr>
        <w:t>5．放弃中标的处理</w:t>
      </w:r>
      <w:bookmarkEnd w:id="143"/>
      <w:bookmarkEnd w:id="144"/>
      <w:bookmarkEnd w:id="145"/>
    </w:p>
    <w:p w14:paraId="67981618">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5</w:t>
      </w:r>
      <w:r>
        <w:rPr>
          <w:rFonts w:hint="eastAsia" w:ascii="宋体" w:hAnsi="宋体" w:eastAsia="宋体" w:cs="宋体"/>
          <w:b/>
          <w:bCs/>
          <w:snapToGrid w:val="0"/>
          <w:color w:val="auto"/>
          <w:kern w:val="0"/>
          <w:sz w:val="24"/>
          <w:highlight w:val="none"/>
        </w:rPr>
        <w:t>.1</w:t>
      </w:r>
      <w:r>
        <w:rPr>
          <w:rFonts w:hint="eastAsia" w:ascii="宋体" w:hAnsi="宋体" w:eastAsia="宋体" w:cs="宋体"/>
          <w:snapToGrid w:val="0"/>
          <w:color w:val="auto"/>
          <w:kern w:val="0"/>
          <w:sz w:val="24"/>
          <w:highlight w:val="none"/>
        </w:rPr>
        <w:t xml:space="preserve"> 中标人</w:t>
      </w:r>
      <w:r>
        <w:rPr>
          <w:rFonts w:hint="eastAsia" w:ascii="宋体" w:hAnsi="宋体" w:eastAsia="宋体" w:cs="宋体"/>
          <w:snapToGrid w:val="0"/>
          <w:color w:val="auto"/>
          <w:sz w:val="24"/>
          <w:highlight w:val="none"/>
        </w:rPr>
        <w:t>无正当理由放弃中标的，</w:t>
      </w:r>
      <w:r>
        <w:rPr>
          <w:rFonts w:hint="eastAsia" w:ascii="宋体" w:hAnsi="宋体" w:eastAsia="宋体" w:cs="宋体"/>
          <w:snapToGrid w:val="0"/>
          <w:color w:val="auto"/>
          <w:kern w:val="0"/>
          <w:sz w:val="24"/>
          <w:highlight w:val="none"/>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宋体" w:hAnsi="宋体" w:eastAsia="宋体" w:cs="宋体"/>
          <w:bCs/>
          <w:snapToGrid w:val="0"/>
          <w:color w:val="auto"/>
          <w:kern w:val="0"/>
          <w:sz w:val="24"/>
          <w:highlight w:val="none"/>
        </w:rPr>
        <w:t>因此种情况造成招标人重新招标的</w:t>
      </w:r>
      <w:r>
        <w:rPr>
          <w:rFonts w:hint="eastAsia" w:ascii="宋体" w:hAnsi="宋体" w:eastAsia="宋体" w:cs="宋体"/>
          <w:snapToGrid w:val="0"/>
          <w:color w:val="auto"/>
          <w:kern w:val="0"/>
          <w:sz w:val="24"/>
          <w:highlight w:val="none"/>
        </w:rPr>
        <w:t>，招标人可不接受该弃标人再次投标。同时，招标人应将该弃标人的失信行为向行政监督部门报告。</w:t>
      </w:r>
    </w:p>
    <w:p w14:paraId="5178458B">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5</w:t>
      </w:r>
      <w:r>
        <w:rPr>
          <w:rFonts w:hint="eastAsia" w:ascii="宋体" w:hAnsi="宋体" w:eastAsia="宋体" w:cs="宋体"/>
          <w:b/>
          <w:bCs/>
          <w:snapToGrid w:val="0"/>
          <w:color w:val="auto"/>
          <w:kern w:val="0"/>
          <w:sz w:val="24"/>
          <w:highlight w:val="none"/>
        </w:rPr>
        <w:t>.2</w:t>
      </w:r>
      <w:r>
        <w:rPr>
          <w:rFonts w:hint="eastAsia" w:ascii="宋体" w:hAnsi="宋体" w:eastAsia="宋体" w:cs="宋体"/>
          <w:snapToGrid w:val="0"/>
          <w:color w:val="auto"/>
          <w:kern w:val="0"/>
          <w:sz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0CB76148">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46" w:name="_Toc32370"/>
      <w:bookmarkStart w:id="147" w:name="_Toc19753"/>
      <w:bookmarkStart w:id="148" w:name="_Toc15277"/>
      <w:r>
        <w:rPr>
          <w:rFonts w:hint="eastAsia" w:ascii="宋体" w:hAnsi="宋体" w:eastAsia="宋体" w:cs="宋体"/>
          <w:b/>
          <w:color w:val="auto"/>
          <w:kern w:val="2"/>
          <w:sz w:val="28"/>
          <w:szCs w:val="24"/>
          <w:lang w:val="en-US" w:eastAsia="zh-CN"/>
        </w:rPr>
        <w:t>6．专业工程分包</w:t>
      </w:r>
      <w:bookmarkEnd w:id="146"/>
      <w:bookmarkEnd w:id="147"/>
      <w:bookmarkEnd w:id="148"/>
    </w:p>
    <w:p w14:paraId="7B25CE9D">
      <w:pPr>
        <w:wordWrap w:val="0"/>
        <w:adjustRightInd w:val="0"/>
        <w:snapToGrid w:val="0"/>
        <w:spacing w:line="360" w:lineRule="auto"/>
        <w:ind w:firstLine="484" w:firstLineChars="200"/>
        <w:rPr>
          <w:rFonts w:hint="eastAsia" w:ascii="宋体" w:hAnsi="宋体" w:eastAsia="宋体" w:cs="宋体"/>
          <w:color w:val="auto"/>
          <w:sz w:val="24"/>
          <w:highlight w:val="none"/>
        </w:rPr>
      </w:pPr>
      <w:r>
        <w:rPr>
          <w:rFonts w:hint="eastAsia" w:ascii="宋体" w:hAnsi="宋体" w:eastAsia="宋体" w:cs="宋体"/>
          <w:color w:val="auto"/>
          <w:spacing w:val="1"/>
          <w:sz w:val="24"/>
          <w:szCs w:val="24"/>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w:t>
      </w:r>
      <w:r>
        <w:rPr>
          <w:rFonts w:hint="eastAsia" w:ascii="宋体" w:hAnsi="宋体" w:eastAsia="宋体" w:cs="宋体"/>
          <w:snapToGrid w:val="0"/>
          <w:color w:val="auto"/>
          <w:kern w:val="0"/>
          <w:sz w:val="24"/>
          <w:highlight w:val="none"/>
        </w:rPr>
        <w:t>的造价仍按总包人与发包人签订的合同的有关条款进行结算。</w:t>
      </w:r>
    </w:p>
    <w:p w14:paraId="17658973">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49" w:name="_Toc15518"/>
      <w:bookmarkStart w:id="150" w:name="_Toc932"/>
      <w:bookmarkStart w:id="151" w:name="_Toc20071"/>
      <w:r>
        <w:rPr>
          <w:rFonts w:hint="eastAsia" w:ascii="宋体" w:hAnsi="宋体" w:eastAsia="宋体" w:cs="宋体"/>
          <w:b/>
          <w:color w:val="auto"/>
          <w:kern w:val="2"/>
          <w:sz w:val="28"/>
          <w:szCs w:val="24"/>
          <w:lang w:val="en-US" w:eastAsia="zh-CN"/>
        </w:rPr>
        <w:t>7．项目管理机构</w:t>
      </w:r>
      <w:bookmarkEnd w:id="149"/>
      <w:bookmarkEnd w:id="150"/>
      <w:bookmarkEnd w:id="151"/>
    </w:p>
    <w:p w14:paraId="528EE3FB">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val="en-US" w:eastAsia="zh-CN"/>
        </w:rPr>
        <w:t>7</w:t>
      </w:r>
      <w:r>
        <w:rPr>
          <w:rFonts w:hint="eastAsia" w:ascii="宋体" w:hAnsi="宋体" w:eastAsia="宋体" w:cs="宋体"/>
          <w:snapToGrid w:val="0"/>
          <w:color w:val="auto"/>
          <w:kern w:val="0"/>
          <w:sz w:val="24"/>
          <w:highlight w:val="none"/>
        </w:rPr>
        <w:t>.1 承包人派驻的项目管理班子成员必须为其投标文件确定的人员，否则发包人有权终止合同。</w:t>
      </w:r>
    </w:p>
    <w:p w14:paraId="498B9854">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val="en-US" w:eastAsia="zh-CN"/>
        </w:rPr>
        <w:t>7</w:t>
      </w:r>
      <w:r>
        <w:rPr>
          <w:rFonts w:hint="eastAsia" w:ascii="宋体" w:hAnsi="宋体" w:eastAsia="宋体" w:cs="宋体"/>
          <w:snapToGrid w:val="0"/>
          <w:color w:val="auto"/>
          <w:kern w:val="0"/>
          <w:sz w:val="24"/>
          <w:highlight w:val="none"/>
        </w:rPr>
        <w:t>.2 项目管理班子成员不得擅自变更。其中，投标文件确定的设计负责人</w:t>
      </w:r>
      <w:r>
        <w:rPr>
          <w:rFonts w:hint="eastAsia" w:ascii="宋体" w:hAnsi="宋体" w:eastAsia="宋体" w:cs="宋体"/>
          <w:snapToGrid w:val="0"/>
          <w:color w:val="auto"/>
          <w:kern w:val="0"/>
          <w:sz w:val="24"/>
          <w:szCs w:val="24"/>
          <w:highlight w:val="none"/>
        </w:rPr>
        <w:t>若有《广东省住房和城乡建设厅关于建设工程项目招标中标后监督检查的办法》（粤建市〔2009〕8号，以下简称“《办法》”）第九条所述除外情形</w:t>
      </w:r>
      <w:r>
        <w:rPr>
          <w:rFonts w:hint="eastAsia" w:ascii="宋体" w:hAnsi="宋体" w:eastAsia="宋体" w:cs="宋体"/>
          <w:snapToGrid w:val="0"/>
          <w:color w:val="auto"/>
          <w:kern w:val="0"/>
          <w:sz w:val="24"/>
          <w:highlight w:val="none"/>
        </w:rPr>
        <w:t>之一外，不得更换：</w:t>
      </w:r>
    </w:p>
    <w:p w14:paraId="182504BE">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（一）因重病或重伤（持有县、区以上医院证明）两个月以上不能履行职责的；</w:t>
      </w:r>
    </w:p>
    <w:p w14:paraId="76C67A9C">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（二）调离原工作单位的；</w:t>
      </w:r>
    </w:p>
    <w:p w14:paraId="2E31B04D">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（三）无能力履行合同的责任和义务，造成严重后果，建设单位要求更换的；</w:t>
      </w:r>
    </w:p>
    <w:p w14:paraId="796E33EF">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（四）因违法被责令停止执业的；</w:t>
      </w:r>
    </w:p>
    <w:p w14:paraId="3DE8C75C">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（五）因犯罪被羁押或判刑的；</w:t>
      </w:r>
    </w:p>
    <w:p w14:paraId="5297BF1A">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（六）死亡。</w:t>
      </w:r>
    </w:p>
    <w:p w14:paraId="7248C86E">
      <w:pPr>
        <w:wordWrap w:val="0"/>
        <w:adjustRightInd w:val="0"/>
        <w:snapToGrid w:val="0"/>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发生上述情形需要更换的，承包人应向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设计负责人应与承包人的投标文件所确定的原设计负责人的主要条件一致。</w:t>
      </w:r>
    </w:p>
    <w:p w14:paraId="4763ED67">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52" w:name="_Toc6708"/>
      <w:bookmarkStart w:id="153" w:name="_Toc16367"/>
      <w:bookmarkStart w:id="154" w:name="_Toc29582"/>
      <w:r>
        <w:rPr>
          <w:rFonts w:hint="eastAsia" w:ascii="宋体" w:hAnsi="宋体" w:eastAsia="宋体" w:cs="宋体"/>
          <w:b/>
          <w:color w:val="auto"/>
          <w:kern w:val="2"/>
          <w:sz w:val="28"/>
          <w:szCs w:val="24"/>
          <w:lang w:val="en-US" w:eastAsia="zh-CN"/>
        </w:rPr>
        <w:t>8．监督实施</w:t>
      </w:r>
      <w:bookmarkEnd w:id="152"/>
      <w:bookmarkEnd w:id="153"/>
      <w:bookmarkEnd w:id="154"/>
    </w:p>
    <w:p w14:paraId="2458933E">
      <w:pPr>
        <w:wordWrap w:val="0"/>
        <w:adjustRightInd w:val="0"/>
        <w:snapToGrid w:val="0"/>
        <w:spacing w:line="360" w:lineRule="auto"/>
        <w:ind w:firstLine="560"/>
        <w:rPr>
          <w:rFonts w:hint="eastAsia" w:ascii="宋体" w:hAnsi="宋体" w:eastAsia="宋体" w:cs="宋体"/>
          <w:b/>
          <w:bCs/>
          <w:snapToGrid w:val="0"/>
          <w:color w:val="auto"/>
          <w:kern w:val="0"/>
          <w:sz w:val="24"/>
          <w:highlight w:val="none"/>
        </w:rPr>
      </w:pPr>
      <w:r>
        <w:rPr>
          <w:rFonts w:hint="eastAsia" w:ascii="宋体" w:hAnsi="宋体" w:eastAsia="宋体" w:cs="宋体"/>
          <w:snapToGrid w:val="0"/>
          <w:color w:val="auto"/>
          <w:kern w:val="0"/>
          <w:sz w:val="24"/>
          <w:highlight w:val="none"/>
        </w:rPr>
        <w:t>承包人须服从发包人对工程质量、进度、成本的全方位的监督，项目资料应及时报送招标人审查备案。</w:t>
      </w:r>
    </w:p>
    <w:p w14:paraId="283AFBB0">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55" w:name="_Toc30291"/>
      <w:bookmarkStart w:id="156" w:name="_Toc30751"/>
      <w:bookmarkStart w:id="157" w:name="_Toc24289"/>
      <w:r>
        <w:rPr>
          <w:rFonts w:hint="eastAsia" w:ascii="宋体" w:hAnsi="宋体" w:eastAsia="宋体" w:cs="宋体"/>
          <w:b/>
          <w:color w:val="auto"/>
          <w:kern w:val="2"/>
          <w:sz w:val="28"/>
          <w:szCs w:val="24"/>
          <w:lang w:val="en-US" w:eastAsia="zh-CN"/>
        </w:rPr>
        <w:t>9．其他事项</w:t>
      </w:r>
      <w:bookmarkEnd w:id="155"/>
      <w:bookmarkEnd w:id="156"/>
      <w:bookmarkEnd w:id="157"/>
    </w:p>
    <w:p w14:paraId="55F32866">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bookmarkStart w:id="158" w:name="_Hlt69698713"/>
      <w:bookmarkStart w:id="159" w:name="_Hlt69698765"/>
      <w:bookmarkStart w:id="160" w:name="_Hlt69698776"/>
      <w:r>
        <w:rPr>
          <w:rFonts w:hint="eastAsia" w:ascii="宋体" w:hAnsi="宋体" w:eastAsia="宋体" w:cs="宋体"/>
          <w:snapToGrid w:val="0"/>
          <w:color w:val="auto"/>
          <w:kern w:val="0"/>
          <w:sz w:val="24"/>
          <w:highlight w:val="none"/>
          <w:lang w:val="en-US" w:eastAsia="zh-CN"/>
        </w:rPr>
        <w:t>9</w:t>
      </w:r>
      <w:r>
        <w:rPr>
          <w:rFonts w:hint="eastAsia" w:ascii="宋体" w:hAnsi="宋体" w:eastAsia="宋体" w:cs="宋体"/>
          <w:snapToGrid w:val="0"/>
          <w:color w:val="auto"/>
          <w:kern w:val="0"/>
          <w:sz w:val="24"/>
          <w:highlight w:val="none"/>
        </w:rPr>
        <w:t>.1 中标人须在收到中标通知书之日</w:t>
      </w:r>
      <w:r>
        <w:rPr>
          <w:rFonts w:hint="eastAsia" w:ascii="宋体" w:hAnsi="宋体" w:eastAsia="宋体" w:cs="宋体"/>
          <w:snapToGrid w:val="0"/>
          <w:color w:val="auto"/>
          <w:kern w:val="0"/>
          <w:sz w:val="24"/>
          <w:highlight w:val="none"/>
          <w:lang w:val="en-US" w:eastAsia="zh-CN"/>
        </w:rPr>
        <w:t>十</w:t>
      </w:r>
      <w:r>
        <w:rPr>
          <w:rFonts w:hint="eastAsia" w:ascii="宋体" w:hAnsi="宋体" w:eastAsia="宋体" w:cs="宋体"/>
          <w:snapToGrid w:val="0"/>
          <w:color w:val="auto"/>
          <w:kern w:val="0"/>
          <w:sz w:val="24"/>
          <w:highlight w:val="none"/>
        </w:rPr>
        <w:t>天内向招标人提交各阶段详细的工期计划承诺书。</w:t>
      </w:r>
    </w:p>
    <w:p w14:paraId="5A275185">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val="en-US" w:eastAsia="zh-CN"/>
        </w:rPr>
        <w:t>9</w:t>
      </w:r>
      <w:r>
        <w:rPr>
          <w:rFonts w:hint="eastAsia" w:ascii="宋体" w:hAnsi="宋体" w:eastAsia="宋体" w:cs="宋体"/>
          <w:snapToGrid w:val="0"/>
          <w:color w:val="auto"/>
          <w:kern w:val="0"/>
          <w:sz w:val="24"/>
          <w:highlight w:val="none"/>
        </w:rPr>
        <w:t xml:space="preserve">.2 签订合同后，中标人的法人代表或其授权委托人、项目设计负责人须参加招标人组织的廉政谈话。 </w:t>
      </w:r>
    </w:p>
    <w:p w14:paraId="43C3E1DF">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val="en-US" w:eastAsia="zh-CN"/>
        </w:rPr>
        <w:t>9</w:t>
      </w:r>
      <w:r>
        <w:rPr>
          <w:rFonts w:hint="eastAsia" w:ascii="宋体" w:hAnsi="宋体" w:eastAsia="宋体" w:cs="宋体"/>
          <w:snapToGrid w:val="0"/>
          <w:color w:val="auto"/>
          <w:kern w:val="0"/>
          <w:sz w:val="24"/>
          <w:highlight w:val="none"/>
        </w:rPr>
        <w:t>.3 本项目各个阶段的设计成果必须经招标人及有关审批部门同意后方可进行下一工序的设计工作，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不予以顺延，招标人不再支付由此而增加的设计费。</w:t>
      </w:r>
    </w:p>
    <w:p w14:paraId="7EA0D72D">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val="en-US" w:eastAsia="zh-CN"/>
        </w:rPr>
        <w:t>9</w:t>
      </w:r>
      <w:r>
        <w:rPr>
          <w:rFonts w:hint="eastAsia" w:ascii="宋体" w:hAnsi="宋体" w:eastAsia="宋体" w:cs="宋体"/>
          <w:snapToGrid w:val="0"/>
          <w:color w:val="auto"/>
          <w:kern w:val="0"/>
          <w:sz w:val="24"/>
          <w:highlight w:val="none"/>
        </w:rPr>
        <w:t xml:space="preserve">.4 每一步设计工作必须经招标人及有关部门审核批准后方可进行下一步设计。中标人提交的施工图阶段的设计成果必须经招标人确认后，再送有资质的审图单位的进行审查，若由于招标人和审图单位在审查过程中提出的设计修改或变更，中标人必须无条件进行修改或优化设计，招标人不再支付由此而增加的设计费用。  </w:t>
      </w:r>
    </w:p>
    <w:p w14:paraId="6DF50C34">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val="en-US" w:eastAsia="zh-CN"/>
        </w:rPr>
        <w:t>9</w:t>
      </w: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en-US" w:eastAsia="zh-CN"/>
        </w:rPr>
        <w:t>5</w:t>
      </w:r>
      <w:r>
        <w:rPr>
          <w:rFonts w:hint="eastAsia" w:ascii="宋体" w:hAnsi="宋体" w:eastAsia="宋体" w:cs="宋体"/>
          <w:snapToGrid w:val="0"/>
          <w:color w:val="auto"/>
          <w:kern w:val="0"/>
          <w:sz w:val="24"/>
          <w:highlight w:val="none"/>
        </w:rPr>
        <w:t xml:space="preserve"> 若勘察作业受用地征收影响，勘察设计人需积极选取周边勘探点参照，待征收问题解决后再入场详勘，相应部分的施工图预算以暂定工程量计算。</w:t>
      </w:r>
    </w:p>
    <w:p w14:paraId="3A82E878">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val="en-US" w:eastAsia="zh-CN"/>
        </w:rPr>
        <w:t>9</w:t>
      </w: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en-US" w:eastAsia="zh-CN"/>
        </w:rPr>
        <w:t>6</w:t>
      </w:r>
      <w:r>
        <w:rPr>
          <w:rFonts w:hint="eastAsia" w:ascii="宋体" w:hAnsi="宋体" w:eastAsia="宋体" w:cs="宋体"/>
          <w:snapToGrid w:val="0"/>
          <w:color w:val="auto"/>
          <w:kern w:val="0"/>
          <w:sz w:val="24"/>
          <w:highlight w:val="none"/>
        </w:rPr>
        <w:t xml:space="preserve"> 勘察人需妥善保存各勘探孔的完整岩土芯样及影像资料，以备届时施工阶段地质情况实际核对。施工过程中，若发现现场地质情况与同位置勘察点的勘察成果不符时，视为勘察人违约并承担相关责任。</w:t>
      </w:r>
    </w:p>
    <w:p w14:paraId="3EC31C85">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val="en-US" w:eastAsia="zh-CN"/>
        </w:rPr>
        <w:t>9.7</w:t>
      </w:r>
      <w:r>
        <w:rPr>
          <w:rFonts w:hint="eastAsia" w:ascii="宋体" w:hAnsi="宋体" w:eastAsia="宋体" w:cs="宋体"/>
          <w:snapToGrid w:val="0"/>
          <w:color w:val="auto"/>
          <w:kern w:val="0"/>
          <w:sz w:val="24"/>
          <w:highlight w:val="none"/>
        </w:rPr>
        <w:t xml:space="preserve">若中标人不具备专业设计资质的，由中标人另行委托有相应资质的单位进行设计并通过施工图审查，所产生的费用由中标人承担，招标人不再另行支付相关费用。 </w:t>
      </w:r>
    </w:p>
    <w:p w14:paraId="1558D49C">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val="en-US" w:eastAsia="zh-CN"/>
        </w:rPr>
        <w:t>9</w:t>
      </w: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en-US" w:eastAsia="zh-CN"/>
        </w:rPr>
        <w:t>8</w:t>
      </w:r>
      <w:r>
        <w:rPr>
          <w:rFonts w:hint="eastAsia" w:ascii="宋体" w:hAnsi="宋体" w:eastAsia="宋体" w:cs="宋体"/>
          <w:snapToGrid w:val="0"/>
          <w:color w:val="auto"/>
          <w:kern w:val="0"/>
          <w:sz w:val="24"/>
          <w:highlight w:val="none"/>
        </w:rPr>
        <w:t xml:space="preserve"> 中标人应按招标人要求及有关方面的尺寸和材质要求制作鸟瞰图及效果图。否则，招标人另行委托相关单位完成该项工作，费用由中标人承担。</w:t>
      </w:r>
    </w:p>
    <w:p w14:paraId="48B41340">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工程变更的程序和管理按韶府办发函〔2021〕32号执行，凡不符合韶府办发函〔2021〕32号要求的变更均为无效变更。</w:t>
      </w:r>
    </w:p>
    <w:p w14:paraId="10667014">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9.10</w:t>
      </w:r>
      <w:r>
        <w:rPr>
          <w:rFonts w:hint="eastAsia" w:ascii="宋体" w:hAnsi="宋体" w:eastAsia="宋体" w:cs="宋体"/>
          <w:snapToGrid w:val="0"/>
          <w:color w:val="auto"/>
          <w:kern w:val="0"/>
          <w:sz w:val="24"/>
          <w:szCs w:val="24"/>
          <w:highlight w:val="none"/>
        </w:rPr>
        <w:t>勘察设计人义务及违约责任</w:t>
      </w:r>
    </w:p>
    <w:p w14:paraId="547F5AA9">
      <w:pPr>
        <w:pStyle w:val="80"/>
        <w:spacing w:line="360" w:lineRule="auto"/>
        <w:ind w:firstLine="480" w:firstLineChars="200"/>
        <w:rPr>
          <w:rFonts w:hint="eastAsia" w:ascii="宋体" w:hAnsi="宋体" w:eastAsia="宋体" w:cs="宋体"/>
          <w:color w:val="auto"/>
          <w:szCs w:val="24"/>
          <w:highlight w:val="none"/>
        </w:rPr>
      </w:pPr>
      <w:bookmarkStart w:id="161" w:name="_Toc521"/>
      <w:r>
        <w:rPr>
          <w:rFonts w:hint="eastAsia" w:ascii="宋体" w:hAnsi="宋体" w:eastAsia="宋体" w:cs="宋体"/>
          <w:color w:val="auto"/>
          <w:szCs w:val="24"/>
          <w:highlight w:val="none"/>
          <w:lang w:val="en-US" w:eastAsia="zh-CN"/>
        </w:rPr>
        <w:t>9</w:t>
      </w:r>
      <w:r>
        <w:rPr>
          <w:rFonts w:hint="eastAsia" w:ascii="宋体" w:hAnsi="宋体" w:eastAsia="宋体" w:cs="宋体"/>
          <w:color w:val="auto"/>
          <w:szCs w:val="24"/>
          <w:highlight w:val="none"/>
        </w:rPr>
        <w:t>.</w:t>
      </w:r>
      <w:r>
        <w:rPr>
          <w:rFonts w:hint="eastAsia" w:ascii="宋体" w:hAnsi="宋体" w:eastAsia="宋体" w:cs="宋体"/>
          <w:color w:val="auto"/>
          <w:szCs w:val="24"/>
          <w:highlight w:val="none"/>
          <w:lang w:val="en-US" w:eastAsia="zh-CN"/>
        </w:rPr>
        <w:t>10</w:t>
      </w:r>
      <w:r>
        <w:rPr>
          <w:rFonts w:hint="eastAsia" w:ascii="宋体" w:hAnsi="宋体" w:eastAsia="宋体" w:cs="宋体"/>
          <w:color w:val="auto"/>
          <w:szCs w:val="24"/>
          <w:highlight w:val="none"/>
        </w:rPr>
        <w:t>.1</w:t>
      </w:r>
      <w:r>
        <w:rPr>
          <w:rFonts w:hint="eastAsia" w:ascii="宋体" w:hAnsi="宋体" w:eastAsia="宋体" w:cs="宋体"/>
          <w:b/>
          <w:bCs/>
          <w:snapToGrid w:val="0"/>
          <w:color w:val="auto"/>
          <w:kern w:val="0"/>
          <w:szCs w:val="24"/>
          <w:highlight w:val="none"/>
        </w:rPr>
        <w:t>勘察设计人义务</w:t>
      </w:r>
    </w:p>
    <w:p w14:paraId="393D6B8A">
      <w:pPr>
        <w:pStyle w:val="80"/>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9.10.1.1</w:t>
      </w:r>
      <w:r>
        <w:rPr>
          <w:rFonts w:hint="eastAsia" w:ascii="宋体" w:hAnsi="宋体" w:eastAsia="宋体" w:cs="宋体"/>
          <w:color w:val="auto"/>
          <w:szCs w:val="24"/>
          <w:highlight w:val="none"/>
        </w:rPr>
        <w:t>合同生效后，勘察设计人要求终止或解除合同视为勘察设计人违约，扣除履约保证金。</w:t>
      </w:r>
      <w:bookmarkEnd w:id="161"/>
    </w:p>
    <w:p w14:paraId="1EF3D085">
      <w:pPr>
        <w:pStyle w:val="80"/>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9</w:t>
      </w:r>
      <w:r>
        <w:rPr>
          <w:rFonts w:hint="eastAsia" w:ascii="宋体" w:hAnsi="宋体" w:eastAsia="宋体" w:cs="宋体"/>
          <w:color w:val="auto"/>
          <w:szCs w:val="24"/>
          <w:highlight w:val="none"/>
        </w:rPr>
        <w:t>.</w:t>
      </w:r>
      <w:r>
        <w:rPr>
          <w:rFonts w:hint="eastAsia" w:ascii="宋体" w:hAnsi="宋体" w:eastAsia="宋体" w:cs="宋体"/>
          <w:color w:val="auto"/>
          <w:szCs w:val="24"/>
          <w:highlight w:val="none"/>
          <w:lang w:val="en-US" w:eastAsia="zh-CN"/>
        </w:rPr>
        <w:t>10</w:t>
      </w:r>
      <w:r>
        <w:rPr>
          <w:rFonts w:hint="eastAsia" w:ascii="宋体" w:hAnsi="宋体" w:eastAsia="宋体" w:cs="宋体"/>
          <w:color w:val="auto"/>
          <w:szCs w:val="24"/>
          <w:highlight w:val="none"/>
        </w:rPr>
        <w:t>.</w:t>
      </w:r>
      <w:r>
        <w:rPr>
          <w:rFonts w:hint="eastAsia" w:ascii="宋体" w:hAnsi="宋体" w:eastAsia="宋体" w:cs="宋体"/>
          <w:color w:val="auto"/>
          <w:szCs w:val="24"/>
          <w:highlight w:val="none"/>
          <w:lang w:val="en-US" w:eastAsia="zh-CN"/>
        </w:rPr>
        <w:t>1.</w:t>
      </w:r>
      <w:r>
        <w:rPr>
          <w:rFonts w:hint="eastAsia" w:ascii="宋体" w:hAnsi="宋体" w:eastAsia="宋体" w:cs="宋体"/>
          <w:color w:val="auto"/>
          <w:szCs w:val="24"/>
          <w:highlight w:val="none"/>
        </w:rPr>
        <w:t>2勘察设计人负责按照合同规定承包范围、内容和方式，在规定时间内提交满足规定质量要求的设计成果，并完成约定的服务内容。勘察设计人交付设计文件后，按规定参加有关的设计审查，并根据审查结论负责不超出原定范围的内容做必要调整补充。</w:t>
      </w:r>
      <w:r>
        <w:rPr>
          <w:rFonts w:hint="eastAsia" w:ascii="宋体" w:hAnsi="宋体" w:eastAsia="宋体" w:cs="宋体"/>
          <w:snapToGrid w:val="0"/>
          <w:color w:val="auto"/>
          <w:kern w:val="0"/>
          <w:sz w:val="24"/>
          <w:szCs w:val="24"/>
          <w:highlight w:val="none"/>
        </w:rPr>
        <w:t>勘察设计人</w:t>
      </w:r>
      <w:r>
        <w:rPr>
          <w:rFonts w:hint="eastAsia" w:ascii="宋体" w:hAnsi="宋体" w:eastAsia="宋体" w:cs="宋体"/>
          <w:color w:val="auto"/>
          <w:szCs w:val="24"/>
          <w:highlight w:val="none"/>
        </w:rPr>
        <w:t>按合同规定时限交付设计文件，负责向发包人及施工单位进行设计交底、处理有关设计问题和参加竣工验收。施工过程中负责有关工程变更的变更设计。</w:t>
      </w:r>
    </w:p>
    <w:p w14:paraId="6C58C240">
      <w:pPr>
        <w:pStyle w:val="80"/>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9</w:t>
      </w:r>
      <w:r>
        <w:rPr>
          <w:rFonts w:hint="eastAsia" w:ascii="宋体" w:hAnsi="宋体" w:eastAsia="宋体" w:cs="宋体"/>
          <w:color w:val="auto"/>
          <w:szCs w:val="24"/>
          <w:highlight w:val="none"/>
        </w:rPr>
        <w:t>.</w:t>
      </w:r>
      <w:r>
        <w:rPr>
          <w:rFonts w:hint="eastAsia" w:ascii="宋体" w:hAnsi="宋体" w:eastAsia="宋体" w:cs="宋体"/>
          <w:color w:val="auto"/>
          <w:szCs w:val="24"/>
          <w:highlight w:val="none"/>
          <w:lang w:val="en-US" w:eastAsia="zh-CN"/>
        </w:rPr>
        <w:t>10</w:t>
      </w:r>
      <w:r>
        <w:rPr>
          <w:rFonts w:hint="eastAsia" w:ascii="宋体" w:hAnsi="宋体" w:eastAsia="宋体" w:cs="宋体"/>
          <w:color w:val="auto"/>
          <w:szCs w:val="24"/>
          <w:highlight w:val="none"/>
        </w:rPr>
        <w:t>.1.3</w:t>
      </w:r>
      <w:r>
        <w:rPr>
          <w:rFonts w:hint="eastAsia" w:ascii="宋体" w:hAnsi="宋体" w:eastAsia="宋体" w:cs="宋体"/>
          <w:snapToGrid w:val="0"/>
          <w:color w:val="auto"/>
          <w:kern w:val="0"/>
          <w:sz w:val="24"/>
          <w:szCs w:val="24"/>
          <w:highlight w:val="none"/>
        </w:rPr>
        <w:t>勘察设计人</w:t>
      </w:r>
      <w:r>
        <w:rPr>
          <w:rFonts w:hint="eastAsia" w:ascii="宋体" w:hAnsi="宋体" w:eastAsia="宋体" w:cs="宋体"/>
          <w:color w:val="auto"/>
          <w:szCs w:val="24"/>
          <w:highlight w:val="none"/>
        </w:rPr>
        <w:t>应对发包人提供的文件、资料进行认真研究，对本项目的特点和不确定因素进行认真考虑，并提出合理建议和评价,对影响设计稳定的重大问题要进行多方案比较选择。</w:t>
      </w:r>
    </w:p>
    <w:p w14:paraId="6402F280">
      <w:pPr>
        <w:pStyle w:val="80"/>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9</w:t>
      </w:r>
      <w:r>
        <w:rPr>
          <w:rFonts w:hint="eastAsia" w:ascii="宋体" w:hAnsi="宋体" w:eastAsia="宋体" w:cs="宋体"/>
          <w:color w:val="auto"/>
          <w:szCs w:val="24"/>
          <w:highlight w:val="none"/>
        </w:rPr>
        <w:t>.</w:t>
      </w:r>
      <w:r>
        <w:rPr>
          <w:rFonts w:hint="eastAsia" w:ascii="宋体" w:hAnsi="宋体" w:eastAsia="宋体" w:cs="宋体"/>
          <w:color w:val="auto"/>
          <w:szCs w:val="24"/>
          <w:highlight w:val="none"/>
          <w:lang w:val="en-US" w:eastAsia="zh-CN"/>
        </w:rPr>
        <w:t>10</w:t>
      </w:r>
      <w:r>
        <w:rPr>
          <w:rFonts w:hint="eastAsia" w:ascii="宋体" w:hAnsi="宋体" w:eastAsia="宋体" w:cs="宋体"/>
          <w:color w:val="auto"/>
          <w:szCs w:val="24"/>
          <w:highlight w:val="none"/>
        </w:rPr>
        <w:t>.1.4设计应尽可能减少施工难度，为施工创造方便合理的施工条件；应尽量减少施工对城市交通、市民生活以及水利、通航的干扰，并尽可能减少对施工期的影响。</w:t>
      </w:r>
    </w:p>
    <w:p w14:paraId="4B2F86FB">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.1.5未经发包人书面同意，勘察设计人不得对已批准的设计和勘探点布置方案作重大修改、增减或删除。</w:t>
      </w:r>
    </w:p>
    <w:p w14:paraId="344CB922">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.1.6勘察设计人提交的全部设计文件应考虑地质因素、正常施工中可能出现的各种因素，对设计文件出现的遗漏或错误负责修改或补充。</w:t>
      </w:r>
    </w:p>
    <w:p w14:paraId="385CE678">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.1.7勘察设计人承诺在交付项目的部分或全部设计文件后，如有更好的新工艺、新技术、新材料、新设备等适用于本项目，应及时向发包人推荐并提供科学的评估和来源证明。</w:t>
      </w:r>
    </w:p>
    <w:p w14:paraId="538EA4E1">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.1.8勘察设计人驻韶办公的项目负责人（即投标文件所拟派的项目负责人）必须负责本项目</w:t>
      </w:r>
      <w:r>
        <w:rPr>
          <w:rFonts w:hint="eastAsia" w:ascii="宋体" w:hAnsi="宋体" w:eastAsia="宋体" w:cs="宋体"/>
          <w:snapToGrid w:val="0"/>
          <w:color w:val="auto"/>
          <w:kern w:val="0"/>
          <w:sz w:val="24"/>
          <w:szCs w:val="24"/>
          <w:highlight w:val="none"/>
          <w:lang w:eastAsia="zh-CN"/>
        </w:rPr>
        <w:t>设计</w:t>
      </w:r>
      <w:r>
        <w:rPr>
          <w:rFonts w:hint="eastAsia" w:ascii="宋体" w:hAnsi="宋体" w:eastAsia="宋体" w:cs="宋体"/>
          <w:snapToGrid w:val="0"/>
          <w:color w:val="auto"/>
          <w:kern w:val="0"/>
          <w:sz w:val="24"/>
          <w:szCs w:val="24"/>
          <w:highlight w:val="none"/>
        </w:rPr>
        <w:t>全过程（包括完善初步设计评审、初步设计修编、施工图设计审查、施工图设计修编、图纸会审和技术交底）。</w:t>
      </w:r>
    </w:p>
    <w:p w14:paraId="4CEAE14F">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.1.9勘察设计人应委派1名参与并熟悉本项目</w:t>
      </w:r>
      <w:r>
        <w:rPr>
          <w:rFonts w:hint="eastAsia" w:ascii="宋体" w:hAnsi="宋体" w:eastAsia="宋体" w:cs="宋体"/>
          <w:snapToGrid w:val="0"/>
          <w:color w:val="auto"/>
          <w:kern w:val="0"/>
          <w:sz w:val="24"/>
          <w:szCs w:val="24"/>
          <w:highlight w:val="none"/>
          <w:lang w:eastAsia="zh-CN"/>
        </w:rPr>
        <w:t>设计</w:t>
      </w:r>
      <w:r>
        <w:rPr>
          <w:rFonts w:hint="eastAsia" w:ascii="宋体" w:hAnsi="宋体" w:eastAsia="宋体" w:cs="宋体"/>
          <w:snapToGrid w:val="0"/>
          <w:color w:val="auto"/>
          <w:kern w:val="0"/>
          <w:sz w:val="24"/>
          <w:szCs w:val="24"/>
          <w:highlight w:val="none"/>
        </w:rPr>
        <w:t>、有现场处理经验的设计代表</w:t>
      </w:r>
      <w:r>
        <w:rPr>
          <w:rFonts w:hint="eastAsia" w:ascii="宋体" w:hAnsi="宋体" w:eastAsia="宋体" w:cs="宋体"/>
          <w:snapToGrid w:val="0"/>
          <w:color w:val="auto"/>
          <w:kern w:val="0"/>
          <w:sz w:val="24"/>
          <w:szCs w:val="24"/>
          <w:highlight w:val="none"/>
          <w:lang w:val="en-US" w:eastAsia="zh-CN"/>
        </w:rPr>
        <w:t>配合</w:t>
      </w:r>
      <w:r>
        <w:rPr>
          <w:rFonts w:hint="eastAsia" w:ascii="宋体" w:hAnsi="宋体" w:eastAsia="宋体" w:cs="宋体"/>
          <w:snapToGrid w:val="0"/>
          <w:color w:val="auto"/>
          <w:kern w:val="0"/>
          <w:sz w:val="24"/>
          <w:szCs w:val="24"/>
          <w:highlight w:val="none"/>
        </w:rPr>
        <w:t>项目现场。勘察设计人应为派驻现场的设计工作人员提供工作、生活及交通等方面的便利条件及准备必要的劳动保护装备。在正常施工阶段，每月应保证最少20天在现场。</w:t>
      </w:r>
    </w:p>
    <w:p w14:paraId="035E7630">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9.10</w:t>
      </w:r>
      <w:r>
        <w:rPr>
          <w:rFonts w:hint="eastAsia" w:ascii="宋体" w:hAnsi="宋体" w:eastAsia="宋体" w:cs="宋体"/>
          <w:snapToGrid w:val="0"/>
          <w:color w:val="auto"/>
          <w:kern w:val="0"/>
          <w:sz w:val="24"/>
          <w:szCs w:val="24"/>
          <w:highlight w:val="none"/>
        </w:rPr>
        <w:t>.1.10勘察设计人编制的初步设计概算需按设计要求和概算定额等相关文件的规定编制,须保证其准确并符合合同约定的要求,</w:t>
      </w:r>
      <w:r>
        <w:rPr>
          <w:rFonts w:hint="eastAsia" w:ascii="宋体" w:hAnsi="宋体" w:eastAsia="宋体" w:cs="宋体"/>
          <w:snapToGrid w:val="0"/>
          <w:color w:val="auto"/>
          <w:kern w:val="0"/>
          <w:sz w:val="24"/>
          <w:szCs w:val="24"/>
          <w:highlight w:val="none"/>
          <w:lang w:eastAsia="zh-CN"/>
        </w:rPr>
        <w:t>设计</w:t>
      </w:r>
      <w:r>
        <w:rPr>
          <w:rFonts w:hint="eastAsia" w:ascii="宋体" w:hAnsi="宋体" w:eastAsia="宋体" w:cs="宋体"/>
          <w:snapToGrid w:val="0"/>
          <w:color w:val="auto"/>
          <w:kern w:val="0"/>
          <w:sz w:val="24"/>
          <w:szCs w:val="24"/>
          <w:highlight w:val="none"/>
        </w:rPr>
        <w:t>人编制的初步设计概算应确保完整和相对准确。</w:t>
      </w:r>
    </w:p>
    <w:p w14:paraId="6C396AAF">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.1.11涉及设计方案专家论证会（含初步设计评审）的相关费用由勘察设计人承担。</w:t>
      </w:r>
    </w:p>
    <w:p w14:paraId="408553B0">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.1.12勘察设计人要按照批准的投资估算控制初步设计，按照批准的初步设计总概算控制施工图设计，即限额设计。</w:t>
      </w:r>
      <w:r>
        <w:rPr>
          <w:rFonts w:hint="eastAsia" w:ascii="宋体" w:hAnsi="宋体" w:eastAsia="宋体" w:cs="宋体"/>
          <w:snapToGrid w:val="0"/>
          <w:color w:val="auto"/>
          <w:kern w:val="0"/>
          <w:sz w:val="24"/>
          <w:szCs w:val="24"/>
          <w:highlight w:val="none"/>
          <w:lang w:eastAsia="zh-CN"/>
        </w:rPr>
        <w:t>设计</w:t>
      </w:r>
      <w:r>
        <w:rPr>
          <w:rFonts w:hint="eastAsia" w:ascii="宋体" w:hAnsi="宋体" w:eastAsia="宋体" w:cs="宋体"/>
          <w:snapToGrid w:val="0"/>
          <w:color w:val="auto"/>
          <w:kern w:val="0"/>
          <w:sz w:val="24"/>
          <w:szCs w:val="24"/>
          <w:highlight w:val="none"/>
        </w:rPr>
        <w:t>人要无条件对设计文件出现的遗漏或错误负责修改或补充，直到满足要求。</w:t>
      </w:r>
    </w:p>
    <w:p w14:paraId="782203AE">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9.10.1.13</w:t>
      </w:r>
      <w:r>
        <w:rPr>
          <w:rFonts w:hint="eastAsia" w:ascii="宋体" w:hAnsi="宋体" w:eastAsia="宋体" w:cs="宋体"/>
          <w:snapToGrid w:val="0"/>
          <w:color w:val="auto"/>
          <w:kern w:val="0"/>
          <w:sz w:val="24"/>
          <w:szCs w:val="24"/>
          <w:highlight w:val="none"/>
        </w:rPr>
        <w:t>发包人及咨询单位、上级主管部门对勘察成果（包括研究试验成果）设计文件的审查并不免除勘察设计人的责任。</w:t>
      </w:r>
    </w:p>
    <w:p w14:paraId="58FCA44B">
      <w:pPr>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9</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10</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b/>
          <w:bCs/>
          <w:snapToGrid w:val="0"/>
          <w:color w:val="auto"/>
          <w:kern w:val="0"/>
          <w:sz w:val="24"/>
          <w:szCs w:val="24"/>
          <w:highlight w:val="none"/>
          <w:lang w:eastAsia="zh-CN"/>
        </w:rPr>
        <w:t>设计</w:t>
      </w:r>
      <w:r>
        <w:rPr>
          <w:rFonts w:hint="eastAsia" w:ascii="宋体" w:hAnsi="宋体" w:eastAsia="宋体" w:cs="宋体"/>
          <w:b/>
          <w:bCs/>
          <w:snapToGrid w:val="0"/>
          <w:color w:val="auto"/>
          <w:kern w:val="0"/>
          <w:sz w:val="24"/>
          <w:szCs w:val="24"/>
          <w:highlight w:val="none"/>
        </w:rPr>
        <w:t>人违约的处理</w:t>
      </w:r>
    </w:p>
    <w:p w14:paraId="15E1EBCF">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.2.1．设计人发生合同约定的违约情况时，无论发包人是否解除合同，发包人均有权按“</w:t>
      </w:r>
      <w:r>
        <w:rPr>
          <w:rFonts w:hint="eastAsia" w:ascii="宋体" w:hAnsi="宋体" w:eastAsia="宋体" w:cs="宋体"/>
          <w:b/>
          <w:bCs/>
          <w:snapToGrid w:val="0"/>
          <w:color w:val="auto"/>
          <w:kern w:val="0"/>
          <w:sz w:val="24"/>
          <w:szCs w:val="24"/>
          <w:highlight w:val="none"/>
        </w:rPr>
        <w:t>附件一 设计人违约行为及违约金一览表</w:t>
      </w:r>
      <w:r>
        <w:rPr>
          <w:rFonts w:hint="eastAsia" w:ascii="宋体" w:hAnsi="宋体" w:eastAsia="宋体" w:cs="宋体"/>
          <w:snapToGrid w:val="0"/>
          <w:color w:val="auto"/>
          <w:kern w:val="0"/>
          <w:sz w:val="24"/>
          <w:szCs w:val="24"/>
          <w:highlight w:val="none"/>
        </w:rPr>
        <w:t>”的规定向设计人计以违约金，并由发包人将其违约行为记录在合同履约评价记录中，作为合同履约综合评价的依据。同时，发包人将设计人的违约行为上报建设行政主管部门。</w:t>
      </w:r>
    </w:p>
    <w:p w14:paraId="04966050">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.2.2．除非合同另有规定，发包人向勘察设计人开出的任何</w:t>
      </w:r>
      <w:r>
        <w:rPr>
          <w:rFonts w:hint="eastAsia" w:ascii="宋体" w:hAnsi="宋体" w:eastAsia="宋体" w:cs="宋体"/>
          <w:snapToGrid w:val="0"/>
          <w:color w:val="auto"/>
          <w:kern w:val="0"/>
          <w:sz w:val="24"/>
          <w:szCs w:val="24"/>
          <w:highlight w:val="none"/>
          <w:lang w:val="en-US" w:eastAsia="zh-CN"/>
        </w:rPr>
        <w:t>违约</w:t>
      </w:r>
      <w:r>
        <w:rPr>
          <w:rFonts w:hint="eastAsia" w:ascii="宋体" w:hAnsi="宋体" w:eastAsia="宋体" w:cs="宋体"/>
          <w:snapToGrid w:val="0"/>
          <w:color w:val="auto"/>
          <w:kern w:val="0"/>
          <w:sz w:val="24"/>
          <w:szCs w:val="24"/>
          <w:highlight w:val="none"/>
          <w:lang w:eastAsia="zh-CN"/>
        </w:rPr>
        <w:t>通知书</w:t>
      </w:r>
      <w:r>
        <w:rPr>
          <w:rFonts w:hint="eastAsia" w:ascii="宋体" w:hAnsi="宋体" w:eastAsia="宋体" w:cs="宋体"/>
          <w:snapToGrid w:val="0"/>
          <w:color w:val="auto"/>
          <w:kern w:val="0"/>
          <w:sz w:val="24"/>
          <w:szCs w:val="24"/>
          <w:highlight w:val="none"/>
        </w:rPr>
        <w:t>将导致中标人最终的应得结算价款相应地减少。勘察设计人必须完全接受上述条款。</w:t>
      </w:r>
    </w:p>
    <w:p w14:paraId="1DF27E32">
      <w:pPr>
        <w:pStyle w:val="8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．发包人按合同规定向勘察设计人开出的任何违约金的扣除时间，可以在发包人认为合适的任何一个期中支付月份中扣除。发包人扣除违约金时间的延迟或滞后并不代表对勘察设计人当时各种行为的认可或默认。</w:t>
      </w:r>
    </w:p>
    <w:p w14:paraId="468F730F">
      <w:pPr>
        <w:pStyle w:val="8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9.10.2.4</w:t>
      </w:r>
      <w:r>
        <w:rPr>
          <w:rFonts w:hint="eastAsia" w:ascii="宋体" w:hAnsi="宋体" w:eastAsia="宋体" w:cs="宋体"/>
          <w:snapToGrid w:val="0"/>
          <w:color w:val="auto"/>
          <w:kern w:val="0"/>
          <w:sz w:val="24"/>
          <w:szCs w:val="24"/>
          <w:highlight w:val="none"/>
        </w:rPr>
        <w:t>勘察设计人的违约金由发包人掌握使用。</w:t>
      </w:r>
    </w:p>
    <w:p w14:paraId="75B26852">
      <w:pPr>
        <w:rPr>
          <w:rFonts w:hint="eastAsia" w:ascii="宋体" w:hAnsi="宋体" w:eastAsia="宋体" w:cs="宋体"/>
        </w:rPr>
      </w:pPr>
    </w:p>
    <w:p w14:paraId="0D790297">
      <w:pPr>
        <w:wordWrap w:val="0"/>
        <w:adjustRightInd w:val="0"/>
        <w:snapToGrid w:val="0"/>
        <w:spacing w:line="360" w:lineRule="auto"/>
        <w:rPr>
          <w:rFonts w:hint="eastAsia" w:ascii="宋体" w:hAnsi="宋体" w:eastAsia="宋体" w:cs="宋体"/>
          <w:bCs/>
          <w:snapToGrid w:val="0"/>
          <w:color w:val="auto"/>
          <w:kern w:val="0"/>
          <w:sz w:val="24"/>
          <w:szCs w:val="24"/>
          <w:highlight w:val="none"/>
          <w:u w:val="single"/>
        </w:rPr>
      </w:pPr>
      <w:r>
        <w:rPr>
          <w:rFonts w:hint="eastAsia" w:ascii="宋体" w:hAnsi="宋体" w:eastAsia="宋体" w:cs="宋体"/>
          <w:b/>
          <w:bCs/>
          <w:snapToGrid w:val="0"/>
          <w:color w:val="auto"/>
          <w:kern w:val="0"/>
          <w:sz w:val="24"/>
          <w:highlight w:val="none"/>
          <w:lang w:val="en-US" w:eastAsia="zh-CN"/>
        </w:rPr>
        <w:t>附件1</w:t>
      </w:r>
    </w:p>
    <w:p w14:paraId="3F7BD7EB">
      <w:pPr>
        <w:spacing w:line="48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勘察设计人违约行为及违约金一览表</w:t>
      </w:r>
    </w:p>
    <w:tbl>
      <w:tblPr>
        <w:tblStyle w:val="33"/>
        <w:tblW w:w="9995" w:type="dxa"/>
        <w:tblInd w:w="-154" w:type="dxa"/>
        <w:tblLayout w:type="fixed"/>
        <w:tblCellMar>
          <w:top w:w="0" w:type="dxa"/>
          <w:left w:w="108" w:type="dxa"/>
          <w:bottom w:w="0" w:type="dxa"/>
          <w:right w:w="108" w:type="dxa"/>
        </w:tblCellMar>
      </w:tblPr>
      <w:tblGrid>
        <w:gridCol w:w="735"/>
        <w:gridCol w:w="4770"/>
        <w:gridCol w:w="2833"/>
        <w:gridCol w:w="1657"/>
      </w:tblGrid>
      <w:tr w14:paraId="31F35ED6">
        <w:tblPrEx>
          <w:tblCellMar>
            <w:top w:w="0" w:type="dxa"/>
            <w:left w:w="108" w:type="dxa"/>
            <w:bottom w:w="0" w:type="dxa"/>
            <w:right w:w="108" w:type="dxa"/>
          </w:tblCellMar>
        </w:tblPrEx>
        <w:trPr>
          <w:trHeight w:val="48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18939409">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序号</w:t>
            </w:r>
          </w:p>
        </w:tc>
        <w:tc>
          <w:tcPr>
            <w:tcW w:w="4770" w:type="dxa"/>
            <w:tcBorders>
              <w:top w:val="single" w:color="auto" w:sz="4" w:space="0"/>
              <w:left w:val="nil"/>
              <w:bottom w:val="single" w:color="auto" w:sz="4" w:space="0"/>
              <w:right w:val="single" w:color="auto" w:sz="4" w:space="0"/>
            </w:tcBorders>
            <w:noWrap w:val="0"/>
            <w:vAlign w:val="center"/>
          </w:tcPr>
          <w:p w14:paraId="341F9DDD">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违约行为</w:t>
            </w:r>
          </w:p>
        </w:tc>
        <w:tc>
          <w:tcPr>
            <w:tcW w:w="2833" w:type="dxa"/>
            <w:tcBorders>
              <w:top w:val="single" w:color="auto" w:sz="4" w:space="0"/>
              <w:left w:val="nil"/>
              <w:bottom w:val="single" w:color="auto" w:sz="4" w:space="0"/>
              <w:right w:val="single" w:color="auto" w:sz="4" w:space="0"/>
            </w:tcBorders>
            <w:noWrap w:val="0"/>
            <w:vAlign w:val="center"/>
          </w:tcPr>
          <w:p w14:paraId="2180BD10">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违约金标准</w:t>
            </w:r>
          </w:p>
        </w:tc>
        <w:tc>
          <w:tcPr>
            <w:tcW w:w="1657" w:type="dxa"/>
            <w:tcBorders>
              <w:top w:val="single" w:color="auto" w:sz="4" w:space="0"/>
              <w:left w:val="nil"/>
              <w:bottom w:val="single" w:color="auto" w:sz="4" w:space="0"/>
              <w:right w:val="single" w:color="auto" w:sz="4" w:space="0"/>
            </w:tcBorders>
            <w:noWrap w:val="0"/>
            <w:vAlign w:val="center"/>
          </w:tcPr>
          <w:p w14:paraId="406657B8">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备注</w:t>
            </w:r>
          </w:p>
        </w:tc>
      </w:tr>
      <w:tr w14:paraId="71FDCFC3">
        <w:tblPrEx>
          <w:tblCellMar>
            <w:top w:w="0" w:type="dxa"/>
            <w:left w:w="108" w:type="dxa"/>
            <w:bottom w:w="0" w:type="dxa"/>
            <w:right w:w="108" w:type="dxa"/>
          </w:tblCellMar>
        </w:tblPrEx>
        <w:trPr>
          <w:trHeight w:val="584"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21C33325">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4770" w:type="dxa"/>
            <w:tcBorders>
              <w:top w:val="single" w:color="auto" w:sz="4" w:space="0"/>
              <w:left w:val="nil"/>
              <w:bottom w:val="single" w:color="auto" w:sz="4" w:space="0"/>
              <w:right w:val="single" w:color="auto" w:sz="4" w:space="0"/>
            </w:tcBorders>
            <w:noWrap w:val="0"/>
            <w:vAlign w:val="center"/>
          </w:tcPr>
          <w:p w14:paraId="0A1639DE">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勘察设计人应按国家规定和合同约定的技术规范、标准进行设计，按项目规定的内容、时间及份数向发包人一次性交付完整设计文件。因中标人原因，没有按期完成各项勘察、设计任务和造成重复勘察、设计、审图、预算编制等工作延误的。</w:t>
            </w:r>
          </w:p>
        </w:tc>
        <w:tc>
          <w:tcPr>
            <w:tcW w:w="2833" w:type="dxa"/>
            <w:tcBorders>
              <w:top w:val="single" w:color="auto" w:sz="4" w:space="0"/>
              <w:left w:val="nil"/>
              <w:bottom w:val="single" w:color="auto" w:sz="4" w:space="0"/>
              <w:right w:val="single" w:color="auto" w:sz="4" w:space="0"/>
            </w:tcBorders>
            <w:noWrap w:val="0"/>
            <w:vAlign w:val="center"/>
          </w:tcPr>
          <w:p w14:paraId="412619C0">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在逾期第壹天起每天按合同价款的1‰计算违约金。</w:t>
            </w:r>
          </w:p>
        </w:tc>
        <w:tc>
          <w:tcPr>
            <w:tcW w:w="1657" w:type="dxa"/>
            <w:tcBorders>
              <w:top w:val="single" w:color="auto" w:sz="4" w:space="0"/>
              <w:left w:val="nil"/>
              <w:bottom w:val="single" w:color="auto" w:sz="4" w:space="0"/>
              <w:right w:val="single" w:color="auto" w:sz="4" w:space="0"/>
            </w:tcBorders>
            <w:noWrap w:val="0"/>
            <w:vAlign w:val="center"/>
          </w:tcPr>
          <w:p w14:paraId="7C8E9B47">
            <w:pPr>
              <w:spacing w:line="380" w:lineRule="exact"/>
              <w:rPr>
                <w:rFonts w:hint="eastAsia" w:ascii="宋体" w:hAnsi="宋体" w:eastAsia="宋体" w:cs="宋体"/>
                <w:color w:val="auto"/>
                <w:sz w:val="24"/>
                <w:szCs w:val="24"/>
                <w:highlight w:val="none"/>
              </w:rPr>
            </w:pPr>
          </w:p>
        </w:tc>
      </w:tr>
      <w:tr w14:paraId="6A013B6E">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6ABFCEE1">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c>
          <w:tcPr>
            <w:tcW w:w="4770" w:type="dxa"/>
            <w:tcBorders>
              <w:top w:val="single" w:color="auto" w:sz="4" w:space="0"/>
              <w:left w:val="nil"/>
              <w:bottom w:val="single" w:color="auto" w:sz="4" w:space="0"/>
              <w:right w:val="single" w:color="auto" w:sz="4" w:space="0"/>
            </w:tcBorders>
            <w:noWrap w:val="0"/>
            <w:vAlign w:val="center"/>
          </w:tcPr>
          <w:p w14:paraId="15B9AF37">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地质勘探过程中，发包人可随时到现场抽检勘探情况，发现有造假现象的。</w:t>
            </w:r>
          </w:p>
        </w:tc>
        <w:tc>
          <w:tcPr>
            <w:tcW w:w="2833" w:type="dxa"/>
            <w:tcBorders>
              <w:top w:val="single" w:color="auto" w:sz="4" w:space="0"/>
              <w:left w:val="nil"/>
              <w:bottom w:val="single" w:color="auto" w:sz="4" w:space="0"/>
              <w:right w:val="single" w:color="auto" w:sz="4" w:space="0"/>
            </w:tcBorders>
            <w:noWrap w:val="0"/>
            <w:vAlign w:val="center"/>
          </w:tcPr>
          <w:p w14:paraId="3199CE24">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扣除勘察、设计合同价款中勘察费的10%。</w:t>
            </w:r>
          </w:p>
        </w:tc>
        <w:tc>
          <w:tcPr>
            <w:tcW w:w="1657" w:type="dxa"/>
            <w:tcBorders>
              <w:top w:val="single" w:color="auto" w:sz="4" w:space="0"/>
              <w:left w:val="nil"/>
              <w:bottom w:val="single" w:color="auto" w:sz="4" w:space="0"/>
              <w:right w:val="single" w:color="auto" w:sz="4" w:space="0"/>
            </w:tcBorders>
            <w:noWrap w:val="0"/>
            <w:vAlign w:val="center"/>
          </w:tcPr>
          <w:p w14:paraId="398D3698">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发现两次以上的则发包人有权解除合同</w:t>
            </w:r>
          </w:p>
        </w:tc>
      </w:tr>
      <w:tr w14:paraId="36DEC241">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3D842354">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w:t>
            </w:r>
          </w:p>
        </w:tc>
        <w:tc>
          <w:tcPr>
            <w:tcW w:w="4770" w:type="dxa"/>
            <w:tcBorders>
              <w:top w:val="single" w:color="auto" w:sz="4" w:space="0"/>
              <w:left w:val="nil"/>
              <w:bottom w:val="single" w:color="auto" w:sz="4" w:space="0"/>
              <w:right w:val="single" w:color="auto" w:sz="4" w:space="0"/>
            </w:tcBorders>
            <w:noWrap w:val="0"/>
            <w:vAlign w:val="center"/>
          </w:tcPr>
          <w:p w14:paraId="36F01EA0">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施工过程中，发现现场地质情况与同位置勘察点的勘察成果不符，或未对重点位置加密勘察时，视为勘察设计人违约。</w:t>
            </w:r>
          </w:p>
        </w:tc>
        <w:tc>
          <w:tcPr>
            <w:tcW w:w="2833" w:type="dxa"/>
            <w:tcBorders>
              <w:top w:val="single" w:color="auto" w:sz="4" w:space="0"/>
              <w:left w:val="nil"/>
              <w:bottom w:val="single" w:color="auto" w:sz="4" w:space="0"/>
              <w:right w:val="single" w:color="auto" w:sz="4" w:space="0"/>
            </w:tcBorders>
            <w:noWrap w:val="0"/>
            <w:vAlign w:val="center"/>
          </w:tcPr>
          <w:p w14:paraId="52B6A1B5">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每发现一处，需扣除勘察、设计合同价款中勘察费的5%，扣完为止。</w:t>
            </w:r>
          </w:p>
        </w:tc>
        <w:tc>
          <w:tcPr>
            <w:tcW w:w="1657" w:type="dxa"/>
            <w:tcBorders>
              <w:top w:val="single" w:color="auto" w:sz="4" w:space="0"/>
              <w:left w:val="nil"/>
              <w:bottom w:val="single" w:color="auto" w:sz="4" w:space="0"/>
              <w:right w:val="single" w:color="auto" w:sz="4" w:space="0"/>
            </w:tcBorders>
            <w:noWrap w:val="0"/>
            <w:vAlign w:val="center"/>
          </w:tcPr>
          <w:p w14:paraId="62FDADBE">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同时免费负责补充相应的地质勘察工作</w:t>
            </w:r>
          </w:p>
        </w:tc>
      </w:tr>
      <w:tr w14:paraId="5DB8C025">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68257B1A">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4770" w:type="dxa"/>
            <w:tcBorders>
              <w:top w:val="single" w:color="auto" w:sz="4" w:space="0"/>
              <w:left w:val="nil"/>
              <w:bottom w:val="single" w:color="auto" w:sz="4" w:space="0"/>
              <w:right w:val="single" w:color="auto" w:sz="4" w:space="0"/>
            </w:tcBorders>
            <w:noWrap w:val="0"/>
            <w:vAlign w:val="center"/>
          </w:tcPr>
          <w:p w14:paraId="5FE4B214">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施工过程中，发现因勘察深度不够导致重大设计变更（单项变更估价10万元以上或超过单个分部分项投资10%）的。</w:t>
            </w:r>
          </w:p>
        </w:tc>
        <w:tc>
          <w:tcPr>
            <w:tcW w:w="2833" w:type="dxa"/>
            <w:tcBorders>
              <w:top w:val="single" w:color="auto" w:sz="4" w:space="0"/>
              <w:left w:val="nil"/>
              <w:bottom w:val="single" w:color="auto" w:sz="4" w:space="0"/>
              <w:right w:val="single" w:color="auto" w:sz="4" w:space="0"/>
            </w:tcBorders>
            <w:noWrap w:val="0"/>
            <w:vAlign w:val="center"/>
          </w:tcPr>
          <w:p w14:paraId="101E2F1A">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每发现一处，需扣除勘察、设计合同价款中勘察费的5%，扣完为止。</w:t>
            </w:r>
          </w:p>
        </w:tc>
        <w:tc>
          <w:tcPr>
            <w:tcW w:w="1657" w:type="dxa"/>
            <w:tcBorders>
              <w:top w:val="single" w:color="auto" w:sz="4" w:space="0"/>
              <w:left w:val="nil"/>
              <w:bottom w:val="single" w:color="auto" w:sz="4" w:space="0"/>
              <w:right w:val="single" w:color="auto" w:sz="4" w:space="0"/>
            </w:tcBorders>
            <w:noWrap w:val="0"/>
            <w:vAlign w:val="center"/>
          </w:tcPr>
          <w:p w14:paraId="19E77E17">
            <w:pPr>
              <w:spacing w:line="380" w:lineRule="exact"/>
              <w:rPr>
                <w:rFonts w:hint="eastAsia" w:ascii="宋体" w:hAnsi="宋体" w:eastAsia="宋体" w:cs="宋体"/>
                <w:color w:val="auto"/>
                <w:sz w:val="24"/>
                <w:szCs w:val="24"/>
                <w:highlight w:val="none"/>
              </w:rPr>
            </w:pPr>
          </w:p>
        </w:tc>
      </w:tr>
      <w:tr w14:paraId="60E3E2BB">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7E08B0DD">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w:t>
            </w:r>
          </w:p>
        </w:tc>
        <w:tc>
          <w:tcPr>
            <w:tcW w:w="4770" w:type="dxa"/>
            <w:tcBorders>
              <w:top w:val="single" w:color="auto" w:sz="4" w:space="0"/>
              <w:left w:val="nil"/>
              <w:bottom w:val="single" w:color="auto" w:sz="4" w:space="0"/>
              <w:right w:val="single" w:color="auto" w:sz="4" w:space="0"/>
            </w:tcBorders>
            <w:noWrap w:val="0"/>
            <w:vAlign w:val="center"/>
          </w:tcPr>
          <w:p w14:paraId="57586EAD">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由于勘察设计人勘察、设计工作错误造成工程设计质量事故。</w:t>
            </w:r>
          </w:p>
        </w:tc>
        <w:tc>
          <w:tcPr>
            <w:tcW w:w="2833" w:type="dxa"/>
            <w:tcBorders>
              <w:top w:val="single" w:color="auto" w:sz="4" w:space="0"/>
              <w:left w:val="nil"/>
              <w:bottom w:val="single" w:color="auto" w:sz="4" w:space="0"/>
              <w:right w:val="single" w:color="auto" w:sz="4" w:space="0"/>
            </w:tcBorders>
            <w:noWrap w:val="0"/>
            <w:vAlign w:val="center"/>
          </w:tcPr>
          <w:p w14:paraId="2EF1AC99">
            <w:pPr>
              <w:spacing w:line="3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bidi="ar"/>
              </w:rPr>
              <w:t>根据责任情况，负责赔偿工程损失费</w:t>
            </w:r>
            <w:r>
              <w:rPr>
                <w:rFonts w:hint="eastAsia" w:ascii="宋体" w:hAnsi="宋体" w:eastAsia="宋体" w:cs="宋体"/>
                <w:color w:val="auto"/>
                <w:sz w:val="24"/>
                <w:szCs w:val="24"/>
                <w:highlight w:val="none"/>
                <w:lang w:eastAsia="zh-CN" w:bidi="ar"/>
              </w:rPr>
              <w:t>。</w:t>
            </w:r>
          </w:p>
        </w:tc>
        <w:tc>
          <w:tcPr>
            <w:tcW w:w="1657" w:type="dxa"/>
            <w:tcBorders>
              <w:top w:val="single" w:color="auto" w:sz="4" w:space="0"/>
              <w:left w:val="nil"/>
              <w:bottom w:val="single" w:color="auto" w:sz="4" w:space="0"/>
              <w:right w:val="single" w:color="auto" w:sz="4" w:space="0"/>
            </w:tcBorders>
            <w:noWrap w:val="0"/>
            <w:vAlign w:val="center"/>
          </w:tcPr>
          <w:p w14:paraId="09E94EBE">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负责采取补救措施</w:t>
            </w:r>
          </w:p>
        </w:tc>
      </w:tr>
      <w:tr w14:paraId="36012BDD">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03C9EA77">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w:t>
            </w:r>
          </w:p>
        </w:tc>
        <w:tc>
          <w:tcPr>
            <w:tcW w:w="4770" w:type="dxa"/>
            <w:tcBorders>
              <w:top w:val="single" w:color="auto" w:sz="4" w:space="0"/>
              <w:left w:val="nil"/>
              <w:bottom w:val="single" w:color="auto" w:sz="4" w:space="0"/>
              <w:right w:val="single" w:color="auto" w:sz="4" w:space="0"/>
            </w:tcBorders>
            <w:noWrap w:val="0"/>
            <w:vAlign w:val="center"/>
          </w:tcPr>
          <w:p w14:paraId="168B1C3E">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由于勘察设计人在设计过程中未深入现场勘察调研，闭门造成导致项目设计成果与现场情况不一致的。</w:t>
            </w:r>
          </w:p>
        </w:tc>
        <w:tc>
          <w:tcPr>
            <w:tcW w:w="2833" w:type="dxa"/>
            <w:tcBorders>
              <w:top w:val="single" w:color="auto" w:sz="4" w:space="0"/>
              <w:left w:val="nil"/>
              <w:bottom w:val="single" w:color="auto" w:sz="4" w:space="0"/>
              <w:right w:val="single" w:color="auto" w:sz="4" w:space="0"/>
            </w:tcBorders>
            <w:noWrap w:val="0"/>
            <w:vAlign w:val="center"/>
          </w:tcPr>
          <w:p w14:paraId="5EC852F3">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设计单位无条件修改图纸直至符合现场情况，并扣除所有未付的设计费。</w:t>
            </w:r>
          </w:p>
        </w:tc>
        <w:tc>
          <w:tcPr>
            <w:tcW w:w="1657" w:type="dxa"/>
            <w:tcBorders>
              <w:top w:val="single" w:color="auto" w:sz="4" w:space="0"/>
              <w:left w:val="nil"/>
              <w:bottom w:val="single" w:color="auto" w:sz="4" w:space="0"/>
              <w:right w:val="single" w:color="auto" w:sz="4" w:space="0"/>
            </w:tcBorders>
            <w:noWrap w:val="0"/>
            <w:vAlign w:val="center"/>
          </w:tcPr>
          <w:p w14:paraId="0B285B58">
            <w:pPr>
              <w:spacing w:line="380" w:lineRule="exact"/>
              <w:rPr>
                <w:rFonts w:hint="eastAsia" w:ascii="宋体" w:hAnsi="宋体" w:eastAsia="宋体" w:cs="宋体"/>
                <w:color w:val="auto"/>
                <w:sz w:val="24"/>
                <w:szCs w:val="24"/>
                <w:highlight w:val="none"/>
              </w:rPr>
            </w:pPr>
          </w:p>
        </w:tc>
      </w:tr>
      <w:tr w14:paraId="020CB19F">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587C5970">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w:t>
            </w:r>
          </w:p>
        </w:tc>
        <w:tc>
          <w:tcPr>
            <w:tcW w:w="4770" w:type="dxa"/>
            <w:tcBorders>
              <w:top w:val="single" w:color="auto" w:sz="4" w:space="0"/>
              <w:left w:val="nil"/>
              <w:bottom w:val="single" w:color="auto" w:sz="4" w:space="0"/>
              <w:right w:val="single" w:color="auto" w:sz="4" w:space="0"/>
            </w:tcBorders>
            <w:noWrap w:val="0"/>
            <w:vAlign w:val="center"/>
          </w:tcPr>
          <w:p w14:paraId="57864FD8">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由于设计图纸不清晰或者表述含糊导致单项工程造价偏差超过±3%。</w:t>
            </w:r>
          </w:p>
        </w:tc>
        <w:tc>
          <w:tcPr>
            <w:tcW w:w="2833" w:type="dxa"/>
            <w:tcBorders>
              <w:top w:val="single" w:color="auto" w:sz="4" w:space="0"/>
              <w:left w:val="nil"/>
              <w:bottom w:val="single" w:color="auto" w:sz="4" w:space="0"/>
              <w:right w:val="single" w:color="auto" w:sz="4" w:space="0"/>
            </w:tcBorders>
            <w:noWrap w:val="0"/>
            <w:vAlign w:val="center"/>
          </w:tcPr>
          <w:p w14:paraId="350C2B63">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扣除设计费的10%。</w:t>
            </w:r>
          </w:p>
        </w:tc>
        <w:tc>
          <w:tcPr>
            <w:tcW w:w="1657" w:type="dxa"/>
            <w:tcBorders>
              <w:top w:val="single" w:color="auto" w:sz="4" w:space="0"/>
              <w:left w:val="nil"/>
              <w:bottom w:val="single" w:color="auto" w:sz="4" w:space="0"/>
              <w:right w:val="single" w:color="auto" w:sz="4" w:space="0"/>
            </w:tcBorders>
            <w:noWrap w:val="0"/>
            <w:vAlign w:val="center"/>
          </w:tcPr>
          <w:p w14:paraId="072F1DD3">
            <w:pPr>
              <w:spacing w:line="380" w:lineRule="exact"/>
              <w:rPr>
                <w:rFonts w:hint="eastAsia" w:ascii="宋体" w:hAnsi="宋体" w:eastAsia="宋体" w:cs="宋体"/>
                <w:color w:val="auto"/>
                <w:sz w:val="24"/>
                <w:szCs w:val="24"/>
                <w:highlight w:val="none"/>
              </w:rPr>
            </w:pPr>
          </w:p>
        </w:tc>
      </w:tr>
      <w:tr w14:paraId="01AE5CD8">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6F7CB50F">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8</w:t>
            </w:r>
          </w:p>
        </w:tc>
        <w:tc>
          <w:tcPr>
            <w:tcW w:w="4770" w:type="dxa"/>
            <w:tcBorders>
              <w:top w:val="single" w:color="auto" w:sz="4" w:space="0"/>
              <w:left w:val="nil"/>
              <w:bottom w:val="single" w:color="auto" w:sz="4" w:space="0"/>
              <w:right w:val="single" w:color="auto" w:sz="4" w:space="0"/>
            </w:tcBorders>
            <w:noWrap w:val="0"/>
            <w:vAlign w:val="center"/>
          </w:tcPr>
          <w:p w14:paraId="2AB810D3">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施工期间除发包人要求或特殊地质原因外，因设计质量(含设计缺漏项等)和深度不够的原因引起的工程返工或需要设计变更引起工程造价增加的。</w:t>
            </w:r>
          </w:p>
        </w:tc>
        <w:tc>
          <w:tcPr>
            <w:tcW w:w="2833" w:type="dxa"/>
            <w:tcBorders>
              <w:top w:val="single" w:color="auto" w:sz="4" w:space="0"/>
              <w:left w:val="nil"/>
              <w:bottom w:val="single" w:color="auto" w:sz="4" w:space="0"/>
              <w:right w:val="single" w:color="auto" w:sz="4" w:space="0"/>
            </w:tcBorders>
            <w:noWrap w:val="0"/>
            <w:vAlign w:val="center"/>
          </w:tcPr>
          <w:p w14:paraId="1678D58F">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变更导致增加造价的，按增加建安费的5%作为设计违约金</w:t>
            </w:r>
            <w:r>
              <w:rPr>
                <w:rFonts w:hint="eastAsia" w:ascii="宋体" w:hAnsi="宋体" w:eastAsia="宋体" w:cs="宋体"/>
                <w:color w:val="auto"/>
                <w:sz w:val="24"/>
                <w:szCs w:val="24"/>
                <w:highlight w:val="none"/>
                <w:lang w:bidi="ar"/>
              </w:rPr>
              <w:t>，扣完为止。</w:t>
            </w:r>
          </w:p>
        </w:tc>
        <w:tc>
          <w:tcPr>
            <w:tcW w:w="1657" w:type="dxa"/>
            <w:tcBorders>
              <w:top w:val="single" w:color="auto" w:sz="4" w:space="0"/>
              <w:left w:val="nil"/>
              <w:bottom w:val="single" w:color="auto" w:sz="4" w:space="0"/>
              <w:right w:val="single" w:color="auto" w:sz="4" w:space="0"/>
            </w:tcBorders>
            <w:noWrap w:val="0"/>
            <w:vAlign w:val="center"/>
          </w:tcPr>
          <w:p w14:paraId="4A4F10B9">
            <w:pPr>
              <w:spacing w:line="380" w:lineRule="exact"/>
              <w:rPr>
                <w:rFonts w:hint="eastAsia" w:ascii="宋体" w:hAnsi="宋体" w:eastAsia="宋体" w:cs="宋体"/>
                <w:color w:val="auto"/>
                <w:sz w:val="24"/>
                <w:szCs w:val="24"/>
                <w:highlight w:val="none"/>
              </w:rPr>
            </w:pPr>
          </w:p>
        </w:tc>
      </w:tr>
      <w:tr w14:paraId="4201F55F">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6C033660">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w:t>
            </w:r>
          </w:p>
        </w:tc>
        <w:tc>
          <w:tcPr>
            <w:tcW w:w="4770" w:type="dxa"/>
            <w:tcBorders>
              <w:top w:val="single" w:color="auto" w:sz="4" w:space="0"/>
              <w:left w:val="nil"/>
              <w:bottom w:val="single" w:color="auto" w:sz="4" w:space="0"/>
              <w:right w:val="single" w:color="auto" w:sz="4" w:space="0"/>
            </w:tcBorders>
            <w:noWrap w:val="0"/>
            <w:vAlign w:val="center"/>
          </w:tcPr>
          <w:p w14:paraId="1D8BA359">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勘察设计人不按合同约定及发包人要求出具结构物设计比选方案。</w:t>
            </w:r>
          </w:p>
        </w:tc>
        <w:tc>
          <w:tcPr>
            <w:tcW w:w="2833" w:type="dxa"/>
            <w:tcBorders>
              <w:top w:val="single" w:color="auto" w:sz="4" w:space="0"/>
              <w:left w:val="nil"/>
              <w:bottom w:val="single" w:color="auto" w:sz="4" w:space="0"/>
              <w:right w:val="single" w:color="auto" w:sz="4" w:space="0"/>
            </w:tcBorders>
            <w:noWrap w:val="0"/>
            <w:vAlign w:val="center"/>
          </w:tcPr>
          <w:p w14:paraId="59034A18">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每次扣除勘察、设计合同价款中设计费的2%，扣完为止。</w:t>
            </w:r>
          </w:p>
        </w:tc>
        <w:tc>
          <w:tcPr>
            <w:tcW w:w="1657" w:type="dxa"/>
            <w:tcBorders>
              <w:top w:val="single" w:color="auto" w:sz="4" w:space="0"/>
              <w:left w:val="nil"/>
              <w:bottom w:val="single" w:color="auto" w:sz="4" w:space="0"/>
              <w:right w:val="single" w:color="auto" w:sz="4" w:space="0"/>
            </w:tcBorders>
            <w:noWrap w:val="0"/>
            <w:vAlign w:val="center"/>
          </w:tcPr>
          <w:p w14:paraId="1F6E1B9A">
            <w:pPr>
              <w:spacing w:line="380" w:lineRule="exact"/>
              <w:rPr>
                <w:rFonts w:hint="eastAsia" w:ascii="宋体" w:hAnsi="宋体" w:eastAsia="宋体" w:cs="宋体"/>
                <w:color w:val="auto"/>
                <w:sz w:val="24"/>
                <w:szCs w:val="24"/>
                <w:highlight w:val="none"/>
              </w:rPr>
            </w:pPr>
          </w:p>
        </w:tc>
      </w:tr>
      <w:tr w14:paraId="505A6065">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75FBA91D">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w:t>
            </w:r>
          </w:p>
        </w:tc>
        <w:tc>
          <w:tcPr>
            <w:tcW w:w="4770" w:type="dxa"/>
            <w:tcBorders>
              <w:top w:val="single" w:color="auto" w:sz="4" w:space="0"/>
              <w:left w:val="nil"/>
              <w:bottom w:val="single" w:color="auto" w:sz="4" w:space="0"/>
              <w:right w:val="single" w:color="auto" w:sz="4" w:space="0"/>
            </w:tcBorders>
            <w:noWrap w:val="0"/>
            <w:vAlign w:val="center"/>
          </w:tcPr>
          <w:p w14:paraId="2CE7AD96">
            <w:pPr>
              <w:spacing w:line="38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bidi="ar"/>
              </w:rPr>
              <w:t>因勘察设计人自身原因造成工程结算超施工招标中标价的。</w:t>
            </w:r>
          </w:p>
        </w:tc>
        <w:tc>
          <w:tcPr>
            <w:tcW w:w="2833" w:type="dxa"/>
            <w:tcBorders>
              <w:top w:val="single" w:color="auto" w:sz="4" w:space="0"/>
              <w:left w:val="nil"/>
              <w:bottom w:val="single" w:color="auto" w:sz="4" w:space="0"/>
              <w:right w:val="single" w:color="auto" w:sz="4" w:space="0"/>
            </w:tcBorders>
            <w:noWrap w:val="0"/>
            <w:vAlign w:val="center"/>
          </w:tcPr>
          <w:p w14:paraId="5FBE2D32">
            <w:pPr>
              <w:spacing w:line="38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bidi="ar"/>
              </w:rPr>
              <w:t>扣除应付勘察、设计合同价款中的余款。</w:t>
            </w:r>
          </w:p>
        </w:tc>
        <w:tc>
          <w:tcPr>
            <w:tcW w:w="1657" w:type="dxa"/>
            <w:tcBorders>
              <w:top w:val="single" w:color="auto" w:sz="4" w:space="0"/>
              <w:left w:val="nil"/>
              <w:bottom w:val="single" w:color="auto" w:sz="4" w:space="0"/>
              <w:right w:val="single" w:color="auto" w:sz="4" w:space="0"/>
            </w:tcBorders>
            <w:noWrap w:val="0"/>
            <w:vAlign w:val="center"/>
          </w:tcPr>
          <w:p w14:paraId="2EC1FCDB">
            <w:pPr>
              <w:spacing w:line="380" w:lineRule="exact"/>
              <w:rPr>
                <w:rFonts w:hint="eastAsia" w:ascii="宋体" w:hAnsi="宋体" w:eastAsia="宋体" w:cs="宋体"/>
                <w:color w:val="auto"/>
                <w:sz w:val="24"/>
                <w:szCs w:val="24"/>
                <w:highlight w:val="none"/>
              </w:rPr>
            </w:pPr>
          </w:p>
        </w:tc>
      </w:tr>
      <w:tr w14:paraId="1D577670">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766F7949">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w:t>
            </w:r>
          </w:p>
        </w:tc>
        <w:tc>
          <w:tcPr>
            <w:tcW w:w="4770" w:type="dxa"/>
            <w:tcBorders>
              <w:top w:val="single" w:color="auto" w:sz="4" w:space="0"/>
              <w:left w:val="nil"/>
              <w:bottom w:val="single" w:color="auto" w:sz="4" w:space="0"/>
              <w:right w:val="single" w:color="auto" w:sz="4" w:space="0"/>
            </w:tcBorders>
            <w:noWrap w:val="0"/>
            <w:vAlign w:val="center"/>
          </w:tcPr>
          <w:p w14:paraId="014008B2">
            <w:pPr>
              <w:spacing w:line="38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bidi="ar"/>
              </w:rPr>
              <w:t>勘察设计人未能在发包人通知的时间内（提前一天通知，紧急情况随时通知）参加设计交底、处理有关设计问题、参加必要部位隐蔽验收和竣工验收等工作。</w:t>
            </w:r>
          </w:p>
        </w:tc>
        <w:tc>
          <w:tcPr>
            <w:tcW w:w="2833" w:type="dxa"/>
            <w:tcBorders>
              <w:top w:val="single" w:color="auto" w:sz="4" w:space="0"/>
              <w:left w:val="nil"/>
              <w:bottom w:val="single" w:color="auto" w:sz="4" w:space="0"/>
              <w:right w:val="single" w:color="auto" w:sz="4" w:space="0"/>
            </w:tcBorders>
            <w:noWrap w:val="0"/>
            <w:vAlign w:val="center"/>
          </w:tcPr>
          <w:p w14:paraId="388955D7">
            <w:pPr>
              <w:spacing w:line="38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bidi="ar"/>
              </w:rPr>
              <w:t>每人次扣减1000元。</w:t>
            </w:r>
          </w:p>
        </w:tc>
        <w:tc>
          <w:tcPr>
            <w:tcW w:w="1657" w:type="dxa"/>
            <w:tcBorders>
              <w:top w:val="single" w:color="auto" w:sz="4" w:space="0"/>
              <w:left w:val="nil"/>
              <w:bottom w:val="single" w:color="auto" w:sz="4" w:space="0"/>
              <w:right w:val="single" w:color="auto" w:sz="4" w:space="0"/>
            </w:tcBorders>
            <w:noWrap w:val="0"/>
            <w:vAlign w:val="center"/>
          </w:tcPr>
          <w:p w14:paraId="5EDFDB54">
            <w:pPr>
              <w:spacing w:line="380" w:lineRule="exact"/>
              <w:rPr>
                <w:rFonts w:hint="eastAsia" w:ascii="宋体" w:hAnsi="宋体" w:eastAsia="宋体" w:cs="宋体"/>
                <w:color w:val="auto"/>
                <w:sz w:val="24"/>
                <w:szCs w:val="24"/>
                <w:highlight w:val="none"/>
              </w:rPr>
            </w:pPr>
          </w:p>
        </w:tc>
      </w:tr>
      <w:tr w14:paraId="555DDAAA">
        <w:tblPrEx>
          <w:tblCellMar>
            <w:top w:w="0" w:type="dxa"/>
            <w:left w:w="108" w:type="dxa"/>
            <w:bottom w:w="0" w:type="dxa"/>
            <w:right w:w="108" w:type="dxa"/>
          </w:tblCellMar>
        </w:tblPrEx>
        <w:trPr>
          <w:trHeight w:val="136"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7998B92C">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w:t>
            </w:r>
          </w:p>
        </w:tc>
        <w:tc>
          <w:tcPr>
            <w:tcW w:w="4770" w:type="dxa"/>
            <w:tcBorders>
              <w:top w:val="single" w:color="auto" w:sz="4" w:space="0"/>
              <w:left w:val="nil"/>
              <w:bottom w:val="single" w:color="auto" w:sz="4" w:space="0"/>
              <w:right w:val="single" w:color="auto" w:sz="4" w:space="0"/>
            </w:tcBorders>
            <w:noWrap w:val="0"/>
            <w:vAlign w:val="center"/>
          </w:tcPr>
          <w:p w14:paraId="097B8CFE">
            <w:pPr>
              <w:spacing w:line="38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bidi="ar"/>
              </w:rPr>
              <w:t>勘察设计人驻韶办公的项目负责人（即投标文件所拟派的项目设计负责人）必须负责本项目勘察、设计全过程（包括完善方案设计及方案深化、初步设计评审、初步设计修编、施工图设计审查、施工图设计修编、预算跟踪服务、图纸会审、技术交底和施工阶段的技术指导等）。项目负责人未准时参加上述环节工作的。</w:t>
            </w:r>
          </w:p>
        </w:tc>
        <w:tc>
          <w:tcPr>
            <w:tcW w:w="2833" w:type="dxa"/>
            <w:tcBorders>
              <w:top w:val="single" w:color="auto" w:sz="4" w:space="0"/>
              <w:left w:val="nil"/>
              <w:bottom w:val="single" w:color="auto" w:sz="4" w:space="0"/>
              <w:right w:val="single" w:color="auto" w:sz="4" w:space="0"/>
            </w:tcBorders>
            <w:noWrap w:val="0"/>
            <w:vAlign w:val="center"/>
          </w:tcPr>
          <w:p w14:paraId="3C6DE48A">
            <w:pPr>
              <w:spacing w:line="38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bidi="ar"/>
              </w:rPr>
              <w:t>每缺席一次扣1000元（以发包人发出的违约通知为准）。</w:t>
            </w:r>
          </w:p>
        </w:tc>
        <w:tc>
          <w:tcPr>
            <w:tcW w:w="1657" w:type="dxa"/>
            <w:tcBorders>
              <w:top w:val="single" w:color="auto" w:sz="4" w:space="0"/>
              <w:left w:val="nil"/>
              <w:bottom w:val="single" w:color="auto" w:sz="4" w:space="0"/>
              <w:right w:val="single" w:color="auto" w:sz="4" w:space="0"/>
            </w:tcBorders>
            <w:noWrap w:val="0"/>
            <w:vAlign w:val="center"/>
          </w:tcPr>
          <w:p w14:paraId="5052BF18">
            <w:pPr>
              <w:spacing w:line="380" w:lineRule="exact"/>
              <w:rPr>
                <w:rFonts w:hint="eastAsia" w:ascii="宋体" w:hAnsi="宋体" w:eastAsia="宋体" w:cs="宋体"/>
                <w:color w:val="auto"/>
                <w:sz w:val="24"/>
                <w:szCs w:val="24"/>
                <w:highlight w:val="none"/>
              </w:rPr>
            </w:pPr>
          </w:p>
        </w:tc>
      </w:tr>
      <w:tr w14:paraId="1522EF8C">
        <w:tblPrEx>
          <w:tblCellMar>
            <w:top w:w="0" w:type="dxa"/>
            <w:left w:w="108" w:type="dxa"/>
            <w:bottom w:w="0" w:type="dxa"/>
            <w:right w:w="108" w:type="dxa"/>
          </w:tblCellMar>
        </w:tblPrEx>
        <w:trPr>
          <w:trHeight w:val="1109"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0E81AE70">
            <w:pPr>
              <w:spacing w:line="38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bidi="ar"/>
              </w:rPr>
              <w:t>14</w:t>
            </w:r>
          </w:p>
        </w:tc>
        <w:tc>
          <w:tcPr>
            <w:tcW w:w="4770" w:type="dxa"/>
            <w:tcBorders>
              <w:top w:val="single" w:color="auto" w:sz="4" w:space="0"/>
              <w:left w:val="nil"/>
              <w:bottom w:val="single" w:color="auto" w:sz="4" w:space="0"/>
              <w:right w:val="single" w:color="auto" w:sz="4" w:space="0"/>
            </w:tcBorders>
            <w:noWrap w:val="0"/>
            <w:vAlign w:val="center"/>
          </w:tcPr>
          <w:p w14:paraId="399E0636">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勘察设计人应委派1名参与并熟悉本项目勘察、设计、有现场处理经验的设计代表常驻项目现场。勘察设计人应为派驻现场的设计工作人员提供工作、生活及交通等方面的便利条件及准备必要的劳动保护装备。在正常施工阶段，每月应保证最少10天在现场。另外，如遇招标人要求或紧急情况下，设计代表须在三小时内到达施工现场配合施工服务。</w:t>
            </w:r>
          </w:p>
        </w:tc>
        <w:tc>
          <w:tcPr>
            <w:tcW w:w="2833" w:type="dxa"/>
            <w:tcBorders>
              <w:top w:val="single" w:color="auto" w:sz="4" w:space="0"/>
              <w:left w:val="nil"/>
              <w:bottom w:val="single" w:color="auto" w:sz="4" w:space="0"/>
              <w:right w:val="single" w:color="auto" w:sz="4" w:space="0"/>
            </w:tcBorders>
            <w:noWrap w:val="0"/>
            <w:vAlign w:val="center"/>
          </w:tcPr>
          <w:p w14:paraId="4FF58EA3">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未经发包人书面许可，缺少1天（次）扣1000元。</w:t>
            </w:r>
          </w:p>
        </w:tc>
        <w:tc>
          <w:tcPr>
            <w:tcW w:w="1657" w:type="dxa"/>
            <w:tcBorders>
              <w:top w:val="single" w:color="auto" w:sz="4" w:space="0"/>
              <w:left w:val="nil"/>
              <w:bottom w:val="single" w:color="auto" w:sz="4" w:space="0"/>
              <w:right w:val="single" w:color="auto" w:sz="4" w:space="0"/>
            </w:tcBorders>
            <w:noWrap w:val="0"/>
            <w:vAlign w:val="center"/>
          </w:tcPr>
          <w:p w14:paraId="409FCBD4">
            <w:pPr>
              <w:spacing w:line="380" w:lineRule="exact"/>
              <w:rPr>
                <w:rFonts w:hint="eastAsia" w:ascii="宋体" w:hAnsi="宋体" w:eastAsia="宋体" w:cs="宋体"/>
                <w:color w:val="auto"/>
                <w:sz w:val="24"/>
                <w:szCs w:val="24"/>
                <w:highlight w:val="none"/>
              </w:rPr>
            </w:pPr>
          </w:p>
        </w:tc>
      </w:tr>
      <w:tr w14:paraId="7704C785">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732BEA28">
            <w:pPr>
              <w:spacing w:line="38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bidi="ar"/>
              </w:rPr>
              <w:t>15</w:t>
            </w:r>
          </w:p>
        </w:tc>
        <w:tc>
          <w:tcPr>
            <w:tcW w:w="4770" w:type="dxa"/>
            <w:tcBorders>
              <w:top w:val="single" w:color="auto" w:sz="4" w:space="0"/>
              <w:left w:val="nil"/>
              <w:bottom w:val="single" w:color="auto" w:sz="4" w:space="0"/>
              <w:right w:val="single" w:color="auto" w:sz="4" w:space="0"/>
            </w:tcBorders>
            <w:noWrap w:val="0"/>
            <w:vAlign w:val="center"/>
          </w:tcPr>
          <w:p w14:paraId="62059003">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勘察、设计单位委派项目工作人员与投标文件中承诺的人员不一致的。</w:t>
            </w:r>
          </w:p>
        </w:tc>
        <w:tc>
          <w:tcPr>
            <w:tcW w:w="2833" w:type="dxa"/>
            <w:tcBorders>
              <w:top w:val="single" w:color="auto" w:sz="4" w:space="0"/>
              <w:left w:val="nil"/>
              <w:bottom w:val="single" w:color="auto" w:sz="4" w:space="0"/>
              <w:right w:val="single" w:color="auto" w:sz="4" w:space="0"/>
            </w:tcBorders>
            <w:noWrap w:val="0"/>
            <w:vAlign w:val="center"/>
          </w:tcPr>
          <w:p w14:paraId="579E10D5">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每发现一名，扣3000元，并要求立马整改。</w:t>
            </w:r>
          </w:p>
        </w:tc>
        <w:tc>
          <w:tcPr>
            <w:tcW w:w="1657" w:type="dxa"/>
            <w:tcBorders>
              <w:top w:val="single" w:color="auto" w:sz="4" w:space="0"/>
              <w:left w:val="nil"/>
              <w:bottom w:val="single" w:color="auto" w:sz="4" w:space="0"/>
              <w:right w:val="single" w:color="auto" w:sz="4" w:space="0"/>
            </w:tcBorders>
            <w:noWrap w:val="0"/>
            <w:vAlign w:val="center"/>
          </w:tcPr>
          <w:p w14:paraId="5AB8DEE9">
            <w:pPr>
              <w:spacing w:line="380" w:lineRule="exact"/>
              <w:rPr>
                <w:rFonts w:hint="eastAsia" w:ascii="宋体" w:hAnsi="宋体" w:eastAsia="宋体" w:cs="宋体"/>
                <w:color w:val="auto"/>
                <w:sz w:val="24"/>
                <w:szCs w:val="24"/>
                <w:highlight w:val="none"/>
              </w:rPr>
            </w:pPr>
          </w:p>
        </w:tc>
      </w:tr>
      <w:tr w14:paraId="6BFFF89E">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2F82933C">
            <w:pPr>
              <w:spacing w:line="38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bidi="ar"/>
              </w:rPr>
              <w:t>1</w:t>
            </w:r>
            <w:r>
              <w:rPr>
                <w:rFonts w:hint="eastAsia" w:ascii="宋体" w:hAnsi="宋体" w:eastAsia="宋体" w:cs="宋体"/>
                <w:color w:val="auto"/>
                <w:sz w:val="24"/>
                <w:szCs w:val="24"/>
                <w:highlight w:val="none"/>
                <w:lang w:val="en-US" w:eastAsia="zh-CN" w:bidi="ar"/>
              </w:rPr>
              <w:t>6</w:t>
            </w:r>
          </w:p>
        </w:tc>
        <w:tc>
          <w:tcPr>
            <w:tcW w:w="4770" w:type="dxa"/>
            <w:tcBorders>
              <w:top w:val="single" w:color="auto" w:sz="4" w:space="0"/>
              <w:left w:val="nil"/>
              <w:bottom w:val="single" w:color="auto" w:sz="4" w:space="0"/>
              <w:right w:val="single" w:color="auto" w:sz="4" w:space="0"/>
            </w:tcBorders>
            <w:noWrap w:val="0"/>
            <w:vAlign w:val="center"/>
          </w:tcPr>
          <w:p w14:paraId="61E04E16">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勘察、设计单位未按时提供或回复涉及设计方面的相关方案或意见（如图纸会审的相关意见、工程洽商记录、设计变更等）。</w:t>
            </w:r>
          </w:p>
        </w:tc>
        <w:tc>
          <w:tcPr>
            <w:tcW w:w="2833" w:type="dxa"/>
            <w:tcBorders>
              <w:top w:val="single" w:color="auto" w:sz="4" w:space="0"/>
              <w:left w:val="nil"/>
              <w:bottom w:val="single" w:color="auto" w:sz="4" w:space="0"/>
              <w:right w:val="single" w:color="auto" w:sz="4" w:space="0"/>
            </w:tcBorders>
            <w:noWrap w:val="0"/>
            <w:vAlign w:val="center"/>
          </w:tcPr>
          <w:p w14:paraId="796F7BBD">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每次扣1000元</w:t>
            </w:r>
          </w:p>
          <w:p w14:paraId="1F98AEBB">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（以发包人发出的违约通知为准）。</w:t>
            </w:r>
          </w:p>
        </w:tc>
        <w:tc>
          <w:tcPr>
            <w:tcW w:w="1657" w:type="dxa"/>
            <w:tcBorders>
              <w:top w:val="single" w:color="auto" w:sz="4" w:space="0"/>
              <w:left w:val="nil"/>
              <w:bottom w:val="single" w:color="auto" w:sz="4" w:space="0"/>
              <w:right w:val="single" w:color="auto" w:sz="4" w:space="0"/>
            </w:tcBorders>
            <w:noWrap w:val="0"/>
            <w:vAlign w:val="center"/>
          </w:tcPr>
          <w:p w14:paraId="27985BD3">
            <w:pPr>
              <w:spacing w:line="380" w:lineRule="exact"/>
              <w:rPr>
                <w:rFonts w:hint="eastAsia" w:ascii="宋体" w:hAnsi="宋体" w:eastAsia="宋体" w:cs="宋体"/>
                <w:color w:val="auto"/>
                <w:sz w:val="24"/>
                <w:szCs w:val="24"/>
                <w:highlight w:val="none"/>
              </w:rPr>
            </w:pPr>
          </w:p>
        </w:tc>
      </w:tr>
      <w:tr w14:paraId="59FA0201">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72510374">
            <w:pPr>
              <w:spacing w:line="38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bidi="ar"/>
              </w:rPr>
              <w:t>1</w:t>
            </w:r>
            <w:r>
              <w:rPr>
                <w:rFonts w:hint="eastAsia" w:ascii="宋体" w:hAnsi="宋体" w:eastAsia="宋体" w:cs="宋体"/>
                <w:color w:val="auto"/>
                <w:sz w:val="24"/>
                <w:szCs w:val="24"/>
                <w:highlight w:val="none"/>
                <w:lang w:val="en-US" w:eastAsia="zh-CN" w:bidi="ar"/>
              </w:rPr>
              <w:t>7</w:t>
            </w:r>
          </w:p>
        </w:tc>
        <w:tc>
          <w:tcPr>
            <w:tcW w:w="4770" w:type="dxa"/>
            <w:tcBorders>
              <w:top w:val="single" w:color="auto" w:sz="4" w:space="0"/>
              <w:left w:val="nil"/>
              <w:bottom w:val="single" w:color="auto" w:sz="4" w:space="0"/>
              <w:right w:val="single" w:color="auto" w:sz="4" w:space="0"/>
            </w:tcBorders>
            <w:noWrap w:val="0"/>
            <w:vAlign w:val="center"/>
          </w:tcPr>
          <w:p w14:paraId="27B23737">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因设计造成与周边路网、管网规划协调不一致；对区域内路网的交通组织不完善合理；道路、桥涵、排水之间的关系处理不得当。</w:t>
            </w:r>
          </w:p>
        </w:tc>
        <w:tc>
          <w:tcPr>
            <w:tcW w:w="2833" w:type="dxa"/>
            <w:tcBorders>
              <w:top w:val="single" w:color="auto" w:sz="4" w:space="0"/>
              <w:left w:val="nil"/>
              <w:bottom w:val="single" w:color="auto" w:sz="4" w:space="0"/>
              <w:right w:val="single" w:color="auto" w:sz="4" w:space="0"/>
            </w:tcBorders>
            <w:noWrap w:val="0"/>
            <w:vAlign w:val="center"/>
          </w:tcPr>
          <w:p w14:paraId="39069F76">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每次扣除勘察、设计合同价款中设计费的2%，扣完为止。</w:t>
            </w:r>
          </w:p>
        </w:tc>
        <w:tc>
          <w:tcPr>
            <w:tcW w:w="1657" w:type="dxa"/>
            <w:tcBorders>
              <w:top w:val="single" w:color="auto" w:sz="4" w:space="0"/>
              <w:left w:val="nil"/>
              <w:bottom w:val="single" w:color="auto" w:sz="4" w:space="0"/>
              <w:right w:val="single" w:color="auto" w:sz="4" w:space="0"/>
            </w:tcBorders>
            <w:noWrap w:val="0"/>
            <w:vAlign w:val="center"/>
          </w:tcPr>
          <w:p w14:paraId="27774013">
            <w:pPr>
              <w:spacing w:line="380" w:lineRule="exact"/>
              <w:rPr>
                <w:rFonts w:hint="eastAsia" w:ascii="宋体" w:hAnsi="宋体" w:eastAsia="宋体" w:cs="宋体"/>
                <w:color w:val="auto"/>
                <w:sz w:val="24"/>
                <w:szCs w:val="24"/>
                <w:highlight w:val="none"/>
              </w:rPr>
            </w:pPr>
          </w:p>
        </w:tc>
      </w:tr>
      <w:tr w14:paraId="528BC51C">
        <w:tblPrEx>
          <w:tblCellMar>
            <w:top w:w="0" w:type="dxa"/>
            <w:left w:w="108" w:type="dxa"/>
            <w:bottom w:w="0" w:type="dxa"/>
            <w:right w:w="108" w:type="dxa"/>
          </w:tblCellMar>
        </w:tblPrEx>
        <w:trPr>
          <w:trHeight w:val="363"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4970CBB9">
            <w:pPr>
              <w:spacing w:line="38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bidi="ar"/>
              </w:rPr>
              <w:t>1</w:t>
            </w:r>
            <w:r>
              <w:rPr>
                <w:rFonts w:hint="eastAsia" w:ascii="宋体" w:hAnsi="宋体" w:eastAsia="宋体" w:cs="宋体"/>
                <w:color w:val="auto"/>
                <w:sz w:val="24"/>
                <w:szCs w:val="24"/>
                <w:highlight w:val="none"/>
                <w:lang w:val="en-US" w:eastAsia="zh-CN" w:bidi="ar"/>
              </w:rPr>
              <w:t>8</w:t>
            </w:r>
          </w:p>
        </w:tc>
        <w:tc>
          <w:tcPr>
            <w:tcW w:w="4770" w:type="dxa"/>
            <w:tcBorders>
              <w:top w:val="single" w:color="auto" w:sz="4" w:space="0"/>
              <w:left w:val="nil"/>
              <w:bottom w:val="single" w:color="auto" w:sz="4" w:space="0"/>
              <w:right w:val="single" w:color="auto" w:sz="4" w:space="0"/>
            </w:tcBorders>
            <w:noWrap w:val="0"/>
            <w:vAlign w:val="center"/>
          </w:tcPr>
          <w:p w14:paraId="2E1BC44E">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因路基路面、不良地基处理、护坡及挡土墙等基础工程的设计不安全、不合理、不经济，土方平衡不合理，导致设计变更的。</w:t>
            </w:r>
          </w:p>
        </w:tc>
        <w:tc>
          <w:tcPr>
            <w:tcW w:w="2833" w:type="dxa"/>
            <w:tcBorders>
              <w:top w:val="single" w:color="auto" w:sz="4" w:space="0"/>
              <w:left w:val="nil"/>
              <w:bottom w:val="single" w:color="auto" w:sz="4" w:space="0"/>
              <w:right w:val="single" w:color="auto" w:sz="4" w:space="0"/>
            </w:tcBorders>
            <w:noWrap w:val="0"/>
            <w:vAlign w:val="center"/>
          </w:tcPr>
          <w:p w14:paraId="4D458395">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每次扣除勘察、设计合同价款中设计费的2%，扣完为止。</w:t>
            </w:r>
          </w:p>
        </w:tc>
        <w:tc>
          <w:tcPr>
            <w:tcW w:w="1657" w:type="dxa"/>
            <w:tcBorders>
              <w:top w:val="single" w:color="auto" w:sz="4" w:space="0"/>
              <w:left w:val="nil"/>
              <w:bottom w:val="single" w:color="auto" w:sz="4" w:space="0"/>
              <w:right w:val="single" w:color="auto" w:sz="4" w:space="0"/>
            </w:tcBorders>
            <w:noWrap w:val="0"/>
            <w:vAlign w:val="center"/>
          </w:tcPr>
          <w:p w14:paraId="6D66735C">
            <w:pPr>
              <w:spacing w:line="380" w:lineRule="exact"/>
              <w:rPr>
                <w:rFonts w:hint="eastAsia" w:ascii="宋体" w:hAnsi="宋体" w:eastAsia="宋体" w:cs="宋体"/>
                <w:color w:val="auto"/>
                <w:sz w:val="24"/>
                <w:szCs w:val="24"/>
                <w:highlight w:val="none"/>
              </w:rPr>
            </w:pPr>
          </w:p>
        </w:tc>
      </w:tr>
      <w:tr w14:paraId="5A273D26">
        <w:tblPrEx>
          <w:tblCellMar>
            <w:top w:w="0" w:type="dxa"/>
            <w:left w:w="108" w:type="dxa"/>
            <w:bottom w:w="0" w:type="dxa"/>
            <w:right w:w="108" w:type="dxa"/>
          </w:tblCellMar>
        </w:tblPrEx>
        <w:trPr>
          <w:trHeight w:val="1398"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1EB6E82A">
            <w:pPr>
              <w:spacing w:line="38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bidi="ar"/>
              </w:rPr>
              <w:t>19</w:t>
            </w:r>
          </w:p>
        </w:tc>
        <w:tc>
          <w:tcPr>
            <w:tcW w:w="4770" w:type="dxa"/>
            <w:tcBorders>
              <w:top w:val="single" w:color="auto" w:sz="4" w:space="0"/>
              <w:left w:val="nil"/>
              <w:bottom w:val="single" w:color="auto" w:sz="4" w:space="0"/>
              <w:right w:val="single" w:color="auto" w:sz="4" w:space="0"/>
            </w:tcBorders>
            <w:noWrap w:val="0"/>
            <w:vAlign w:val="center"/>
          </w:tcPr>
          <w:p w14:paraId="2D8124DA">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因公用设施（公共交通站点布置、照明电源接驳、交通灯及监控设施电源接驳、行人设施、道路元素等）的设计不科学合理、处理方案不得当；未充分考虑已建设施、结合现状及相关部门需求及综合考虑远近期结合的要求，导致设计变更的。</w:t>
            </w:r>
          </w:p>
        </w:tc>
        <w:tc>
          <w:tcPr>
            <w:tcW w:w="2833" w:type="dxa"/>
            <w:tcBorders>
              <w:top w:val="single" w:color="auto" w:sz="4" w:space="0"/>
              <w:left w:val="nil"/>
              <w:bottom w:val="single" w:color="auto" w:sz="4" w:space="0"/>
              <w:right w:val="single" w:color="auto" w:sz="4" w:space="0"/>
            </w:tcBorders>
            <w:noWrap w:val="0"/>
            <w:vAlign w:val="center"/>
          </w:tcPr>
          <w:p w14:paraId="0B6988A3">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每次扣除勘察、设计合同价款中设计费的2%，扣完为止。</w:t>
            </w:r>
          </w:p>
        </w:tc>
        <w:tc>
          <w:tcPr>
            <w:tcW w:w="1657" w:type="dxa"/>
            <w:tcBorders>
              <w:top w:val="single" w:color="auto" w:sz="4" w:space="0"/>
              <w:left w:val="nil"/>
              <w:bottom w:val="single" w:color="auto" w:sz="4" w:space="0"/>
              <w:right w:val="single" w:color="auto" w:sz="4" w:space="0"/>
            </w:tcBorders>
            <w:noWrap w:val="0"/>
            <w:vAlign w:val="center"/>
          </w:tcPr>
          <w:p w14:paraId="57892E81">
            <w:pPr>
              <w:spacing w:line="380" w:lineRule="exact"/>
              <w:rPr>
                <w:rFonts w:hint="eastAsia" w:ascii="宋体" w:hAnsi="宋体" w:eastAsia="宋体" w:cs="宋体"/>
                <w:color w:val="auto"/>
                <w:sz w:val="24"/>
                <w:szCs w:val="24"/>
                <w:highlight w:val="none"/>
              </w:rPr>
            </w:pPr>
          </w:p>
        </w:tc>
      </w:tr>
      <w:tr w14:paraId="28167A48">
        <w:tblPrEx>
          <w:tblCellMar>
            <w:top w:w="0" w:type="dxa"/>
            <w:left w:w="108" w:type="dxa"/>
            <w:bottom w:w="0" w:type="dxa"/>
            <w:right w:w="108" w:type="dxa"/>
          </w:tblCellMar>
        </w:tblPrEx>
        <w:trPr>
          <w:trHeight w:val="91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3534B4BD">
            <w:pPr>
              <w:spacing w:line="38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20</w:t>
            </w:r>
          </w:p>
        </w:tc>
        <w:tc>
          <w:tcPr>
            <w:tcW w:w="4770" w:type="dxa"/>
            <w:tcBorders>
              <w:top w:val="single" w:color="auto" w:sz="4" w:space="0"/>
              <w:left w:val="nil"/>
              <w:bottom w:val="single" w:color="auto" w:sz="4" w:space="0"/>
              <w:right w:val="single" w:color="auto" w:sz="4" w:space="0"/>
            </w:tcBorders>
            <w:noWrap w:val="0"/>
            <w:vAlign w:val="center"/>
          </w:tcPr>
          <w:p w14:paraId="47FCF5E4">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承包人必须严格按有关设计规范设计图纸，承包人（设计单位）须秉承合理、经济、环保、适用等原则进行施工图设计，发包人将委托第三方对承包人每阶段的设计成果文件（含节能、结构计算模型等）进行精细化审图、各专业优化工作。</w:t>
            </w:r>
          </w:p>
        </w:tc>
        <w:tc>
          <w:tcPr>
            <w:tcW w:w="2833" w:type="dxa"/>
            <w:tcBorders>
              <w:top w:val="single" w:color="auto" w:sz="4" w:space="0"/>
              <w:left w:val="nil"/>
              <w:bottom w:val="single" w:color="auto" w:sz="4" w:space="0"/>
              <w:right w:val="single" w:color="auto" w:sz="4" w:space="0"/>
            </w:tcBorders>
            <w:noWrap w:val="0"/>
            <w:vAlign w:val="center"/>
          </w:tcPr>
          <w:p w14:paraId="4AD0A5E3">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发包人将根据第三方出具的有关报告及优化金额，以优化金额的10%从设计费用中扣取违约金（违约金总额以设计费为限）。</w:t>
            </w:r>
          </w:p>
        </w:tc>
        <w:tc>
          <w:tcPr>
            <w:tcW w:w="1657" w:type="dxa"/>
            <w:tcBorders>
              <w:top w:val="single" w:color="auto" w:sz="4" w:space="0"/>
              <w:left w:val="nil"/>
              <w:bottom w:val="single" w:color="auto" w:sz="4" w:space="0"/>
              <w:right w:val="single" w:color="auto" w:sz="4" w:space="0"/>
            </w:tcBorders>
            <w:noWrap w:val="0"/>
            <w:vAlign w:val="center"/>
          </w:tcPr>
          <w:p w14:paraId="305EA42D">
            <w:pPr>
              <w:spacing w:line="380" w:lineRule="exact"/>
              <w:rPr>
                <w:rFonts w:hint="eastAsia" w:ascii="宋体" w:hAnsi="宋体" w:eastAsia="宋体" w:cs="宋体"/>
                <w:color w:val="auto"/>
                <w:sz w:val="24"/>
                <w:szCs w:val="24"/>
                <w:highlight w:val="none"/>
              </w:rPr>
            </w:pPr>
          </w:p>
        </w:tc>
      </w:tr>
      <w:tr w14:paraId="0A296F09">
        <w:tblPrEx>
          <w:tblCellMar>
            <w:top w:w="0" w:type="dxa"/>
            <w:left w:w="108" w:type="dxa"/>
            <w:bottom w:w="0" w:type="dxa"/>
            <w:right w:w="108" w:type="dxa"/>
          </w:tblCellMar>
        </w:tblPrEx>
        <w:trPr>
          <w:trHeight w:val="62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0D3EA00C">
            <w:pPr>
              <w:spacing w:line="38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p>
        </w:tc>
        <w:tc>
          <w:tcPr>
            <w:tcW w:w="4770" w:type="dxa"/>
            <w:tcBorders>
              <w:top w:val="single" w:color="auto" w:sz="4" w:space="0"/>
              <w:left w:val="nil"/>
              <w:bottom w:val="single" w:color="auto" w:sz="4" w:space="0"/>
              <w:right w:val="single" w:color="auto" w:sz="4" w:space="0"/>
            </w:tcBorders>
            <w:noWrap w:val="0"/>
            <w:vAlign w:val="center"/>
          </w:tcPr>
          <w:p w14:paraId="22A84BF3">
            <w:pPr>
              <w:spacing w:line="380" w:lineRule="exact"/>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sz w:val="24"/>
                <w:szCs w:val="24"/>
                <w:highlight w:val="none"/>
                <w:lang w:bidi="ar"/>
              </w:rPr>
              <w:t>承包人实际服务响应时间超出投标承诺服务响应时间的。</w:t>
            </w:r>
          </w:p>
        </w:tc>
        <w:tc>
          <w:tcPr>
            <w:tcW w:w="2833" w:type="dxa"/>
            <w:tcBorders>
              <w:top w:val="single" w:color="auto" w:sz="4" w:space="0"/>
              <w:left w:val="nil"/>
              <w:bottom w:val="single" w:color="auto" w:sz="4" w:space="0"/>
              <w:right w:val="single" w:color="auto" w:sz="4" w:space="0"/>
            </w:tcBorders>
            <w:noWrap w:val="0"/>
            <w:vAlign w:val="center"/>
          </w:tcPr>
          <w:p w14:paraId="6D7AE041">
            <w:pPr>
              <w:spacing w:line="380" w:lineRule="exact"/>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sz w:val="24"/>
                <w:szCs w:val="24"/>
                <w:highlight w:val="none"/>
                <w:lang w:bidi="ar"/>
              </w:rPr>
              <w:t>每次扣除勘察、设计合同价款中设计费的0.5‰，扣完为止。</w:t>
            </w:r>
          </w:p>
        </w:tc>
        <w:tc>
          <w:tcPr>
            <w:tcW w:w="1657" w:type="dxa"/>
            <w:tcBorders>
              <w:top w:val="single" w:color="auto" w:sz="4" w:space="0"/>
              <w:left w:val="nil"/>
              <w:bottom w:val="single" w:color="auto" w:sz="4" w:space="0"/>
              <w:right w:val="single" w:color="auto" w:sz="4" w:space="0"/>
            </w:tcBorders>
            <w:noWrap w:val="0"/>
            <w:vAlign w:val="center"/>
          </w:tcPr>
          <w:p w14:paraId="704DEC9A">
            <w:pPr>
              <w:spacing w:line="380" w:lineRule="exact"/>
              <w:rPr>
                <w:rFonts w:hint="eastAsia" w:ascii="宋体" w:hAnsi="宋体" w:eastAsia="宋体" w:cs="宋体"/>
                <w:color w:val="auto"/>
                <w:kern w:val="2"/>
                <w:sz w:val="24"/>
                <w:szCs w:val="24"/>
                <w:highlight w:val="none"/>
                <w:lang w:val="en-US" w:eastAsia="zh-CN" w:bidi="ar-SA"/>
              </w:rPr>
            </w:pPr>
          </w:p>
        </w:tc>
      </w:tr>
      <w:tr w14:paraId="7D56D68F">
        <w:tblPrEx>
          <w:tblCellMar>
            <w:top w:w="0" w:type="dxa"/>
            <w:left w:w="108" w:type="dxa"/>
            <w:bottom w:w="0" w:type="dxa"/>
            <w:right w:w="108" w:type="dxa"/>
          </w:tblCellMar>
        </w:tblPrEx>
        <w:trPr>
          <w:trHeight w:val="62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2D84AD3B">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4770" w:type="dxa"/>
            <w:tcBorders>
              <w:top w:val="single" w:color="auto" w:sz="4" w:space="0"/>
              <w:left w:val="nil"/>
              <w:bottom w:val="single" w:color="auto" w:sz="4" w:space="0"/>
              <w:right w:val="single" w:color="auto" w:sz="4" w:space="0"/>
            </w:tcBorders>
            <w:noWrap w:val="0"/>
            <w:vAlign w:val="center"/>
          </w:tcPr>
          <w:p w14:paraId="748A23EE">
            <w:pPr>
              <w:spacing w:line="380" w:lineRule="exact"/>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sz w:val="24"/>
                <w:szCs w:val="24"/>
                <w:highlight w:val="none"/>
                <w:lang w:bidi="ar"/>
              </w:rPr>
              <w:t>因勘察、设计单位责任引起工程变更造成投资规模增加10%以上</w:t>
            </w:r>
          </w:p>
        </w:tc>
        <w:tc>
          <w:tcPr>
            <w:tcW w:w="2833" w:type="dxa"/>
            <w:tcBorders>
              <w:top w:val="single" w:color="auto" w:sz="4" w:space="0"/>
              <w:left w:val="nil"/>
              <w:bottom w:val="single" w:color="auto" w:sz="4" w:space="0"/>
              <w:right w:val="single" w:color="auto" w:sz="4" w:space="0"/>
            </w:tcBorders>
            <w:noWrap w:val="0"/>
            <w:vAlign w:val="center"/>
          </w:tcPr>
          <w:p w14:paraId="7DED2E3E">
            <w:pPr>
              <w:spacing w:line="380" w:lineRule="exact"/>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sz w:val="24"/>
                <w:szCs w:val="24"/>
                <w:highlight w:val="none"/>
                <w:lang w:bidi="ar"/>
              </w:rPr>
              <w:t>根据变更引起的责任方，扣除相应服务费用合同价的20％</w:t>
            </w:r>
          </w:p>
        </w:tc>
        <w:tc>
          <w:tcPr>
            <w:tcW w:w="1657" w:type="dxa"/>
            <w:tcBorders>
              <w:top w:val="single" w:color="auto" w:sz="4" w:space="0"/>
              <w:left w:val="nil"/>
              <w:bottom w:val="single" w:color="auto" w:sz="4" w:space="0"/>
              <w:right w:val="single" w:color="auto" w:sz="4" w:space="0"/>
            </w:tcBorders>
            <w:noWrap w:val="0"/>
            <w:vAlign w:val="center"/>
          </w:tcPr>
          <w:p w14:paraId="5FD2E677">
            <w:pPr>
              <w:spacing w:line="380" w:lineRule="exact"/>
              <w:rPr>
                <w:rFonts w:hint="eastAsia" w:ascii="宋体" w:hAnsi="宋体" w:eastAsia="宋体" w:cs="宋体"/>
                <w:color w:val="auto"/>
                <w:kern w:val="2"/>
                <w:sz w:val="24"/>
                <w:szCs w:val="24"/>
                <w:highlight w:val="none"/>
                <w:lang w:val="en-US" w:eastAsia="zh-CN" w:bidi="ar-SA"/>
              </w:rPr>
            </w:pPr>
          </w:p>
        </w:tc>
      </w:tr>
    </w:tbl>
    <w:p w14:paraId="6E260D59">
      <w:pPr>
        <w:rPr>
          <w:rFonts w:hint="eastAsia" w:ascii="宋体" w:hAnsi="宋体" w:eastAsia="宋体" w:cs="宋体"/>
        </w:rPr>
      </w:pPr>
    </w:p>
    <w:p w14:paraId="59CFF605">
      <w:pPr>
        <w:rPr>
          <w:rFonts w:hint="eastAsia" w:ascii="宋体" w:hAnsi="宋体" w:eastAsia="宋体" w:cs="宋体"/>
        </w:rPr>
      </w:pPr>
    </w:p>
    <w:p w14:paraId="140A974C">
      <w:pPr>
        <w:rPr>
          <w:rFonts w:hint="eastAsia" w:ascii="宋体" w:hAnsi="宋体" w:eastAsia="宋体" w:cs="宋体"/>
        </w:rPr>
      </w:pPr>
    </w:p>
    <w:p w14:paraId="0EEC3DDC">
      <w:pPr>
        <w:rPr>
          <w:rFonts w:hint="eastAsia" w:ascii="宋体" w:hAnsi="宋体" w:eastAsia="宋体" w:cs="宋体"/>
        </w:rPr>
      </w:pPr>
    </w:p>
    <w:p w14:paraId="2F094371">
      <w:pPr>
        <w:rPr>
          <w:rFonts w:hint="eastAsia" w:ascii="宋体" w:hAnsi="宋体" w:eastAsia="宋体" w:cs="宋体"/>
        </w:rPr>
      </w:pPr>
    </w:p>
    <w:p w14:paraId="23DAD6AD">
      <w:pPr>
        <w:rPr>
          <w:rFonts w:hint="eastAsia" w:ascii="宋体" w:hAnsi="宋体" w:eastAsia="宋体" w:cs="宋体"/>
        </w:rPr>
      </w:pPr>
    </w:p>
    <w:p w14:paraId="4DAA5E3E">
      <w:pPr>
        <w:rPr>
          <w:rFonts w:hint="eastAsia" w:ascii="宋体" w:hAnsi="宋体" w:eastAsia="宋体" w:cs="宋体"/>
        </w:rPr>
      </w:pPr>
    </w:p>
    <w:p w14:paraId="4B716668">
      <w:pPr>
        <w:rPr>
          <w:rFonts w:hint="eastAsia" w:ascii="宋体" w:hAnsi="宋体" w:eastAsia="宋体" w:cs="宋体"/>
        </w:rPr>
      </w:pPr>
    </w:p>
    <w:p w14:paraId="51D08003">
      <w:pPr>
        <w:rPr>
          <w:rFonts w:hint="eastAsia" w:ascii="宋体" w:hAnsi="宋体" w:eastAsia="宋体" w:cs="宋体"/>
        </w:rPr>
      </w:pPr>
    </w:p>
    <w:p w14:paraId="6CD97A22">
      <w:pPr>
        <w:rPr>
          <w:rFonts w:hint="eastAsia" w:ascii="宋体" w:hAnsi="宋体" w:eastAsia="宋体" w:cs="宋体"/>
        </w:rPr>
      </w:pPr>
    </w:p>
    <w:p w14:paraId="2CFA80BC">
      <w:pPr>
        <w:rPr>
          <w:rFonts w:hint="eastAsia" w:ascii="宋体" w:hAnsi="宋体" w:eastAsia="宋体" w:cs="宋体"/>
        </w:rPr>
      </w:pPr>
    </w:p>
    <w:p w14:paraId="3E867C39">
      <w:pPr>
        <w:rPr>
          <w:rFonts w:hint="eastAsia" w:ascii="宋体" w:hAnsi="宋体" w:eastAsia="宋体" w:cs="宋体"/>
        </w:rPr>
      </w:pPr>
    </w:p>
    <w:p w14:paraId="2F6D77E4">
      <w:pPr>
        <w:rPr>
          <w:rFonts w:hint="eastAsia" w:ascii="宋体" w:hAnsi="宋体" w:eastAsia="宋体" w:cs="宋体"/>
        </w:rPr>
      </w:pPr>
    </w:p>
    <w:p w14:paraId="2F292BFD">
      <w:pPr>
        <w:rPr>
          <w:rFonts w:hint="eastAsia" w:ascii="宋体" w:hAnsi="宋体" w:eastAsia="宋体" w:cs="宋体"/>
        </w:rPr>
      </w:pPr>
    </w:p>
    <w:p w14:paraId="625CA1A7">
      <w:pPr>
        <w:rPr>
          <w:rFonts w:hint="eastAsia" w:ascii="宋体" w:hAnsi="宋体" w:eastAsia="宋体" w:cs="宋体"/>
        </w:rPr>
      </w:pPr>
    </w:p>
    <w:p w14:paraId="442E1E53">
      <w:pPr>
        <w:rPr>
          <w:rFonts w:hint="eastAsia" w:ascii="宋体" w:hAnsi="宋体" w:eastAsia="宋体" w:cs="宋体"/>
        </w:rPr>
      </w:pPr>
    </w:p>
    <w:p w14:paraId="528DBD29">
      <w:pPr>
        <w:rPr>
          <w:rFonts w:hint="eastAsia" w:ascii="宋体" w:hAnsi="宋体" w:eastAsia="宋体" w:cs="宋体"/>
        </w:rPr>
      </w:pPr>
    </w:p>
    <w:p w14:paraId="76E0BFB1">
      <w:pPr>
        <w:rPr>
          <w:rFonts w:hint="eastAsia" w:ascii="宋体" w:hAnsi="宋体" w:eastAsia="宋体" w:cs="宋体"/>
        </w:rPr>
      </w:pPr>
    </w:p>
    <w:p w14:paraId="0BDAFA8F">
      <w:pPr>
        <w:rPr>
          <w:rFonts w:hint="eastAsia" w:ascii="宋体" w:hAnsi="宋体" w:eastAsia="宋体" w:cs="宋体"/>
        </w:rPr>
      </w:pPr>
    </w:p>
    <w:p w14:paraId="2576CC79">
      <w:pPr>
        <w:rPr>
          <w:rFonts w:hint="eastAsia" w:ascii="宋体" w:hAnsi="宋体" w:eastAsia="宋体" w:cs="宋体"/>
          <w:b/>
          <w:color w:val="auto"/>
          <w:sz w:val="32"/>
          <w:szCs w:val="32"/>
          <w:highlight w:val="none"/>
        </w:rPr>
      </w:pPr>
    </w:p>
    <w:p w14:paraId="17AADCEC">
      <w:pPr>
        <w:pStyle w:val="4"/>
        <w:keepNext/>
        <w:keepLines w:val="0"/>
        <w:pageBreakBefore w:val="0"/>
        <w:shd w:val="clear" w:color="auto" w:fill="auto"/>
        <w:tabs>
          <w:tab w:val="left" w:pos="1830"/>
        </w:tabs>
        <w:kinsoku/>
        <w:wordWrap/>
        <w:overflowPunct/>
        <w:topLinePunct w:val="0"/>
        <w:autoSpaceDE/>
        <w:autoSpaceDN/>
        <w:bidi w:val="0"/>
        <w:adjustRightInd/>
        <w:snapToGrid/>
        <w:spacing w:line="360" w:lineRule="exact"/>
        <w:ind w:left="0" w:firstLine="0"/>
        <w:jc w:val="center"/>
        <w:textAlignment w:val="auto"/>
        <w:rPr>
          <w:rFonts w:hint="eastAsia" w:ascii="宋体" w:hAnsi="宋体" w:eastAsia="宋体" w:cs="宋体"/>
          <w:b/>
          <w:color w:val="auto"/>
          <w:kern w:val="2"/>
          <w:sz w:val="32"/>
          <w:szCs w:val="32"/>
          <w:highlight w:val="none"/>
        </w:rPr>
      </w:pPr>
      <w:bookmarkStart w:id="162" w:name="_Toc28046"/>
      <w:r>
        <w:rPr>
          <w:rFonts w:hint="eastAsia" w:ascii="宋体" w:hAnsi="宋体" w:eastAsia="宋体" w:cs="宋体"/>
          <w:b/>
          <w:color w:val="auto"/>
          <w:kern w:val="2"/>
          <w:sz w:val="32"/>
          <w:szCs w:val="32"/>
          <w:highlight w:val="none"/>
        </w:rPr>
        <w:t>第三章</w:t>
      </w:r>
      <w:bookmarkStart w:id="163" w:name="_Hlt87793831"/>
      <w:bookmarkEnd w:id="163"/>
      <w:r>
        <w:rPr>
          <w:rFonts w:hint="eastAsia" w:ascii="宋体" w:hAnsi="宋体" w:eastAsia="宋体" w:cs="宋体"/>
          <w:b/>
          <w:color w:val="auto"/>
          <w:kern w:val="2"/>
          <w:sz w:val="32"/>
          <w:szCs w:val="32"/>
          <w:highlight w:val="none"/>
        </w:rPr>
        <w:t xml:space="preserve"> </w:t>
      </w:r>
      <w:r>
        <w:rPr>
          <w:rFonts w:hint="eastAsia" w:ascii="宋体" w:hAnsi="宋体" w:eastAsia="宋体" w:cs="宋体"/>
          <w:b/>
          <w:color w:val="auto"/>
          <w:kern w:val="2"/>
          <w:sz w:val="32"/>
          <w:szCs w:val="32"/>
          <w:highlight w:val="none"/>
          <w:lang w:val="en-US" w:eastAsia="zh-CN"/>
        </w:rPr>
        <w:t xml:space="preserve">  </w:t>
      </w:r>
      <w:r>
        <w:rPr>
          <w:rFonts w:hint="eastAsia" w:ascii="宋体" w:hAnsi="宋体" w:eastAsia="宋体" w:cs="宋体"/>
          <w:b/>
          <w:color w:val="auto"/>
          <w:kern w:val="2"/>
          <w:sz w:val="32"/>
          <w:szCs w:val="32"/>
          <w:highlight w:val="none"/>
        </w:rPr>
        <w:t>拟签订合同的主要条款</w:t>
      </w:r>
      <w:bookmarkEnd w:id="158"/>
      <w:bookmarkEnd w:id="159"/>
      <w:bookmarkEnd w:id="162"/>
      <w:bookmarkStart w:id="164" w:name="_Toc322793288"/>
      <w:bookmarkStart w:id="165" w:name="_Toc326916629"/>
    </w:p>
    <w:bookmarkEnd w:id="160"/>
    <w:bookmarkEnd w:id="164"/>
    <w:bookmarkEnd w:id="165"/>
    <w:p w14:paraId="497B89AB">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66" w:name="_Toc24909"/>
      <w:bookmarkStart w:id="167" w:name="_Toc3177"/>
      <w:bookmarkStart w:id="168" w:name="_Toc353462211"/>
      <w:bookmarkStart w:id="169" w:name="_Toc353462320"/>
      <w:bookmarkStart w:id="170" w:name="_Toc371968727"/>
      <w:bookmarkStart w:id="171" w:name="_Toc24616749"/>
      <w:bookmarkStart w:id="172" w:name="_Toc18268"/>
      <w:bookmarkStart w:id="173" w:name="_Toc143765509"/>
      <w:bookmarkStart w:id="174" w:name="_Toc143766475"/>
      <w:bookmarkStart w:id="175" w:name="_Toc29029"/>
      <w:bookmarkStart w:id="176" w:name="_Hlt69698796"/>
      <w:r>
        <w:rPr>
          <w:rFonts w:hint="eastAsia" w:ascii="宋体" w:hAnsi="宋体" w:eastAsia="宋体" w:cs="宋体"/>
          <w:b/>
          <w:color w:val="auto"/>
          <w:kern w:val="2"/>
          <w:sz w:val="28"/>
          <w:szCs w:val="24"/>
          <w:lang w:val="en-US" w:eastAsia="zh-CN"/>
        </w:rPr>
        <w:t>1．承包方式</w:t>
      </w:r>
      <w:bookmarkEnd w:id="166"/>
      <w:bookmarkEnd w:id="167"/>
    </w:p>
    <w:p w14:paraId="5BB5BF07">
      <w:pPr>
        <w:spacing w:line="360" w:lineRule="auto"/>
        <w:ind w:firstLine="480" w:firstLineChars="200"/>
        <w:rPr>
          <w:rFonts w:hint="eastAsia" w:ascii="宋体" w:hAnsi="宋体" w:eastAsia="宋体" w:cs="宋体"/>
          <w:sz w:val="24"/>
          <w:szCs w:val="24"/>
        </w:rPr>
      </w:pPr>
      <w:bookmarkStart w:id="177" w:name="_Hlt112206782"/>
      <w:bookmarkEnd w:id="177"/>
      <w:bookmarkStart w:id="178" w:name="_Toc71811322"/>
      <w:bookmarkStart w:id="179" w:name="_Toc71811189"/>
      <w:bookmarkStart w:id="180" w:name="_Toc71813712"/>
      <w:r>
        <w:rPr>
          <w:rFonts w:hint="eastAsia" w:ascii="宋体" w:hAnsi="宋体" w:eastAsia="宋体" w:cs="宋体"/>
          <w:sz w:val="24"/>
          <w:szCs w:val="24"/>
        </w:rPr>
        <w:t>中标人以中标价按合同约定和招标文件内容要求，法律法规及国家强制性标准要求，提供完整的最新工程地形图、初步设计及概算，初勘报告和详细勘察报告、施工图设计文件和建设期的服务内容，不允许转包和分包。</w:t>
      </w:r>
    </w:p>
    <w:p w14:paraId="003D0C34">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81" w:name="_Toc353462212"/>
      <w:bookmarkStart w:id="182" w:name="_Toc353462321"/>
      <w:bookmarkStart w:id="183" w:name="_Toc371968728"/>
      <w:bookmarkStart w:id="184" w:name="_Toc143766476"/>
      <w:bookmarkStart w:id="185" w:name="_Toc143765510"/>
      <w:bookmarkStart w:id="186" w:name="_Toc26338"/>
      <w:bookmarkStart w:id="187" w:name="_Toc24616750"/>
      <w:bookmarkStart w:id="188" w:name="_Toc19364"/>
      <w:r>
        <w:rPr>
          <w:rFonts w:hint="eastAsia" w:ascii="宋体" w:hAnsi="宋体" w:eastAsia="宋体" w:cs="宋体"/>
          <w:b/>
          <w:color w:val="auto"/>
          <w:kern w:val="2"/>
          <w:sz w:val="28"/>
          <w:szCs w:val="24"/>
          <w:lang w:val="en-US" w:eastAsia="zh-CN"/>
        </w:rPr>
        <w:t>2．合同价款支付办法</w:t>
      </w:r>
      <w:bookmarkEnd w:id="181"/>
      <w:bookmarkEnd w:id="182"/>
      <w:bookmarkEnd w:id="183"/>
      <w:bookmarkEnd w:id="184"/>
      <w:bookmarkEnd w:id="185"/>
      <w:r>
        <w:rPr>
          <w:rFonts w:hint="eastAsia" w:ascii="宋体" w:hAnsi="宋体" w:eastAsia="宋体" w:cs="宋体"/>
          <w:b/>
          <w:color w:val="auto"/>
          <w:kern w:val="2"/>
          <w:sz w:val="28"/>
          <w:szCs w:val="24"/>
          <w:lang w:val="en-US" w:eastAsia="zh-CN"/>
        </w:rPr>
        <w:t>及结算原则</w:t>
      </w:r>
      <w:bookmarkEnd w:id="186"/>
      <w:bookmarkEnd w:id="187"/>
      <w:bookmarkEnd w:id="188"/>
    </w:p>
    <w:bookmarkEnd w:id="178"/>
    <w:bookmarkEnd w:id="179"/>
    <w:bookmarkEnd w:id="180"/>
    <w:p w14:paraId="1DD2FC70">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 本合同工程按中标人的投标报价，中标价即为签约合同价，</w:t>
      </w:r>
      <w:r>
        <w:rPr>
          <w:rFonts w:hint="eastAsia" w:ascii="宋体" w:hAnsi="宋体" w:eastAsia="宋体" w:cs="宋体"/>
          <w:sz w:val="24"/>
          <w:szCs w:val="24"/>
          <w:lang w:val="en-US" w:eastAsia="zh-CN"/>
        </w:rPr>
        <w:t>合同价款不以固定总价结算，最终费用根据履约期间实际完成的工作内容及工程量核算支付</w:t>
      </w:r>
      <w:r>
        <w:rPr>
          <w:rFonts w:hint="eastAsia" w:ascii="宋体" w:hAnsi="宋体" w:eastAsia="宋体" w:cs="宋体"/>
          <w:sz w:val="24"/>
          <w:szCs w:val="24"/>
          <w:lang w:eastAsia="zh-CN"/>
        </w:rPr>
        <w:t>。</w:t>
      </w:r>
    </w:p>
    <w:p w14:paraId="5499798A">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 合同价款支付方式</w:t>
      </w:r>
    </w:p>
    <w:p w14:paraId="6ECAFADF">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2.2.1勘察费支付（</w:t>
      </w:r>
      <w:r>
        <w:rPr>
          <w:rFonts w:hint="eastAsia" w:ascii="宋体" w:hAnsi="宋体" w:eastAsia="宋体" w:cs="宋体"/>
          <w:sz w:val="24"/>
          <w:szCs w:val="24"/>
          <w:lang w:val="en-US" w:eastAsia="zh-CN"/>
        </w:rPr>
        <w:t>因本项目按阶段实施，费用按各个阶段实际完成的勘察工作量核算费用）</w:t>
      </w:r>
      <w:r>
        <w:rPr>
          <w:rFonts w:hint="eastAsia" w:ascii="宋体" w:hAnsi="宋体" w:eastAsia="宋体" w:cs="宋体"/>
          <w:sz w:val="24"/>
          <w:szCs w:val="24"/>
          <w:lang w:eastAsia="zh-CN"/>
        </w:rPr>
        <w:t>：</w:t>
      </w:r>
    </w:p>
    <w:p w14:paraId="40B064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提交初步勘察、详细勘察正式报告后，支付至各阶段实际完成阶段勘察费用的30%</w:t>
      </w:r>
      <w:r>
        <w:rPr>
          <w:rFonts w:hint="eastAsia" w:ascii="宋体" w:hAnsi="宋体" w:cs="宋体"/>
          <w:sz w:val="24"/>
          <w:szCs w:val="24"/>
          <w:lang w:eastAsia="zh-CN"/>
        </w:rPr>
        <w:t>；</w:t>
      </w:r>
    </w:p>
    <w:p w14:paraId="422EFB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勘察报告经施工图审查单位审查合格后，支付至各阶段实际完成阶段勘察费的70%</w:t>
      </w:r>
      <w:r>
        <w:rPr>
          <w:rFonts w:hint="eastAsia" w:ascii="宋体" w:hAnsi="宋体" w:cs="宋体"/>
          <w:sz w:val="24"/>
          <w:szCs w:val="24"/>
          <w:lang w:eastAsia="zh-CN"/>
        </w:rPr>
        <w:t>；</w:t>
      </w:r>
    </w:p>
    <w:p w14:paraId="2D9C60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基础验收合格后经双方确定勘察服务结算价，勘察单位提交结算审核资料，支付至各阶段实际完成阶段勘察结算价的100%。</w:t>
      </w:r>
    </w:p>
    <w:p w14:paraId="4A2D869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2.2.2设计费支付</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因本项目按阶段实施，费用按各个阶段实际完成的设计工作量核算费用）</w:t>
      </w:r>
      <w:r>
        <w:rPr>
          <w:rFonts w:hint="eastAsia" w:ascii="宋体" w:hAnsi="宋体" w:eastAsia="宋体" w:cs="宋体"/>
          <w:sz w:val="24"/>
          <w:szCs w:val="24"/>
        </w:rPr>
        <w:t>：</w:t>
      </w:r>
    </w:p>
    <w:p w14:paraId="151D6B10">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本项目不支付预付款；</w:t>
      </w:r>
    </w:p>
    <w:p w14:paraId="7506192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lang w:val="en-US" w:eastAsia="zh-CN"/>
        </w:rPr>
        <w:t>完成初步设计和概算并经审查合格后，支付至各阶段实际完成阶段的设计费的30%</w:t>
      </w:r>
      <w:r>
        <w:rPr>
          <w:rFonts w:hint="eastAsia" w:ascii="宋体" w:hAnsi="宋体" w:cs="宋体"/>
          <w:sz w:val="24"/>
          <w:szCs w:val="24"/>
          <w:lang w:val="en-US" w:eastAsia="zh-CN"/>
        </w:rPr>
        <w:t>；</w:t>
      </w:r>
    </w:p>
    <w:p w14:paraId="739FF1C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3</w:t>
      </w:r>
      <w:r>
        <w:rPr>
          <w:rFonts w:hint="eastAsia" w:ascii="宋体" w:hAnsi="宋体" w:eastAsia="宋体" w:cs="宋体"/>
          <w:sz w:val="24"/>
          <w:szCs w:val="24"/>
        </w:rPr>
        <w:t>）全部设计施工图文件经施工图审查单位审查合格并修编完成后，支付至各阶段实际完成阶段的70%；</w:t>
      </w:r>
    </w:p>
    <w:p w14:paraId="3C17CCD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4</w:t>
      </w:r>
      <w:r>
        <w:rPr>
          <w:rFonts w:hint="eastAsia" w:ascii="宋体" w:hAnsi="宋体" w:eastAsia="宋体" w:cs="宋体"/>
          <w:sz w:val="24"/>
          <w:szCs w:val="24"/>
        </w:rPr>
        <w:t>）竣工验收合格后经双方确定设计服务结算价，设计单位提交结算审核资料，支付至各阶段实际完成阶段结算价的100%。</w:t>
      </w:r>
    </w:p>
    <w:p w14:paraId="7ABDC7B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2.2.3</w:t>
      </w:r>
      <w:r>
        <w:rPr>
          <w:rFonts w:hint="eastAsia" w:ascii="宋体" w:hAnsi="宋体" w:eastAsia="宋体" w:cs="宋体"/>
          <w:sz w:val="24"/>
          <w:szCs w:val="24"/>
        </w:rPr>
        <w:t>在每次支付合同价款时，由中标人缴纳相应阶段的违约金</w:t>
      </w:r>
      <w:r>
        <w:rPr>
          <w:rFonts w:hint="eastAsia" w:ascii="宋体" w:hAnsi="宋体" w:eastAsia="宋体" w:cs="宋体"/>
          <w:sz w:val="24"/>
          <w:szCs w:val="24"/>
          <w:lang w:eastAsia="zh-CN"/>
        </w:rPr>
        <w:t>（如有）</w:t>
      </w:r>
      <w:r>
        <w:rPr>
          <w:rFonts w:hint="eastAsia" w:ascii="宋体" w:hAnsi="宋体" w:eastAsia="宋体" w:cs="宋体"/>
          <w:sz w:val="24"/>
          <w:szCs w:val="24"/>
        </w:rPr>
        <w:t>。</w:t>
      </w:r>
    </w:p>
    <w:p w14:paraId="47494F2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2.2.</w:t>
      </w:r>
      <w:r>
        <w:rPr>
          <w:rFonts w:hint="eastAsia" w:ascii="宋体" w:hAnsi="宋体" w:eastAsia="宋体" w:cs="宋体"/>
          <w:sz w:val="24"/>
          <w:szCs w:val="24"/>
          <w:lang w:val="en-US" w:eastAsia="zh-CN"/>
        </w:rPr>
        <w:t>4</w:t>
      </w:r>
      <w:r>
        <w:rPr>
          <w:rFonts w:hint="eastAsia" w:ascii="宋体" w:hAnsi="宋体" w:eastAsia="宋体" w:cs="宋体"/>
          <w:sz w:val="24"/>
          <w:szCs w:val="24"/>
        </w:rPr>
        <w:t>承包人提供的工程款发票必须按照发包人要求提供相应增值税</w:t>
      </w:r>
      <w:r>
        <w:rPr>
          <w:rFonts w:hint="eastAsia" w:ascii="宋体" w:hAnsi="宋体" w:eastAsia="宋体" w:cs="宋体"/>
          <w:sz w:val="24"/>
          <w:szCs w:val="24"/>
          <w:lang w:eastAsia="zh-CN"/>
        </w:rPr>
        <w:t>普通</w:t>
      </w:r>
      <w:r>
        <w:rPr>
          <w:rFonts w:hint="eastAsia" w:ascii="宋体" w:hAnsi="宋体" w:eastAsia="宋体" w:cs="宋体"/>
          <w:sz w:val="24"/>
          <w:szCs w:val="24"/>
        </w:rPr>
        <w:t>发票给发包人，发包人收到符合要求的发票后方可支付工程款。</w:t>
      </w:r>
    </w:p>
    <w:p w14:paraId="1E3CB28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2.3 结算原则：</w:t>
      </w:r>
    </w:p>
    <w:p w14:paraId="63F1272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2.3.1勘察费用结算原则：中标综合单价即为结算综合单价，结算价=实际有效勘察长度</w:t>
      </w:r>
    </w:p>
    <w:p w14:paraId="528F9C65">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w:t>
      </w:r>
      <w:r>
        <w:rPr>
          <w:rFonts w:hint="eastAsia" w:ascii="宋体" w:hAnsi="宋体" w:eastAsia="宋体" w:cs="宋体"/>
          <w:sz w:val="24"/>
          <w:szCs w:val="24"/>
        </w:rPr>
        <w:t>中标勘察综合单价。若勘察费结算价超过勘察费中标价，则按勘察费中标价结算。(实际有效勘察长度是指中标人需根据发包人提供的勘察范围科学合理布点勘察，且经发包人认可)。</w:t>
      </w:r>
    </w:p>
    <w:p w14:paraId="1F1D0E81">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2.3.2</w:t>
      </w:r>
      <w:r>
        <w:rPr>
          <w:rFonts w:hint="eastAsia" w:ascii="宋体" w:hAnsi="宋体" w:eastAsia="宋体" w:cs="宋体"/>
          <w:sz w:val="24"/>
          <w:szCs w:val="24"/>
        </w:rPr>
        <w:t>设计费用结算原则：中标设计取费费率即为设计费的结算费率，结算时按已审定的建安工程费预算价为计费基数计算，即设计费结算价=已审定的建安预算价×中标设计取费费率。低于中标</w:t>
      </w:r>
      <w:r>
        <w:rPr>
          <w:rFonts w:hint="eastAsia" w:ascii="宋体" w:hAnsi="宋体" w:eastAsia="宋体" w:cs="宋体"/>
          <w:sz w:val="24"/>
          <w:szCs w:val="24"/>
          <w:lang w:val="en-US" w:eastAsia="zh-CN"/>
        </w:rPr>
        <w:t>设计</w:t>
      </w:r>
      <w:r>
        <w:rPr>
          <w:rFonts w:hint="eastAsia" w:ascii="宋体" w:hAnsi="宋体" w:eastAsia="宋体" w:cs="宋体"/>
          <w:sz w:val="24"/>
          <w:szCs w:val="24"/>
        </w:rPr>
        <w:t>费的按实结算，高于中标</w:t>
      </w:r>
      <w:r>
        <w:rPr>
          <w:rFonts w:hint="eastAsia" w:ascii="宋体" w:hAnsi="宋体" w:eastAsia="宋体" w:cs="宋体"/>
          <w:sz w:val="24"/>
          <w:szCs w:val="24"/>
          <w:lang w:val="en-US" w:eastAsia="zh-CN"/>
        </w:rPr>
        <w:t>设计</w:t>
      </w:r>
      <w:r>
        <w:rPr>
          <w:rFonts w:hint="eastAsia" w:ascii="宋体" w:hAnsi="宋体" w:eastAsia="宋体" w:cs="宋体"/>
          <w:sz w:val="24"/>
          <w:szCs w:val="24"/>
        </w:rPr>
        <w:t>费的按中标</w:t>
      </w:r>
      <w:r>
        <w:rPr>
          <w:rFonts w:hint="eastAsia" w:ascii="宋体" w:hAnsi="宋体" w:eastAsia="宋体" w:cs="宋体"/>
          <w:sz w:val="24"/>
          <w:szCs w:val="24"/>
          <w:lang w:val="en-US" w:eastAsia="zh-CN"/>
        </w:rPr>
        <w:t>设计</w:t>
      </w:r>
      <w:r>
        <w:rPr>
          <w:rFonts w:hint="eastAsia" w:ascii="宋体" w:hAnsi="宋体" w:eastAsia="宋体" w:cs="宋体"/>
          <w:sz w:val="24"/>
          <w:szCs w:val="24"/>
        </w:rPr>
        <w:t>费结算</w:t>
      </w:r>
      <w:r>
        <w:rPr>
          <w:rFonts w:hint="eastAsia" w:ascii="宋体" w:hAnsi="宋体" w:eastAsia="宋体" w:cs="宋体"/>
          <w:sz w:val="24"/>
          <w:szCs w:val="24"/>
          <w:lang w:eastAsia="zh-CN"/>
        </w:rPr>
        <w:t>。</w:t>
      </w:r>
    </w:p>
    <w:p w14:paraId="023C904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2.3.</w:t>
      </w:r>
      <w:r>
        <w:rPr>
          <w:rFonts w:hint="eastAsia" w:ascii="宋体" w:hAnsi="宋体" w:eastAsia="宋体" w:cs="宋体"/>
          <w:sz w:val="24"/>
          <w:szCs w:val="24"/>
          <w:lang w:val="en-US" w:eastAsia="zh-CN"/>
        </w:rPr>
        <w:t>3</w:t>
      </w:r>
      <w:r>
        <w:rPr>
          <w:rFonts w:hint="eastAsia" w:ascii="宋体" w:hAnsi="宋体" w:eastAsia="宋体" w:cs="宋体"/>
          <w:sz w:val="24"/>
          <w:szCs w:val="24"/>
        </w:rPr>
        <w:t xml:space="preserve"> 若因不可预见因素导致项目长时间（两年以上）暂停或取消，乙方可申请按实际完成工作量进行结算。</w:t>
      </w:r>
    </w:p>
    <w:p w14:paraId="0E11FC8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2.3.</w:t>
      </w:r>
      <w:r>
        <w:rPr>
          <w:rFonts w:hint="eastAsia" w:ascii="宋体" w:hAnsi="宋体" w:eastAsia="宋体" w:cs="宋体"/>
          <w:sz w:val="24"/>
          <w:szCs w:val="24"/>
          <w:lang w:val="en-US" w:eastAsia="zh-CN"/>
        </w:rPr>
        <w:t>4</w:t>
      </w:r>
      <w:r>
        <w:rPr>
          <w:rFonts w:hint="eastAsia" w:ascii="宋体" w:hAnsi="宋体" w:eastAsia="宋体" w:cs="宋体"/>
          <w:sz w:val="24"/>
          <w:szCs w:val="24"/>
        </w:rPr>
        <w:t>本项目勘察设计人的所有违约金均需按照发包人开出的违约通知,根据韶关市非税收入罚款流程进行违约金缴纳。</w:t>
      </w:r>
    </w:p>
    <w:p w14:paraId="02995150">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189" w:name="_Toc11083"/>
      <w:r>
        <w:rPr>
          <w:rFonts w:hint="eastAsia" w:ascii="宋体" w:hAnsi="宋体" w:eastAsia="宋体" w:cs="宋体"/>
          <w:b/>
          <w:color w:val="auto"/>
          <w:kern w:val="2"/>
          <w:sz w:val="28"/>
          <w:szCs w:val="24"/>
          <w:lang w:val="en-US" w:eastAsia="zh-CN"/>
        </w:rPr>
        <w:t>3．最终以合同签订为准（由招标人自行补充）</w:t>
      </w:r>
      <w:bookmarkEnd w:id="189"/>
    </w:p>
    <w:bookmarkEnd w:id="168"/>
    <w:bookmarkEnd w:id="169"/>
    <w:bookmarkEnd w:id="170"/>
    <w:bookmarkEnd w:id="171"/>
    <w:bookmarkEnd w:id="172"/>
    <w:bookmarkEnd w:id="173"/>
    <w:bookmarkEnd w:id="174"/>
    <w:p w14:paraId="282F0BCD">
      <w:pPr>
        <w:snapToGrid w:val="0"/>
        <w:spacing w:line="360" w:lineRule="auto"/>
        <w:rPr>
          <w:rFonts w:hint="eastAsia" w:ascii="宋体" w:hAnsi="宋体" w:eastAsia="宋体" w:cs="宋体"/>
          <w:b/>
          <w:color w:val="auto"/>
          <w:szCs w:val="22"/>
          <w:highlight w:val="none"/>
        </w:rPr>
      </w:pPr>
    </w:p>
    <w:p w14:paraId="0165EF0B">
      <w:pPr>
        <w:snapToGrid w:val="0"/>
        <w:spacing w:line="360" w:lineRule="auto"/>
        <w:rPr>
          <w:rFonts w:hint="eastAsia" w:ascii="宋体" w:hAnsi="宋体" w:eastAsia="宋体" w:cs="宋体"/>
          <w:b/>
          <w:color w:val="auto"/>
          <w:szCs w:val="22"/>
          <w:highlight w:val="none"/>
        </w:rPr>
      </w:pPr>
    </w:p>
    <w:p w14:paraId="5ACE8FD1">
      <w:pPr>
        <w:snapToGrid w:val="0"/>
        <w:spacing w:line="360" w:lineRule="auto"/>
        <w:rPr>
          <w:rFonts w:hint="eastAsia" w:ascii="宋体" w:hAnsi="宋体" w:eastAsia="宋体" w:cs="宋体"/>
          <w:b/>
          <w:color w:val="auto"/>
          <w:szCs w:val="22"/>
          <w:highlight w:val="none"/>
        </w:rPr>
      </w:pPr>
    </w:p>
    <w:p w14:paraId="054DEDC4">
      <w:pPr>
        <w:snapToGrid w:val="0"/>
        <w:spacing w:line="360" w:lineRule="auto"/>
        <w:rPr>
          <w:rFonts w:hint="eastAsia" w:ascii="宋体" w:hAnsi="宋体" w:eastAsia="宋体" w:cs="宋体"/>
          <w:b/>
          <w:color w:val="auto"/>
          <w:szCs w:val="22"/>
          <w:highlight w:val="none"/>
        </w:rPr>
      </w:pPr>
    </w:p>
    <w:p w14:paraId="172EB08F">
      <w:pPr>
        <w:snapToGrid w:val="0"/>
        <w:spacing w:line="360" w:lineRule="auto"/>
        <w:rPr>
          <w:rFonts w:hint="eastAsia" w:ascii="宋体" w:hAnsi="宋体" w:eastAsia="宋体" w:cs="宋体"/>
          <w:b/>
          <w:color w:val="auto"/>
          <w:szCs w:val="22"/>
          <w:highlight w:val="none"/>
        </w:rPr>
      </w:pPr>
    </w:p>
    <w:p w14:paraId="4907F4AA">
      <w:pPr>
        <w:snapToGrid w:val="0"/>
        <w:spacing w:line="360" w:lineRule="auto"/>
        <w:rPr>
          <w:rFonts w:hint="eastAsia" w:ascii="宋体" w:hAnsi="宋体" w:eastAsia="宋体" w:cs="宋体"/>
          <w:b/>
          <w:color w:val="auto"/>
          <w:szCs w:val="22"/>
          <w:highlight w:val="none"/>
        </w:rPr>
      </w:pPr>
    </w:p>
    <w:p w14:paraId="5422509E">
      <w:pPr>
        <w:snapToGrid w:val="0"/>
        <w:spacing w:line="360" w:lineRule="auto"/>
        <w:rPr>
          <w:rFonts w:hint="eastAsia" w:ascii="宋体" w:hAnsi="宋体" w:eastAsia="宋体" w:cs="宋体"/>
          <w:b/>
          <w:color w:val="auto"/>
          <w:szCs w:val="22"/>
          <w:highlight w:val="none"/>
        </w:rPr>
      </w:pPr>
    </w:p>
    <w:p w14:paraId="3DA62CBB">
      <w:pPr>
        <w:snapToGrid w:val="0"/>
        <w:spacing w:line="360" w:lineRule="auto"/>
        <w:rPr>
          <w:rFonts w:hint="eastAsia" w:ascii="宋体" w:hAnsi="宋体" w:eastAsia="宋体" w:cs="宋体"/>
          <w:b/>
          <w:color w:val="auto"/>
          <w:szCs w:val="22"/>
          <w:highlight w:val="none"/>
        </w:rPr>
      </w:pPr>
    </w:p>
    <w:p w14:paraId="6C8A8F37">
      <w:pPr>
        <w:snapToGrid w:val="0"/>
        <w:spacing w:line="360" w:lineRule="auto"/>
        <w:rPr>
          <w:rFonts w:hint="eastAsia" w:ascii="宋体" w:hAnsi="宋体" w:eastAsia="宋体" w:cs="宋体"/>
          <w:b/>
          <w:color w:val="auto"/>
          <w:szCs w:val="22"/>
          <w:highlight w:val="none"/>
        </w:rPr>
      </w:pPr>
    </w:p>
    <w:p w14:paraId="2B841EE6">
      <w:pPr>
        <w:snapToGrid w:val="0"/>
        <w:spacing w:line="360" w:lineRule="auto"/>
        <w:rPr>
          <w:rFonts w:hint="eastAsia" w:ascii="宋体" w:hAnsi="宋体" w:eastAsia="宋体" w:cs="宋体"/>
          <w:b/>
          <w:color w:val="auto"/>
          <w:szCs w:val="22"/>
          <w:highlight w:val="none"/>
        </w:rPr>
      </w:pPr>
    </w:p>
    <w:p w14:paraId="599A7C74">
      <w:pPr>
        <w:snapToGrid w:val="0"/>
        <w:spacing w:line="360" w:lineRule="auto"/>
        <w:rPr>
          <w:rFonts w:hint="eastAsia" w:ascii="宋体" w:hAnsi="宋体" w:eastAsia="宋体" w:cs="宋体"/>
          <w:b/>
          <w:color w:val="auto"/>
          <w:szCs w:val="22"/>
          <w:highlight w:val="none"/>
        </w:rPr>
      </w:pPr>
    </w:p>
    <w:p w14:paraId="5E8F7F5C">
      <w:pPr>
        <w:snapToGrid w:val="0"/>
        <w:spacing w:line="360" w:lineRule="auto"/>
        <w:rPr>
          <w:rFonts w:hint="eastAsia" w:ascii="宋体" w:hAnsi="宋体" w:eastAsia="宋体" w:cs="宋体"/>
          <w:b/>
          <w:color w:val="auto"/>
          <w:szCs w:val="22"/>
          <w:highlight w:val="none"/>
        </w:rPr>
      </w:pPr>
    </w:p>
    <w:p w14:paraId="7C8F3827">
      <w:pPr>
        <w:snapToGrid w:val="0"/>
        <w:spacing w:line="360" w:lineRule="auto"/>
        <w:rPr>
          <w:rFonts w:hint="eastAsia" w:ascii="宋体" w:hAnsi="宋体" w:eastAsia="宋体" w:cs="宋体"/>
          <w:b/>
          <w:color w:val="auto"/>
          <w:szCs w:val="22"/>
          <w:highlight w:val="none"/>
        </w:rPr>
      </w:pPr>
    </w:p>
    <w:p w14:paraId="6DD2542B">
      <w:pPr>
        <w:snapToGrid w:val="0"/>
        <w:spacing w:line="360" w:lineRule="auto"/>
        <w:rPr>
          <w:rFonts w:hint="eastAsia" w:ascii="宋体" w:hAnsi="宋体" w:eastAsia="宋体" w:cs="宋体"/>
          <w:b/>
          <w:color w:val="auto"/>
          <w:szCs w:val="22"/>
          <w:highlight w:val="none"/>
        </w:rPr>
      </w:pPr>
    </w:p>
    <w:p w14:paraId="1A96F48D">
      <w:pPr>
        <w:snapToGrid w:val="0"/>
        <w:spacing w:line="360" w:lineRule="auto"/>
        <w:rPr>
          <w:rFonts w:hint="eastAsia" w:ascii="宋体" w:hAnsi="宋体" w:eastAsia="宋体" w:cs="宋体"/>
          <w:b/>
          <w:color w:val="auto"/>
          <w:szCs w:val="22"/>
          <w:highlight w:val="none"/>
        </w:rPr>
      </w:pPr>
    </w:p>
    <w:p w14:paraId="39598BE7">
      <w:pPr>
        <w:snapToGrid w:val="0"/>
        <w:spacing w:line="360" w:lineRule="auto"/>
        <w:rPr>
          <w:rFonts w:hint="eastAsia" w:ascii="宋体" w:hAnsi="宋体" w:eastAsia="宋体" w:cs="宋体"/>
          <w:b/>
          <w:color w:val="auto"/>
          <w:szCs w:val="22"/>
          <w:highlight w:val="none"/>
        </w:rPr>
      </w:pPr>
    </w:p>
    <w:p w14:paraId="630DC76C">
      <w:pPr>
        <w:snapToGrid w:val="0"/>
        <w:spacing w:line="360" w:lineRule="auto"/>
        <w:rPr>
          <w:rFonts w:hint="eastAsia" w:ascii="宋体" w:hAnsi="宋体" w:eastAsia="宋体" w:cs="宋体"/>
          <w:b/>
          <w:color w:val="auto"/>
          <w:szCs w:val="22"/>
          <w:highlight w:val="none"/>
        </w:rPr>
      </w:pPr>
    </w:p>
    <w:p w14:paraId="2FC12787">
      <w:pPr>
        <w:snapToGrid w:val="0"/>
        <w:spacing w:line="360" w:lineRule="auto"/>
        <w:rPr>
          <w:rFonts w:hint="eastAsia" w:ascii="宋体" w:hAnsi="宋体" w:eastAsia="宋体" w:cs="宋体"/>
          <w:b/>
          <w:color w:val="auto"/>
          <w:szCs w:val="22"/>
          <w:highlight w:val="none"/>
        </w:rPr>
      </w:pPr>
    </w:p>
    <w:p w14:paraId="7F8AF55A">
      <w:pPr>
        <w:snapToGrid w:val="0"/>
        <w:spacing w:line="360" w:lineRule="auto"/>
        <w:rPr>
          <w:rFonts w:hint="eastAsia" w:ascii="宋体" w:hAnsi="宋体" w:eastAsia="宋体" w:cs="宋体"/>
          <w:b/>
          <w:color w:val="auto"/>
          <w:szCs w:val="22"/>
          <w:highlight w:val="none"/>
        </w:rPr>
      </w:pPr>
    </w:p>
    <w:p w14:paraId="7B5F6385">
      <w:pPr>
        <w:pStyle w:val="4"/>
        <w:keepNext/>
        <w:keepLines w:val="0"/>
        <w:pageBreakBefore w:val="0"/>
        <w:shd w:val="clear" w:color="auto" w:fill="auto"/>
        <w:tabs>
          <w:tab w:val="left" w:pos="1830"/>
        </w:tabs>
        <w:kinsoku/>
        <w:wordWrap/>
        <w:overflowPunct/>
        <w:topLinePunct w:val="0"/>
        <w:autoSpaceDE/>
        <w:autoSpaceDN/>
        <w:bidi w:val="0"/>
        <w:adjustRightInd/>
        <w:snapToGrid/>
        <w:spacing w:line="360" w:lineRule="exact"/>
        <w:ind w:left="0" w:firstLine="0"/>
        <w:jc w:val="center"/>
        <w:textAlignment w:val="auto"/>
        <w:rPr>
          <w:rFonts w:hint="eastAsia" w:ascii="宋体" w:hAnsi="宋体" w:eastAsia="宋体" w:cs="宋体"/>
          <w:b/>
          <w:color w:val="auto"/>
          <w:kern w:val="2"/>
          <w:sz w:val="32"/>
          <w:szCs w:val="32"/>
          <w:highlight w:val="none"/>
        </w:rPr>
      </w:pPr>
      <w:bookmarkStart w:id="190" w:name="_Toc14278"/>
      <w:r>
        <w:rPr>
          <w:rFonts w:hint="eastAsia" w:ascii="宋体" w:hAnsi="宋体" w:eastAsia="宋体" w:cs="宋体"/>
          <w:b/>
          <w:color w:val="auto"/>
          <w:kern w:val="2"/>
          <w:sz w:val="32"/>
          <w:szCs w:val="32"/>
          <w:highlight w:val="none"/>
          <w:lang w:val="en-US" w:eastAsia="zh-CN"/>
        </w:rPr>
        <w:t>第四章</w:t>
      </w:r>
      <w:bookmarkStart w:id="191" w:name="_Hlt87793853"/>
      <w:bookmarkEnd w:id="191"/>
      <w:r>
        <w:rPr>
          <w:rFonts w:hint="eastAsia" w:ascii="宋体" w:hAnsi="宋体" w:eastAsia="宋体" w:cs="宋体"/>
          <w:b/>
          <w:color w:val="auto"/>
          <w:kern w:val="2"/>
          <w:sz w:val="32"/>
          <w:szCs w:val="32"/>
          <w:highlight w:val="none"/>
          <w:lang w:val="en-US" w:eastAsia="zh-CN"/>
        </w:rPr>
        <w:t xml:space="preserve">   技术要求</w:t>
      </w:r>
      <w:bookmarkEnd w:id="175"/>
      <w:bookmarkEnd w:id="176"/>
      <w:bookmarkEnd w:id="190"/>
      <w:bookmarkStart w:id="192" w:name="_Hlt69359335"/>
      <w:bookmarkEnd w:id="192"/>
      <w:bookmarkStart w:id="193" w:name="_Hlt80411122"/>
      <w:bookmarkEnd w:id="193"/>
      <w:bookmarkStart w:id="194" w:name="_Hlt68774758"/>
      <w:bookmarkEnd w:id="194"/>
      <w:bookmarkStart w:id="195" w:name="_Hlt69358207"/>
      <w:bookmarkEnd w:id="195"/>
      <w:bookmarkStart w:id="196" w:name="_Hlt69116854"/>
      <w:bookmarkEnd w:id="196"/>
      <w:bookmarkStart w:id="197" w:name="_Hlt87793346"/>
      <w:bookmarkEnd w:id="197"/>
      <w:bookmarkStart w:id="198" w:name="_Hlt87793370"/>
      <w:bookmarkEnd w:id="198"/>
      <w:bookmarkStart w:id="199" w:name="_Hlt69357851"/>
      <w:bookmarkEnd w:id="199"/>
      <w:bookmarkStart w:id="200" w:name="_Hlt75685840"/>
      <w:bookmarkEnd w:id="200"/>
      <w:bookmarkStart w:id="201" w:name="_Hlt69265216"/>
      <w:bookmarkEnd w:id="201"/>
      <w:bookmarkStart w:id="202" w:name="_Hlt66104926"/>
      <w:bookmarkEnd w:id="202"/>
    </w:p>
    <w:p w14:paraId="70B7B61C">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203" w:name="_Hlt69670335"/>
      <w:bookmarkEnd w:id="203"/>
      <w:bookmarkStart w:id="204" w:name="_Hlt69338190"/>
      <w:bookmarkEnd w:id="204"/>
      <w:bookmarkStart w:id="205" w:name="_Hlt69358336"/>
      <w:bookmarkEnd w:id="205"/>
      <w:bookmarkStart w:id="206" w:name="_Hlt66848640"/>
      <w:bookmarkEnd w:id="206"/>
      <w:bookmarkStart w:id="207" w:name="_Hlt69635247"/>
      <w:bookmarkEnd w:id="207"/>
      <w:bookmarkStart w:id="208" w:name="_Hlt69116863"/>
      <w:bookmarkEnd w:id="208"/>
      <w:bookmarkStart w:id="209" w:name="_Hlt69265207"/>
      <w:bookmarkEnd w:id="209"/>
      <w:bookmarkStart w:id="210" w:name="_Toc17829"/>
      <w:bookmarkStart w:id="211" w:name="_Toc5215"/>
      <w:bookmarkStart w:id="212" w:name="_Toc466640612"/>
      <w:bookmarkStart w:id="213" w:name="_Hlt69698785"/>
      <w:bookmarkStart w:id="214" w:name="_Toc8133"/>
      <w:r>
        <w:rPr>
          <w:rFonts w:hint="eastAsia" w:ascii="宋体" w:hAnsi="宋体" w:eastAsia="宋体" w:cs="宋体"/>
          <w:b/>
          <w:color w:val="auto"/>
          <w:kern w:val="2"/>
          <w:sz w:val="28"/>
          <w:szCs w:val="24"/>
          <w:lang w:val="en-US" w:eastAsia="zh-CN"/>
        </w:rPr>
        <w:t>1．工程的技术要求</w:t>
      </w:r>
      <w:bookmarkEnd w:id="210"/>
    </w:p>
    <w:p w14:paraId="08B2D510">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一、工程勘察标准规范</w:t>
      </w:r>
    </w:p>
    <w:p w14:paraId="2C5D3F5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本项目勘察、测量文件必须符合现行国家、行业和地方的一切法规、规范和标准关于工程勘察、测量的要求，包括但不限于：</w:t>
      </w:r>
    </w:p>
    <w:p w14:paraId="7C941B7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1.《工程测量规范 》(GB 50026-2007)；</w:t>
      </w:r>
    </w:p>
    <w:p w14:paraId="2A2B71D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2.《全球定位系统（GPS）测量规范》（GB/T18314-2001）；</w:t>
      </w:r>
    </w:p>
    <w:p w14:paraId="51C2BF2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3.《1:500、1:1000、1:2000地形图图式》（GB/T20257.1-2007）；</w:t>
      </w:r>
    </w:p>
    <w:p w14:paraId="3E5C7FB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4.《岩土工程勘察规范》（GB50021-2001，2009版）；</w:t>
      </w:r>
    </w:p>
    <w:p w14:paraId="270B5A0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.《中国地震动参数区划图》（GB18306-2015）；</w:t>
      </w:r>
    </w:p>
    <w:p w14:paraId="5BD775C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.《建筑工程地质勘探与取样技术规程》(JGJ/T87-2012)；</w:t>
      </w:r>
    </w:p>
    <w:p w14:paraId="1BD0C6D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.《土工试验方法标准》（GB/T50123-2019）；</w:t>
      </w:r>
    </w:p>
    <w:p w14:paraId="4605638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.《工程岩体分级标准》（GB/T50218-2014）。</w:t>
      </w:r>
    </w:p>
    <w:p w14:paraId="671E93E8">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备注：若有相关主管部门颁发新的标准规范则按新的标准规范执行。</w:t>
      </w:r>
    </w:p>
    <w:bookmarkEnd w:id="211"/>
    <w:bookmarkEnd w:id="212"/>
    <w:p w14:paraId="6E52DE1C">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二、设计主要采用的规范、标准</w:t>
      </w:r>
    </w:p>
    <w:p w14:paraId="7B8ACFB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（1）《城市道路工程设计规范》（CJJ 37-2012[2016年版]）；</w:t>
      </w:r>
    </w:p>
    <w:p w14:paraId="50BE544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（2）《城镇道路路面设计规范》（CJJ 169-2012）；</w:t>
      </w:r>
    </w:p>
    <w:p w14:paraId="770DFC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（3）《城市道路路线设计规范》（CJJ 193-2012）；</w:t>
      </w:r>
    </w:p>
    <w:p w14:paraId="4A5602D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（4）《城市道路交叉口设计规程》（CJJ152-2010）；</w:t>
      </w:r>
    </w:p>
    <w:p w14:paraId="44771CC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（5）《城镇道路工程施工与质量验收规范》（CJJ1-2008）；</w:t>
      </w:r>
    </w:p>
    <w:p w14:paraId="636A288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（6）《道路交通标志和标线》（GB5768-2022）；</w:t>
      </w:r>
    </w:p>
    <w:p w14:paraId="34DDD08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（7）《室外给水设计标准》(GB50013-2018)；</w:t>
      </w:r>
    </w:p>
    <w:p w14:paraId="39AE1FE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（8）《通信管道与通道工程设计标准》（GB50373-2019）；</w:t>
      </w:r>
    </w:p>
    <w:p w14:paraId="55FC83B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（9）《城市给水工程项目规范》（GB 55026-2022）；</w:t>
      </w:r>
    </w:p>
    <w:p w14:paraId="0C92A6A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（10）《城市电力电缆线路设计技术规定》（DL/T 5221-2016）；</w:t>
      </w:r>
    </w:p>
    <w:p w14:paraId="2CACA29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（11）《给水排水工程构筑物结构设计规范》(GB50069-2002)；</w:t>
      </w:r>
    </w:p>
    <w:p w14:paraId="1FCCA62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（12）《给水排水工程管道结构设计规范》(GB50332-2002)；</w:t>
      </w:r>
    </w:p>
    <w:p w14:paraId="723B4FD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（13）《给水排水管道工程施工及验收规范》(GB50268-2008)；</w:t>
      </w:r>
    </w:p>
    <w:p w14:paraId="2C3AB6F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（14）《城市道路照明设计标准》（CJJ45-2015）；</w:t>
      </w:r>
    </w:p>
    <w:p w14:paraId="621BB35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（15）《室外排水设计标准》(GB50014-2021)；</w:t>
      </w:r>
    </w:p>
    <w:p w14:paraId="44FD068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（16）《城市排水工程项目规范》(GB55027-2022)；</w:t>
      </w:r>
    </w:p>
    <w:p w14:paraId="5CD924F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（17）《城市电力规划规范》（GB50293-2014）；</w:t>
      </w:r>
    </w:p>
    <w:p w14:paraId="0151E12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（18）《建筑与市政工程防水通用规范》（GB55030-2022）；</w:t>
      </w:r>
    </w:p>
    <w:p w14:paraId="6CF78EE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（19）《建筑与市政工程无障碍通用规范》（GB55019-2021）</w:t>
      </w:r>
      <w:r>
        <w:rPr>
          <w:rFonts w:hint="eastAsia" w:ascii="宋体" w:hAnsi="宋体" w:eastAsia="宋体" w:cs="宋体"/>
          <w:sz w:val="24"/>
          <w:szCs w:val="24"/>
          <w:lang w:eastAsia="zh-CN"/>
        </w:rPr>
        <w:t>；</w:t>
      </w:r>
    </w:p>
    <w:p w14:paraId="3B2DB212">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（20）《城市道路交通工程项目规范》（GB55011-2021）</w:t>
      </w:r>
      <w:r>
        <w:rPr>
          <w:rFonts w:hint="eastAsia" w:ascii="宋体" w:hAnsi="宋体" w:eastAsia="宋体" w:cs="宋体"/>
          <w:sz w:val="24"/>
          <w:szCs w:val="24"/>
          <w:lang w:eastAsia="zh-CN"/>
        </w:rPr>
        <w:t>；</w:t>
      </w:r>
    </w:p>
    <w:p w14:paraId="680255F6">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（21）国家或本地区其他相关规范</w:t>
      </w:r>
      <w:r>
        <w:rPr>
          <w:rFonts w:hint="eastAsia" w:ascii="宋体" w:hAnsi="宋体" w:eastAsia="宋体" w:cs="宋体"/>
          <w:sz w:val="24"/>
          <w:szCs w:val="24"/>
          <w:lang w:eastAsia="zh-CN"/>
        </w:rPr>
        <w:t>。</w:t>
      </w:r>
    </w:p>
    <w:p w14:paraId="2B415D2F">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备注：若有相关主管部门颁发新的标准规范则按新的标准规范执行。</w:t>
      </w:r>
    </w:p>
    <w:p w14:paraId="68D1CEEA">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215" w:name="_Toc199"/>
      <w:r>
        <w:rPr>
          <w:rFonts w:hint="eastAsia" w:ascii="宋体" w:hAnsi="宋体" w:eastAsia="宋体" w:cs="宋体"/>
          <w:b/>
          <w:color w:val="auto"/>
          <w:kern w:val="2"/>
          <w:sz w:val="28"/>
          <w:szCs w:val="24"/>
          <w:lang w:val="en-US" w:eastAsia="zh-CN"/>
        </w:rPr>
        <w:t>2．备查要求</w:t>
      </w:r>
      <w:bookmarkEnd w:id="215"/>
    </w:p>
    <w:p w14:paraId="040A2B9F">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承包人必须在项目实施现场准备至少一套上述规范，发包人可随时检查承包人的上述规范，并监督承包人按规范要求执行。</w:t>
      </w:r>
    </w:p>
    <w:p w14:paraId="323B90B5">
      <w:pPr>
        <w:rPr>
          <w:rFonts w:hint="eastAsia" w:ascii="宋体" w:hAnsi="宋体" w:eastAsia="宋体" w:cs="宋体"/>
          <w:lang w:val="en-US" w:eastAsia="zh-CN"/>
        </w:rPr>
      </w:pPr>
    </w:p>
    <w:p w14:paraId="7E61EE73">
      <w:pPr>
        <w:rPr>
          <w:rFonts w:hint="eastAsia" w:ascii="宋体" w:hAnsi="宋体" w:eastAsia="宋体" w:cs="宋体"/>
          <w:lang w:val="en-US" w:eastAsia="zh-CN"/>
        </w:rPr>
      </w:pPr>
    </w:p>
    <w:p w14:paraId="799AE0BE">
      <w:pPr>
        <w:rPr>
          <w:rFonts w:hint="eastAsia" w:ascii="宋体" w:hAnsi="宋体" w:eastAsia="宋体" w:cs="宋体"/>
          <w:lang w:val="en-US" w:eastAsia="zh-CN"/>
        </w:rPr>
      </w:pPr>
    </w:p>
    <w:p w14:paraId="08D85654">
      <w:pPr>
        <w:rPr>
          <w:rFonts w:hint="eastAsia" w:ascii="宋体" w:hAnsi="宋体" w:eastAsia="宋体" w:cs="宋体"/>
          <w:lang w:val="en-US" w:eastAsia="zh-CN"/>
        </w:rPr>
      </w:pPr>
    </w:p>
    <w:p w14:paraId="04FE6C48">
      <w:pPr>
        <w:rPr>
          <w:rFonts w:hint="eastAsia" w:ascii="宋体" w:hAnsi="宋体" w:eastAsia="宋体" w:cs="宋体"/>
          <w:lang w:val="en-US" w:eastAsia="zh-CN"/>
        </w:rPr>
      </w:pPr>
    </w:p>
    <w:p w14:paraId="7C826CC9">
      <w:pPr>
        <w:rPr>
          <w:rFonts w:hint="eastAsia" w:ascii="宋体" w:hAnsi="宋体" w:eastAsia="宋体" w:cs="宋体"/>
          <w:lang w:val="en-US" w:eastAsia="zh-CN"/>
        </w:rPr>
      </w:pPr>
    </w:p>
    <w:p w14:paraId="39FAAA89">
      <w:pPr>
        <w:rPr>
          <w:rFonts w:hint="eastAsia" w:ascii="宋体" w:hAnsi="宋体" w:eastAsia="宋体" w:cs="宋体"/>
          <w:lang w:val="en-US" w:eastAsia="zh-CN"/>
        </w:rPr>
      </w:pPr>
    </w:p>
    <w:p w14:paraId="72BB8275">
      <w:pPr>
        <w:pStyle w:val="31"/>
        <w:ind w:left="0" w:leftChars="0" w:firstLine="0" w:firstLineChars="0"/>
        <w:rPr>
          <w:rFonts w:hint="eastAsia" w:ascii="宋体" w:hAnsi="宋体" w:eastAsia="宋体" w:cs="宋体"/>
          <w:lang w:val="en-US" w:eastAsia="zh-CN"/>
        </w:rPr>
      </w:pPr>
    </w:p>
    <w:p w14:paraId="340C2FDE">
      <w:pPr>
        <w:rPr>
          <w:rFonts w:hint="eastAsia" w:ascii="宋体" w:hAnsi="宋体" w:eastAsia="宋体" w:cs="宋体"/>
          <w:lang w:val="en-US" w:eastAsia="zh-CN"/>
        </w:rPr>
      </w:pPr>
    </w:p>
    <w:p w14:paraId="11AEF390">
      <w:pPr>
        <w:rPr>
          <w:rFonts w:hint="eastAsia" w:ascii="宋体" w:hAnsi="宋体" w:eastAsia="宋体" w:cs="宋体"/>
          <w:lang w:val="en-US" w:eastAsia="zh-CN"/>
        </w:rPr>
      </w:pPr>
    </w:p>
    <w:p w14:paraId="2D2173BE">
      <w:pPr>
        <w:rPr>
          <w:rFonts w:hint="eastAsia" w:ascii="宋体" w:hAnsi="宋体" w:eastAsia="宋体" w:cs="宋体"/>
          <w:lang w:val="en-US" w:eastAsia="zh-CN"/>
        </w:rPr>
      </w:pPr>
    </w:p>
    <w:p w14:paraId="7DCEE232">
      <w:pPr>
        <w:rPr>
          <w:rFonts w:hint="eastAsia" w:ascii="宋体" w:hAnsi="宋体" w:eastAsia="宋体" w:cs="宋体"/>
          <w:lang w:val="en-US" w:eastAsia="zh-CN"/>
        </w:rPr>
      </w:pPr>
    </w:p>
    <w:p w14:paraId="378B41D2">
      <w:pPr>
        <w:rPr>
          <w:rFonts w:hint="eastAsia" w:ascii="宋体" w:hAnsi="宋体" w:eastAsia="宋体" w:cs="宋体"/>
          <w:lang w:val="en-US" w:eastAsia="zh-CN"/>
        </w:rPr>
      </w:pPr>
    </w:p>
    <w:p w14:paraId="0BB536FA">
      <w:pPr>
        <w:pStyle w:val="31"/>
        <w:ind w:left="0" w:leftChars="0" w:firstLine="0" w:firstLineChars="0"/>
        <w:rPr>
          <w:rFonts w:hint="eastAsia" w:ascii="宋体" w:hAnsi="宋体" w:eastAsia="宋体" w:cs="宋体"/>
          <w:lang w:val="en-US" w:eastAsia="zh-CN"/>
        </w:rPr>
      </w:pPr>
    </w:p>
    <w:p w14:paraId="3A2401A8">
      <w:pPr>
        <w:pStyle w:val="4"/>
        <w:keepNext/>
        <w:keepLines w:val="0"/>
        <w:pageBreakBefore w:val="0"/>
        <w:shd w:val="clear" w:color="auto" w:fill="auto"/>
        <w:tabs>
          <w:tab w:val="left" w:pos="1830"/>
        </w:tabs>
        <w:kinsoku/>
        <w:wordWrap/>
        <w:overflowPunct/>
        <w:topLinePunct w:val="0"/>
        <w:autoSpaceDE/>
        <w:autoSpaceDN/>
        <w:bidi w:val="0"/>
        <w:adjustRightInd/>
        <w:snapToGrid/>
        <w:spacing w:line="360" w:lineRule="exact"/>
        <w:ind w:left="0" w:firstLine="0"/>
        <w:jc w:val="center"/>
        <w:textAlignment w:val="auto"/>
        <w:rPr>
          <w:rFonts w:hint="eastAsia" w:ascii="宋体" w:hAnsi="宋体" w:eastAsia="宋体" w:cs="宋体"/>
          <w:b/>
          <w:color w:val="auto"/>
          <w:kern w:val="2"/>
          <w:sz w:val="32"/>
          <w:szCs w:val="32"/>
          <w:highlight w:val="none"/>
          <w:lang w:val="en-US" w:eastAsia="zh-CN"/>
        </w:rPr>
      </w:pPr>
      <w:bookmarkStart w:id="216" w:name="_Toc25872"/>
      <w:r>
        <w:rPr>
          <w:rFonts w:hint="eastAsia" w:ascii="宋体" w:hAnsi="宋体" w:eastAsia="宋体" w:cs="宋体"/>
          <w:b/>
          <w:color w:val="auto"/>
          <w:kern w:val="2"/>
          <w:sz w:val="32"/>
          <w:szCs w:val="32"/>
          <w:highlight w:val="none"/>
          <w:lang w:val="en-US" w:eastAsia="zh-CN"/>
        </w:rPr>
        <w:t xml:space="preserve">第五章 </w:t>
      </w:r>
      <w:bookmarkStart w:id="217" w:name="_Hlt75747044"/>
      <w:bookmarkEnd w:id="217"/>
      <w:r>
        <w:rPr>
          <w:rFonts w:hint="eastAsia" w:ascii="宋体" w:hAnsi="宋体" w:eastAsia="宋体" w:cs="宋体"/>
          <w:b/>
          <w:color w:val="auto"/>
          <w:kern w:val="2"/>
          <w:sz w:val="32"/>
          <w:szCs w:val="32"/>
          <w:highlight w:val="none"/>
          <w:lang w:val="en-US" w:eastAsia="zh-CN"/>
        </w:rPr>
        <w:t xml:space="preserve">  投标文件格式</w:t>
      </w:r>
      <w:bookmarkEnd w:id="213"/>
      <w:bookmarkEnd w:id="214"/>
      <w:bookmarkEnd w:id="216"/>
      <w:bookmarkStart w:id="218" w:name="_附件一：对招标文件条款自愿接受承诺书"/>
      <w:bookmarkEnd w:id="218"/>
      <w:bookmarkStart w:id="219" w:name="_附件二：近三年度主要施工项目（竣工及在建）一览表"/>
      <w:bookmarkEnd w:id="219"/>
      <w:bookmarkStart w:id="220" w:name="_附件二：工期承诺书"/>
      <w:bookmarkEnd w:id="220"/>
      <w:bookmarkStart w:id="221" w:name="_附件一：投标函"/>
      <w:bookmarkEnd w:id="221"/>
      <w:bookmarkStart w:id="222" w:name="_附件五：综合评审合理低价法"/>
      <w:bookmarkEnd w:id="222"/>
      <w:bookmarkStart w:id="223" w:name="_附件四：工期承诺书"/>
      <w:bookmarkEnd w:id="223"/>
      <w:bookmarkStart w:id="224" w:name="_Toc200338097"/>
      <w:bookmarkStart w:id="225" w:name="_Toc137621693"/>
      <w:bookmarkStart w:id="226" w:name="_Hlt66847557"/>
      <w:bookmarkStart w:id="227" w:name="_Toc66849200"/>
    </w:p>
    <w:p w14:paraId="4D29654D">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228" w:name="_Toc27480"/>
      <w:bookmarkStart w:id="229" w:name="_Toc11807"/>
      <w:bookmarkStart w:id="230" w:name="_Toc31229"/>
      <w:r>
        <w:rPr>
          <w:rFonts w:hint="eastAsia" w:ascii="宋体" w:hAnsi="宋体" w:eastAsia="宋体" w:cs="宋体"/>
          <w:b/>
          <w:color w:val="auto"/>
          <w:kern w:val="2"/>
          <w:sz w:val="28"/>
          <w:szCs w:val="24"/>
          <w:lang w:val="en-US" w:eastAsia="zh-CN"/>
        </w:rPr>
        <w:t>格式一   封面</w:t>
      </w:r>
      <w:bookmarkEnd w:id="228"/>
      <w:bookmarkEnd w:id="229"/>
      <w:bookmarkEnd w:id="230"/>
    </w:p>
    <w:p w14:paraId="6BD3698B">
      <w:pPr>
        <w:spacing w:line="360" w:lineRule="auto"/>
        <w:rPr>
          <w:rFonts w:hint="eastAsia" w:ascii="宋体" w:hAnsi="宋体" w:eastAsia="宋体" w:cs="宋体"/>
          <w:color w:val="auto"/>
          <w:sz w:val="24"/>
          <w:highlight w:val="none"/>
        </w:rPr>
      </w:pPr>
    </w:p>
    <w:p w14:paraId="0912DEA0">
      <w:pPr>
        <w:spacing w:line="360" w:lineRule="auto"/>
        <w:rPr>
          <w:rFonts w:hint="eastAsia" w:ascii="宋体" w:hAnsi="宋体" w:eastAsia="宋体" w:cs="宋体"/>
          <w:color w:val="auto"/>
          <w:sz w:val="24"/>
          <w:highlight w:val="none"/>
        </w:rPr>
      </w:pPr>
    </w:p>
    <w:p w14:paraId="77A4E961">
      <w:pPr>
        <w:spacing w:line="360" w:lineRule="auto"/>
        <w:rPr>
          <w:rFonts w:hint="eastAsia" w:ascii="宋体" w:hAnsi="宋体" w:eastAsia="宋体" w:cs="宋体"/>
          <w:color w:val="auto"/>
          <w:sz w:val="24"/>
          <w:highlight w:val="none"/>
        </w:rPr>
      </w:pPr>
    </w:p>
    <w:p w14:paraId="78F71DD6">
      <w:pPr>
        <w:spacing w:line="360" w:lineRule="auto"/>
        <w:rPr>
          <w:rFonts w:hint="eastAsia" w:ascii="宋体" w:hAnsi="宋体" w:eastAsia="宋体" w:cs="宋体"/>
          <w:color w:val="auto"/>
          <w:sz w:val="24"/>
          <w:highlight w:val="none"/>
        </w:rPr>
      </w:pPr>
    </w:p>
    <w:p w14:paraId="2C3F23B9">
      <w:pPr>
        <w:wordWrap w:val="0"/>
        <w:adjustRightInd w:val="0"/>
        <w:snapToGrid w:val="0"/>
        <w:jc w:val="center"/>
        <w:rPr>
          <w:rFonts w:hint="eastAsia" w:ascii="宋体" w:hAnsi="宋体" w:eastAsia="宋体" w:cs="宋体"/>
          <w:b/>
          <w:snapToGrid w:val="0"/>
          <w:color w:val="auto"/>
          <w:kern w:val="0"/>
          <w:sz w:val="48"/>
          <w:szCs w:val="48"/>
          <w:highlight w:val="none"/>
        </w:rPr>
      </w:pPr>
      <w:r>
        <w:rPr>
          <w:rFonts w:hint="eastAsia" w:ascii="宋体" w:hAnsi="宋体" w:eastAsia="宋体" w:cs="宋体"/>
          <w:bCs/>
          <w:snapToGrid w:val="0"/>
          <w:color w:val="auto"/>
          <w:kern w:val="0"/>
          <w:sz w:val="48"/>
          <w:szCs w:val="48"/>
          <w:highlight w:val="none"/>
          <w:u w:val="single"/>
        </w:rPr>
        <w:t xml:space="preserve">             </w:t>
      </w:r>
      <w:r>
        <w:rPr>
          <w:rFonts w:hint="eastAsia" w:ascii="宋体" w:hAnsi="宋体" w:eastAsia="宋体" w:cs="宋体"/>
          <w:b/>
          <w:snapToGrid w:val="0"/>
          <w:color w:val="auto"/>
          <w:kern w:val="0"/>
          <w:sz w:val="48"/>
          <w:szCs w:val="48"/>
          <w:highlight w:val="none"/>
        </w:rPr>
        <w:t>（项目名称）招标</w:t>
      </w:r>
    </w:p>
    <w:p w14:paraId="754436E3">
      <w:pPr>
        <w:spacing w:line="360" w:lineRule="auto"/>
        <w:rPr>
          <w:rFonts w:hint="eastAsia" w:ascii="宋体" w:hAnsi="宋体" w:eastAsia="宋体" w:cs="宋体"/>
          <w:color w:val="auto"/>
          <w:sz w:val="24"/>
          <w:highlight w:val="none"/>
        </w:rPr>
      </w:pPr>
    </w:p>
    <w:p w14:paraId="5277E39E">
      <w:pPr>
        <w:wordWrap w:val="0"/>
        <w:adjustRightInd w:val="0"/>
        <w:snapToGrid w:val="0"/>
        <w:jc w:val="center"/>
        <w:rPr>
          <w:rFonts w:hint="eastAsia" w:ascii="宋体" w:hAnsi="宋体" w:eastAsia="宋体" w:cs="宋体"/>
          <w:b/>
          <w:snapToGrid w:val="0"/>
          <w:color w:val="auto"/>
          <w:kern w:val="0"/>
          <w:sz w:val="72"/>
          <w:highlight w:val="none"/>
        </w:rPr>
      </w:pPr>
      <w:r>
        <w:rPr>
          <w:rFonts w:hint="eastAsia" w:ascii="宋体" w:hAnsi="宋体" w:eastAsia="宋体" w:cs="宋体"/>
          <w:b/>
          <w:snapToGrid w:val="0"/>
          <w:color w:val="auto"/>
          <w:kern w:val="0"/>
          <w:sz w:val="72"/>
          <w:highlight w:val="none"/>
        </w:rPr>
        <w:t>投  标  文  件</w:t>
      </w:r>
    </w:p>
    <w:p w14:paraId="72E88F19">
      <w:pPr>
        <w:spacing w:line="360" w:lineRule="auto"/>
        <w:rPr>
          <w:rFonts w:hint="eastAsia" w:ascii="宋体" w:hAnsi="宋体" w:eastAsia="宋体" w:cs="宋体"/>
          <w:color w:val="auto"/>
          <w:sz w:val="24"/>
          <w:highlight w:val="none"/>
        </w:rPr>
      </w:pPr>
    </w:p>
    <w:p w14:paraId="42AC3618">
      <w:pPr>
        <w:wordWrap w:val="0"/>
        <w:adjustRightInd w:val="0"/>
        <w:snapToGrid w:val="0"/>
        <w:jc w:val="center"/>
        <w:rPr>
          <w:rFonts w:hint="eastAsia" w:ascii="宋体" w:hAnsi="宋体" w:eastAsia="宋体" w:cs="宋体"/>
          <w:b/>
          <w:snapToGrid w:val="0"/>
          <w:color w:val="auto"/>
          <w:kern w:val="0"/>
          <w:sz w:val="48"/>
          <w:szCs w:val="48"/>
          <w:highlight w:val="none"/>
        </w:rPr>
      </w:pPr>
      <w:r>
        <w:rPr>
          <w:rFonts w:hint="eastAsia" w:ascii="宋体" w:hAnsi="宋体" w:eastAsia="宋体" w:cs="宋体"/>
          <w:b/>
          <w:snapToGrid w:val="0"/>
          <w:color w:val="auto"/>
          <w:kern w:val="0"/>
          <w:sz w:val="48"/>
          <w:szCs w:val="48"/>
          <w:highlight w:val="none"/>
        </w:rPr>
        <w:t>（</w:t>
      </w:r>
      <w:r>
        <w:rPr>
          <w:rFonts w:hint="eastAsia" w:ascii="宋体" w:hAnsi="宋体" w:eastAsia="宋体" w:cs="宋体"/>
          <w:b/>
          <w:snapToGrid w:val="0"/>
          <w:color w:val="auto"/>
          <w:kern w:val="0"/>
          <w:sz w:val="48"/>
          <w:szCs w:val="48"/>
          <w:highlight w:val="none"/>
          <w:lang w:eastAsia="zh-CN"/>
        </w:rPr>
        <w:t>商务经济标书</w:t>
      </w:r>
      <w:r>
        <w:rPr>
          <w:rFonts w:hint="eastAsia" w:ascii="宋体" w:hAnsi="宋体" w:eastAsia="宋体" w:cs="宋体"/>
          <w:b/>
          <w:snapToGrid w:val="0"/>
          <w:color w:val="auto"/>
          <w:kern w:val="0"/>
          <w:sz w:val="48"/>
          <w:szCs w:val="48"/>
          <w:highlight w:val="none"/>
        </w:rPr>
        <w:t>／技术</w:t>
      </w:r>
      <w:r>
        <w:rPr>
          <w:rFonts w:hint="eastAsia" w:ascii="宋体" w:hAnsi="宋体" w:eastAsia="宋体" w:cs="宋体"/>
          <w:b/>
          <w:snapToGrid w:val="0"/>
          <w:color w:val="auto"/>
          <w:kern w:val="0"/>
          <w:sz w:val="48"/>
          <w:szCs w:val="48"/>
          <w:highlight w:val="none"/>
          <w:lang w:eastAsia="zh-CN"/>
        </w:rPr>
        <w:t>标书</w:t>
      </w:r>
      <w:r>
        <w:rPr>
          <w:rFonts w:hint="eastAsia" w:ascii="宋体" w:hAnsi="宋体" w:eastAsia="宋体" w:cs="宋体"/>
          <w:b/>
          <w:snapToGrid w:val="0"/>
          <w:color w:val="auto"/>
          <w:kern w:val="0"/>
          <w:sz w:val="48"/>
          <w:szCs w:val="48"/>
          <w:highlight w:val="none"/>
          <w:lang w:val="en-US" w:eastAsia="zh-CN"/>
        </w:rPr>
        <w:t>/定标文件</w:t>
      </w:r>
      <w:r>
        <w:rPr>
          <w:rFonts w:hint="eastAsia" w:ascii="宋体" w:hAnsi="宋体" w:eastAsia="宋体" w:cs="宋体"/>
          <w:b/>
          <w:snapToGrid w:val="0"/>
          <w:color w:val="auto"/>
          <w:kern w:val="0"/>
          <w:sz w:val="48"/>
          <w:szCs w:val="48"/>
          <w:highlight w:val="none"/>
        </w:rPr>
        <w:t>）</w:t>
      </w:r>
    </w:p>
    <w:p w14:paraId="15A79529">
      <w:pPr>
        <w:spacing w:line="360" w:lineRule="auto"/>
        <w:rPr>
          <w:rFonts w:hint="eastAsia" w:ascii="宋体" w:hAnsi="宋体" w:eastAsia="宋体" w:cs="宋体"/>
          <w:color w:val="auto"/>
          <w:sz w:val="24"/>
          <w:highlight w:val="none"/>
        </w:rPr>
      </w:pPr>
    </w:p>
    <w:p w14:paraId="47D7DD35">
      <w:pPr>
        <w:spacing w:line="360" w:lineRule="auto"/>
        <w:rPr>
          <w:rFonts w:hint="eastAsia" w:ascii="宋体" w:hAnsi="宋体" w:eastAsia="宋体" w:cs="宋体"/>
          <w:color w:val="auto"/>
          <w:sz w:val="24"/>
          <w:highlight w:val="none"/>
        </w:rPr>
      </w:pPr>
    </w:p>
    <w:p w14:paraId="027FCCA6">
      <w:pPr>
        <w:spacing w:line="360" w:lineRule="auto"/>
        <w:rPr>
          <w:rFonts w:hint="eastAsia" w:ascii="宋体" w:hAnsi="宋体" w:eastAsia="宋体" w:cs="宋体"/>
          <w:color w:val="auto"/>
          <w:sz w:val="24"/>
          <w:highlight w:val="none"/>
        </w:rPr>
      </w:pPr>
    </w:p>
    <w:p w14:paraId="7901955F">
      <w:pPr>
        <w:spacing w:line="360" w:lineRule="auto"/>
        <w:rPr>
          <w:rFonts w:hint="eastAsia" w:ascii="宋体" w:hAnsi="宋体" w:eastAsia="宋体" w:cs="宋体"/>
          <w:color w:val="auto"/>
          <w:sz w:val="24"/>
          <w:highlight w:val="none"/>
        </w:rPr>
      </w:pPr>
    </w:p>
    <w:p w14:paraId="71749EBA">
      <w:pPr>
        <w:spacing w:line="360" w:lineRule="auto"/>
        <w:rPr>
          <w:rFonts w:hint="eastAsia" w:ascii="宋体" w:hAnsi="宋体" w:eastAsia="宋体" w:cs="宋体"/>
          <w:color w:val="auto"/>
          <w:sz w:val="24"/>
          <w:highlight w:val="none"/>
        </w:rPr>
      </w:pPr>
    </w:p>
    <w:p w14:paraId="66971668">
      <w:pPr>
        <w:wordWrap w:val="0"/>
        <w:adjustRightInd w:val="0"/>
        <w:snapToGrid w:val="0"/>
        <w:jc w:val="center"/>
        <w:rPr>
          <w:rFonts w:hint="eastAsia" w:ascii="宋体" w:hAnsi="宋体" w:eastAsia="宋体" w:cs="宋体"/>
          <w:color w:val="auto"/>
          <w:kern w:val="0"/>
          <w:sz w:val="20"/>
          <w:highlight w:val="none"/>
        </w:rPr>
      </w:pPr>
      <w:r>
        <w:rPr>
          <w:rFonts w:hint="eastAsia" w:ascii="宋体" w:hAnsi="宋体" w:eastAsia="宋体" w:cs="宋体"/>
          <w:bCs/>
          <w:snapToGrid w:val="0"/>
          <w:color w:val="auto"/>
          <w:kern w:val="0"/>
          <w:sz w:val="32"/>
          <w:highlight w:val="none"/>
        </w:rPr>
        <w:t>投标人：</w:t>
      </w:r>
      <w:r>
        <w:rPr>
          <w:rFonts w:hint="eastAsia" w:ascii="宋体" w:hAnsi="宋体" w:eastAsia="宋体" w:cs="宋体"/>
          <w:bCs/>
          <w:snapToGrid w:val="0"/>
          <w:color w:val="auto"/>
          <w:kern w:val="0"/>
          <w:sz w:val="32"/>
          <w:highlight w:val="none"/>
          <w:u w:val="single"/>
        </w:rPr>
        <w:t xml:space="preserve">                                    </w:t>
      </w:r>
      <w:r>
        <w:rPr>
          <w:rFonts w:hint="eastAsia" w:ascii="宋体" w:hAnsi="宋体" w:eastAsia="宋体" w:cs="宋体"/>
          <w:bCs/>
          <w:snapToGrid w:val="0"/>
          <w:color w:val="auto"/>
          <w:kern w:val="0"/>
          <w:sz w:val="32"/>
          <w:highlight w:val="none"/>
        </w:rPr>
        <w:t>（盖单位章）</w:t>
      </w:r>
    </w:p>
    <w:p w14:paraId="311A6A58">
      <w:pPr>
        <w:spacing w:line="360" w:lineRule="auto"/>
        <w:rPr>
          <w:rFonts w:hint="eastAsia" w:ascii="宋体" w:hAnsi="宋体" w:eastAsia="宋体" w:cs="宋体"/>
          <w:color w:val="auto"/>
          <w:sz w:val="24"/>
          <w:highlight w:val="none"/>
        </w:rPr>
      </w:pPr>
    </w:p>
    <w:p w14:paraId="2AE1B9B6">
      <w:pPr>
        <w:wordWrap w:val="0"/>
        <w:adjustRightInd w:val="0"/>
        <w:snapToGrid w:val="0"/>
        <w:jc w:val="center"/>
        <w:rPr>
          <w:rFonts w:hint="eastAsia" w:ascii="宋体" w:hAnsi="宋体" w:eastAsia="宋体" w:cs="宋体"/>
          <w:color w:val="auto"/>
          <w:kern w:val="0"/>
          <w:sz w:val="20"/>
          <w:highlight w:val="none"/>
        </w:rPr>
      </w:pPr>
      <w:r>
        <w:rPr>
          <w:rFonts w:hint="eastAsia" w:ascii="宋体" w:hAnsi="宋体" w:eastAsia="宋体" w:cs="宋体"/>
          <w:bCs/>
          <w:snapToGrid w:val="0"/>
          <w:color w:val="auto"/>
          <w:kern w:val="0"/>
          <w:sz w:val="32"/>
          <w:highlight w:val="none"/>
        </w:rPr>
        <w:t>法定代表人或其委托代理人：</w:t>
      </w:r>
      <w:r>
        <w:rPr>
          <w:rFonts w:hint="eastAsia" w:ascii="宋体" w:hAnsi="宋体" w:eastAsia="宋体" w:cs="宋体"/>
          <w:bCs/>
          <w:snapToGrid w:val="0"/>
          <w:color w:val="auto"/>
          <w:kern w:val="0"/>
          <w:sz w:val="32"/>
          <w:highlight w:val="none"/>
          <w:u w:val="single"/>
        </w:rPr>
        <w:t xml:space="preserve">                 </w:t>
      </w:r>
      <w:r>
        <w:rPr>
          <w:rFonts w:hint="eastAsia" w:ascii="宋体" w:hAnsi="宋体" w:eastAsia="宋体" w:cs="宋体"/>
          <w:bCs/>
          <w:snapToGrid w:val="0"/>
          <w:color w:val="auto"/>
          <w:kern w:val="0"/>
          <w:sz w:val="32"/>
          <w:highlight w:val="none"/>
        </w:rPr>
        <w:t>（签字或盖章）</w:t>
      </w:r>
    </w:p>
    <w:p w14:paraId="0B33357B">
      <w:pPr>
        <w:spacing w:line="360" w:lineRule="auto"/>
        <w:rPr>
          <w:rFonts w:hint="eastAsia" w:ascii="宋体" w:hAnsi="宋体" w:eastAsia="宋体" w:cs="宋体"/>
          <w:color w:val="auto"/>
          <w:sz w:val="24"/>
          <w:highlight w:val="none"/>
        </w:rPr>
      </w:pPr>
    </w:p>
    <w:p w14:paraId="21571AAE">
      <w:pPr>
        <w:wordWrap w:val="0"/>
        <w:adjustRightInd w:val="0"/>
        <w:snapToGrid w:val="0"/>
        <w:jc w:val="center"/>
        <w:rPr>
          <w:rFonts w:hint="eastAsia" w:ascii="宋体" w:hAnsi="宋体" w:eastAsia="宋体" w:cs="宋体"/>
          <w:bCs/>
          <w:snapToGrid w:val="0"/>
          <w:color w:val="auto"/>
          <w:kern w:val="0"/>
          <w:sz w:val="32"/>
          <w:highlight w:val="none"/>
        </w:rPr>
      </w:pPr>
      <w:r>
        <w:rPr>
          <w:rFonts w:hint="eastAsia" w:ascii="宋体" w:hAnsi="宋体" w:eastAsia="宋体" w:cs="宋体"/>
          <w:bCs/>
          <w:snapToGrid w:val="0"/>
          <w:color w:val="auto"/>
          <w:kern w:val="0"/>
          <w:sz w:val="32"/>
          <w:highlight w:val="none"/>
          <w:u w:val="single"/>
        </w:rPr>
        <w:t xml:space="preserve">         </w:t>
      </w:r>
      <w:r>
        <w:rPr>
          <w:rFonts w:hint="eastAsia" w:ascii="宋体" w:hAnsi="宋体" w:eastAsia="宋体" w:cs="宋体"/>
          <w:bCs/>
          <w:snapToGrid w:val="0"/>
          <w:color w:val="auto"/>
          <w:kern w:val="0"/>
          <w:sz w:val="32"/>
          <w:highlight w:val="none"/>
        </w:rPr>
        <w:t>年</w:t>
      </w:r>
      <w:r>
        <w:rPr>
          <w:rFonts w:hint="eastAsia" w:ascii="宋体" w:hAnsi="宋体" w:eastAsia="宋体" w:cs="宋体"/>
          <w:bCs/>
          <w:snapToGrid w:val="0"/>
          <w:color w:val="auto"/>
          <w:kern w:val="0"/>
          <w:sz w:val="32"/>
          <w:highlight w:val="none"/>
          <w:u w:val="single"/>
        </w:rPr>
        <w:t xml:space="preserve">      </w:t>
      </w:r>
      <w:r>
        <w:rPr>
          <w:rFonts w:hint="eastAsia" w:ascii="宋体" w:hAnsi="宋体" w:eastAsia="宋体" w:cs="宋体"/>
          <w:bCs/>
          <w:snapToGrid w:val="0"/>
          <w:color w:val="auto"/>
          <w:kern w:val="0"/>
          <w:sz w:val="32"/>
          <w:highlight w:val="none"/>
        </w:rPr>
        <w:t>月</w:t>
      </w:r>
      <w:r>
        <w:rPr>
          <w:rFonts w:hint="eastAsia" w:ascii="宋体" w:hAnsi="宋体" w:eastAsia="宋体" w:cs="宋体"/>
          <w:bCs/>
          <w:snapToGrid w:val="0"/>
          <w:color w:val="auto"/>
          <w:kern w:val="0"/>
          <w:sz w:val="32"/>
          <w:highlight w:val="none"/>
          <w:u w:val="single"/>
        </w:rPr>
        <w:t xml:space="preserve">      </w:t>
      </w:r>
      <w:r>
        <w:rPr>
          <w:rFonts w:hint="eastAsia" w:ascii="宋体" w:hAnsi="宋体" w:eastAsia="宋体" w:cs="宋体"/>
          <w:bCs/>
          <w:snapToGrid w:val="0"/>
          <w:color w:val="auto"/>
          <w:kern w:val="0"/>
          <w:sz w:val="32"/>
          <w:highlight w:val="none"/>
        </w:rPr>
        <w:t>日</w:t>
      </w:r>
    </w:p>
    <w:p w14:paraId="346C812B">
      <w:pPr>
        <w:rPr>
          <w:rFonts w:hint="eastAsia" w:ascii="宋体" w:hAnsi="宋体" w:eastAsia="宋体" w:cs="宋体"/>
        </w:rPr>
      </w:pPr>
    </w:p>
    <w:p w14:paraId="7D833244">
      <w:pPr>
        <w:rPr>
          <w:rFonts w:hint="eastAsia" w:ascii="宋体" w:hAnsi="宋体" w:eastAsia="宋体" w:cs="宋体"/>
        </w:rPr>
      </w:pPr>
    </w:p>
    <w:p w14:paraId="7996F281">
      <w:pPr>
        <w:rPr>
          <w:rFonts w:hint="eastAsia" w:ascii="宋体" w:hAnsi="宋体" w:eastAsia="宋体" w:cs="宋体"/>
        </w:rPr>
      </w:pPr>
    </w:p>
    <w:p w14:paraId="52BBDA34">
      <w:pPr>
        <w:rPr>
          <w:rFonts w:hint="eastAsia" w:ascii="宋体" w:hAnsi="宋体" w:eastAsia="宋体" w:cs="宋体"/>
        </w:rPr>
      </w:pPr>
    </w:p>
    <w:p w14:paraId="372F018C">
      <w:pPr>
        <w:rPr>
          <w:rFonts w:hint="eastAsia" w:ascii="宋体" w:hAnsi="宋体" w:eastAsia="宋体" w:cs="宋体"/>
        </w:rPr>
      </w:pPr>
    </w:p>
    <w:p w14:paraId="5644CF96">
      <w:pPr>
        <w:rPr>
          <w:rFonts w:hint="eastAsia" w:ascii="宋体" w:hAnsi="宋体" w:eastAsia="宋体" w:cs="宋体"/>
        </w:rPr>
      </w:pPr>
    </w:p>
    <w:p w14:paraId="21B0B698">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231" w:name="_Toc19707"/>
      <w:bookmarkStart w:id="232" w:name="_Toc8842"/>
      <w:bookmarkStart w:id="233" w:name="_Toc13452"/>
      <w:bookmarkStart w:id="234" w:name="_Toc104711098"/>
      <w:bookmarkStart w:id="235" w:name="_Toc106418843"/>
      <w:r>
        <w:rPr>
          <w:rFonts w:hint="eastAsia" w:ascii="宋体" w:hAnsi="宋体" w:eastAsia="宋体" w:cs="宋体"/>
          <w:b/>
          <w:color w:val="auto"/>
          <w:kern w:val="2"/>
          <w:sz w:val="28"/>
          <w:szCs w:val="24"/>
          <w:lang w:val="en-US" w:eastAsia="zh-CN"/>
        </w:rPr>
        <w:t>格式</w:t>
      </w:r>
      <w:bookmarkStart w:id="236" w:name="_Hlt97526007"/>
      <w:bookmarkEnd w:id="236"/>
      <w:r>
        <w:rPr>
          <w:rFonts w:hint="eastAsia" w:ascii="宋体" w:hAnsi="宋体" w:eastAsia="宋体" w:cs="宋体"/>
          <w:b/>
          <w:color w:val="auto"/>
          <w:kern w:val="2"/>
          <w:sz w:val="28"/>
          <w:szCs w:val="24"/>
          <w:lang w:val="en-US" w:eastAsia="zh-CN"/>
        </w:rPr>
        <w:t>二   投标函</w:t>
      </w:r>
      <w:bookmarkEnd w:id="231"/>
      <w:bookmarkEnd w:id="232"/>
      <w:bookmarkEnd w:id="233"/>
    </w:p>
    <w:p w14:paraId="041EB026">
      <w:pPr>
        <w:wordWrap w:val="0"/>
        <w:adjustRightInd w:val="0"/>
        <w:snapToGrid w:val="0"/>
        <w:spacing w:before="260" w:after="260" w:line="440" w:lineRule="exact"/>
        <w:jc w:val="center"/>
        <w:rPr>
          <w:rFonts w:hint="eastAsia" w:ascii="宋体" w:hAnsi="宋体" w:eastAsia="宋体" w:cs="宋体"/>
          <w:color w:val="auto"/>
          <w:sz w:val="24"/>
          <w:highlight w:val="none"/>
        </w:rPr>
      </w:pPr>
      <w:r>
        <w:rPr>
          <w:rFonts w:hint="eastAsia" w:ascii="宋体" w:hAnsi="宋体" w:eastAsia="宋体" w:cs="宋体"/>
          <w:b/>
          <w:snapToGrid w:val="0"/>
          <w:color w:val="auto"/>
          <w:kern w:val="0"/>
          <w:sz w:val="30"/>
          <w:highlight w:val="none"/>
        </w:rPr>
        <w:t>投  标  函</w:t>
      </w:r>
      <w:bookmarkEnd w:id="234"/>
      <w:bookmarkEnd w:id="235"/>
    </w:p>
    <w:p w14:paraId="52BBE5A6">
      <w:pPr>
        <w:wordWrap w:val="0"/>
        <w:adjustRightInd w:val="0"/>
        <w:snapToGrid w:val="0"/>
        <w:spacing w:line="44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（招标人名称）</w:t>
      </w:r>
    </w:p>
    <w:p w14:paraId="11F4C9F0">
      <w:pPr>
        <w:wordWrap w:val="0"/>
        <w:adjustRightInd w:val="0"/>
        <w:snapToGrid w:val="0"/>
        <w:spacing w:line="440" w:lineRule="exact"/>
        <w:ind w:firstLine="57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1. </w:t>
      </w:r>
      <w:r>
        <w:rPr>
          <w:rFonts w:hint="eastAsia" w:ascii="宋体" w:hAnsi="宋体" w:eastAsia="宋体" w:cs="宋体"/>
          <w:snapToGrid w:val="0"/>
          <w:color w:val="auto"/>
          <w:kern w:val="0"/>
          <w:sz w:val="24"/>
          <w:szCs w:val="22"/>
          <w:highlight w:val="none"/>
        </w:rPr>
        <w:t>我方</w:t>
      </w:r>
      <w:r>
        <w:rPr>
          <w:rFonts w:hint="eastAsia" w:ascii="宋体" w:hAnsi="宋体" w:eastAsia="宋体" w:cs="宋体"/>
          <w:snapToGrid w:val="0"/>
          <w:color w:val="auto"/>
          <w:kern w:val="0"/>
          <w:sz w:val="24"/>
          <w:highlight w:val="none"/>
        </w:rPr>
        <w:t>考察现场并充分研究</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（项目名称）（以下简称“本项目”）招标文件</w:t>
      </w:r>
      <w:r>
        <w:rPr>
          <w:rFonts w:hint="eastAsia" w:ascii="宋体" w:hAnsi="宋体" w:eastAsia="宋体" w:cs="宋体"/>
          <w:snapToGrid w:val="0"/>
          <w:color w:val="auto"/>
          <w:kern w:val="0"/>
          <w:sz w:val="24"/>
          <w:szCs w:val="22"/>
          <w:highlight w:val="none"/>
        </w:rPr>
        <w:t>所有内容后</w:t>
      </w:r>
      <w:r>
        <w:rPr>
          <w:rFonts w:hint="eastAsia" w:ascii="宋体" w:hAnsi="宋体" w:eastAsia="宋体" w:cs="宋体"/>
          <w:snapToGrid w:val="0"/>
          <w:color w:val="auto"/>
          <w:kern w:val="0"/>
          <w:sz w:val="24"/>
          <w:highlight w:val="none"/>
        </w:rPr>
        <w:t>，结合自身资质、能力和特点，愿意接受招标文件的全部内容和条件，</w:t>
      </w:r>
      <w:r>
        <w:rPr>
          <w:rFonts w:hint="eastAsia" w:ascii="宋体" w:hAnsi="宋体" w:eastAsia="宋体" w:cs="宋体"/>
          <w:color w:val="auto"/>
          <w:sz w:val="24"/>
          <w:szCs w:val="32"/>
          <w:highlight w:val="none"/>
        </w:rPr>
        <w:t>愿以投标报价为（大写）：</w:t>
      </w:r>
      <w:r>
        <w:rPr>
          <w:rFonts w:hint="eastAsia" w:ascii="宋体" w:hAnsi="宋体" w:eastAsia="宋体" w:cs="宋体"/>
          <w:color w:val="auto"/>
          <w:sz w:val="24"/>
          <w:szCs w:val="32"/>
          <w:highlight w:val="none"/>
          <w:u w:val="single"/>
        </w:rPr>
        <w:t xml:space="preserve">   </w:t>
      </w:r>
      <w:r>
        <w:rPr>
          <w:rFonts w:hint="eastAsia" w:ascii="宋体" w:hAnsi="宋体" w:eastAsia="宋体" w:cs="宋体"/>
          <w:color w:val="auto"/>
          <w:sz w:val="24"/>
          <w:szCs w:val="32"/>
          <w:highlight w:val="none"/>
          <w:u w:val="single"/>
          <w:lang w:val="en-US" w:eastAsia="zh-CN"/>
        </w:rPr>
        <w:t xml:space="preserve">   </w:t>
      </w:r>
      <w:r>
        <w:rPr>
          <w:rFonts w:hint="eastAsia" w:ascii="宋体" w:hAnsi="宋体" w:eastAsia="宋体" w:cs="宋体"/>
          <w:color w:val="auto"/>
          <w:sz w:val="24"/>
          <w:szCs w:val="32"/>
          <w:highlight w:val="none"/>
          <w:u w:val="single"/>
        </w:rPr>
        <w:t xml:space="preserve">    </w:t>
      </w:r>
      <w:r>
        <w:rPr>
          <w:rFonts w:hint="eastAsia" w:ascii="宋体" w:hAnsi="宋体" w:eastAsia="宋体" w:cs="宋体"/>
          <w:color w:val="auto"/>
          <w:sz w:val="24"/>
          <w:szCs w:val="32"/>
          <w:highlight w:val="none"/>
        </w:rPr>
        <w:t>（小写）：</w:t>
      </w:r>
      <w:r>
        <w:rPr>
          <w:rFonts w:hint="eastAsia" w:ascii="宋体" w:hAnsi="宋体" w:eastAsia="宋体" w:cs="宋体"/>
          <w:color w:val="auto"/>
          <w:sz w:val="24"/>
          <w:szCs w:val="32"/>
          <w:highlight w:val="none"/>
          <w:u w:val="single"/>
        </w:rPr>
        <w:t xml:space="preserve">       </w:t>
      </w:r>
      <w:r>
        <w:rPr>
          <w:rFonts w:hint="eastAsia" w:ascii="宋体" w:hAnsi="宋体" w:eastAsia="宋体" w:cs="宋体"/>
          <w:color w:val="auto"/>
          <w:sz w:val="24"/>
          <w:szCs w:val="32"/>
          <w:highlight w:val="none"/>
          <w:u w:val="single"/>
          <w:lang w:val="en-US" w:eastAsia="zh-CN"/>
        </w:rPr>
        <w:t xml:space="preserve">  </w:t>
      </w:r>
      <w:r>
        <w:rPr>
          <w:rFonts w:hint="eastAsia" w:ascii="宋体" w:hAnsi="宋体" w:eastAsia="宋体" w:cs="宋体"/>
          <w:color w:val="auto"/>
          <w:sz w:val="24"/>
          <w:szCs w:val="32"/>
          <w:highlight w:val="none"/>
          <w:u w:val="single"/>
        </w:rPr>
        <w:t xml:space="preserve"> </w:t>
      </w:r>
      <w:r>
        <w:rPr>
          <w:rFonts w:hint="eastAsia" w:ascii="宋体" w:hAnsi="宋体" w:eastAsia="宋体" w:cs="宋体"/>
          <w:color w:val="auto"/>
          <w:sz w:val="24"/>
          <w:szCs w:val="32"/>
          <w:highlight w:val="none"/>
        </w:rPr>
        <w:t>作为酬金，竞投承包上述工程</w:t>
      </w:r>
      <w:r>
        <w:rPr>
          <w:rFonts w:hint="eastAsia" w:ascii="宋体" w:hAnsi="宋体" w:eastAsia="宋体" w:cs="宋体"/>
          <w:color w:val="auto"/>
          <w:sz w:val="24"/>
          <w:szCs w:val="32"/>
          <w:highlight w:val="none"/>
          <w:lang w:val="en-US" w:eastAsia="zh-CN"/>
        </w:rPr>
        <w:t>勘察设计</w:t>
      </w:r>
      <w:r>
        <w:rPr>
          <w:rFonts w:hint="eastAsia" w:ascii="宋体" w:hAnsi="宋体" w:eastAsia="宋体" w:cs="宋体"/>
          <w:snapToGrid w:val="0"/>
          <w:color w:val="auto"/>
          <w:kern w:val="0"/>
          <w:sz w:val="24"/>
          <w:highlight w:val="none"/>
        </w:rPr>
        <w:t>。</w:t>
      </w:r>
    </w:p>
    <w:p w14:paraId="17CB8120">
      <w:pPr>
        <w:wordWrap w:val="0"/>
        <w:adjustRightInd w:val="0"/>
        <w:snapToGrid w:val="0"/>
        <w:spacing w:line="440" w:lineRule="exact"/>
        <w:ind w:firstLine="57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2. </w:t>
      </w:r>
      <w:r>
        <w:rPr>
          <w:rFonts w:hint="eastAsia" w:ascii="宋体" w:hAnsi="宋体" w:eastAsia="宋体" w:cs="宋体"/>
          <w:color w:val="auto"/>
          <w:sz w:val="24"/>
          <w:szCs w:val="32"/>
          <w:highlight w:val="none"/>
        </w:rPr>
        <w:t>如我方中标，我方保证按合同条款、规范和附件要求，实施并完成上述工程</w:t>
      </w:r>
      <w:r>
        <w:rPr>
          <w:rFonts w:hint="eastAsia" w:ascii="宋体" w:hAnsi="宋体" w:eastAsia="宋体" w:cs="宋体"/>
          <w:color w:val="auto"/>
          <w:sz w:val="24"/>
          <w:szCs w:val="32"/>
          <w:highlight w:val="none"/>
          <w:lang w:val="en-US" w:eastAsia="zh-CN"/>
        </w:rPr>
        <w:t>勘察</w:t>
      </w:r>
      <w:r>
        <w:rPr>
          <w:rFonts w:hint="eastAsia" w:ascii="宋体" w:hAnsi="宋体" w:eastAsia="宋体" w:cs="宋体"/>
          <w:color w:val="auto"/>
          <w:sz w:val="24"/>
          <w:szCs w:val="32"/>
          <w:highlight w:val="none"/>
        </w:rPr>
        <w:t>设计。我方保证按照合同约定的开工日期开始本工程的</w:t>
      </w:r>
      <w:r>
        <w:rPr>
          <w:rFonts w:hint="eastAsia" w:ascii="宋体" w:hAnsi="宋体" w:eastAsia="宋体" w:cs="宋体"/>
          <w:color w:val="auto"/>
          <w:sz w:val="24"/>
          <w:szCs w:val="32"/>
          <w:highlight w:val="none"/>
          <w:lang w:val="en-US" w:eastAsia="zh-CN"/>
        </w:rPr>
        <w:t>勘察</w:t>
      </w:r>
      <w:r>
        <w:rPr>
          <w:rFonts w:hint="eastAsia" w:ascii="宋体" w:hAnsi="宋体" w:eastAsia="宋体" w:cs="宋体"/>
          <w:color w:val="auto"/>
          <w:sz w:val="24"/>
          <w:szCs w:val="32"/>
          <w:highlight w:val="none"/>
        </w:rPr>
        <w:t>设计，</w:t>
      </w:r>
      <w:r>
        <w:rPr>
          <w:rFonts w:hint="eastAsia" w:ascii="宋体" w:hAnsi="宋体" w:eastAsia="宋体" w:cs="宋体"/>
          <w:color w:val="auto"/>
          <w:sz w:val="24"/>
          <w:szCs w:val="32"/>
          <w:highlight w:val="none"/>
          <w:u w:val="single"/>
        </w:rPr>
        <w:t xml:space="preserve">     </w:t>
      </w:r>
      <w:r>
        <w:rPr>
          <w:rFonts w:hint="eastAsia" w:ascii="宋体" w:hAnsi="宋体" w:eastAsia="宋体" w:cs="宋体"/>
          <w:color w:val="auto"/>
          <w:sz w:val="24"/>
          <w:szCs w:val="32"/>
          <w:highlight w:val="none"/>
        </w:rPr>
        <w:t>个日历天内完成合同约定的内容，并确保</w:t>
      </w:r>
      <w:r>
        <w:rPr>
          <w:rFonts w:hint="eastAsia" w:ascii="宋体" w:hAnsi="宋体" w:eastAsia="宋体" w:cs="宋体"/>
          <w:color w:val="auto"/>
          <w:sz w:val="24"/>
          <w:szCs w:val="32"/>
          <w:highlight w:val="none"/>
          <w:lang w:val="en-US" w:eastAsia="zh-CN"/>
        </w:rPr>
        <w:t>勘察</w:t>
      </w:r>
      <w:r>
        <w:rPr>
          <w:rFonts w:hint="eastAsia" w:ascii="宋体" w:hAnsi="宋体" w:eastAsia="宋体" w:cs="宋体"/>
          <w:color w:val="auto"/>
          <w:sz w:val="24"/>
          <w:szCs w:val="32"/>
          <w:highlight w:val="none"/>
          <w:lang w:eastAsia="zh-CN"/>
        </w:rPr>
        <w:t>设计</w:t>
      </w:r>
      <w:r>
        <w:rPr>
          <w:rFonts w:hint="eastAsia" w:ascii="宋体" w:hAnsi="宋体" w:eastAsia="宋体" w:cs="宋体"/>
          <w:color w:val="auto"/>
          <w:sz w:val="24"/>
          <w:szCs w:val="32"/>
          <w:highlight w:val="none"/>
        </w:rPr>
        <w:t>成果文件</w:t>
      </w:r>
      <w:r>
        <w:rPr>
          <w:rFonts w:hint="eastAsia" w:ascii="宋体" w:hAnsi="宋体" w:eastAsia="宋体" w:cs="宋体"/>
          <w:snapToGrid w:val="0"/>
          <w:color w:val="auto"/>
          <w:kern w:val="0"/>
          <w:sz w:val="24"/>
          <w:highlight w:val="none"/>
        </w:rPr>
        <w:t>符合住建部颁布的现行有关规范要求、必须通过有关部门的审查及经有资质的审图机构审查合格</w:t>
      </w:r>
      <w:r>
        <w:rPr>
          <w:rFonts w:hint="eastAsia" w:ascii="宋体" w:hAnsi="宋体" w:eastAsia="宋体" w:cs="宋体"/>
          <w:color w:val="auto"/>
          <w:sz w:val="24"/>
          <w:szCs w:val="32"/>
          <w:highlight w:val="none"/>
        </w:rPr>
        <w:t>标准并修补其任何缺陷。</w:t>
      </w:r>
    </w:p>
    <w:p w14:paraId="16B6155E">
      <w:pPr>
        <w:wordWrap w:val="0"/>
        <w:adjustRightInd w:val="0"/>
        <w:snapToGrid w:val="0"/>
        <w:spacing w:line="440" w:lineRule="exact"/>
        <w:ind w:firstLine="57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 本投标函在你方接收我方递交的投标文件之日起、到招标文件规定的投标有效期期满前对我方具有约束力。我方随时准备接受你方发出的中标通知书。</w:t>
      </w:r>
    </w:p>
    <w:p w14:paraId="2AD67134">
      <w:pPr>
        <w:wordWrap w:val="0"/>
        <w:adjustRightInd w:val="0"/>
        <w:snapToGrid w:val="0"/>
        <w:spacing w:line="440" w:lineRule="exact"/>
        <w:ind w:firstLine="57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4．我方在此声明，我方不存在本项目招标文件第一章第三节第</w:t>
      </w:r>
      <w:r>
        <w:rPr>
          <w:rFonts w:hint="eastAsia" w:ascii="宋体" w:hAnsi="宋体" w:eastAsia="宋体" w:cs="宋体"/>
          <w:b/>
          <w:bCs/>
          <w:snapToGrid w:val="0"/>
          <w:color w:val="auto"/>
          <w:kern w:val="0"/>
          <w:sz w:val="24"/>
          <w:highlight w:val="none"/>
        </w:rPr>
        <w:t>2.4</w:t>
      </w:r>
      <w:r>
        <w:rPr>
          <w:rFonts w:hint="eastAsia" w:ascii="宋体" w:hAnsi="宋体" w:eastAsia="宋体" w:cs="宋体"/>
          <w:snapToGrid w:val="0"/>
          <w:color w:val="auto"/>
          <w:kern w:val="0"/>
          <w:sz w:val="24"/>
          <w:highlight w:val="none"/>
        </w:rPr>
        <w:t>条“禁止投标条款”所列出的任何一种情形，并愿意承担因我方就此弄虚作假所引起的一切法律后果。</w:t>
      </w:r>
    </w:p>
    <w:p w14:paraId="79AED77D">
      <w:pPr>
        <w:wordWrap w:val="0"/>
        <w:adjustRightInd w:val="0"/>
        <w:snapToGrid w:val="0"/>
        <w:spacing w:line="440" w:lineRule="exact"/>
        <w:ind w:firstLine="57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5．我方在此承诺，所递交投标文件的全部内容均为真实、有效、准确的，并愿意承担因我方就此弄虚作假所引起的一切法律后果，同时理解和同意有可能被要求提供更多的资料。</w:t>
      </w:r>
    </w:p>
    <w:p w14:paraId="1BD99194">
      <w:pPr>
        <w:wordWrap w:val="0"/>
        <w:adjustRightInd w:val="0"/>
        <w:snapToGrid w:val="0"/>
        <w:spacing w:line="440" w:lineRule="exact"/>
        <w:ind w:firstLine="570"/>
        <w:rPr>
          <w:rFonts w:hint="eastAsia" w:ascii="宋体" w:hAnsi="宋体" w:eastAsia="宋体" w:cs="宋体"/>
          <w:snapToGrid w:val="0"/>
          <w:color w:val="auto"/>
          <w:kern w:val="0"/>
          <w:sz w:val="24"/>
          <w:highlight w:val="none"/>
        </w:rPr>
      </w:pPr>
      <w:bookmarkStart w:id="237" w:name="_Hlt68771070"/>
      <w:bookmarkEnd w:id="237"/>
      <w:r>
        <w:rPr>
          <w:rFonts w:hint="eastAsia" w:ascii="宋体" w:hAnsi="宋体" w:eastAsia="宋体" w:cs="宋体"/>
          <w:snapToGrid w:val="0"/>
          <w:color w:val="auto"/>
          <w:kern w:val="0"/>
          <w:sz w:val="24"/>
          <w:highlight w:val="none"/>
        </w:rPr>
        <w:t>6. 我方理解你方不一定要接纳收到的最低投标</w:t>
      </w:r>
      <w:r>
        <w:rPr>
          <w:rFonts w:hint="eastAsia" w:ascii="宋体" w:hAnsi="宋体" w:eastAsia="宋体" w:cs="宋体"/>
          <w:snapToGrid w:val="0"/>
          <w:color w:val="auto"/>
          <w:kern w:val="0"/>
          <w:sz w:val="24"/>
          <w:highlight w:val="none"/>
          <w:lang w:val="en-US" w:eastAsia="zh-CN"/>
        </w:rPr>
        <w:t>报价</w:t>
      </w:r>
      <w:r>
        <w:rPr>
          <w:rFonts w:hint="eastAsia" w:ascii="宋体" w:hAnsi="宋体" w:eastAsia="宋体" w:cs="宋体"/>
          <w:snapToGrid w:val="0"/>
          <w:color w:val="auto"/>
          <w:kern w:val="0"/>
          <w:sz w:val="24"/>
          <w:highlight w:val="none"/>
        </w:rPr>
        <w:t>的投标人中标，也不要求你方解释我方是否中标的原因。</w:t>
      </w:r>
    </w:p>
    <w:p w14:paraId="6446C91D">
      <w:pPr>
        <w:spacing w:line="360" w:lineRule="auto"/>
        <w:rPr>
          <w:rFonts w:hint="eastAsia" w:ascii="宋体" w:hAnsi="宋体" w:eastAsia="宋体" w:cs="宋体"/>
          <w:color w:val="auto"/>
          <w:sz w:val="24"/>
          <w:highlight w:val="none"/>
        </w:rPr>
      </w:pPr>
    </w:p>
    <w:p w14:paraId="05E4530A">
      <w:pPr>
        <w:spacing w:line="360" w:lineRule="auto"/>
        <w:rPr>
          <w:rFonts w:hint="eastAsia" w:ascii="宋体" w:hAnsi="宋体" w:eastAsia="宋体" w:cs="宋体"/>
          <w:color w:val="auto"/>
          <w:sz w:val="24"/>
          <w:highlight w:val="none"/>
        </w:rPr>
      </w:pPr>
    </w:p>
    <w:p w14:paraId="24DE2067">
      <w:pPr>
        <w:wordWrap w:val="0"/>
        <w:adjustRightInd w:val="0"/>
        <w:snapToGrid w:val="0"/>
        <w:spacing w:line="440" w:lineRule="exact"/>
        <w:jc w:val="righ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    投标人：</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（盖单位章）</w:t>
      </w:r>
    </w:p>
    <w:p w14:paraId="4152F935">
      <w:pPr>
        <w:spacing w:line="360" w:lineRule="auto"/>
        <w:rPr>
          <w:rFonts w:hint="eastAsia" w:ascii="宋体" w:hAnsi="宋体" w:eastAsia="宋体" w:cs="宋体"/>
          <w:color w:val="auto"/>
          <w:sz w:val="24"/>
          <w:highlight w:val="none"/>
        </w:rPr>
      </w:pPr>
    </w:p>
    <w:p w14:paraId="49531672">
      <w:pPr>
        <w:wordWrap w:val="0"/>
        <w:adjustRightInd w:val="0"/>
        <w:snapToGrid w:val="0"/>
        <w:spacing w:line="440" w:lineRule="exact"/>
        <w:ind w:firstLine="480" w:firstLineChars="200"/>
        <w:jc w:val="righ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法定代表人或其委托代理人：</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（签字或盖章）</w:t>
      </w:r>
    </w:p>
    <w:p w14:paraId="401C10DF">
      <w:pPr>
        <w:spacing w:line="360" w:lineRule="auto"/>
        <w:rPr>
          <w:rFonts w:hint="eastAsia" w:ascii="宋体" w:hAnsi="宋体" w:eastAsia="宋体" w:cs="宋体"/>
          <w:color w:val="auto"/>
          <w:sz w:val="24"/>
          <w:highlight w:val="none"/>
        </w:rPr>
      </w:pPr>
    </w:p>
    <w:p w14:paraId="475A1492">
      <w:pPr>
        <w:wordWrap w:val="0"/>
        <w:adjustRightInd w:val="0"/>
        <w:snapToGrid w:val="0"/>
        <w:spacing w:line="440" w:lineRule="exact"/>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月</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日</w:t>
      </w:r>
      <w:bookmarkStart w:id="238" w:name="_Toc2467"/>
      <w:bookmarkStart w:id="239" w:name="_Toc32554"/>
      <w:bookmarkStart w:id="240" w:name="_Toc12997"/>
      <w:bookmarkStart w:id="241" w:name="_Toc14846"/>
    </w:p>
    <w:p w14:paraId="4BAAC93D">
      <w:pPr>
        <w:rPr>
          <w:rFonts w:hint="eastAsia" w:ascii="宋体" w:hAnsi="宋体" w:eastAsia="宋体" w:cs="宋体"/>
        </w:rPr>
      </w:pPr>
    </w:p>
    <w:p w14:paraId="1ACD6333">
      <w:pPr>
        <w:rPr>
          <w:rFonts w:hint="eastAsia" w:ascii="宋体" w:hAnsi="宋体" w:eastAsia="宋体" w:cs="宋体"/>
        </w:rPr>
      </w:pPr>
    </w:p>
    <w:p w14:paraId="3278DC7A">
      <w:pPr>
        <w:rPr>
          <w:rFonts w:hint="eastAsia" w:ascii="宋体" w:hAnsi="宋体" w:eastAsia="宋体" w:cs="宋体"/>
        </w:rPr>
      </w:pPr>
    </w:p>
    <w:p w14:paraId="33DA8438">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snapToGrid w:val="0"/>
          <w:color w:val="auto"/>
          <w:sz w:val="24"/>
          <w:highlight w:val="none"/>
        </w:rPr>
      </w:pPr>
      <w:bookmarkStart w:id="242" w:name="_Toc13446"/>
      <w:r>
        <w:rPr>
          <w:rFonts w:hint="eastAsia" w:ascii="宋体" w:hAnsi="宋体" w:eastAsia="宋体" w:cs="宋体"/>
          <w:b/>
          <w:color w:val="auto"/>
          <w:kern w:val="2"/>
          <w:sz w:val="28"/>
          <w:szCs w:val="24"/>
          <w:lang w:val="en-US" w:eastAsia="zh-CN"/>
        </w:rPr>
        <w:t>格式三   工程项目报价表</w:t>
      </w:r>
      <w:bookmarkEnd w:id="238"/>
      <w:bookmarkEnd w:id="239"/>
      <w:bookmarkEnd w:id="240"/>
      <w:bookmarkEnd w:id="242"/>
    </w:p>
    <w:p w14:paraId="582DD97F">
      <w:pPr>
        <w:wordWrap w:val="0"/>
        <w:adjustRightInd w:val="0"/>
        <w:snapToGrid w:val="0"/>
        <w:spacing w:before="260" w:after="260" w:line="240" w:lineRule="auto"/>
        <w:jc w:val="center"/>
        <w:rPr>
          <w:rFonts w:hint="eastAsia" w:ascii="宋体" w:hAnsi="宋体" w:eastAsia="宋体" w:cs="宋体"/>
          <w:b/>
          <w:snapToGrid w:val="0"/>
          <w:color w:val="auto"/>
          <w:kern w:val="0"/>
          <w:sz w:val="30"/>
          <w:highlight w:val="none"/>
        </w:rPr>
      </w:pPr>
      <w:r>
        <w:rPr>
          <w:rFonts w:hint="eastAsia" w:ascii="宋体" w:hAnsi="宋体" w:eastAsia="宋体" w:cs="宋体"/>
          <w:b/>
          <w:snapToGrid w:val="0"/>
          <w:color w:val="auto"/>
          <w:kern w:val="0"/>
          <w:sz w:val="30"/>
          <w:highlight w:val="none"/>
        </w:rPr>
        <w:t>工程项目报价表</w:t>
      </w:r>
      <w:bookmarkEnd w:id="241"/>
      <w:bookmarkStart w:id="243" w:name="_附件十一：单位工程费汇总表"/>
      <w:bookmarkEnd w:id="243"/>
    </w:p>
    <w:tbl>
      <w:tblPr>
        <w:tblStyle w:val="33"/>
        <w:tblW w:w="105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2277"/>
        <w:gridCol w:w="1575"/>
        <w:gridCol w:w="1758"/>
        <w:gridCol w:w="1457"/>
        <w:gridCol w:w="2900"/>
      </w:tblGrid>
      <w:tr w14:paraId="2D4F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536" w:type="dxa"/>
            <w:noWrap w:val="0"/>
            <w:vAlign w:val="center"/>
          </w:tcPr>
          <w:p w14:paraId="02A727DD">
            <w:pPr>
              <w:jc w:val="center"/>
              <w:rPr>
                <w:rFonts w:hint="eastAsia" w:ascii="宋体" w:hAnsi="宋体" w:eastAsia="宋体" w:cs="宋体"/>
                <w:b/>
                <w:bCs/>
                <w:lang w:val="en-US" w:eastAsia="zh-CN"/>
              </w:rPr>
            </w:pPr>
            <w:r>
              <w:rPr>
                <w:rFonts w:hint="eastAsia" w:ascii="宋体" w:hAnsi="宋体" w:eastAsia="宋体" w:cs="宋体"/>
                <w:b/>
                <w:bCs/>
                <w:lang w:val="en-US" w:eastAsia="zh-CN"/>
              </w:rPr>
              <w:t>序号</w:t>
            </w:r>
          </w:p>
        </w:tc>
        <w:tc>
          <w:tcPr>
            <w:tcW w:w="2277" w:type="dxa"/>
            <w:noWrap w:val="0"/>
            <w:vAlign w:val="center"/>
          </w:tcPr>
          <w:p w14:paraId="0A00EC66">
            <w:pPr>
              <w:jc w:val="center"/>
              <w:rPr>
                <w:rFonts w:hint="eastAsia" w:ascii="宋体" w:hAnsi="宋体" w:eastAsia="宋体" w:cs="宋体"/>
                <w:b/>
                <w:bCs/>
                <w:lang w:val="en-US" w:eastAsia="zh-CN"/>
              </w:rPr>
            </w:pPr>
            <w:r>
              <w:rPr>
                <w:rFonts w:hint="eastAsia" w:ascii="宋体" w:hAnsi="宋体" w:eastAsia="宋体" w:cs="宋体"/>
                <w:b/>
                <w:bCs/>
                <w:lang w:val="en-US" w:eastAsia="zh-CN"/>
              </w:rPr>
              <w:t>项目名称</w:t>
            </w:r>
          </w:p>
        </w:tc>
        <w:tc>
          <w:tcPr>
            <w:tcW w:w="1575" w:type="dxa"/>
            <w:noWrap w:val="0"/>
            <w:vAlign w:val="center"/>
          </w:tcPr>
          <w:p w14:paraId="04328786">
            <w:pPr>
              <w:jc w:val="center"/>
              <w:rPr>
                <w:rFonts w:hint="eastAsia" w:ascii="宋体" w:hAnsi="宋体" w:eastAsia="宋体" w:cs="宋体"/>
                <w:b/>
                <w:bCs/>
                <w:lang w:val="en-US" w:eastAsia="zh-CN"/>
              </w:rPr>
            </w:pPr>
            <w:r>
              <w:rPr>
                <w:rFonts w:hint="eastAsia" w:ascii="宋体" w:hAnsi="宋体" w:eastAsia="宋体" w:cs="宋体"/>
                <w:b/>
                <w:bCs/>
                <w:lang w:val="en-US" w:eastAsia="zh-CN"/>
              </w:rPr>
              <w:t>报价基数</w:t>
            </w:r>
          </w:p>
          <w:p w14:paraId="30089DE8">
            <w:pPr>
              <w:jc w:val="center"/>
              <w:rPr>
                <w:rFonts w:hint="eastAsia" w:ascii="宋体" w:hAnsi="宋体" w:eastAsia="宋体" w:cs="宋体"/>
                <w:b/>
                <w:bCs/>
                <w:lang w:val="en-US" w:eastAsia="zh-CN"/>
              </w:rPr>
            </w:pPr>
            <w:r>
              <w:rPr>
                <w:rFonts w:hint="eastAsia" w:ascii="宋体" w:hAnsi="宋体" w:eastAsia="宋体" w:cs="宋体"/>
                <w:b/>
                <w:bCs/>
                <w:lang w:val="en-US" w:eastAsia="zh-CN"/>
              </w:rPr>
              <w:t>（米/元）</w:t>
            </w:r>
          </w:p>
        </w:tc>
        <w:tc>
          <w:tcPr>
            <w:tcW w:w="1758" w:type="dxa"/>
            <w:noWrap w:val="0"/>
            <w:vAlign w:val="center"/>
          </w:tcPr>
          <w:p w14:paraId="255D351E">
            <w:pPr>
              <w:jc w:val="center"/>
              <w:rPr>
                <w:rFonts w:hint="eastAsia" w:ascii="宋体" w:hAnsi="宋体" w:eastAsia="宋体" w:cs="宋体"/>
                <w:b/>
                <w:bCs/>
                <w:lang w:val="en-US" w:eastAsia="zh-CN"/>
              </w:rPr>
            </w:pPr>
            <w:r>
              <w:rPr>
                <w:rFonts w:hint="eastAsia" w:ascii="宋体" w:hAnsi="宋体" w:eastAsia="宋体" w:cs="宋体"/>
                <w:b/>
                <w:bCs/>
                <w:lang w:val="en-US" w:eastAsia="zh-CN"/>
              </w:rPr>
              <w:t>综合单价上限/报价费率上限</w:t>
            </w:r>
          </w:p>
        </w:tc>
        <w:tc>
          <w:tcPr>
            <w:tcW w:w="1457" w:type="dxa"/>
            <w:noWrap w:val="0"/>
            <w:vAlign w:val="center"/>
          </w:tcPr>
          <w:p w14:paraId="47803336">
            <w:pPr>
              <w:jc w:val="center"/>
              <w:rPr>
                <w:rFonts w:hint="eastAsia" w:ascii="宋体" w:hAnsi="宋体" w:eastAsia="宋体" w:cs="宋体"/>
                <w:b/>
                <w:bCs/>
                <w:lang w:val="en-US" w:eastAsia="zh-CN"/>
              </w:rPr>
            </w:pPr>
            <w:r>
              <w:rPr>
                <w:rFonts w:hint="eastAsia" w:ascii="宋体" w:hAnsi="宋体" w:eastAsia="宋体" w:cs="宋体"/>
                <w:b/>
                <w:bCs/>
                <w:lang w:val="en-US" w:eastAsia="zh-CN"/>
              </w:rPr>
              <w:t>最高投标限价（元）</w:t>
            </w:r>
          </w:p>
        </w:tc>
        <w:tc>
          <w:tcPr>
            <w:tcW w:w="2900" w:type="dxa"/>
            <w:shd w:val="clear" w:color="auto" w:fill="auto"/>
            <w:noWrap w:val="0"/>
            <w:vAlign w:val="center"/>
          </w:tcPr>
          <w:p w14:paraId="1CF7812E">
            <w:pPr>
              <w:jc w:val="center"/>
              <w:rPr>
                <w:rFonts w:hint="eastAsia" w:ascii="宋体" w:hAnsi="宋体" w:eastAsia="宋体" w:cs="宋体"/>
                <w:b/>
                <w:bCs/>
                <w:lang w:val="en-US" w:eastAsia="zh-CN"/>
              </w:rPr>
            </w:pPr>
            <w:r>
              <w:rPr>
                <w:rFonts w:hint="eastAsia" w:ascii="宋体" w:hAnsi="宋体" w:eastAsia="宋体" w:cs="宋体"/>
                <w:b/>
                <w:bCs/>
                <w:lang w:val="en-US" w:eastAsia="zh-CN"/>
              </w:rPr>
              <w:t>备注</w:t>
            </w:r>
          </w:p>
        </w:tc>
      </w:tr>
      <w:tr w14:paraId="2CFC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2" w:hRule="atLeast"/>
          <w:jc w:val="center"/>
        </w:trPr>
        <w:tc>
          <w:tcPr>
            <w:tcW w:w="536" w:type="dxa"/>
            <w:noWrap w:val="0"/>
            <w:vAlign w:val="center"/>
          </w:tcPr>
          <w:p w14:paraId="62D2F223">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w:t>
            </w:r>
          </w:p>
        </w:tc>
        <w:tc>
          <w:tcPr>
            <w:tcW w:w="2277" w:type="dxa"/>
            <w:noWrap w:val="0"/>
            <w:vAlign w:val="center"/>
          </w:tcPr>
          <w:p w14:paraId="551C33AD">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勘察费</w:t>
            </w:r>
          </w:p>
        </w:tc>
        <w:tc>
          <w:tcPr>
            <w:tcW w:w="1575" w:type="dxa"/>
            <w:noWrap w:val="0"/>
            <w:vAlign w:val="center"/>
          </w:tcPr>
          <w:p w14:paraId="1DC28ECE">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8</w:t>
            </w:r>
            <w:r>
              <w:rPr>
                <w:rFonts w:hint="eastAsia" w:ascii="宋体" w:hAnsi="宋体" w:eastAsia="宋体" w:cs="宋体"/>
                <w:b w:val="0"/>
                <w:bCs w:val="0"/>
                <w:color w:val="auto"/>
                <w:kern w:val="2"/>
                <w:sz w:val="21"/>
                <w:szCs w:val="21"/>
                <w:highlight w:val="none"/>
                <w:lang w:val="en-US" w:eastAsia="zh-CN" w:bidi="ar-SA"/>
              </w:rPr>
              <w:t>000米</w:t>
            </w:r>
          </w:p>
        </w:tc>
        <w:tc>
          <w:tcPr>
            <w:tcW w:w="1758" w:type="dxa"/>
            <w:noWrap w:val="0"/>
            <w:vAlign w:val="center"/>
          </w:tcPr>
          <w:p w14:paraId="4D835DB3">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u w:val="singl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元/米</w:t>
            </w:r>
          </w:p>
        </w:tc>
        <w:tc>
          <w:tcPr>
            <w:tcW w:w="1457" w:type="dxa"/>
            <w:noWrap w:val="0"/>
            <w:vAlign w:val="center"/>
          </w:tcPr>
          <w:p w14:paraId="6D0F8F5C">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 </w:t>
            </w:r>
          </w:p>
        </w:tc>
        <w:tc>
          <w:tcPr>
            <w:tcW w:w="2900" w:type="dxa"/>
            <w:shd w:val="clear" w:color="auto" w:fill="auto"/>
            <w:noWrap w:val="0"/>
            <w:vAlign w:val="center"/>
          </w:tcPr>
          <w:p w14:paraId="0264F06B">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lang w:val="en-US" w:eastAsia="zh-CN"/>
              </w:rPr>
              <w:t>投标人报综合单价和总价，勘察综合单价≤</w:t>
            </w:r>
            <w:r>
              <w:rPr>
                <w:rFonts w:hint="eastAsia" w:hAnsi="宋体" w:cs="宋体"/>
                <w:b w:val="0"/>
                <w:bCs w:val="0"/>
                <w:color w:val="auto"/>
                <w:kern w:val="2"/>
                <w:sz w:val="21"/>
                <w:szCs w:val="21"/>
                <w:highlight w:val="none"/>
                <w:lang w:val="en-US" w:eastAsia="zh-CN" w:bidi="ar-SA"/>
              </w:rPr>
              <w:t>120</w:t>
            </w:r>
            <w:r>
              <w:rPr>
                <w:rFonts w:hint="eastAsia" w:ascii="宋体" w:hAnsi="宋体" w:eastAsia="宋体" w:cs="宋体"/>
                <w:b w:val="0"/>
                <w:bCs w:val="0"/>
                <w:color w:val="auto"/>
                <w:kern w:val="2"/>
                <w:sz w:val="21"/>
                <w:szCs w:val="21"/>
                <w:highlight w:val="none"/>
                <w:lang w:val="en-US" w:eastAsia="zh-CN" w:bidi="ar-SA"/>
              </w:rPr>
              <w:t>元/米，勘察费最高投标限价以暂定得工程量</w:t>
            </w:r>
            <w:r>
              <w:rPr>
                <w:rFonts w:hint="eastAsia" w:hAnsi="宋体" w:cs="宋体"/>
                <w:b w:val="0"/>
                <w:bCs w:val="0"/>
                <w:color w:val="auto"/>
                <w:kern w:val="2"/>
                <w:sz w:val="21"/>
                <w:szCs w:val="21"/>
                <w:highlight w:val="none"/>
                <w:lang w:val="en-US" w:eastAsia="zh-CN" w:bidi="ar-SA"/>
              </w:rPr>
              <w:t>8</w:t>
            </w:r>
            <w:r>
              <w:rPr>
                <w:rFonts w:hint="eastAsia" w:ascii="宋体" w:hAnsi="宋体" w:eastAsia="宋体" w:cs="宋体"/>
                <w:b w:val="0"/>
                <w:bCs w:val="0"/>
                <w:color w:val="auto"/>
                <w:kern w:val="2"/>
                <w:sz w:val="21"/>
                <w:szCs w:val="21"/>
                <w:highlight w:val="none"/>
                <w:lang w:val="en-US" w:eastAsia="zh-CN" w:bidi="ar-SA"/>
              </w:rPr>
              <w:t>000米为基数计取，在勘察费最高投标限价范围内按实际工程量进行结算。</w:t>
            </w:r>
          </w:p>
        </w:tc>
      </w:tr>
      <w:tr w14:paraId="4057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536" w:type="dxa"/>
            <w:noWrap w:val="0"/>
            <w:vAlign w:val="center"/>
          </w:tcPr>
          <w:p w14:paraId="2F288204">
            <w:pPr>
              <w:pStyle w:val="80"/>
              <w:pageBreakBefore w:val="0"/>
              <w:widowControl w:val="0"/>
              <w:kinsoku/>
              <w:wordWrap/>
              <w:overflowPunct/>
              <w:topLinePunct w:val="0"/>
              <w:bidi w:val="0"/>
              <w:snapToGrid/>
              <w:spacing w:line="240" w:lineRule="auto"/>
              <w:jc w:val="center"/>
              <w:textAlignment w:val="auto"/>
              <w:rPr>
                <w:rFonts w:hint="default" w:ascii="宋体"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2</w:t>
            </w:r>
          </w:p>
        </w:tc>
        <w:tc>
          <w:tcPr>
            <w:tcW w:w="2277" w:type="dxa"/>
            <w:noWrap w:val="0"/>
            <w:vAlign w:val="center"/>
          </w:tcPr>
          <w:p w14:paraId="18566A68">
            <w:pPr>
              <w:pStyle w:val="80"/>
              <w:pageBreakBefore w:val="0"/>
              <w:widowControl w:val="0"/>
              <w:kinsoku/>
              <w:wordWrap/>
              <w:overflowPunct/>
              <w:topLinePunct w:val="0"/>
              <w:bidi w:val="0"/>
              <w:snapToGrid/>
              <w:spacing w:line="240" w:lineRule="auto"/>
              <w:jc w:val="center"/>
              <w:textAlignment w:val="auto"/>
              <w:rPr>
                <w:rFonts w:hint="default" w:ascii="宋体"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设计费</w:t>
            </w:r>
          </w:p>
        </w:tc>
        <w:tc>
          <w:tcPr>
            <w:tcW w:w="1575" w:type="dxa"/>
            <w:noWrap w:val="0"/>
            <w:vAlign w:val="center"/>
          </w:tcPr>
          <w:p w14:paraId="4C4E5DAB">
            <w:pPr>
              <w:pStyle w:val="80"/>
              <w:pageBreakBefore w:val="0"/>
              <w:widowControl w:val="0"/>
              <w:kinsoku/>
              <w:wordWrap/>
              <w:overflowPunct/>
              <w:topLinePunct w:val="0"/>
              <w:bidi w:val="0"/>
              <w:snapToGrid/>
              <w:spacing w:line="240" w:lineRule="auto"/>
              <w:jc w:val="center"/>
              <w:textAlignment w:val="auto"/>
              <w:rPr>
                <w:rFonts w:hint="default" w:hAnsi="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w:t>
            </w:r>
          </w:p>
        </w:tc>
        <w:tc>
          <w:tcPr>
            <w:tcW w:w="1758" w:type="dxa"/>
            <w:noWrap w:val="0"/>
            <w:vAlign w:val="center"/>
          </w:tcPr>
          <w:p w14:paraId="6FB2916A">
            <w:pPr>
              <w:pStyle w:val="80"/>
              <w:pageBreakBefore w:val="0"/>
              <w:widowControl w:val="0"/>
              <w:kinsoku/>
              <w:wordWrap/>
              <w:overflowPunct/>
              <w:topLinePunct w:val="0"/>
              <w:bidi w:val="0"/>
              <w:snapToGrid/>
              <w:spacing w:line="240" w:lineRule="auto"/>
              <w:jc w:val="center"/>
              <w:textAlignment w:val="auto"/>
              <w:rPr>
                <w:rFonts w:hint="default" w:ascii="宋体" w:hAnsi="宋体" w:eastAsia="宋体" w:cs="宋体"/>
                <w:b w:val="0"/>
                <w:bCs w:val="0"/>
                <w:color w:val="auto"/>
                <w:kern w:val="2"/>
                <w:sz w:val="21"/>
                <w:szCs w:val="21"/>
                <w:highlight w:val="none"/>
                <w:u w:val="single"/>
                <w:lang w:val="en-US" w:eastAsia="zh-CN" w:bidi="ar-SA"/>
              </w:rPr>
            </w:pPr>
            <w:r>
              <w:rPr>
                <w:rFonts w:hint="eastAsia" w:hAnsi="宋体" w:cs="宋体"/>
                <w:b w:val="0"/>
                <w:bCs w:val="0"/>
                <w:color w:val="auto"/>
                <w:kern w:val="2"/>
                <w:sz w:val="21"/>
                <w:szCs w:val="21"/>
                <w:highlight w:val="none"/>
                <w:u w:val="single"/>
                <w:lang w:val="en-US" w:eastAsia="zh-CN" w:bidi="ar-SA"/>
              </w:rPr>
              <w:t>/</w:t>
            </w:r>
          </w:p>
        </w:tc>
        <w:tc>
          <w:tcPr>
            <w:tcW w:w="1457" w:type="dxa"/>
            <w:noWrap w:val="0"/>
            <w:vAlign w:val="center"/>
          </w:tcPr>
          <w:p w14:paraId="40B071F1">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p>
        </w:tc>
        <w:tc>
          <w:tcPr>
            <w:tcW w:w="2900" w:type="dxa"/>
            <w:vMerge w:val="restart"/>
            <w:shd w:val="clear" w:color="auto" w:fill="auto"/>
            <w:noWrap w:val="0"/>
            <w:vAlign w:val="center"/>
          </w:tcPr>
          <w:p w14:paraId="32DAD698">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投标人报价费率和总价，设计报价费率=设计费投标报价/暂定建安工程费。结算时按已审定的建安工程费预算价为计费基数计算。</w:t>
            </w:r>
          </w:p>
        </w:tc>
      </w:tr>
      <w:tr w14:paraId="521DF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536" w:type="dxa"/>
            <w:noWrap w:val="0"/>
            <w:vAlign w:val="center"/>
          </w:tcPr>
          <w:p w14:paraId="5A1E1269">
            <w:pPr>
              <w:pStyle w:val="80"/>
              <w:pageBreakBefore w:val="0"/>
              <w:widowControl w:val="0"/>
              <w:kinsoku/>
              <w:wordWrap/>
              <w:overflowPunct/>
              <w:topLinePunct w:val="0"/>
              <w:bidi w:val="0"/>
              <w:snapToGrid/>
              <w:spacing w:line="240" w:lineRule="auto"/>
              <w:jc w:val="center"/>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w:t>
            </w:r>
            <w:r>
              <w:rPr>
                <w:rFonts w:hint="eastAsia" w:hAnsi="宋体" w:cs="宋体"/>
                <w:b w:val="0"/>
                <w:bCs w:val="0"/>
                <w:color w:val="auto"/>
                <w:kern w:val="2"/>
                <w:sz w:val="21"/>
                <w:szCs w:val="21"/>
                <w:highlight w:val="none"/>
                <w:lang w:val="en-US" w:eastAsia="zh-CN" w:bidi="ar-SA"/>
              </w:rPr>
              <w:t>.1</w:t>
            </w:r>
          </w:p>
        </w:tc>
        <w:tc>
          <w:tcPr>
            <w:tcW w:w="2277" w:type="dxa"/>
            <w:noWrap w:val="0"/>
            <w:vAlign w:val="center"/>
          </w:tcPr>
          <w:p w14:paraId="6A139218">
            <w:pPr>
              <w:jc w:val="center"/>
              <w:rPr>
                <w:rFonts w:hint="eastAsia" w:ascii="宋体" w:hAnsi="宋体" w:eastAsia="宋体" w:cs="宋体"/>
                <w:lang w:val="en-US" w:eastAsia="zh-CN"/>
              </w:rPr>
            </w:pPr>
            <w:r>
              <w:rPr>
                <w:rFonts w:hint="eastAsia" w:ascii="宋体" w:hAnsi="宋体" w:eastAsia="宋体" w:cs="宋体"/>
              </w:rPr>
              <w:t>场地平整、边坡支护、地基处理及临时排水工程</w:t>
            </w:r>
          </w:p>
        </w:tc>
        <w:tc>
          <w:tcPr>
            <w:tcW w:w="1575" w:type="dxa"/>
            <w:noWrap w:val="0"/>
            <w:vAlign w:val="center"/>
          </w:tcPr>
          <w:p w14:paraId="67238518">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393941500.00</w:t>
            </w:r>
          </w:p>
        </w:tc>
        <w:tc>
          <w:tcPr>
            <w:tcW w:w="1758" w:type="dxa"/>
            <w:noWrap w:val="0"/>
            <w:vAlign w:val="center"/>
          </w:tcPr>
          <w:p w14:paraId="192334E0">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u w:val="singl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w:t>
            </w:r>
          </w:p>
        </w:tc>
        <w:tc>
          <w:tcPr>
            <w:tcW w:w="1457" w:type="dxa"/>
            <w:noWrap w:val="0"/>
            <w:vAlign w:val="center"/>
          </w:tcPr>
          <w:p w14:paraId="240626CA">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 </w:t>
            </w:r>
          </w:p>
        </w:tc>
        <w:tc>
          <w:tcPr>
            <w:tcW w:w="2900" w:type="dxa"/>
            <w:vMerge w:val="continue"/>
            <w:shd w:val="clear" w:color="auto" w:fill="auto"/>
            <w:noWrap w:val="0"/>
            <w:vAlign w:val="center"/>
          </w:tcPr>
          <w:p w14:paraId="6F25335D">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p>
        </w:tc>
      </w:tr>
      <w:tr w14:paraId="7F81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536" w:type="dxa"/>
            <w:noWrap w:val="0"/>
            <w:vAlign w:val="center"/>
          </w:tcPr>
          <w:p w14:paraId="2610E41A">
            <w:pPr>
              <w:pStyle w:val="80"/>
              <w:pageBreakBefore w:val="0"/>
              <w:widowControl w:val="0"/>
              <w:kinsoku/>
              <w:wordWrap/>
              <w:overflowPunct/>
              <w:topLinePunct w:val="0"/>
              <w:bidi w:val="0"/>
              <w:snapToGrid/>
              <w:spacing w:line="240" w:lineRule="auto"/>
              <w:jc w:val="center"/>
              <w:textAlignment w:val="auto"/>
              <w:rPr>
                <w:rFonts w:hint="default" w:ascii="宋体"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2.2</w:t>
            </w:r>
          </w:p>
        </w:tc>
        <w:tc>
          <w:tcPr>
            <w:tcW w:w="2277" w:type="dxa"/>
            <w:noWrap w:val="0"/>
            <w:vAlign w:val="center"/>
          </w:tcPr>
          <w:p w14:paraId="75AA80E8">
            <w:pPr>
              <w:jc w:val="center"/>
              <w:rPr>
                <w:rFonts w:hint="eastAsia" w:ascii="宋体" w:hAnsi="宋体" w:eastAsia="宋体" w:cs="宋体"/>
                <w:lang w:val="en-US" w:eastAsia="zh-CN"/>
              </w:rPr>
            </w:pPr>
            <w:r>
              <w:rPr>
                <w:rFonts w:hint="eastAsia" w:ascii="宋体" w:hAnsi="宋体" w:eastAsia="宋体" w:cs="宋体"/>
                <w:lang w:val="en-US" w:eastAsia="zh-CN"/>
              </w:rPr>
              <w:t>道路及配套</w:t>
            </w:r>
            <w:r>
              <w:rPr>
                <w:rFonts w:hint="eastAsia" w:ascii="宋体" w:hAnsi="宋体" w:cs="宋体"/>
                <w:lang w:val="en-US" w:eastAsia="zh-CN"/>
              </w:rPr>
              <w:t>设施</w:t>
            </w:r>
            <w:r>
              <w:rPr>
                <w:rFonts w:hint="eastAsia" w:ascii="宋体" w:hAnsi="宋体" w:eastAsia="宋体" w:cs="宋体"/>
                <w:lang w:val="en-US" w:eastAsia="zh-CN"/>
              </w:rPr>
              <w:t>工程</w:t>
            </w:r>
          </w:p>
        </w:tc>
        <w:tc>
          <w:tcPr>
            <w:tcW w:w="1575" w:type="dxa"/>
            <w:noWrap w:val="0"/>
            <w:vAlign w:val="center"/>
          </w:tcPr>
          <w:p w14:paraId="5DA07C3A">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530532700.00</w:t>
            </w:r>
          </w:p>
        </w:tc>
        <w:tc>
          <w:tcPr>
            <w:tcW w:w="1758" w:type="dxa"/>
            <w:noWrap w:val="0"/>
            <w:vAlign w:val="center"/>
          </w:tcPr>
          <w:p w14:paraId="5CCA712B">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u w:val="singl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w:t>
            </w:r>
          </w:p>
        </w:tc>
        <w:tc>
          <w:tcPr>
            <w:tcW w:w="1457" w:type="dxa"/>
            <w:noWrap w:val="0"/>
            <w:vAlign w:val="center"/>
          </w:tcPr>
          <w:p w14:paraId="6E48471C">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 </w:t>
            </w:r>
          </w:p>
        </w:tc>
        <w:tc>
          <w:tcPr>
            <w:tcW w:w="2900" w:type="dxa"/>
            <w:vMerge w:val="continue"/>
            <w:shd w:val="clear" w:color="auto" w:fill="auto"/>
            <w:noWrap w:val="0"/>
            <w:vAlign w:val="center"/>
          </w:tcPr>
          <w:p w14:paraId="39870464">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val="0"/>
                <w:bCs w:val="0"/>
                <w:color w:val="auto"/>
                <w:kern w:val="2"/>
                <w:sz w:val="21"/>
                <w:szCs w:val="21"/>
                <w:highlight w:val="none"/>
                <w:lang w:val="en-US" w:eastAsia="zh-CN" w:bidi="ar-SA"/>
              </w:rPr>
            </w:pPr>
          </w:p>
        </w:tc>
      </w:tr>
      <w:tr w14:paraId="1EAD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146" w:type="dxa"/>
            <w:gridSpan w:val="4"/>
            <w:noWrap w:val="0"/>
            <w:vAlign w:val="center"/>
          </w:tcPr>
          <w:p w14:paraId="656CC925">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合计</w:t>
            </w:r>
            <w:r>
              <w:rPr>
                <w:rFonts w:hint="eastAsia" w:hAnsi="宋体" w:cs="宋体"/>
                <w:b/>
                <w:bCs/>
                <w:color w:val="auto"/>
                <w:kern w:val="2"/>
                <w:sz w:val="21"/>
                <w:szCs w:val="21"/>
                <w:highlight w:val="none"/>
                <w:lang w:val="en-US" w:eastAsia="zh-CN" w:bidi="ar-SA"/>
              </w:rPr>
              <w:t>（1+2）</w:t>
            </w:r>
            <w:r>
              <w:rPr>
                <w:rFonts w:hint="eastAsia" w:ascii="宋体" w:hAnsi="宋体" w:eastAsia="宋体" w:cs="宋体"/>
                <w:b/>
                <w:bCs/>
                <w:color w:val="auto"/>
                <w:kern w:val="2"/>
                <w:sz w:val="21"/>
                <w:szCs w:val="21"/>
                <w:highlight w:val="none"/>
                <w:lang w:val="en-US" w:eastAsia="zh-CN" w:bidi="ar-SA"/>
              </w:rPr>
              <w:t>（元）</w:t>
            </w:r>
          </w:p>
        </w:tc>
        <w:tc>
          <w:tcPr>
            <w:tcW w:w="1457" w:type="dxa"/>
            <w:noWrap w:val="0"/>
            <w:vAlign w:val="center"/>
          </w:tcPr>
          <w:p w14:paraId="6CC84772">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 xml:space="preserve"> </w:t>
            </w:r>
          </w:p>
        </w:tc>
        <w:tc>
          <w:tcPr>
            <w:tcW w:w="2900" w:type="dxa"/>
            <w:shd w:val="clear" w:color="auto" w:fill="auto"/>
            <w:noWrap w:val="0"/>
            <w:vAlign w:val="center"/>
          </w:tcPr>
          <w:p w14:paraId="58D808EF">
            <w:pPr>
              <w:pStyle w:val="80"/>
              <w:pageBreakBefore w:val="0"/>
              <w:widowControl w:val="0"/>
              <w:kinsoku/>
              <w:wordWrap/>
              <w:overflowPunct/>
              <w:topLinePunct w:val="0"/>
              <w:bidi w:val="0"/>
              <w:snapToGrid/>
              <w:spacing w:line="24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w:t>
            </w:r>
          </w:p>
        </w:tc>
      </w:tr>
    </w:tbl>
    <w:p w14:paraId="00B4887D">
      <w:pPr>
        <w:pStyle w:val="80"/>
        <w:pageBreakBefore w:val="0"/>
        <w:widowControl w:val="0"/>
        <w:kinsoku/>
        <w:wordWrap/>
        <w:overflowPunct/>
        <w:topLinePunct w:val="0"/>
        <w:bidi w:val="0"/>
        <w:snapToGrid/>
        <w:spacing w:line="288" w:lineRule="auto"/>
        <w:textAlignment w:val="auto"/>
        <w:rPr>
          <w:rFonts w:hint="eastAsia" w:ascii="宋体" w:hAnsi="宋体" w:eastAsia="宋体" w:cs="宋体"/>
          <w:snapToGrid w:val="0"/>
          <w:color w:val="auto"/>
          <w:kern w:val="0"/>
          <w:sz w:val="24"/>
          <w:szCs w:val="22"/>
          <w:highlight w:val="none"/>
          <w:lang w:val="en-US" w:eastAsia="zh-CN" w:bidi="ar-SA"/>
        </w:rPr>
      </w:pPr>
      <w:r>
        <w:rPr>
          <w:rFonts w:hint="eastAsia" w:ascii="宋体" w:hAnsi="宋体" w:eastAsia="宋体" w:cs="宋体"/>
          <w:snapToGrid w:val="0"/>
          <w:color w:val="auto"/>
          <w:kern w:val="0"/>
          <w:sz w:val="24"/>
          <w:szCs w:val="22"/>
          <w:highlight w:val="none"/>
          <w:lang w:val="en-US" w:eastAsia="zh-CN" w:bidi="ar-SA"/>
        </w:rPr>
        <w:t>备注：1、各单项或合计投标报价超过最高投标限价为无效报价。</w:t>
      </w:r>
    </w:p>
    <w:p w14:paraId="55414875">
      <w:pPr>
        <w:pStyle w:val="80"/>
        <w:pageBreakBefore w:val="0"/>
        <w:widowControl w:val="0"/>
        <w:kinsoku/>
        <w:wordWrap/>
        <w:overflowPunct/>
        <w:topLinePunct w:val="0"/>
        <w:bidi w:val="0"/>
        <w:snapToGrid/>
        <w:spacing w:line="288" w:lineRule="auto"/>
        <w:ind w:firstLine="660" w:firstLineChars="275"/>
        <w:textAlignment w:val="auto"/>
        <w:rPr>
          <w:rFonts w:hint="eastAsia" w:ascii="宋体" w:hAnsi="宋体" w:eastAsia="宋体" w:cs="宋体"/>
          <w:snapToGrid w:val="0"/>
          <w:color w:val="auto"/>
          <w:kern w:val="0"/>
          <w:sz w:val="24"/>
          <w:szCs w:val="22"/>
          <w:highlight w:val="none"/>
          <w:lang w:val="en-US" w:eastAsia="zh-CN" w:bidi="ar-SA"/>
        </w:rPr>
      </w:pPr>
      <w:r>
        <w:rPr>
          <w:rFonts w:hint="eastAsia" w:ascii="宋体" w:hAnsi="宋体" w:eastAsia="宋体" w:cs="宋体"/>
          <w:snapToGrid w:val="0"/>
          <w:color w:val="auto"/>
          <w:kern w:val="0"/>
          <w:sz w:val="24"/>
          <w:szCs w:val="22"/>
          <w:highlight w:val="none"/>
          <w:lang w:val="en-US" w:eastAsia="zh-CN" w:bidi="ar-SA"/>
        </w:rPr>
        <w:t>2、各单项或合计投标报价均按“四舍五入”原则精确到两位小数；投标费率按“四舍五入”原则精确到三位小数。</w:t>
      </w:r>
    </w:p>
    <w:p w14:paraId="39E4CD78">
      <w:pPr>
        <w:pStyle w:val="80"/>
        <w:pageBreakBefore w:val="0"/>
        <w:widowControl w:val="0"/>
        <w:kinsoku/>
        <w:wordWrap/>
        <w:overflowPunct/>
        <w:topLinePunct w:val="0"/>
        <w:bidi w:val="0"/>
        <w:snapToGrid/>
        <w:spacing w:line="288" w:lineRule="auto"/>
        <w:ind w:firstLine="660" w:firstLineChars="275"/>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szCs w:val="22"/>
          <w:highlight w:val="none"/>
          <w:lang w:val="en-US" w:eastAsia="zh-CN" w:bidi="ar-SA"/>
        </w:rPr>
        <w:t>3、以上投标报价均为含税报价（增值税）。</w:t>
      </w:r>
    </w:p>
    <w:p w14:paraId="3685BD63">
      <w:pPr>
        <w:wordWrap/>
        <w:adjustRightInd w:val="0"/>
        <w:snapToGrid w:val="0"/>
        <w:spacing w:line="360" w:lineRule="auto"/>
        <w:jc w:val="right"/>
        <w:rPr>
          <w:rFonts w:hint="eastAsia" w:ascii="宋体" w:hAnsi="宋体" w:eastAsia="宋体" w:cs="宋体"/>
          <w:snapToGrid w:val="0"/>
          <w:color w:val="auto"/>
          <w:kern w:val="0"/>
          <w:sz w:val="24"/>
          <w:szCs w:val="24"/>
          <w:highlight w:val="none"/>
        </w:rPr>
      </w:pPr>
    </w:p>
    <w:p w14:paraId="16CEB28E">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744D40D3">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p>
    <w:p w14:paraId="7A2371FD">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323B805C">
      <w:pPr>
        <w:wordWrap w:val="0"/>
        <w:adjustRightInd w:val="0"/>
        <w:snapToGrid w:val="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p>
    <w:p w14:paraId="1EB5B285">
      <w:pPr>
        <w:wordWrap w:val="0"/>
        <w:adjustRightInd w:val="0"/>
        <w:snapToGrid w:val="0"/>
        <w:spacing w:line="360" w:lineRule="auto"/>
        <w:ind w:firstLine="4320" w:firstLineChars="1800"/>
        <w:jc w:val="left"/>
        <w:rPr>
          <w:rFonts w:hint="eastAsia" w:ascii="宋体" w:hAnsi="宋体" w:eastAsia="宋体" w:cs="宋体"/>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64542F5D">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244" w:name="_Toc24620"/>
      <w:bookmarkStart w:id="245" w:name="_Toc22218"/>
      <w:bookmarkStart w:id="246" w:name="_Toc13640"/>
      <w:r>
        <w:rPr>
          <w:rFonts w:hint="eastAsia" w:ascii="宋体" w:hAnsi="宋体" w:eastAsia="宋体" w:cs="宋体"/>
          <w:b/>
          <w:color w:val="auto"/>
          <w:kern w:val="2"/>
          <w:sz w:val="28"/>
          <w:szCs w:val="24"/>
          <w:lang w:val="en-US" w:eastAsia="zh-CN"/>
        </w:rPr>
        <w:t>格式四   各项承诺一览表</w:t>
      </w:r>
      <w:bookmarkEnd w:id="244"/>
      <w:bookmarkEnd w:id="245"/>
      <w:bookmarkEnd w:id="246"/>
    </w:p>
    <w:p w14:paraId="389EFBF9">
      <w:pPr>
        <w:wordWrap w:val="0"/>
        <w:adjustRightInd w:val="0"/>
        <w:snapToGrid w:val="0"/>
        <w:spacing w:before="260" w:after="260" w:line="440" w:lineRule="exact"/>
        <w:jc w:val="center"/>
        <w:rPr>
          <w:rFonts w:hint="eastAsia" w:ascii="宋体" w:hAnsi="宋体" w:eastAsia="宋体" w:cs="宋体"/>
          <w:b/>
          <w:snapToGrid w:val="0"/>
          <w:color w:val="auto"/>
          <w:kern w:val="0"/>
          <w:sz w:val="30"/>
          <w:highlight w:val="none"/>
        </w:rPr>
      </w:pPr>
      <w:r>
        <w:rPr>
          <w:rFonts w:hint="eastAsia" w:ascii="宋体" w:hAnsi="宋体" w:eastAsia="宋体" w:cs="宋体"/>
          <w:b/>
          <w:snapToGrid w:val="0"/>
          <w:color w:val="auto"/>
          <w:kern w:val="0"/>
          <w:sz w:val="30"/>
          <w:highlight w:val="none"/>
        </w:rPr>
        <w:t>各项承诺一览表</w:t>
      </w:r>
    </w:p>
    <w:tbl>
      <w:tblPr>
        <w:tblStyle w:val="33"/>
        <w:tblW w:w="9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5"/>
        <w:gridCol w:w="1389"/>
        <w:gridCol w:w="3733"/>
        <w:gridCol w:w="4137"/>
      </w:tblGrid>
      <w:tr w14:paraId="7442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695" w:type="dxa"/>
            <w:noWrap w:val="0"/>
            <w:vAlign w:val="top"/>
          </w:tcPr>
          <w:p w14:paraId="5569F527">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389" w:type="dxa"/>
            <w:noWrap w:val="0"/>
            <w:vAlign w:val="top"/>
          </w:tcPr>
          <w:p w14:paraId="78256980">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承诺标题</w:t>
            </w:r>
          </w:p>
        </w:tc>
        <w:tc>
          <w:tcPr>
            <w:tcW w:w="3733" w:type="dxa"/>
            <w:noWrap w:val="0"/>
            <w:vAlign w:val="top"/>
          </w:tcPr>
          <w:p w14:paraId="6ECD69C0">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承诺内容</w:t>
            </w:r>
          </w:p>
        </w:tc>
        <w:tc>
          <w:tcPr>
            <w:tcW w:w="4137" w:type="dxa"/>
            <w:tcBorders>
              <w:bottom w:val="single" w:color="auto" w:sz="4" w:space="0"/>
            </w:tcBorders>
            <w:noWrap w:val="0"/>
            <w:vAlign w:val="top"/>
          </w:tcPr>
          <w:p w14:paraId="5FEFF5A4">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违约承诺</w:t>
            </w:r>
          </w:p>
        </w:tc>
      </w:tr>
      <w:tr w14:paraId="631B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0" w:hRule="atLeast"/>
          <w:jc w:val="center"/>
        </w:trPr>
        <w:tc>
          <w:tcPr>
            <w:tcW w:w="695" w:type="dxa"/>
            <w:noWrap w:val="0"/>
            <w:vAlign w:val="center"/>
          </w:tcPr>
          <w:p w14:paraId="1404DD34">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89" w:type="dxa"/>
            <w:noWrap w:val="0"/>
            <w:vAlign w:val="center"/>
          </w:tcPr>
          <w:p w14:paraId="0C5ED35A">
            <w:pPr>
              <w:pStyle w:val="14"/>
              <w:adjustRightInd w:val="0"/>
              <w:snapToGrid w:val="0"/>
              <w:spacing w:line="41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对招标文件条款自愿接受承诺</w:t>
            </w:r>
          </w:p>
        </w:tc>
        <w:tc>
          <w:tcPr>
            <w:tcW w:w="3733" w:type="dxa"/>
            <w:noWrap w:val="0"/>
            <w:vAlign w:val="center"/>
          </w:tcPr>
          <w:p w14:paraId="3E9C7633">
            <w:pPr>
              <w:pStyle w:val="14"/>
              <w:adjustRightInd w:val="0"/>
              <w:snapToGrid w:val="0"/>
              <w:spacing w:line="41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我方保证接受招标文件的所有条款，响应招标文件的所有要求。</w:t>
            </w:r>
          </w:p>
        </w:tc>
        <w:tc>
          <w:tcPr>
            <w:tcW w:w="4137" w:type="dxa"/>
            <w:tcBorders>
              <w:tr2bl w:val="single" w:color="auto" w:sz="4" w:space="0"/>
            </w:tcBorders>
            <w:noWrap w:val="0"/>
            <w:vAlign w:val="center"/>
          </w:tcPr>
          <w:p w14:paraId="55316DB5">
            <w:pPr>
              <w:pStyle w:val="14"/>
              <w:adjustRightInd w:val="0"/>
              <w:snapToGrid w:val="0"/>
              <w:spacing w:line="410" w:lineRule="exact"/>
              <w:ind w:firstLine="480"/>
              <w:rPr>
                <w:rFonts w:hint="eastAsia" w:ascii="宋体" w:hAnsi="宋体" w:eastAsia="宋体" w:cs="宋体"/>
                <w:color w:val="auto"/>
                <w:sz w:val="24"/>
                <w:szCs w:val="24"/>
                <w:highlight w:val="none"/>
              </w:rPr>
            </w:pPr>
          </w:p>
        </w:tc>
      </w:tr>
      <w:tr w14:paraId="4A12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5" w:hRule="atLeast"/>
          <w:jc w:val="center"/>
        </w:trPr>
        <w:tc>
          <w:tcPr>
            <w:tcW w:w="695" w:type="dxa"/>
            <w:noWrap w:val="0"/>
            <w:vAlign w:val="center"/>
          </w:tcPr>
          <w:p w14:paraId="4FA3C7A8">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389" w:type="dxa"/>
            <w:noWrap w:val="0"/>
            <w:vAlign w:val="center"/>
          </w:tcPr>
          <w:p w14:paraId="60990E10">
            <w:pPr>
              <w:pStyle w:val="14"/>
              <w:adjustRightInd w:val="0"/>
              <w:snapToGrid w:val="0"/>
              <w:spacing w:line="410" w:lineRule="exact"/>
              <w:ind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工期、进度承诺</w:t>
            </w:r>
          </w:p>
        </w:tc>
        <w:tc>
          <w:tcPr>
            <w:tcW w:w="3733" w:type="dxa"/>
            <w:noWrap w:val="0"/>
            <w:vAlign w:val="center"/>
          </w:tcPr>
          <w:p w14:paraId="3E23D923">
            <w:pPr>
              <w:pStyle w:val="14"/>
              <w:adjustRightInd w:val="0"/>
              <w:snapToGrid w:val="0"/>
              <w:spacing w:line="41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我方保证在与招标人签定勘察、设计合同后壹天内开工，并在招标文件规定要求的勘察、设计工期内完成全部招标工程。</w:t>
            </w:r>
          </w:p>
          <w:p w14:paraId="60FCB700">
            <w:pPr>
              <w:pStyle w:val="14"/>
              <w:adjustRightInd w:val="0"/>
              <w:snapToGrid w:val="0"/>
              <w:spacing w:line="41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我方保证按我方投标文件中的勘察、设计进度计划完成勘察、设计任务。</w:t>
            </w:r>
          </w:p>
        </w:tc>
        <w:tc>
          <w:tcPr>
            <w:tcW w:w="4137" w:type="dxa"/>
            <w:noWrap w:val="0"/>
            <w:vAlign w:val="center"/>
          </w:tcPr>
          <w:p w14:paraId="0EB5C22B">
            <w:pPr>
              <w:pStyle w:val="14"/>
              <w:adjustRightInd w:val="0"/>
              <w:snapToGrid w:val="0"/>
              <w:spacing w:line="41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若因我方原因，勘察、设计没有按期完成时，我方须在逾期第壹天起每天按</w:t>
            </w:r>
            <w:r>
              <w:rPr>
                <w:rFonts w:hint="eastAsia" w:ascii="宋体" w:hAnsi="宋体" w:eastAsia="宋体" w:cs="宋体"/>
                <w:color w:val="auto"/>
                <w:sz w:val="24"/>
                <w:szCs w:val="24"/>
                <w:highlight w:val="none"/>
                <w:u w:val="single"/>
              </w:rPr>
              <w:t xml:space="preserve"> 合同价款的1%</w:t>
            </w:r>
            <w:r>
              <w:rPr>
                <w:rFonts w:hint="eastAsia" w:ascii="宋体" w:hAnsi="宋体" w:eastAsia="宋体" w:cs="宋体"/>
                <w:color w:val="auto"/>
                <w:sz w:val="24"/>
                <w:szCs w:val="24"/>
                <w:highlight w:val="none"/>
              </w:rPr>
              <w:t>向招标人返纳逾期违约金。</w:t>
            </w:r>
          </w:p>
          <w:p w14:paraId="1EAB693F">
            <w:pPr>
              <w:pStyle w:val="14"/>
              <w:adjustRightInd w:val="0"/>
              <w:snapToGrid w:val="0"/>
              <w:spacing w:line="41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若因我方原因，勘察、设计的进度未能按我方投标文件中的设计进度计划完成勘察、设计任务，延期达到30日历天，招标人有权终止合同。我方愿意承担所有由此引起的责任及经济损失。</w:t>
            </w:r>
          </w:p>
        </w:tc>
      </w:tr>
      <w:tr w14:paraId="1777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5" w:hRule="atLeast"/>
          <w:jc w:val="center"/>
        </w:trPr>
        <w:tc>
          <w:tcPr>
            <w:tcW w:w="695" w:type="dxa"/>
            <w:noWrap w:val="0"/>
            <w:vAlign w:val="center"/>
          </w:tcPr>
          <w:p w14:paraId="7104448D">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389" w:type="dxa"/>
            <w:noWrap w:val="0"/>
            <w:vAlign w:val="center"/>
          </w:tcPr>
          <w:p w14:paraId="57633252">
            <w:pPr>
              <w:pStyle w:val="14"/>
              <w:keepNext w:val="0"/>
              <w:keepLines w:val="0"/>
              <w:pageBreakBefore w:val="0"/>
              <w:kinsoku/>
              <w:overflowPunct/>
              <w:topLinePunct w:val="0"/>
              <w:autoSpaceDE/>
              <w:autoSpaceDN/>
              <w:bidi w:val="0"/>
              <w:adjustRightInd w:val="0"/>
              <w:snapToGrid w:val="0"/>
              <w:spacing w:line="410" w:lineRule="exact"/>
              <w:ind w:firstLine="240" w:firstLineChars="1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质量承诺</w:t>
            </w:r>
          </w:p>
        </w:tc>
        <w:tc>
          <w:tcPr>
            <w:tcW w:w="3733" w:type="dxa"/>
            <w:noWrap w:val="0"/>
            <w:vAlign w:val="center"/>
          </w:tcPr>
          <w:p w14:paraId="0D2A52D9">
            <w:pPr>
              <w:keepNext w:val="0"/>
              <w:keepLines w:val="0"/>
              <w:pageBreakBefore w:val="0"/>
              <w:kinsoku/>
              <w:overflowPunct/>
              <w:topLinePunct w:val="0"/>
              <w:autoSpaceDE/>
              <w:autoSpaceDN/>
              <w:bidi w:val="0"/>
              <w:adjustRightInd w:val="0"/>
              <w:snapToGrid w:val="0"/>
              <w:spacing w:line="41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我方保证按照现行的国家、广东省规定和合同约定的技术规范、标准进行</w:t>
            </w:r>
            <w:r>
              <w:rPr>
                <w:rFonts w:hint="eastAsia" w:ascii="宋体" w:hAnsi="宋体" w:eastAsia="宋体" w:cs="宋体"/>
                <w:color w:val="auto"/>
                <w:sz w:val="24"/>
                <w:szCs w:val="32"/>
                <w:highlight w:val="none"/>
                <w:lang w:val="en-US" w:eastAsia="zh-CN"/>
              </w:rPr>
              <w:t>勘察</w:t>
            </w:r>
            <w:r>
              <w:rPr>
                <w:rFonts w:hint="eastAsia" w:ascii="宋体" w:hAnsi="宋体" w:eastAsia="宋体" w:cs="宋体"/>
                <w:color w:val="auto"/>
                <w:sz w:val="24"/>
                <w:szCs w:val="24"/>
                <w:highlight w:val="none"/>
              </w:rPr>
              <w:t>设计，按本招标文件规定的内容、时间及份数向招标人交付</w:t>
            </w:r>
            <w:r>
              <w:rPr>
                <w:rFonts w:hint="eastAsia" w:ascii="宋体" w:hAnsi="宋体" w:eastAsia="宋体" w:cs="宋体"/>
                <w:color w:val="auto"/>
                <w:sz w:val="24"/>
                <w:szCs w:val="32"/>
                <w:highlight w:val="none"/>
                <w:lang w:val="en-US" w:eastAsia="zh-CN"/>
              </w:rPr>
              <w:t>勘察</w:t>
            </w:r>
            <w:r>
              <w:rPr>
                <w:rFonts w:hint="eastAsia" w:ascii="宋体" w:hAnsi="宋体" w:eastAsia="宋体" w:cs="宋体"/>
                <w:color w:val="auto"/>
                <w:sz w:val="24"/>
                <w:szCs w:val="24"/>
                <w:highlight w:val="none"/>
              </w:rPr>
              <w:t>设计</w:t>
            </w:r>
            <w:r>
              <w:rPr>
                <w:rFonts w:hint="eastAsia" w:ascii="宋体" w:hAnsi="宋体" w:eastAsia="宋体" w:cs="宋体"/>
                <w:color w:val="auto"/>
                <w:sz w:val="24"/>
                <w:szCs w:val="24"/>
                <w:highlight w:val="none"/>
                <w:lang w:val="en-US" w:eastAsia="zh-CN"/>
              </w:rPr>
              <w:t>成果</w:t>
            </w:r>
            <w:r>
              <w:rPr>
                <w:rFonts w:hint="eastAsia" w:ascii="宋体" w:hAnsi="宋体" w:eastAsia="宋体" w:cs="宋体"/>
                <w:color w:val="auto"/>
                <w:sz w:val="24"/>
                <w:szCs w:val="24"/>
                <w:highlight w:val="none"/>
              </w:rPr>
              <w:t>文件，并对提交的</w:t>
            </w:r>
            <w:r>
              <w:rPr>
                <w:rFonts w:hint="eastAsia" w:ascii="宋体" w:hAnsi="宋体" w:eastAsia="宋体" w:cs="宋体"/>
                <w:color w:val="auto"/>
                <w:sz w:val="24"/>
                <w:szCs w:val="32"/>
                <w:highlight w:val="none"/>
                <w:lang w:val="en-US" w:eastAsia="zh-CN"/>
              </w:rPr>
              <w:t>勘察</w:t>
            </w:r>
            <w:r>
              <w:rPr>
                <w:rFonts w:hint="eastAsia" w:ascii="宋体" w:hAnsi="宋体" w:eastAsia="宋体" w:cs="宋体"/>
                <w:color w:val="auto"/>
                <w:sz w:val="24"/>
                <w:szCs w:val="24"/>
                <w:highlight w:val="none"/>
              </w:rPr>
              <w:t>设计文件质量负责。</w:t>
            </w:r>
          </w:p>
          <w:p w14:paraId="577DD77B">
            <w:pPr>
              <w:keepNext w:val="0"/>
              <w:keepLines w:val="0"/>
              <w:pageBreakBefore w:val="0"/>
              <w:kinsoku/>
              <w:overflowPunct/>
              <w:topLinePunct w:val="0"/>
              <w:autoSpaceDE/>
              <w:autoSpaceDN/>
              <w:bidi w:val="0"/>
              <w:adjustRightInd w:val="0"/>
              <w:snapToGrid w:val="0"/>
              <w:spacing w:line="41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我方保证按经过批准的初步设计概算（建安费）进行限额设计，并对设计文件出现的遗漏或错误负责修改或补充。</w:t>
            </w:r>
          </w:p>
        </w:tc>
        <w:tc>
          <w:tcPr>
            <w:tcW w:w="4137" w:type="dxa"/>
            <w:noWrap w:val="0"/>
            <w:vAlign w:val="center"/>
          </w:tcPr>
          <w:p w14:paraId="1AE78798">
            <w:pPr>
              <w:pStyle w:val="14"/>
              <w:keepNext w:val="0"/>
              <w:keepLines w:val="0"/>
              <w:pageBreakBefore w:val="0"/>
              <w:kinsoku/>
              <w:overflowPunct/>
              <w:topLinePunct w:val="0"/>
              <w:autoSpaceDE/>
              <w:autoSpaceDN/>
              <w:bidi w:val="0"/>
              <w:adjustRightInd w:val="0"/>
              <w:snapToGrid w:val="0"/>
              <w:spacing w:line="41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w:t>
            </w:r>
            <w:r>
              <w:rPr>
                <w:rFonts w:hint="eastAsia" w:ascii="宋体" w:hAnsi="宋体" w:eastAsia="宋体" w:cs="宋体"/>
                <w:color w:val="auto"/>
                <w:sz w:val="24"/>
                <w:szCs w:val="32"/>
                <w:highlight w:val="none"/>
                <w:lang w:val="en-US" w:eastAsia="zh-CN"/>
              </w:rPr>
              <w:t>勘察</w:t>
            </w:r>
            <w:r>
              <w:rPr>
                <w:rFonts w:hint="eastAsia" w:ascii="宋体" w:hAnsi="宋体" w:eastAsia="宋体" w:cs="宋体"/>
                <w:color w:val="auto"/>
                <w:sz w:val="24"/>
                <w:szCs w:val="24"/>
                <w:highlight w:val="none"/>
              </w:rPr>
              <w:t>设计错误造成工程质量事故损失，我方除负责采取补救措施外，并保证免收损失部分的设计费，并根据损失程度向发包人支付赔偿金，赔偿金为直接损失部分设计费的</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%。造成第三方损失的，由</w:t>
            </w:r>
            <w:r>
              <w:rPr>
                <w:rFonts w:hint="eastAsia" w:ascii="宋体" w:hAnsi="宋体" w:eastAsia="宋体" w:cs="宋体"/>
                <w:color w:val="auto"/>
                <w:sz w:val="24"/>
                <w:szCs w:val="24"/>
                <w:highlight w:val="none"/>
                <w:lang w:eastAsia="zh-CN"/>
              </w:rPr>
              <w:t>项目所在地人民法院</w:t>
            </w:r>
            <w:r>
              <w:rPr>
                <w:rFonts w:hint="eastAsia" w:ascii="宋体" w:hAnsi="宋体" w:eastAsia="宋体" w:cs="宋体"/>
                <w:color w:val="auto"/>
                <w:sz w:val="24"/>
                <w:szCs w:val="24"/>
                <w:highlight w:val="none"/>
              </w:rPr>
              <w:t>进行</w:t>
            </w:r>
            <w:r>
              <w:rPr>
                <w:rFonts w:hint="eastAsia" w:ascii="宋体" w:hAnsi="宋体" w:eastAsia="宋体" w:cs="宋体"/>
                <w:color w:val="auto"/>
                <w:sz w:val="24"/>
                <w:szCs w:val="24"/>
                <w:highlight w:val="none"/>
                <w:lang w:eastAsia="zh-CN"/>
              </w:rPr>
              <w:t>诉讼</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诉讼</w:t>
            </w:r>
            <w:r>
              <w:rPr>
                <w:rFonts w:hint="eastAsia" w:ascii="宋体" w:hAnsi="宋体" w:eastAsia="宋体" w:cs="宋体"/>
                <w:color w:val="auto"/>
                <w:sz w:val="24"/>
                <w:szCs w:val="24"/>
                <w:highlight w:val="none"/>
              </w:rPr>
              <w:t>结果承担责任。</w:t>
            </w:r>
          </w:p>
          <w:p w14:paraId="6DD0FB81">
            <w:pPr>
              <w:pStyle w:val="14"/>
              <w:keepNext w:val="0"/>
              <w:keepLines w:val="0"/>
              <w:pageBreakBefore w:val="0"/>
              <w:kinsoku/>
              <w:overflowPunct/>
              <w:topLinePunct w:val="0"/>
              <w:autoSpaceDE/>
              <w:autoSpaceDN/>
              <w:bidi w:val="0"/>
              <w:adjustRightInd w:val="0"/>
              <w:snapToGrid w:val="0"/>
              <w:spacing w:line="41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我方同意所有违约金以及赔偿金在勘察、设计费中扣除或在履约保证金中扣除。</w:t>
            </w:r>
          </w:p>
        </w:tc>
      </w:tr>
      <w:tr w14:paraId="63BB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95" w:type="dxa"/>
            <w:noWrap w:val="0"/>
            <w:vAlign w:val="center"/>
          </w:tcPr>
          <w:p w14:paraId="2360697D">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389" w:type="dxa"/>
            <w:noWrap w:val="0"/>
            <w:vAlign w:val="center"/>
          </w:tcPr>
          <w:p w14:paraId="20CE5411">
            <w:pPr>
              <w:pStyle w:val="14"/>
              <w:keepNext w:val="0"/>
              <w:keepLines w:val="0"/>
              <w:pageBreakBefore w:val="0"/>
              <w:kinsoku/>
              <w:overflowPunct/>
              <w:topLinePunct w:val="0"/>
              <w:autoSpaceDE/>
              <w:autoSpaceDN/>
              <w:bidi w:val="0"/>
              <w:adjustRightInd w:val="0"/>
              <w:snapToGrid w:val="0"/>
              <w:spacing w:line="410" w:lineRule="exact"/>
              <w:ind w:firstLine="240" w:firstLineChars="1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违约承诺</w:t>
            </w:r>
          </w:p>
        </w:tc>
        <w:tc>
          <w:tcPr>
            <w:tcW w:w="3733" w:type="dxa"/>
            <w:noWrap w:val="0"/>
            <w:vAlign w:val="center"/>
          </w:tcPr>
          <w:p w14:paraId="54588119">
            <w:pPr>
              <w:keepNext w:val="0"/>
              <w:keepLines w:val="0"/>
              <w:pageBreakBefore w:val="0"/>
              <w:kinsoku/>
              <w:overflowPunct/>
              <w:topLinePunct w:val="0"/>
              <w:autoSpaceDE/>
              <w:autoSpaceDN/>
              <w:bidi w:val="0"/>
              <w:adjustRightInd w:val="0"/>
              <w:snapToGrid w:val="0"/>
              <w:spacing w:line="41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我</w:t>
            </w:r>
            <w:r>
              <w:rPr>
                <w:rFonts w:hint="eastAsia" w:ascii="宋体" w:hAnsi="宋体" w:eastAsia="宋体" w:cs="宋体"/>
                <w:color w:val="auto"/>
                <w:sz w:val="24"/>
                <w:szCs w:val="24"/>
                <w:highlight w:val="none"/>
              </w:rPr>
              <w:t>方违约，需向守约方支付违约金，违约金不足以弥补守约方损失的，违约方需承担守约方的全部损失，并承担守约方因主张权益导致的全部损失(包括但不限于诉讼费、保全费、鉴定费、律师费等)。</w:t>
            </w:r>
          </w:p>
        </w:tc>
        <w:tc>
          <w:tcPr>
            <w:tcW w:w="4137" w:type="dxa"/>
            <w:noWrap w:val="0"/>
            <w:vAlign w:val="center"/>
          </w:tcPr>
          <w:p w14:paraId="70994770">
            <w:pPr>
              <w:pStyle w:val="14"/>
              <w:keepNext w:val="0"/>
              <w:keepLines w:val="0"/>
              <w:pageBreakBefore w:val="0"/>
              <w:kinsoku/>
              <w:overflowPunct/>
              <w:topLinePunct w:val="0"/>
              <w:autoSpaceDE/>
              <w:autoSpaceDN/>
              <w:bidi w:val="0"/>
              <w:adjustRightInd w:val="0"/>
              <w:snapToGrid w:val="0"/>
              <w:spacing w:line="410" w:lineRule="exact"/>
              <w:ind w:firstLine="480" w:firstLineChars="200"/>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z w:val="24"/>
                <w:szCs w:val="24"/>
                <w:highlight w:val="none"/>
                <w:lang w:eastAsia="zh-CN"/>
              </w:rPr>
              <w:t>若我</w:t>
            </w:r>
            <w:r>
              <w:rPr>
                <w:rFonts w:hint="eastAsia" w:ascii="宋体" w:hAnsi="宋体" w:eastAsia="宋体" w:cs="宋体"/>
                <w:color w:val="auto"/>
                <w:sz w:val="24"/>
                <w:szCs w:val="24"/>
                <w:highlight w:val="none"/>
              </w:rPr>
              <w:t>方违约，需向守约方支付违约金，违约金不足以弥补守约方损失的，违约方需承担守约方的全部损失，并承担守约方因主张权益导致的全部损失(包括但不限于诉讼费、保全费、鉴定费、律师费等)。</w:t>
            </w:r>
          </w:p>
        </w:tc>
      </w:tr>
      <w:tr w14:paraId="3CF3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jc w:val="center"/>
        </w:trPr>
        <w:tc>
          <w:tcPr>
            <w:tcW w:w="695" w:type="dxa"/>
            <w:noWrap w:val="0"/>
            <w:vAlign w:val="center"/>
          </w:tcPr>
          <w:p w14:paraId="016B8B0C">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389" w:type="dxa"/>
            <w:noWrap w:val="0"/>
            <w:vAlign w:val="center"/>
          </w:tcPr>
          <w:p w14:paraId="2CD3D4F7">
            <w:pPr>
              <w:pStyle w:val="14"/>
              <w:adjustRightInd w:val="0"/>
              <w:snapToGrid w:val="0"/>
              <w:spacing w:line="410" w:lineRule="exact"/>
              <w:ind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账户承诺</w:t>
            </w:r>
          </w:p>
        </w:tc>
        <w:tc>
          <w:tcPr>
            <w:tcW w:w="3733" w:type="dxa"/>
            <w:noWrap w:val="0"/>
            <w:vAlign w:val="center"/>
          </w:tcPr>
          <w:p w14:paraId="7C88CD48">
            <w:pPr>
              <w:adjustRightInd w:val="0"/>
              <w:snapToGrid w:val="0"/>
              <w:spacing w:line="410" w:lineRule="exact"/>
              <w:ind w:firstLine="56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2"/>
                <w:sz w:val="24"/>
                <w:szCs w:val="24"/>
                <w:highlight w:val="none"/>
              </w:rPr>
              <w:t>我方保证招标人的资金随时可划入合同中规定的我方账户。</w:t>
            </w:r>
          </w:p>
        </w:tc>
        <w:tc>
          <w:tcPr>
            <w:tcW w:w="4137" w:type="dxa"/>
            <w:noWrap w:val="0"/>
            <w:vAlign w:val="center"/>
          </w:tcPr>
          <w:p w14:paraId="0AD7D243">
            <w:pPr>
              <w:pStyle w:val="14"/>
              <w:adjustRightInd w:val="0"/>
              <w:snapToGrid w:val="0"/>
              <w:spacing w:line="410" w:lineRule="exact"/>
              <w:ind w:firstLine="472" w:firstLineChars="20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sz w:val="24"/>
                <w:szCs w:val="24"/>
                <w:highlight w:val="none"/>
              </w:rPr>
              <w:t>若因我方原因造成招标人的资金无法划入合同中规定的我方账户，如时间达到30日历天，招标人有权终止合同。我方承担由此造成的所有责任及经济损失。</w:t>
            </w:r>
          </w:p>
        </w:tc>
      </w:tr>
      <w:tr w14:paraId="3954B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5" w:hRule="atLeast"/>
          <w:jc w:val="center"/>
        </w:trPr>
        <w:tc>
          <w:tcPr>
            <w:tcW w:w="695" w:type="dxa"/>
            <w:noWrap w:val="0"/>
            <w:vAlign w:val="center"/>
          </w:tcPr>
          <w:p w14:paraId="343506E2">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389" w:type="dxa"/>
            <w:noWrap w:val="0"/>
            <w:vAlign w:val="center"/>
          </w:tcPr>
          <w:p w14:paraId="106CA922">
            <w:pPr>
              <w:pStyle w:val="14"/>
              <w:adjustRightInd w:val="0"/>
              <w:snapToGrid w:val="0"/>
              <w:spacing w:line="410" w:lineRule="exact"/>
              <w:ind w:left="0" w:leftChars="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工程的配合服务承诺</w:t>
            </w:r>
          </w:p>
        </w:tc>
        <w:tc>
          <w:tcPr>
            <w:tcW w:w="3733" w:type="dxa"/>
            <w:noWrap w:val="0"/>
            <w:vAlign w:val="center"/>
          </w:tcPr>
          <w:p w14:paraId="25FAD02D">
            <w:pPr>
              <w:adjustRightInd w:val="0"/>
              <w:snapToGrid w:val="0"/>
              <w:spacing w:line="410" w:lineRule="exact"/>
              <w:ind w:firstLine="560" w:firstLineChars="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z w:val="24"/>
                <w:szCs w:val="24"/>
                <w:highlight w:val="none"/>
              </w:rPr>
              <w:t>我方保证安排各专业设计人员</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施工现场或不定期到现场配合施工，并安排一名设计代表</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招标人地点作为处理现场问题及联络双方需协调事宜。根据施工进度情况和招标人的要求，每个专业各安排二名专职设计人员组成设计小组配合施工。其他专业为不定期到现场配合施工。配合施工的设计人员应服从施工需要，随时到现场配合施工。</w:t>
            </w:r>
          </w:p>
        </w:tc>
        <w:tc>
          <w:tcPr>
            <w:tcW w:w="4137" w:type="dxa"/>
            <w:noWrap w:val="0"/>
            <w:vAlign w:val="center"/>
          </w:tcPr>
          <w:p w14:paraId="494D93C1">
            <w:pPr>
              <w:pStyle w:val="14"/>
              <w:adjustRightInd w:val="0"/>
              <w:snapToGrid w:val="0"/>
              <w:spacing w:line="410" w:lineRule="exact"/>
              <w:ind w:firstLine="47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若因我方原因，未及时配合与施工单位的工程施工，给招标人或施工单位造成损失的，我方承担所有的责任及经济损失。</w:t>
            </w:r>
          </w:p>
          <w:p w14:paraId="569695A1">
            <w:pPr>
              <w:pStyle w:val="14"/>
              <w:adjustRightInd w:val="0"/>
              <w:snapToGrid w:val="0"/>
              <w:spacing w:line="410" w:lineRule="exact"/>
              <w:ind w:firstLine="480" w:firstLineChars="20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z w:val="24"/>
                <w:szCs w:val="24"/>
                <w:highlight w:val="none"/>
              </w:rPr>
              <w:t>各专业安排施工现场的专职设计人员</w:t>
            </w:r>
            <w:r>
              <w:rPr>
                <w:rFonts w:hint="eastAsia" w:ascii="宋体" w:hAnsi="宋体" w:eastAsia="宋体" w:cs="宋体"/>
                <w:color w:val="auto"/>
                <w:spacing w:val="-2"/>
                <w:sz w:val="24"/>
                <w:szCs w:val="24"/>
                <w:highlight w:val="none"/>
              </w:rPr>
              <w:t>未及时配合与施工单位的工程施工，每缺席一人次扣除500元,缺席累计达10人次的，招标人有权终止合同。我方承担由此造成的所有责任及经济损失。</w:t>
            </w:r>
          </w:p>
        </w:tc>
      </w:tr>
      <w:tr w14:paraId="1BC6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5" w:hRule="atLeast"/>
          <w:jc w:val="center"/>
        </w:trPr>
        <w:tc>
          <w:tcPr>
            <w:tcW w:w="695" w:type="dxa"/>
            <w:noWrap w:val="0"/>
            <w:vAlign w:val="center"/>
          </w:tcPr>
          <w:p w14:paraId="495F1765">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389" w:type="dxa"/>
            <w:noWrap w:val="0"/>
            <w:vAlign w:val="center"/>
          </w:tcPr>
          <w:p w14:paraId="5A3B4252">
            <w:pPr>
              <w:pStyle w:val="14"/>
              <w:adjustRightInd w:val="0"/>
              <w:snapToGrid w:val="0"/>
              <w:spacing w:line="410" w:lineRule="exact"/>
              <w:ind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项目管理班子人员承诺</w:t>
            </w:r>
          </w:p>
        </w:tc>
        <w:tc>
          <w:tcPr>
            <w:tcW w:w="3733" w:type="dxa"/>
            <w:noWrap w:val="0"/>
            <w:vAlign w:val="center"/>
          </w:tcPr>
          <w:p w14:paraId="177B07D2">
            <w:pPr>
              <w:adjustRightInd w:val="0"/>
              <w:snapToGrid w:val="0"/>
              <w:spacing w:line="410" w:lineRule="exact"/>
              <w:ind w:firstLine="560" w:firstLineChars="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sz w:val="24"/>
                <w:szCs w:val="24"/>
                <w:highlight w:val="none"/>
              </w:rPr>
              <w:t>我方保证投标文件中所拟派的</w:t>
            </w:r>
            <w:r>
              <w:rPr>
                <w:rFonts w:hint="eastAsia" w:ascii="宋体" w:hAnsi="宋体" w:eastAsia="宋体" w:cs="宋体"/>
                <w:color w:val="auto"/>
                <w:sz w:val="24"/>
                <w:szCs w:val="24"/>
                <w:highlight w:val="none"/>
              </w:rPr>
              <w:t>人员全部到位，负责各自职责。</w:t>
            </w:r>
          </w:p>
        </w:tc>
        <w:tc>
          <w:tcPr>
            <w:tcW w:w="4137" w:type="dxa"/>
            <w:noWrap w:val="0"/>
            <w:vAlign w:val="center"/>
          </w:tcPr>
          <w:p w14:paraId="5E51409D">
            <w:pPr>
              <w:pStyle w:val="14"/>
              <w:adjustRightInd w:val="0"/>
              <w:snapToGrid w:val="0"/>
              <w:spacing w:line="410" w:lineRule="exact"/>
              <w:ind w:firstLine="472" w:firstLineChars="20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sz w:val="24"/>
                <w:szCs w:val="24"/>
                <w:highlight w:val="none"/>
              </w:rPr>
              <w:t>若我方中标后，各负责人未按时参加招标人要求出席的会议（包括图纸会审和技术交底等，具体以招标人书面通知为准），每缺席一人次扣500元违约金。我方承担由此造成的所有责任及经济损失。</w:t>
            </w:r>
          </w:p>
        </w:tc>
      </w:tr>
      <w:tr w14:paraId="524E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0" w:hRule="atLeast"/>
          <w:jc w:val="center"/>
        </w:trPr>
        <w:tc>
          <w:tcPr>
            <w:tcW w:w="695" w:type="dxa"/>
            <w:noWrap w:val="0"/>
            <w:vAlign w:val="center"/>
          </w:tcPr>
          <w:p w14:paraId="5FA00F32">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389" w:type="dxa"/>
            <w:noWrap w:val="0"/>
            <w:vAlign w:val="center"/>
          </w:tcPr>
          <w:p w14:paraId="30C1AEDD">
            <w:pPr>
              <w:pStyle w:val="14"/>
              <w:adjustRightInd w:val="0"/>
              <w:snapToGrid w:val="0"/>
              <w:spacing w:line="410" w:lineRule="exact"/>
              <w:ind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项目负责人承诺</w:t>
            </w:r>
          </w:p>
        </w:tc>
        <w:tc>
          <w:tcPr>
            <w:tcW w:w="3733" w:type="dxa"/>
            <w:noWrap w:val="0"/>
            <w:vAlign w:val="center"/>
          </w:tcPr>
          <w:p w14:paraId="245901D1">
            <w:pPr>
              <w:pStyle w:val="14"/>
              <w:adjustRightInd w:val="0"/>
              <w:snapToGrid w:val="0"/>
              <w:spacing w:line="410" w:lineRule="exact"/>
              <w:ind w:firstLine="472" w:firstLineChars="20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sz w:val="24"/>
                <w:szCs w:val="24"/>
                <w:highlight w:val="none"/>
              </w:rPr>
              <w:t>我方保证投标文件中所拟派的</w:t>
            </w:r>
            <w:r>
              <w:rPr>
                <w:rFonts w:hint="eastAsia" w:ascii="宋体" w:hAnsi="宋体" w:eastAsia="宋体" w:cs="宋体"/>
                <w:color w:val="auto"/>
                <w:spacing w:val="-2"/>
                <w:sz w:val="24"/>
                <w:szCs w:val="24"/>
                <w:highlight w:val="none"/>
                <w:u w:val="double"/>
              </w:rPr>
              <w:t>项目负责人</w:t>
            </w:r>
            <w:r>
              <w:rPr>
                <w:rFonts w:hint="eastAsia" w:ascii="宋体" w:hAnsi="宋体" w:eastAsia="宋体" w:cs="宋体"/>
                <w:color w:val="auto"/>
                <w:spacing w:val="-2"/>
                <w:sz w:val="24"/>
                <w:szCs w:val="24"/>
                <w:highlight w:val="none"/>
              </w:rPr>
              <w:t>负责本项目勘察设计全过程（包括初步设计评审、初步设计修编、施工图设计审查、施工图设计修编、图纸会审和技术交底）。</w:t>
            </w:r>
          </w:p>
        </w:tc>
        <w:tc>
          <w:tcPr>
            <w:tcW w:w="4137" w:type="dxa"/>
            <w:noWrap w:val="0"/>
            <w:vAlign w:val="center"/>
          </w:tcPr>
          <w:p w14:paraId="1FB1036E">
            <w:pPr>
              <w:pStyle w:val="14"/>
              <w:adjustRightInd w:val="0"/>
              <w:snapToGrid w:val="0"/>
              <w:spacing w:line="410" w:lineRule="exact"/>
              <w:ind w:firstLine="472" w:firstLineChars="20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sz w:val="24"/>
                <w:szCs w:val="24"/>
                <w:highlight w:val="none"/>
              </w:rPr>
              <w:t>若因我方原因，项目负责人未准时参加本项目勘察设计全过程（包括初步设计评审、初步设计修编、施工图设计审查、施工图设计修编、图纸会审和技术交底）的，每缺席一次扣</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rPr>
              <w:t>000元（以发包人发出的违约通知为准）。</w:t>
            </w:r>
          </w:p>
        </w:tc>
      </w:tr>
      <w:tr w14:paraId="217B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95" w:type="dxa"/>
            <w:noWrap w:val="0"/>
            <w:vAlign w:val="center"/>
          </w:tcPr>
          <w:p w14:paraId="593BBC83">
            <w:pPr>
              <w:adjustRightInd w:val="0"/>
              <w:snapToGrid w:val="0"/>
              <w:spacing w:line="41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9</w:t>
            </w:r>
          </w:p>
        </w:tc>
        <w:tc>
          <w:tcPr>
            <w:tcW w:w="1389" w:type="dxa"/>
            <w:noWrap w:val="0"/>
            <w:vAlign w:val="center"/>
          </w:tcPr>
          <w:p w14:paraId="029A6F1E">
            <w:pPr>
              <w:pStyle w:val="14"/>
              <w:adjustRightInd w:val="0"/>
              <w:snapToGrid w:val="0"/>
              <w:spacing w:line="410" w:lineRule="exact"/>
              <w:ind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廉政承诺</w:t>
            </w:r>
          </w:p>
        </w:tc>
        <w:tc>
          <w:tcPr>
            <w:tcW w:w="3733" w:type="dxa"/>
            <w:noWrap w:val="0"/>
            <w:vAlign w:val="center"/>
          </w:tcPr>
          <w:p w14:paraId="6B6DA1E7">
            <w:pPr>
              <w:pStyle w:val="14"/>
              <w:adjustRightInd w:val="0"/>
              <w:snapToGrid w:val="0"/>
              <w:spacing w:line="410" w:lineRule="exact"/>
              <w:ind w:firstLine="240" w:firstLineChars="10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z w:val="24"/>
                <w:szCs w:val="24"/>
                <w:highlight w:val="none"/>
              </w:rPr>
              <w:t>我方保证严格遵守有关法律法规及廉政规定。</w:t>
            </w:r>
          </w:p>
        </w:tc>
        <w:tc>
          <w:tcPr>
            <w:tcW w:w="4137" w:type="dxa"/>
            <w:noWrap w:val="0"/>
            <w:vAlign w:val="center"/>
          </w:tcPr>
          <w:p w14:paraId="15D399B3">
            <w:pPr>
              <w:widowControl/>
              <w:adjustRightInd w:val="0"/>
              <w:snapToGrid w:val="0"/>
              <w:spacing w:line="41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如我单位及其工作人员违反本承诺规定的，愿接受党纪、政纪处理直至追究法律责任；给招标单位造成经济损失的，依法给予赔偿。</w:t>
            </w:r>
          </w:p>
        </w:tc>
      </w:tr>
      <w:tr w14:paraId="68A0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95" w:type="dxa"/>
            <w:noWrap w:val="0"/>
            <w:vAlign w:val="center"/>
          </w:tcPr>
          <w:p w14:paraId="6C9F35E7">
            <w:pPr>
              <w:adjustRightInd w:val="0"/>
              <w:snapToGrid w:val="0"/>
              <w:spacing w:line="41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389" w:type="dxa"/>
            <w:noWrap w:val="0"/>
            <w:vAlign w:val="center"/>
          </w:tcPr>
          <w:p w14:paraId="741BD5EA">
            <w:pPr>
              <w:adjustRightInd w:val="0"/>
              <w:snapToGrid w:val="0"/>
              <w:spacing w:line="41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投标文件信息公开承诺</w:t>
            </w:r>
          </w:p>
        </w:tc>
        <w:tc>
          <w:tcPr>
            <w:tcW w:w="3733" w:type="dxa"/>
            <w:noWrap w:val="0"/>
            <w:vAlign w:val="center"/>
          </w:tcPr>
          <w:p w14:paraId="62B47CE6">
            <w:pPr>
              <w:pStyle w:val="115"/>
              <w:wordWrap w:val="0"/>
              <w:adjustRightInd w:val="0"/>
              <w:snapToGrid w:val="0"/>
              <w:spacing w:line="41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Cs w:val="24"/>
                <w:highlight w:val="none"/>
              </w:rPr>
              <w:t>如果我方成为本项目中标候选人，我方同意并授权招标人在评标结果公示期内公开我方商务经济部分的全部内容。</w:t>
            </w:r>
          </w:p>
        </w:tc>
        <w:tc>
          <w:tcPr>
            <w:tcW w:w="4137" w:type="dxa"/>
            <w:tcBorders>
              <w:tr2bl w:val="single" w:color="auto" w:sz="4" w:space="0"/>
            </w:tcBorders>
            <w:noWrap w:val="0"/>
            <w:vAlign w:val="center"/>
          </w:tcPr>
          <w:p w14:paraId="428581D0">
            <w:pPr>
              <w:pStyle w:val="115"/>
              <w:wordWrap w:val="0"/>
              <w:adjustRightInd w:val="0"/>
              <w:snapToGrid w:val="0"/>
              <w:spacing w:line="410" w:lineRule="exact"/>
              <w:ind w:firstLine="0" w:firstLineChars="0"/>
              <w:jc w:val="center"/>
              <w:rPr>
                <w:rFonts w:hint="eastAsia" w:ascii="宋体" w:hAnsi="宋体" w:eastAsia="宋体" w:cs="宋体"/>
                <w:color w:val="auto"/>
                <w:kern w:val="2"/>
                <w:sz w:val="24"/>
                <w:szCs w:val="24"/>
                <w:highlight w:val="none"/>
                <w:lang w:val="en-US" w:eastAsia="zh-CN" w:bidi="ar-SA"/>
              </w:rPr>
            </w:pPr>
          </w:p>
        </w:tc>
      </w:tr>
    </w:tbl>
    <w:p w14:paraId="03DA8EFF">
      <w:pPr>
        <w:rPr>
          <w:rFonts w:hint="eastAsia" w:ascii="宋体" w:hAnsi="宋体" w:eastAsia="宋体" w:cs="宋体"/>
          <w:color w:val="auto"/>
          <w:sz w:val="24"/>
          <w:szCs w:val="24"/>
          <w:highlight w:val="none"/>
        </w:rPr>
      </w:pPr>
    </w:p>
    <w:p w14:paraId="51550B43">
      <w:pPr>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1D42369E">
      <w:pPr>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11E6AC97">
      <w:pPr>
        <w:wordWrap w:val="0"/>
        <w:adjustRightInd w:val="0"/>
        <w:snapToGrid w:val="0"/>
        <w:spacing w:line="420" w:lineRule="exact"/>
        <w:ind w:firstLine="480" w:firstLineChars="20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6A194C42">
      <w:pPr>
        <w:rPr>
          <w:rFonts w:hint="eastAsia" w:ascii="宋体" w:hAnsi="宋体" w:eastAsia="宋体" w:cs="宋体"/>
        </w:rPr>
      </w:pPr>
    </w:p>
    <w:p w14:paraId="4B150170">
      <w:pPr>
        <w:rPr>
          <w:rFonts w:hint="eastAsia" w:ascii="宋体" w:hAnsi="宋体" w:eastAsia="宋体" w:cs="宋体"/>
        </w:rPr>
      </w:pPr>
    </w:p>
    <w:p w14:paraId="11D991B0">
      <w:pPr>
        <w:rPr>
          <w:rFonts w:hint="eastAsia" w:ascii="宋体" w:hAnsi="宋体" w:eastAsia="宋体" w:cs="宋体"/>
        </w:rPr>
      </w:pPr>
    </w:p>
    <w:p w14:paraId="6697A547">
      <w:pPr>
        <w:rPr>
          <w:rFonts w:hint="eastAsia" w:ascii="宋体" w:hAnsi="宋体" w:eastAsia="宋体" w:cs="宋体"/>
        </w:rPr>
      </w:pPr>
    </w:p>
    <w:p w14:paraId="1ED7DD1E">
      <w:pPr>
        <w:rPr>
          <w:rFonts w:hint="eastAsia" w:ascii="宋体" w:hAnsi="宋体" w:eastAsia="宋体" w:cs="宋体"/>
        </w:rPr>
      </w:pPr>
    </w:p>
    <w:p w14:paraId="061ADBB3">
      <w:pPr>
        <w:rPr>
          <w:rFonts w:hint="eastAsia" w:ascii="宋体" w:hAnsi="宋体" w:eastAsia="宋体" w:cs="宋体"/>
        </w:rPr>
      </w:pPr>
    </w:p>
    <w:p w14:paraId="2C725FAD">
      <w:pPr>
        <w:rPr>
          <w:rFonts w:hint="eastAsia" w:ascii="宋体" w:hAnsi="宋体" w:eastAsia="宋体" w:cs="宋体"/>
        </w:rPr>
      </w:pPr>
    </w:p>
    <w:p w14:paraId="593F3916">
      <w:pPr>
        <w:rPr>
          <w:rFonts w:hint="eastAsia" w:ascii="宋体" w:hAnsi="宋体" w:eastAsia="宋体" w:cs="宋体"/>
        </w:rPr>
      </w:pPr>
    </w:p>
    <w:p w14:paraId="684C8008">
      <w:pPr>
        <w:rPr>
          <w:rFonts w:hint="eastAsia" w:ascii="宋体" w:hAnsi="宋体" w:eastAsia="宋体" w:cs="宋体"/>
        </w:rPr>
      </w:pPr>
    </w:p>
    <w:p w14:paraId="64AB0939">
      <w:pPr>
        <w:rPr>
          <w:rFonts w:hint="eastAsia" w:ascii="宋体" w:hAnsi="宋体" w:eastAsia="宋体" w:cs="宋体"/>
        </w:rPr>
      </w:pPr>
    </w:p>
    <w:p w14:paraId="376057BE">
      <w:pPr>
        <w:rPr>
          <w:rFonts w:hint="eastAsia" w:ascii="宋体" w:hAnsi="宋体" w:eastAsia="宋体" w:cs="宋体"/>
        </w:rPr>
      </w:pPr>
    </w:p>
    <w:p w14:paraId="6BB6FE5B">
      <w:pPr>
        <w:rPr>
          <w:rFonts w:hint="eastAsia" w:ascii="宋体" w:hAnsi="宋体" w:eastAsia="宋体" w:cs="宋体"/>
        </w:rPr>
      </w:pPr>
    </w:p>
    <w:p w14:paraId="08116FE9">
      <w:pPr>
        <w:rPr>
          <w:rFonts w:hint="eastAsia" w:ascii="宋体" w:hAnsi="宋体" w:eastAsia="宋体" w:cs="宋体"/>
        </w:rPr>
      </w:pPr>
    </w:p>
    <w:p w14:paraId="572A59D4">
      <w:pPr>
        <w:rPr>
          <w:rFonts w:hint="eastAsia" w:ascii="宋体" w:hAnsi="宋体" w:eastAsia="宋体" w:cs="宋体"/>
        </w:rPr>
      </w:pPr>
    </w:p>
    <w:p w14:paraId="62F441B9">
      <w:pPr>
        <w:rPr>
          <w:rFonts w:hint="eastAsia" w:ascii="宋体" w:hAnsi="宋体" w:eastAsia="宋体" w:cs="宋体"/>
        </w:rPr>
      </w:pPr>
    </w:p>
    <w:p w14:paraId="6039ACB1">
      <w:pPr>
        <w:rPr>
          <w:rFonts w:hint="eastAsia" w:ascii="宋体" w:hAnsi="宋体" w:eastAsia="宋体" w:cs="宋体"/>
        </w:rPr>
      </w:pPr>
    </w:p>
    <w:p w14:paraId="64ADD6BE">
      <w:pPr>
        <w:rPr>
          <w:rFonts w:hint="eastAsia" w:ascii="宋体" w:hAnsi="宋体" w:eastAsia="宋体" w:cs="宋体"/>
        </w:rPr>
      </w:pPr>
    </w:p>
    <w:p w14:paraId="660BB4FD">
      <w:pPr>
        <w:rPr>
          <w:rFonts w:hint="eastAsia" w:ascii="宋体" w:hAnsi="宋体" w:eastAsia="宋体" w:cs="宋体"/>
        </w:rPr>
      </w:pPr>
    </w:p>
    <w:p w14:paraId="4923126C">
      <w:pPr>
        <w:rPr>
          <w:rFonts w:hint="eastAsia" w:ascii="宋体" w:hAnsi="宋体" w:eastAsia="宋体" w:cs="宋体"/>
        </w:rPr>
      </w:pPr>
    </w:p>
    <w:p w14:paraId="26E7DCF1">
      <w:pPr>
        <w:rPr>
          <w:rFonts w:hint="eastAsia" w:ascii="宋体" w:hAnsi="宋体" w:eastAsia="宋体" w:cs="宋体"/>
        </w:rPr>
      </w:pPr>
    </w:p>
    <w:p w14:paraId="2F624657">
      <w:pPr>
        <w:pStyle w:val="31"/>
        <w:ind w:left="0" w:leftChars="0" w:firstLine="0" w:firstLineChars="0"/>
        <w:rPr>
          <w:rFonts w:hint="eastAsia" w:ascii="宋体" w:hAnsi="宋体" w:eastAsia="宋体" w:cs="宋体"/>
        </w:rPr>
      </w:pPr>
    </w:p>
    <w:p w14:paraId="2235D3EA">
      <w:pPr>
        <w:rPr>
          <w:rFonts w:hint="eastAsia" w:ascii="宋体" w:hAnsi="宋体" w:eastAsia="宋体" w:cs="宋体"/>
        </w:rPr>
      </w:pPr>
    </w:p>
    <w:p w14:paraId="21599B59">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247" w:name="_Toc10889"/>
      <w:bookmarkStart w:id="248" w:name="_Toc24870"/>
      <w:bookmarkStart w:id="249" w:name="_Toc2161"/>
      <w:r>
        <w:rPr>
          <w:rFonts w:hint="eastAsia" w:ascii="宋体" w:hAnsi="宋体" w:eastAsia="宋体" w:cs="宋体"/>
          <w:b/>
          <w:color w:val="auto"/>
          <w:kern w:val="2"/>
          <w:sz w:val="28"/>
          <w:szCs w:val="24"/>
          <w:lang w:val="en-US" w:eastAsia="zh-CN"/>
        </w:rPr>
        <w:t>格式五   授权委托书</w:t>
      </w:r>
      <w:bookmarkEnd w:id="247"/>
      <w:bookmarkEnd w:id="248"/>
      <w:bookmarkEnd w:id="249"/>
    </w:p>
    <w:p w14:paraId="1160D552">
      <w:pPr>
        <w:wordWrap w:val="0"/>
        <w:adjustRightInd w:val="0"/>
        <w:snapToGrid w:val="0"/>
        <w:spacing w:before="260" w:after="260" w:line="44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30"/>
          <w:highlight w:val="none"/>
        </w:rPr>
        <w:t>授权委托书</w:t>
      </w:r>
    </w:p>
    <w:p w14:paraId="070F8AFE">
      <w:pPr>
        <w:spacing w:line="360" w:lineRule="auto"/>
        <w:rPr>
          <w:rFonts w:hint="eastAsia" w:ascii="宋体" w:hAnsi="宋体" w:eastAsia="宋体" w:cs="宋体"/>
          <w:color w:val="auto"/>
          <w:sz w:val="24"/>
          <w:highlight w:val="none"/>
        </w:rPr>
      </w:pPr>
    </w:p>
    <w:p w14:paraId="54B65DA5">
      <w:pPr>
        <w:wordWrap w:val="0"/>
        <w:adjustRightInd w:val="0"/>
        <w:snapToGrid w:val="0"/>
        <w:spacing w:line="440" w:lineRule="exact"/>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xml:space="preserve">    本人</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（姓名）系</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（投标人名称）的法定代表人，现委托</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（姓名）为我方代理人。代理人根据授权，以我方名义签署、澄清、说明、补正、递交、撤回、修改</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（项目名称）投标文件、签订合同和处理有关事宜，其法律后果由我方承担。</w:t>
      </w:r>
    </w:p>
    <w:p w14:paraId="0DF14A90">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委托期限：</w:t>
      </w:r>
      <w:r>
        <w:rPr>
          <w:rFonts w:hint="eastAsia" w:ascii="宋体" w:hAnsi="宋体" w:eastAsia="宋体" w:cs="宋体"/>
          <w:color w:val="auto"/>
          <w:sz w:val="24"/>
          <w:szCs w:val="21"/>
          <w:highlight w:val="none"/>
        </w:rPr>
        <w:t>至投标有效期的期满之日止。</w:t>
      </w:r>
    </w:p>
    <w:p w14:paraId="36689683">
      <w:pPr>
        <w:wordWrap w:val="0"/>
        <w:adjustRightInd w:val="0"/>
        <w:snapToGrid w:val="0"/>
        <w:spacing w:line="440" w:lineRule="exact"/>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xml:space="preserve">    代理人无转委托权。</w:t>
      </w:r>
    </w:p>
    <w:p w14:paraId="26278735">
      <w:pPr>
        <w:spacing w:line="360" w:lineRule="auto"/>
        <w:rPr>
          <w:rFonts w:hint="eastAsia" w:ascii="宋体" w:hAnsi="宋体" w:eastAsia="宋体" w:cs="宋体"/>
          <w:color w:val="auto"/>
          <w:sz w:val="24"/>
          <w:highlight w:val="none"/>
        </w:rPr>
      </w:pPr>
    </w:p>
    <w:p w14:paraId="18F6BB64">
      <w:pPr>
        <w:spacing w:line="360" w:lineRule="auto"/>
        <w:rPr>
          <w:rFonts w:hint="eastAsia" w:ascii="宋体" w:hAnsi="宋体" w:eastAsia="宋体" w:cs="宋体"/>
          <w:color w:val="auto"/>
          <w:sz w:val="24"/>
          <w:highlight w:val="none"/>
        </w:rPr>
      </w:pPr>
    </w:p>
    <w:p w14:paraId="0B2B86DC">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投  标  人：</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（盖单位章）</w:t>
      </w:r>
    </w:p>
    <w:p w14:paraId="621E4018">
      <w:pPr>
        <w:spacing w:line="360" w:lineRule="auto"/>
        <w:rPr>
          <w:rFonts w:hint="eastAsia" w:ascii="宋体" w:hAnsi="宋体" w:eastAsia="宋体" w:cs="宋体"/>
          <w:color w:val="auto"/>
          <w:sz w:val="24"/>
          <w:highlight w:val="none"/>
        </w:rPr>
      </w:pPr>
    </w:p>
    <w:p w14:paraId="30C60CF8">
      <w:pPr>
        <w:spacing w:line="360" w:lineRule="auto"/>
        <w:rPr>
          <w:rFonts w:hint="eastAsia" w:ascii="宋体" w:hAnsi="宋体" w:eastAsia="宋体" w:cs="宋体"/>
          <w:color w:val="auto"/>
          <w:sz w:val="24"/>
          <w:highlight w:val="none"/>
        </w:rPr>
      </w:pPr>
    </w:p>
    <w:p w14:paraId="354B8136">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法定代表人：</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（签字或盖章）</w:t>
      </w:r>
    </w:p>
    <w:p w14:paraId="4D8AA7C5">
      <w:pPr>
        <w:spacing w:line="360" w:lineRule="auto"/>
        <w:rPr>
          <w:rFonts w:hint="eastAsia" w:ascii="宋体" w:hAnsi="宋体" w:eastAsia="宋体" w:cs="宋体"/>
          <w:color w:val="auto"/>
          <w:sz w:val="24"/>
          <w:highlight w:val="none"/>
        </w:rPr>
      </w:pPr>
    </w:p>
    <w:p w14:paraId="2AF5BAC2">
      <w:pPr>
        <w:spacing w:line="360" w:lineRule="auto"/>
        <w:rPr>
          <w:rFonts w:hint="eastAsia" w:ascii="宋体" w:hAnsi="宋体" w:eastAsia="宋体" w:cs="宋体"/>
          <w:color w:val="auto"/>
          <w:sz w:val="24"/>
          <w:highlight w:val="none"/>
        </w:rPr>
      </w:pPr>
    </w:p>
    <w:p w14:paraId="2C9782A6">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委托代理人：</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（签字或盖章）</w:t>
      </w:r>
    </w:p>
    <w:p w14:paraId="2CB33230">
      <w:pPr>
        <w:spacing w:line="360" w:lineRule="auto"/>
        <w:rPr>
          <w:rFonts w:hint="eastAsia" w:ascii="宋体" w:hAnsi="宋体" w:eastAsia="宋体" w:cs="宋体"/>
          <w:snapToGrid w:val="0"/>
          <w:color w:val="auto"/>
          <w:kern w:val="0"/>
          <w:sz w:val="24"/>
          <w:szCs w:val="21"/>
          <w:highlight w:val="none"/>
        </w:rPr>
      </w:pPr>
    </w:p>
    <w:p w14:paraId="6920B4D2">
      <w:pPr>
        <w:spacing w:line="360" w:lineRule="auto"/>
        <w:rPr>
          <w:rFonts w:hint="eastAsia" w:ascii="宋体" w:hAnsi="宋体" w:eastAsia="宋体" w:cs="宋体"/>
          <w:color w:val="auto"/>
          <w:sz w:val="24"/>
          <w:highlight w:val="none"/>
        </w:rPr>
      </w:pPr>
    </w:p>
    <w:p w14:paraId="38B90303">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年</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月</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日</w:t>
      </w:r>
    </w:p>
    <w:p w14:paraId="331D3305">
      <w:pPr>
        <w:spacing w:line="360" w:lineRule="auto"/>
        <w:rPr>
          <w:rFonts w:hint="eastAsia" w:ascii="宋体" w:hAnsi="宋体" w:eastAsia="宋体" w:cs="宋体"/>
          <w:color w:val="auto"/>
          <w:sz w:val="24"/>
          <w:highlight w:val="none"/>
        </w:rPr>
      </w:pPr>
    </w:p>
    <w:p w14:paraId="7B08719F">
      <w:pPr>
        <w:spacing w:line="360" w:lineRule="auto"/>
        <w:rPr>
          <w:rFonts w:hint="eastAsia" w:ascii="宋体" w:hAnsi="宋体" w:eastAsia="宋体" w:cs="宋体"/>
          <w:color w:val="auto"/>
          <w:sz w:val="24"/>
          <w:highlight w:val="none"/>
        </w:rPr>
      </w:pPr>
    </w:p>
    <w:p w14:paraId="4AD57E2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75953686">
                            <w:pPr>
                              <w:spacing w:line="360" w:lineRule="auto"/>
                              <w:jc w:val="center"/>
                              <w:rPr>
                                <w:rFonts w:ascii="宋体"/>
                                <w:sz w:val="24"/>
                                <w:szCs w:val="21"/>
                              </w:rPr>
                            </w:pPr>
                            <w:r>
                              <w:rPr>
                                <w:rFonts w:hint="eastAsia" w:ascii="宋体"/>
                                <w:sz w:val="24"/>
                                <w:szCs w:val="21"/>
                              </w:rPr>
                              <w:t>委托代理人身份证彩色扫描件正、反面</w:t>
                            </w:r>
                          </w:p>
                        </w:txbxContent>
                      </wps:txbx>
                      <wps:bodyPr wrap="square"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Gsn06zYAAAACQEAAA8AAAAAAAAAAQAgAAAAIgAAAGRycy9kb3du&#10;cmV2LnhtbFBLAQIUABQAAAAIAIdO4kCncdM0OAIAAGwEAAAOAAAAAAAAAAEAIAAAACcBAABkcnMv&#10;ZTJvRG9jLnhtbFBLBQYAAAAABgAGAFkBAADRBQAAAAA=&#10;">
                <v:fill on="t" focussize="0,0"/>
                <v:stroke color="#000000" joinstyle="miter"/>
                <v:imagedata o:title=""/>
                <o:lock v:ext="edit" aspectratio="f"/>
                <v:textbox>
                  <w:txbxContent>
                    <w:p w14:paraId="75953686">
                      <w:pPr>
                        <w:spacing w:line="360" w:lineRule="auto"/>
                        <w:jc w:val="center"/>
                        <w:rPr>
                          <w:rFonts w:ascii="宋体"/>
                          <w:sz w:val="24"/>
                          <w:szCs w:val="21"/>
                        </w:rPr>
                      </w:pPr>
                      <w:r>
                        <w:rPr>
                          <w:rFonts w:hint="eastAsia" w:ascii="宋体"/>
                          <w:sz w:val="24"/>
                          <w:szCs w:val="21"/>
                        </w:rPr>
                        <w:t>委托代理人身份证彩色扫描件正、反面</w:t>
                      </w:r>
                    </w:p>
                  </w:txbxContent>
                </v:textbox>
              </v:shape>
            </w:pict>
          </mc:Fallback>
        </mc:AlternateContent>
      </w:r>
    </w:p>
    <w:p w14:paraId="75682BD8">
      <w:pPr>
        <w:spacing w:line="360" w:lineRule="auto"/>
        <w:rPr>
          <w:rFonts w:hint="eastAsia" w:ascii="宋体" w:hAnsi="宋体" w:eastAsia="宋体" w:cs="宋体"/>
          <w:color w:val="auto"/>
          <w:sz w:val="24"/>
          <w:highlight w:val="none"/>
        </w:rPr>
      </w:pPr>
    </w:p>
    <w:p w14:paraId="24C64684">
      <w:pPr>
        <w:rPr>
          <w:rFonts w:hint="eastAsia" w:ascii="宋体" w:hAnsi="宋体" w:eastAsia="宋体" w:cs="宋体"/>
        </w:rPr>
      </w:pPr>
    </w:p>
    <w:p w14:paraId="7F5552A2">
      <w:pPr>
        <w:rPr>
          <w:rFonts w:hint="eastAsia" w:ascii="宋体" w:hAnsi="宋体" w:eastAsia="宋体" w:cs="宋体"/>
        </w:rPr>
      </w:pPr>
    </w:p>
    <w:p w14:paraId="5AE3C908">
      <w:pPr>
        <w:rPr>
          <w:rFonts w:hint="eastAsia" w:ascii="宋体" w:hAnsi="宋体" w:eastAsia="宋体" w:cs="宋体"/>
        </w:rPr>
      </w:pPr>
    </w:p>
    <w:p w14:paraId="76591178">
      <w:pPr>
        <w:rPr>
          <w:rFonts w:hint="eastAsia" w:ascii="宋体" w:hAnsi="宋体" w:eastAsia="宋体" w:cs="宋体"/>
        </w:rPr>
      </w:pPr>
    </w:p>
    <w:p w14:paraId="30FB12F9">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250" w:name="_Toc30236"/>
      <w:bookmarkStart w:id="251" w:name="_Toc22502"/>
      <w:bookmarkStart w:id="252" w:name="_Toc650"/>
      <w:r>
        <w:rPr>
          <w:rFonts w:hint="eastAsia" w:ascii="宋体" w:hAnsi="宋体" w:eastAsia="宋体" w:cs="宋体"/>
          <w:b/>
          <w:color w:val="auto"/>
          <w:kern w:val="2"/>
          <w:sz w:val="28"/>
          <w:szCs w:val="24"/>
          <w:lang w:val="en-US" w:eastAsia="zh-CN"/>
        </w:rPr>
        <w:t>格式六   法定代表人身份证明</w:t>
      </w:r>
      <w:bookmarkEnd w:id="250"/>
      <w:bookmarkEnd w:id="251"/>
      <w:bookmarkEnd w:id="252"/>
    </w:p>
    <w:p w14:paraId="07B318A3">
      <w:pPr>
        <w:wordWrap w:val="0"/>
        <w:adjustRightInd w:val="0"/>
        <w:snapToGrid w:val="0"/>
        <w:spacing w:before="260" w:after="260" w:line="44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30"/>
          <w:highlight w:val="none"/>
        </w:rPr>
        <w:t>法定代表人身份证明</w:t>
      </w:r>
    </w:p>
    <w:p w14:paraId="31BA26DE">
      <w:pPr>
        <w:spacing w:line="360" w:lineRule="auto"/>
        <w:rPr>
          <w:rFonts w:hint="eastAsia" w:ascii="宋体" w:hAnsi="宋体" w:eastAsia="宋体" w:cs="宋体"/>
          <w:color w:val="auto"/>
          <w:sz w:val="24"/>
          <w:highlight w:val="none"/>
        </w:rPr>
      </w:pPr>
    </w:p>
    <w:p w14:paraId="6C79B4CB">
      <w:pPr>
        <w:wordWrap w:val="0"/>
        <w:adjustRightInd w:val="0"/>
        <w:snapToGrid w:val="0"/>
        <w:spacing w:line="440" w:lineRule="exact"/>
        <w:rPr>
          <w:rFonts w:hint="eastAsia" w:ascii="宋体" w:hAnsi="宋体" w:eastAsia="宋体" w:cs="宋体"/>
          <w:snapToGrid w:val="0"/>
          <w:color w:val="auto"/>
          <w:kern w:val="0"/>
          <w:sz w:val="24"/>
          <w:szCs w:val="21"/>
          <w:highlight w:val="none"/>
          <w:u w:val="single"/>
        </w:rPr>
      </w:pPr>
      <w:r>
        <w:rPr>
          <w:rFonts w:hint="eastAsia" w:ascii="宋体" w:hAnsi="宋体" w:eastAsia="宋体" w:cs="宋体"/>
          <w:snapToGrid w:val="0"/>
          <w:color w:val="auto"/>
          <w:kern w:val="0"/>
          <w:sz w:val="24"/>
          <w:szCs w:val="21"/>
          <w:highlight w:val="none"/>
        </w:rPr>
        <w:t>投标人名称：</w:t>
      </w:r>
      <w:r>
        <w:rPr>
          <w:rFonts w:hint="eastAsia" w:ascii="宋体" w:hAnsi="宋体" w:eastAsia="宋体" w:cs="宋体"/>
          <w:snapToGrid w:val="0"/>
          <w:color w:val="auto"/>
          <w:kern w:val="0"/>
          <w:sz w:val="24"/>
          <w:szCs w:val="21"/>
          <w:highlight w:val="none"/>
          <w:u w:val="single"/>
        </w:rPr>
        <w:t xml:space="preserve">                  </w:t>
      </w:r>
    </w:p>
    <w:p w14:paraId="216854F4">
      <w:pPr>
        <w:wordWrap w:val="0"/>
        <w:adjustRightInd w:val="0"/>
        <w:snapToGrid w:val="0"/>
        <w:spacing w:line="440" w:lineRule="exact"/>
        <w:rPr>
          <w:rFonts w:hint="eastAsia" w:ascii="宋体" w:hAnsi="宋体" w:eastAsia="宋体" w:cs="宋体"/>
          <w:snapToGrid w:val="0"/>
          <w:color w:val="auto"/>
          <w:kern w:val="0"/>
          <w:sz w:val="24"/>
          <w:szCs w:val="21"/>
          <w:highlight w:val="none"/>
          <w:u w:val="single"/>
        </w:rPr>
      </w:pPr>
      <w:r>
        <w:rPr>
          <w:rFonts w:hint="eastAsia" w:ascii="宋体" w:hAnsi="宋体" w:eastAsia="宋体" w:cs="宋体"/>
          <w:snapToGrid w:val="0"/>
          <w:color w:val="auto"/>
          <w:kern w:val="0"/>
          <w:sz w:val="24"/>
          <w:szCs w:val="21"/>
          <w:highlight w:val="none"/>
        </w:rPr>
        <w:t>姓名：</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性别：</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年龄：</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职务：</w:t>
      </w:r>
      <w:r>
        <w:rPr>
          <w:rFonts w:hint="eastAsia" w:ascii="宋体" w:hAnsi="宋体" w:eastAsia="宋体" w:cs="宋体"/>
          <w:snapToGrid w:val="0"/>
          <w:color w:val="auto"/>
          <w:kern w:val="0"/>
          <w:sz w:val="24"/>
          <w:szCs w:val="21"/>
          <w:highlight w:val="none"/>
          <w:u w:val="none"/>
        </w:rPr>
        <w:t xml:space="preserve">           </w:t>
      </w:r>
    </w:p>
    <w:p w14:paraId="5BEA2F2F">
      <w:pPr>
        <w:wordWrap w:val="0"/>
        <w:adjustRightInd w:val="0"/>
        <w:snapToGrid w:val="0"/>
        <w:spacing w:line="440" w:lineRule="exact"/>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系</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（投标人名称）的法定代表人。</w:t>
      </w:r>
    </w:p>
    <w:p w14:paraId="34EA35CC">
      <w:pPr>
        <w:wordWrap w:val="0"/>
        <w:adjustRightInd w:val="0"/>
        <w:snapToGrid w:val="0"/>
        <w:spacing w:line="440" w:lineRule="exact"/>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xml:space="preserve">    特此证明。</w:t>
      </w:r>
    </w:p>
    <w:p w14:paraId="27A26189">
      <w:pPr>
        <w:rPr>
          <w:rFonts w:hint="eastAsia" w:ascii="宋体" w:hAnsi="宋体" w:eastAsia="宋体" w:cs="宋体"/>
        </w:rPr>
      </w:pPr>
    </w:p>
    <w:p w14:paraId="2DB42D47">
      <w:pPr>
        <w:spacing w:line="360" w:lineRule="auto"/>
        <w:rPr>
          <w:rFonts w:hint="eastAsia" w:ascii="宋体" w:hAnsi="宋体" w:eastAsia="宋体" w:cs="宋体"/>
          <w:color w:val="auto"/>
          <w:sz w:val="24"/>
          <w:highlight w:val="none"/>
        </w:rPr>
      </w:pPr>
    </w:p>
    <w:p w14:paraId="2B2C2214">
      <w:pPr>
        <w:wordWrap w:val="0"/>
        <w:adjustRightInd w:val="0"/>
        <w:snapToGrid w:val="0"/>
        <w:spacing w:line="440" w:lineRule="exact"/>
        <w:jc w:val="right"/>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投标人：</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（盖单位章）</w:t>
      </w:r>
    </w:p>
    <w:p w14:paraId="0A3CE529">
      <w:pPr>
        <w:spacing w:line="360" w:lineRule="auto"/>
        <w:rPr>
          <w:rFonts w:hint="eastAsia" w:ascii="宋体" w:hAnsi="宋体" w:eastAsia="宋体" w:cs="宋体"/>
          <w:color w:val="auto"/>
          <w:sz w:val="24"/>
          <w:highlight w:val="none"/>
        </w:rPr>
      </w:pPr>
    </w:p>
    <w:p w14:paraId="74BC4E4D">
      <w:pPr>
        <w:spacing w:line="360" w:lineRule="auto"/>
        <w:rPr>
          <w:rFonts w:hint="eastAsia" w:ascii="宋体" w:hAnsi="宋体" w:eastAsia="宋体" w:cs="宋体"/>
          <w:color w:val="auto"/>
          <w:sz w:val="24"/>
          <w:highlight w:val="none"/>
        </w:rPr>
      </w:pPr>
    </w:p>
    <w:p w14:paraId="653D4D7F">
      <w:pPr>
        <w:wordWrap w:val="0"/>
        <w:adjustRightInd w:val="0"/>
        <w:snapToGrid w:val="0"/>
        <w:spacing w:line="440" w:lineRule="exact"/>
        <w:jc w:val="right"/>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xml:space="preserve">                           法定代表人：</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（签字或盖章）</w:t>
      </w:r>
    </w:p>
    <w:p w14:paraId="390C7C7F">
      <w:pPr>
        <w:spacing w:line="360" w:lineRule="auto"/>
        <w:rPr>
          <w:rFonts w:hint="eastAsia" w:ascii="宋体" w:hAnsi="宋体" w:eastAsia="宋体" w:cs="宋体"/>
          <w:color w:val="auto"/>
          <w:sz w:val="24"/>
          <w:highlight w:val="none"/>
        </w:rPr>
      </w:pPr>
    </w:p>
    <w:p w14:paraId="18545594">
      <w:pPr>
        <w:spacing w:line="360" w:lineRule="auto"/>
        <w:rPr>
          <w:rFonts w:hint="eastAsia" w:ascii="宋体" w:hAnsi="宋体" w:eastAsia="宋体" w:cs="宋体"/>
          <w:color w:val="auto"/>
          <w:sz w:val="24"/>
          <w:highlight w:val="none"/>
        </w:rPr>
      </w:pPr>
    </w:p>
    <w:p w14:paraId="4AF40311">
      <w:pPr>
        <w:wordWrap w:val="0"/>
        <w:adjustRightInd w:val="0"/>
        <w:snapToGrid w:val="0"/>
        <w:spacing w:line="440" w:lineRule="exact"/>
        <w:jc w:val="center"/>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xml:space="preserve">                            </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年</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月</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 xml:space="preserve">日       </w:t>
      </w:r>
    </w:p>
    <w:p w14:paraId="6B8CEF1C">
      <w:pPr>
        <w:spacing w:line="360" w:lineRule="auto"/>
        <w:rPr>
          <w:rFonts w:hint="eastAsia" w:ascii="宋体" w:hAnsi="宋体" w:eastAsia="宋体" w:cs="宋体"/>
          <w:color w:val="auto"/>
          <w:sz w:val="24"/>
          <w:highlight w:val="none"/>
        </w:rPr>
      </w:pPr>
    </w:p>
    <w:p w14:paraId="58A6A1F2">
      <w:pPr>
        <w:spacing w:line="360" w:lineRule="auto"/>
        <w:rPr>
          <w:rFonts w:hint="eastAsia" w:ascii="宋体" w:hAnsi="宋体" w:eastAsia="宋体" w:cs="宋体"/>
          <w:color w:val="auto"/>
          <w:sz w:val="24"/>
          <w:highlight w:val="none"/>
        </w:rPr>
      </w:pPr>
    </w:p>
    <w:p w14:paraId="23A3F4A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column">
                  <wp:posOffset>1376045</wp:posOffset>
                </wp:positionH>
                <wp:positionV relativeFrom="paragraph">
                  <wp:posOffset>236220</wp:posOffset>
                </wp:positionV>
                <wp:extent cx="3289935" cy="1890395"/>
                <wp:effectExtent l="4445" t="4445" r="20320" b="10160"/>
                <wp:wrapNone/>
                <wp:docPr id="3" name="流程图: 可选过程 3"/>
                <wp:cNvGraphicFramePr/>
                <a:graphic xmlns:a="http://schemas.openxmlformats.org/drawingml/2006/main">
                  <a:graphicData uri="http://schemas.microsoft.com/office/word/2010/wordprocessingShape">
                    <wps:wsp>
                      <wps:cNvSpPr/>
                      <wps:spPr>
                        <a:xfrm>
                          <a:off x="0" y="0"/>
                          <a:ext cx="3289935" cy="189039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25E2A00">
                            <w:pPr>
                              <w:spacing w:line="360" w:lineRule="auto"/>
                              <w:jc w:val="both"/>
                              <w:rPr>
                                <w:rFonts w:ascii="宋体"/>
                                <w:sz w:val="24"/>
                                <w:szCs w:val="21"/>
                              </w:rPr>
                            </w:pPr>
                            <w:r>
                              <w:rPr>
                                <w:rFonts w:hint="eastAsia" w:ascii="宋体"/>
                                <w:sz w:val="24"/>
                                <w:szCs w:val="21"/>
                              </w:rPr>
                              <w:t>法定代表人身份证彩色扫描件正、反面</w:t>
                            </w:r>
                          </w:p>
                        </w:txbxContent>
                      </wps:txbx>
                      <wps:bodyPr wrap="square" upright="1"/>
                    </wps:wsp>
                  </a:graphicData>
                </a:graphic>
              </wp:anchor>
            </w:drawing>
          </mc:Choice>
          <mc:Fallback>
            <w:pict>
              <v:shape id="_x0000_s1026" o:spid="_x0000_s1026" o:spt="176" type="#_x0000_t176" style="position:absolute;left:0pt;margin-left:108.35pt;margin-top:18.6pt;height:148.85pt;width:259.05pt;z-index:251659264;mso-width-relative:page;mso-height-relative:page;" fillcolor="#FFFFFF" filled="t" stroked="t" coordsize="21600,21600" o:gfxdata="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p+UQ32QAAAAoBAAAPAAAAAAAAAAEAIAAAACIAAABkcnMvZG93&#10;bnJldi54bWxQSwECFAAUAAAACACHTuJAcdidiTgCAABsBAAADgAAAAAAAAABACAAAAAoAQAAZHJz&#10;L2Uyb0RvYy54bWxQSwUGAAAAAAYABgBZAQAA0gUAAAAA&#10;">
                <v:fill on="t" focussize="0,0"/>
                <v:stroke color="#000000" joinstyle="miter"/>
                <v:imagedata o:title=""/>
                <o:lock v:ext="edit" aspectratio="f"/>
                <v:textbox>
                  <w:txbxContent>
                    <w:p w14:paraId="625E2A00">
                      <w:pPr>
                        <w:spacing w:line="360" w:lineRule="auto"/>
                        <w:jc w:val="both"/>
                        <w:rPr>
                          <w:rFonts w:ascii="宋体"/>
                          <w:sz w:val="24"/>
                          <w:szCs w:val="21"/>
                        </w:rPr>
                      </w:pPr>
                      <w:r>
                        <w:rPr>
                          <w:rFonts w:hint="eastAsia" w:ascii="宋体"/>
                          <w:sz w:val="24"/>
                          <w:szCs w:val="21"/>
                        </w:rPr>
                        <w:t>法定代表人身份证彩色扫描件正、反面</w:t>
                      </w:r>
                    </w:p>
                  </w:txbxContent>
                </v:textbox>
              </v:shape>
            </w:pict>
          </mc:Fallback>
        </mc:AlternateContent>
      </w:r>
    </w:p>
    <w:p w14:paraId="557CB8FE">
      <w:pPr>
        <w:spacing w:line="360" w:lineRule="auto"/>
        <w:rPr>
          <w:rFonts w:hint="eastAsia" w:ascii="宋体" w:hAnsi="宋体" w:eastAsia="宋体" w:cs="宋体"/>
          <w:color w:val="auto"/>
          <w:sz w:val="24"/>
          <w:highlight w:val="none"/>
        </w:rPr>
      </w:pPr>
    </w:p>
    <w:p w14:paraId="1A0A3705">
      <w:pPr>
        <w:spacing w:line="360" w:lineRule="auto"/>
        <w:rPr>
          <w:rFonts w:hint="eastAsia" w:ascii="宋体" w:hAnsi="宋体" w:eastAsia="宋体" w:cs="宋体"/>
          <w:color w:val="auto"/>
          <w:sz w:val="24"/>
          <w:highlight w:val="none"/>
        </w:rPr>
      </w:pPr>
    </w:p>
    <w:p w14:paraId="721CCD15">
      <w:pPr>
        <w:spacing w:line="360" w:lineRule="auto"/>
        <w:rPr>
          <w:rFonts w:hint="eastAsia" w:ascii="宋体" w:hAnsi="宋体" w:eastAsia="宋体" w:cs="宋体"/>
          <w:color w:val="auto"/>
          <w:sz w:val="24"/>
          <w:highlight w:val="none"/>
        </w:rPr>
      </w:pPr>
    </w:p>
    <w:p w14:paraId="36F00617">
      <w:pPr>
        <w:pStyle w:val="31"/>
        <w:ind w:left="0" w:leftChars="0" w:firstLine="0" w:firstLineChars="0"/>
        <w:rPr>
          <w:rFonts w:hint="eastAsia" w:ascii="宋体" w:hAnsi="宋体" w:eastAsia="宋体" w:cs="宋体"/>
          <w:color w:val="auto"/>
          <w:sz w:val="24"/>
          <w:highlight w:val="none"/>
        </w:rPr>
      </w:pPr>
    </w:p>
    <w:p w14:paraId="53C7A752">
      <w:pPr>
        <w:rPr>
          <w:rFonts w:hint="eastAsia" w:ascii="宋体" w:hAnsi="宋体" w:eastAsia="宋体" w:cs="宋体"/>
        </w:rPr>
      </w:pPr>
    </w:p>
    <w:p w14:paraId="714ECFAC">
      <w:pPr>
        <w:rPr>
          <w:rFonts w:hint="eastAsia" w:ascii="宋体" w:hAnsi="宋体" w:eastAsia="宋体" w:cs="宋体"/>
        </w:rPr>
      </w:pPr>
    </w:p>
    <w:p w14:paraId="7CA77709">
      <w:pPr>
        <w:rPr>
          <w:rFonts w:hint="eastAsia" w:ascii="宋体" w:hAnsi="宋体" w:eastAsia="宋体" w:cs="宋体"/>
        </w:rPr>
      </w:pPr>
    </w:p>
    <w:p w14:paraId="53EF78BC">
      <w:pPr>
        <w:rPr>
          <w:rFonts w:hint="eastAsia" w:ascii="宋体" w:hAnsi="宋体" w:eastAsia="宋体" w:cs="宋体"/>
        </w:rPr>
      </w:pPr>
    </w:p>
    <w:p w14:paraId="2426D49C">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bCs/>
          <w:snapToGrid w:val="0"/>
          <w:color w:val="auto"/>
          <w:sz w:val="24"/>
          <w:szCs w:val="24"/>
          <w:highlight w:val="none"/>
        </w:rPr>
      </w:pPr>
      <w:bookmarkStart w:id="253" w:name="_Toc1706"/>
      <w:bookmarkStart w:id="254" w:name="_Toc12757"/>
      <w:bookmarkStart w:id="255" w:name="_Toc7076"/>
      <w:r>
        <w:rPr>
          <w:rFonts w:hint="eastAsia" w:ascii="宋体" w:hAnsi="宋体" w:eastAsia="宋体" w:cs="宋体"/>
          <w:b/>
          <w:color w:val="auto"/>
          <w:kern w:val="2"/>
          <w:sz w:val="28"/>
          <w:szCs w:val="24"/>
          <w:lang w:val="en-US" w:eastAsia="zh-CN"/>
        </w:rPr>
        <w:t>格式七   联合体协议书</w:t>
      </w:r>
      <w:bookmarkEnd w:id="253"/>
      <w:bookmarkEnd w:id="254"/>
      <w:bookmarkEnd w:id="255"/>
    </w:p>
    <w:p w14:paraId="5B4390FB">
      <w:pPr>
        <w:wordWrap w:val="0"/>
        <w:adjustRightInd w:val="0"/>
        <w:snapToGrid w:val="0"/>
        <w:spacing w:before="240" w:after="240" w:line="44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30"/>
          <w:highlight w:val="none"/>
        </w:rPr>
        <w:t>联合体协议书</w:t>
      </w:r>
    </w:p>
    <w:p w14:paraId="74CFD502">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                 、                 </w:t>
      </w:r>
      <w:r>
        <w:rPr>
          <w:rFonts w:hint="eastAsia" w:ascii="宋体" w:hAnsi="宋体" w:eastAsia="宋体" w:cs="宋体"/>
          <w:color w:val="auto"/>
          <w:sz w:val="24"/>
          <w:highlight w:val="none"/>
        </w:rPr>
        <w:t>（所有成员单位名称）自愿组成联合体，共同参加</w:t>
      </w:r>
      <w:r>
        <w:rPr>
          <w:rFonts w:hint="eastAsia" w:ascii="宋体" w:hAnsi="宋体" w:eastAsia="宋体" w:cs="宋体"/>
          <w:color w:val="auto"/>
          <w:sz w:val="24"/>
          <w:highlight w:val="none"/>
          <w:u w:val="single"/>
        </w:rPr>
        <w:t xml:space="preserve">     （项目名称）       </w:t>
      </w:r>
      <w:r>
        <w:rPr>
          <w:rFonts w:hint="eastAsia" w:ascii="宋体" w:hAnsi="宋体" w:eastAsia="宋体" w:cs="宋体"/>
          <w:color w:val="auto"/>
          <w:sz w:val="24"/>
          <w:highlight w:val="none"/>
        </w:rPr>
        <w:t>投标。现就联合体投标事宜订立如下协议：</w:t>
      </w:r>
    </w:p>
    <w:p w14:paraId="00E7FF08">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（某成员单位名称）为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（联合体名称）牵头人。</w:t>
      </w:r>
    </w:p>
    <w:p w14:paraId="759C989A">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DE14837">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3.联合体将严格按照招标文件的各项要求，递交投标文件，履行合同，并对外承担连带责任。</w:t>
      </w:r>
    </w:p>
    <w:p w14:paraId="52C5C21B">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4.联合体各成员单位内部的职责分工如下：</w:t>
      </w:r>
      <w:r>
        <w:rPr>
          <w:rFonts w:hint="eastAsia" w:ascii="宋体" w:hAnsi="宋体" w:eastAsia="宋体" w:cs="宋体"/>
          <w:color w:val="auto"/>
          <w:sz w:val="24"/>
          <w:highlight w:val="none"/>
          <w:u w:val="single"/>
        </w:rPr>
        <w:t>联合体牵头人   （单位名称）    除负责本协议第2条的工作外，还负责承担       工作，联合体成员（单位名称）___________                 承担      工作，联合体成员（单位名称）___________                 承担      工作。</w:t>
      </w:r>
    </w:p>
    <w:p w14:paraId="096C7F1C">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5.本协议书自签署之日起生效，合同履行完毕后自动失效。</w:t>
      </w:r>
    </w:p>
    <w:p w14:paraId="1EE1B357">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6.本协议书一式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份，联合体各成员和招标人各执一份。</w:t>
      </w:r>
    </w:p>
    <w:p w14:paraId="543978D8">
      <w:pPr>
        <w:spacing w:line="360" w:lineRule="auto"/>
        <w:rPr>
          <w:rFonts w:hint="eastAsia" w:ascii="宋体" w:hAnsi="宋体" w:eastAsia="宋体" w:cs="宋体"/>
          <w:color w:val="auto"/>
          <w:sz w:val="24"/>
          <w:highlight w:val="none"/>
        </w:rPr>
      </w:pPr>
    </w:p>
    <w:p w14:paraId="31B84022">
      <w:pPr>
        <w:wordWrap w:val="0"/>
        <w:adjustRightInd w:val="0"/>
        <w:snapToGrid w:val="0"/>
        <w:spacing w:line="440" w:lineRule="exact"/>
        <w:ind w:firstLine="42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牵头人名称：</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1CFA1F24">
      <w:pPr>
        <w:wordWrap w:val="0"/>
        <w:adjustRightInd w:val="0"/>
        <w:snapToGrid w:val="0"/>
        <w:spacing w:line="440" w:lineRule="exact"/>
        <w:ind w:firstLine="42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1D91D21B">
      <w:pPr>
        <w:wordWrap w:val="0"/>
        <w:adjustRightInd w:val="0"/>
        <w:snapToGrid w:val="0"/>
        <w:spacing w:line="440" w:lineRule="exact"/>
        <w:ind w:firstLine="42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成员一名称：</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619733B5">
      <w:pPr>
        <w:wordWrap w:val="0"/>
        <w:adjustRightInd w:val="0"/>
        <w:snapToGrid w:val="0"/>
        <w:spacing w:line="440" w:lineRule="exact"/>
        <w:ind w:firstLine="42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78CC35EA">
      <w:pPr>
        <w:wordWrap w:val="0"/>
        <w:adjustRightInd w:val="0"/>
        <w:snapToGrid w:val="0"/>
        <w:spacing w:line="440" w:lineRule="exact"/>
        <w:ind w:firstLine="42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w:t>
      </w:r>
    </w:p>
    <w:p w14:paraId="2FDFBFF7">
      <w:pPr>
        <w:spacing w:line="360" w:lineRule="auto"/>
        <w:rPr>
          <w:rFonts w:hint="eastAsia" w:ascii="宋体" w:hAnsi="宋体" w:eastAsia="宋体" w:cs="宋体"/>
          <w:color w:val="auto"/>
          <w:sz w:val="24"/>
          <w:highlight w:val="none"/>
        </w:rPr>
      </w:pPr>
    </w:p>
    <w:p w14:paraId="3CC7E30B">
      <w:pPr>
        <w:wordWrap w:val="0"/>
        <w:adjustRightInd w:val="0"/>
        <w:snapToGrid w:val="0"/>
        <w:spacing w:line="440" w:lineRule="exact"/>
        <w:ind w:firstLine="42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01E435FE">
      <w:pPr>
        <w:spacing w:line="360" w:lineRule="auto"/>
        <w:rPr>
          <w:rFonts w:hint="eastAsia" w:ascii="宋体" w:hAnsi="宋体" w:eastAsia="宋体" w:cs="宋体"/>
          <w:color w:val="auto"/>
          <w:sz w:val="24"/>
          <w:highlight w:val="none"/>
        </w:rPr>
      </w:pPr>
    </w:p>
    <w:p w14:paraId="58B5B94A">
      <w:pPr>
        <w:wordWrap w:val="0"/>
        <w:adjustRightInd w:val="0"/>
        <w:snapToGrid w:val="0"/>
        <w:spacing w:line="440" w:lineRule="exact"/>
        <w:ind w:firstLine="42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说明：《联合体协议书》由委托代理人签字或盖章的，应附法定代表人签字或盖章的授权委托书。</w:t>
      </w:r>
    </w:p>
    <w:p w14:paraId="39BF0BF2">
      <w:pPr>
        <w:spacing w:line="360" w:lineRule="auto"/>
        <w:rPr>
          <w:rFonts w:hint="eastAsia" w:ascii="宋体" w:hAnsi="宋体" w:eastAsia="宋体" w:cs="宋体"/>
          <w:color w:val="auto"/>
          <w:sz w:val="24"/>
          <w:highlight w:val="none"/>
        </w:rPr>
      </w:pPr>
    </w:p>
    <w:p w14:paraId="0AAE0886">
      <w:pPr>
        <w:rPr>
          <w:rFonts w:hint="eastAsia" w:ascii="宋体" w:hAnsi="宋体" w:eastAsia="宋体" w:cs="宋体"/>
        </w:rPr>
      </w:pPr>
    </w:p>
    <w:p w14:paraId="4DF24155">
      <w:pPr>
        <w:rPr>
          <w:rFonts w:hint="eastAsia" w:ascii="宋体" w:hAnsi="宋体" w:eastAsia="宋体" w:cs="宋体"/>
        </w:rPr>
      </w:pPr>
    </w:p>
    <w:p w14:paraId="0C508028">
      <w:pPr>
        <w:rPr>
          <w:rFonts w:hint="eastAsia" w:ascii="宋体" w:hAnsi="宋体" w:eastAsia="宋体" w:cs="宋体"/>
        </w:rPr>
      </w:pPr>
    </w:p>
    <w:p w14:paraId="61E60B75">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color w:val="auto"/>
          <w:sz w:val="24"/>
          <w:highlight w:val="none"/>
        </w:rPr>
      </w:pPr>
      <w:bookmarkStart w:id="256" w:name="_Toc295"/>
      <w:bookmarkStart w:id="257" w:name="_Toc8768"/>
      <w:bookmarkStart w:id="258" w:name="_Toc15415"/>
      <w:r>
        <w:rPr>
          <w:rFonts w:hint="eastAsia" w:ascii="宋体" w:hAnsi="宋体" w:eastAsia="宋体" w:cs="宋体"/>
          <w:b/>
          <w:color w:val="auto"/>
          <w:kern w:val="2"/>
          <w:sz w:val="28"/>
          <w:szCs w:val="24"/>
          <w:lang w:val="en-US" w:eastAsia="zh-CN"/>
        </w:rPr>
        <w:t>格式八   投标人基本情况表</w:t>
      </w:r>
      <w:bookmarkEnd w:id="256"/>
      <w:bookmarkEnd w:id="257"/>
      <w:bookmarkEnd w:id="258"/>
    </w:p>
    <w:p w14:paraId="245A9AF0">
      <w:pPr>
        <w:wordWrap w:val="0"/>
        <w:adjustRightInd w:val="0"/>
        <w:snapToGrid w:val="0"/>
        <w:spacing w:before="260" w:after="260"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b/>
          <w:snapToGrid w:val="0"/>
          <w:color w:val="auto"/>
          <w:kern w:val="0"/>
          <w:sz w:val="30"/>
          <w:highlight w:val="none"/>
        </w:rPr>
        <w:t>投标人基本情况表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20E18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6E5FBBD6">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投标人名称</w:t>
            </w:r>
          </w:p>
        </w:tc>
        <w:tc>
          <w:tcPr>
            <w:tcW w:w="7020" w:type="dxa"/>
            <w:gridSpan w:val="8"/>
            <w:noWrap w:val="0"/>
            <w:vAlign w:val="center"/>
          </w:tcPr>
          <w:p w14:paraId="34D8F68E">
            <w:pPr>
              <w:wordWrap w:val="0"/>
              <w:adjustRightInd w:val="0"/>
              <w:snapToGrid w:val="0"/>
              <w:jc w:val="center"/>
              <w:rPr>
                <w:rFonts w:hint="eastAsia" w:ascii="宋体" w:hAnsi="宋体" w:eastAsia="宋体" w:cs="宋体"/>
                <w:snapToGrid w:val="0"/>
                <w:color w:val="auto"/>
                <w:kern w:val="0"/>
                <w:szCs w:val="21"/>
                <w:highlight w:val="none"/>
              </w:rPr>
            </w:pPr>
          </w:p>
        </w:tc>
      </w:tr>
      <w:tr w14:paraId="607B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5D4FAE56">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注册地址</w:t>
            </w:r>
          </w:p>
        </w:tc>
        <w:tc>
          <w:tcPr>
            <w:tcW w:w="3389" w:type="dxa"/>
            <w:gridSpan w:val="3"/>
            <w:noWrap w:val="0"/>
            <w:vAlign w:val="center"/>
          </w:tcPr>
          <w:p w14:paraId="43BD0AE0">
            <w:pPr>
              <w:wordWrap w:val="0"/>
              <w:adjustRightInd w:val="0"/>
              <w:snapToGrid w:val="0"/>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38854D50">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邮政编码</w:t>
            </w:r>
          </w:p>
        </w:tc>
        <w:tc>
          <w:tcPr>
            <w:tcW w:w="2385" w:type="dxa"/>
            <w:gridSpan w:val="3"/>
            <w:noWrap w:val="0"/>
            <w:vAlign w:val="center"/>
          </w:tcPr>
          <w:p w14:paraId="756B8FA9">
            <w:pPr>
              <w:wordWrap w:val="0"/>
              <w:adjustRightInd w:val="0"/>
              <w:snapToGrid w:val="0"/>
              <w:jc w:val="center"/>
              <w:rPr>
                <w:rFonts w:hint="eastAsia" w:ascii="宋体" w:hAnsi="宋体" w:eastAsia="宋体" w:cs="宋体"/>
                <w:snapToGrid w:val="0"/>
                <w:color w:val="auto"/>
                <w:kern w:val="0"/>
                <w:szCs w:val="21"/>
                <w:highlight w:val="none"/>
              </w:rPr>
            </w:pPr>
          </w:p>
        </w:tc>
      </w:tr>
      <w:tr w14:paraId="452F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noWrap w:val="0"/>
            <w:vAlign w:val="center"/>
          </w:tcPr>
          <w:p w14:paraId="1C22C9AB">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联系方式</w:t>
            </w:r>
          </w:p>
        </w:tc>
        <w:tc>
          <w:tcPr>
            <w:tcW w:w="897" w:type="dxa"/>
            <w:noWrap w:val="0"/>
            <w:vAlign w:val="center"/>
          </w:tcPr>
          <w:p w14:paraId="144AB29A">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联系人</w:t>
            </w:r>
          </w:p>
        </w:tc>
        <w:tc>
          <w:tcPr>
            <w:tcW w:w="2492" w:type="dxa"/>
            <w:gridSpan w:val="2"/>
            <w:noWrap w:val="0"/>
            <w:vAlign w:val="center"/>
          </w:tcPr>
          <w:p w14:paraId="344C6A5D">
            <w:pPr>
              <w:wordWrap w:val="0"/>
              <w:adjustRightInd w:val="0"/>
              <w:snapToGrid w:val="0"/>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21871DAF">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  话</w:t>
            </w:r>
          </w:p>
        </w:tc>
        <w:tc>
          <w:tcPr>
            <w:tcW w:w="2385" w:type="dxa"/>
            <w:gridSpan w:val="3"/>
            <w:noWrap w:val="0"/>
            <w:vAlign w:val="center"/>
          </w:tcPr>
          <w:p w14:paraId="04775DE5">
            <w:pPr>
              <w:wordWrap w:val="0"/>
              <w:adjustRightInd w:val="0"/>
              <w:snapToGrid w:val="0"/>
              <w:jc w:val="center"/>
              <w:rPr>
                <w:rFonts w:hint="eastAsia" w:ascii="宋体" w:hAnsi="宋体" w:eastAsia="宋体" w:cs="宋体"/>
                <w:snapToGrid w:val="0"/>
                <w:color w:val="auto"/>
                <w:kern w:val="0"/>
                <w:szCs w:val="21"/>
                <w:highlight w:val="none"/>
              </w:rPr>
            </w:pPr>
          </w:p>
        </w:tc>
      </w:tr>
      <w:tr w14:paraId="4251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noWrap w:val="0"/>
            <w:vAlign w:val="center"/>
          </w:tcPr>
          <w:p w14:paraId="3A9F6B07">
            <w:pPr>
              <w:wordWrap w:val="0"/>
              <w:adjustRightInd w:val="0"/>
              <w:snapToGrid w:val="0"/>
              <w:jc w:val="center"/>
              <w:rPr>
                <w:rFonts w:hint="eastAsia" w:ascii="宋体" w:hAnsi="宋体" w:eastAsia="宋体" w:cs="宋体"/>
                <w:snapToGrid w:val="0"/>
                <w:color w:val="auto"/>
                <w:kern w:val="0"/>
                <w:szCs w:val="21"/>
                <w:highlight w:val="none"/>
              </w:rPr>
            </w:pPr>
          </w:p>
        </w:tc>
        <w:tc>
          <w:tcPr>
            <w:tcW w:w="897" w:type="dxa"/>
            <w:noWrap w:val="0"/>
            <w:vAlign w:val="center"/>
          </w:tcPr>
          <w:p w14:paraId="59CA6856">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传  真</w:t>
            </w:r>
          </w:p>
        </w:tc>
        <w:tc>
          <w:tcPr>
            <w:tcW w:w="2492" w:type="dxa"/>
            <w:gridSpan w:val="2"/>
            <w:noWrap w:val="0"/>
            <w:vAlign w:val="center"/>
          </w:tcPr>
          <w:p w14:paraId="4BCBC15F">
            <w:pPr>
              <w:wordWrap w:val="0"/>
              <w:adjustRightInd w:val="0"/>
              <w:snapToGrid w:val="0"/>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7F10ED0E">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电子邮箱</w:t>
            </w:r>
          </w:p>
        </w:tc>
        <w:tc>
          <w:tcPr>
            <w:tcW w:w="2385" w:type="dxa"/>
            <w:gridSpan w:val="3"/>
            <w:noWrap w:val="0"/>
            <w:vAlign w:val="center"/>
          </w:tcPr>
          <w:p w14:paraId="5DDD6C8E">
            <w:pPr>
              <w:wordWrap w:val="0"/>
              <w:adjustRightInd w:val="0"/>
              <w:snapToGrid w:val="0"/>
              <w:jc w:val="center"/>
              <w:rPr>
                <w:rFonts w:hint="eastAsia" w:ascii="宋体" w:hAnsi="宋体" w:eastAsia="宋体" w:cs="宋体"/>
                <w:snapToGrid w:val="0"/>
                <w:color w:val="auto"/>
                <w:kern w:val="0"/>
                <w:szCs w:val="21"/>
                <w:highlight w:val="none"/>
              </w:rPr>
            </w:pPr>
          </w:p>
        </w:tc>
      </w:tr>
      <w:tr w14:paraId="3225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36735C5E">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单位性质</w:t>
            </w:r>
          </w:p>
        </w:tc>
        <w:tc>
          <w:tcPr>
            <w:tcW w:w="7020" w:type="dxa"/>
            <w:gridSpan w:val="8"/>
            <w:noWrap w:val="0"/>
            <w:vAlign w:val="center"/>
          </w:tcPr>
          <w:p w14:paraId="2EDA55AC">
            <w:pPr>
              <w:wordWrap w:val="0"/>
              <w:adjustRightInd w:val="0"/>
              <w:snapToGrid w:val="0"/>
              <w:jc w:val="center"/>
              <w:rPr>
                <w:rFonts w:hint="eastAsia" w:ascii="宋体" w:hAnsi="宋体" w:eastAsia="宋体" w:cs="宋体"/>
                <w:snapToGrid w:val="0"/>
                <w:color w:val="auto"/>
                <w:kern w:val="0"/>
                <w:szCs w:val="21"/>
                <w:highlight w:val="none"/>
              </w:rPr>
            </w:pPr>
          </w:p>
        </w:tc>
      </w:tr>
      <w:tr w14:paraId="7DD6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0BA1EBD1">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法定代表人</w:t>
            </w:r>
          </w:p>
        </w:tc>
        <w:tc>
          <w:tcPr>
            <w:tcW w:w="897" w:type="dxa"/>
            <w:noWrap w:val="0"/>
            <w:vAlign w:val="center"/>
          </w:tcPr>
          <w:p w14:paraId="12CFEF05">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姓名</w:t>
            </w:r>
          </w:p>
        </w:tc>
        <w:tc>
          <w:tcPr>
            <w:tcW w:w="1689" w:type="dxa"/>
            <w:noWrap w:val="0"/>
            <w:vAlign w:val="center"/>
          </w:tcPr>
          <w:p w14:paraId="024F7040">
            <w:pPr>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noWrap w:val="0"/>
            <w:vAlign w:val="center"/>
          </w:tcPr>
          <w:p w14:paraId="33548F06">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技术职称</w:t>
            </w:r>
          </w:p>
        </w:tc>
        <w:tc>
          <w:tcPr>
            <w:tcW w:w="1220" w:type="dxa"/>
            <w:gridSpan w:val="2"/>
            <w:noWrap w:val="0"/>
            <w:vAlign w:val="center"/>
          </w:tcPr>
          <w:p w14:paraId="012C30BF">
            <w:pPr>
              <w:wordWrap w:val="0"/>
              <w:adjustRightInd w:val="0"/>
              <w:snapToGrid w:val="0"/>
              <w:jc w:val="center"/>
              <w:rPr>
                <w:rFonts w:hint="eastAsia" w:ascii="宋体" w:hAnsi="宋体" w:eastAsia="宋体" w:cs="宋体"/>
                <w:snapToGrid w:val="0"/>
                <w:color w:val="auto"/>
                <w:kern w:val="0"/>
                <w:szCs w:val="21"/>
                <w:highlight w:val="none"/>
              </w:rPr>
            </w:pPr>
          </w:p>
        </w:tc>
        <w:tc>
          <w:tcPr>
            <w:tcW w:w="709" w:type="dxa"/>
            <w:noWrap w:val="0"/>
            <w:vAlign w:val="center"/>
          </w:tcPr>
          <w:p w14:paraId="53E40C42">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电话</w:t>
            </w:r>
          </w:p>
        </w:tc>
        <w:tc>
          <w:tcPr>
            <w:tcW w:w="1416" w:type="dxa"/>
            <w:noWrap w:val="0"/>
            <w:vAlign w:val="center"/>
          </w:tcPr>
          <w:p w14:paraId="6A30F898">
            <w:pPr>
              <w:wordWrap w:val="0"/>
              <w:adjustRightInd w:val="0"/>
              <w:snapToGrid w:val="0"/>
              <w:jc w:val="center"/>
              <w:rPr>
                <w:rFonts w:hint="eastAsia" w:ascii="宋体" w:hAnsi="宋体" w:eastAsia="宋体" w:cs="宋体"/>
                <w:snapToGrid w:val="0"/>
                <w:color w:val="auto"/>
                <w:kern w:val="0"/>
                <w:szCs w:val="21"/>
                <w:highlight w:val="none"/>
              </w:rPr>
            </w:pPr>
          </w:p>
        </w:tc>
      </w:tr>
      <w:tr w14:paraId="2008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1EF580F8">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成立时间</w:t>
            </w:r>
          </w:p>
        </w:tc>
        <w:tc>
          <w:tcPr>
            <w:tcW w:w="2586" w:type="dxa"/>
            <w:gridSpan w:val="2"/>
            <w:noWrap w:val="0"/>
            <w:vAlign w:val="center"/>
          </w:tcPr>
          <w:p w14:paraId="21F839E3">
            <w:pPr>
              <w:wordWrap w:val="0"/>
              <w:adjustRightInd w:val="0"/>
              <w:snapToGrid w:val="0"/>
              <w:jc w:val="center"/>
              <w:rPr>
                <w:rFonts w:hint="eastAsia" w:ascii="宋体" w:hAnsi="宋体" w:eastAsia="宋体" w:cs="宋体"/>
                <w:snapToGrid w:val="0"/>
                <w:color w:val="auto"/>
                <w:kern w:val="0"/>
                <w:szCs w:val="21"/>
                <w:highlight w:val="none"/>
              </w:rPr>
            </w:pPr>
          </w:p>
        </w:tc>
        <w:tc>
          <w:tcPr>
            <w:tcW w:w="4434" w:type="dxa"/>
            <w:gridSpan w:val="6"/>
            <w:noWrap w:val="0"/>
            <w:vAlign w:val="center"/>
          </w:tcPr>
          <w:p w14:paraId="37959774">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员工总人数（个）：</w:t>
            </w:r>
          </w:p>
        </w:tc>
      </w:tr>
      <w:tr w14:paraId="1EDC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exact"/>
          <w:jc w:val="center"/>
        </w:trPr>
        <w:tc>
          <w:tcPr>
            <w:tcW w:w="1485" w:type="dxa"/>
            <w:noWrap w:val="0"/>
            <w:vAlign w:val="center"/>
          </w:tcPr>
          <w:p w14:paraId="0E6EAC49">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企业资质</w:t>
            </w:r>
          </w:p>
          <w:p w14:paraId="0C006E73">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类型和等级</w:t>
            </w:r>
          </w:p>
        </w:tc>
        <w:tc>
          <w:tcPr>
            <w:tcW w:w="2586" w:type="dxa"/>
            <w:gridSpan w:val="2"/>
            <w:noWrap w:val="0"/>
            <w:vAlign w:val="center"/>
          </w:tcPr>
          <w:p w14:paraId="08BC1079">
            <w:pPr>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Merge w:val="restart"/>
            <w:noWrap w:val="0"/>
            <w:vAlign w:val="center"/>
          </w:tcPr>
          <w:p w14:paraId="003622FF">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其中</w:t>
            </w:r>
          </w:p>
        </w:tc>
        <w:tc>
          <w:tcPr>
            <w:tcW w:w="1929" w:type="dxa"/>
            <w:gridSpan w:val="3"/>
            <w:noWrap w:val="0"/>
            <w:vAlign w:val="center"/>
          </w:tcPr>
          <w:p w14:paraId="282AC858">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项目经理</w:t>
            </w:r>
          </w:p>
        </w:tc>
        <w:tc>
          <w:tcPr>
            <w:tcW w:w="1416" w:type="dxa"/>
            <w:noWrap w:val="0"/>
            <w:vAlign w:val="center"/>
          </w:tcPr>
          <w:p w14:paraId="481EDA72">
            <w:pPr>
              <w:wordWrap w:val="0"/>
              <w:adjustRightInd w:val="0"/>
              <w:snapToGrid w:val="0"/>
              <w:jc w:val="center"/>
              <w:rPr>
                <w:rFonts w:hint="eastAsia" w:ascii="宋体" w:hAnsi="宋体" w:eastAsia="宋体" w:cs="宋体"/>
                <w:snapToGrid w:val="0"/>
                <w:color w:val="auto"/>
                <w:kern w:val="0"/>
                <w:szCs w:val="21"/>
                <w:highlight w:val="none"/>
              </w:rPr>
            </w:pPr>
          </w:p>
        </w:tc>
      </w:tr>
      <w:tr w14:paraId="7F2B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43252DD3">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营业执照号</w:t>
            </w:r>
          </w:p>
        </w:tc>
        <w:tc>
          <w:tcPr>
            <w:tcW w:w="2586" w:type="dxa"/>
            <w:gridSpan w:val="2"/>
            <w:noWrap w:val="0"/>
            <w:vAlign w:val="center"/>
          </w:tcPr>
          <w:p w14:paraId="37A0B942">
            <w:pPr>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156E32C2">
            <w:pPr>
              <w:wordWrap w:val="0"/>
              <w:adjustRightInd w:val="0"/>
              <w:snapToGrid w:val="0"/>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31EC1E5E">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高级职称人员</w:t>
            </w:r>
          </w:p>
        </w:tc>
        <w:tc>
          <w:tcPr>
            <w:tcW w:w="1416" w:type="dxa"/>
            <w:noWrap w:val="0"/>
            <w:vAlign w:val="center"/>
          </w:tcPr>
          <w:p w14:paraId="7CCD61AB">
            <w:pPr>
              <w:wordWrap w:val="0"/>
              <w:adjustRightInd w:val="0"/>
              <w:snapToGrid w:val="0"/>
              <w:jc w:val="center"/>
              <w:rPr>
                <w:rFonts w:hint="eastAsia" w:ascii="宋体" w:hAnsi="宋体" w:eastAsia="宋体" w:cs="宋体"/>
                <w:snapToGrid w:val="0"/>
                <w:color w:val="auto"/>
                <w:kern w:val="0"/>
                <w:szCs w:val="21"/>
                <w:highlight w:val="none"/>
              </w:rPr>
            </w:pPr>
          </w:p>
        </w:tc>
      </w:tr>
      <w:tr w14:paraId="4307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7FD5FE14">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注册资金</w:t>
            </w:r>
          </w:p>
        </w:tc>
        <w:tc>
          <w:tcPr>
            <w:tcW w:w="2586" w:type="dxa"/>
            <w:gridSpan w:val="2"/>
            <w:noWrap w:val="0"/>
            <w:vAlign w:val="center"/>
          </w:tcPr>
          <w:p w14:paraId="2077A77B">
            <w:pPr>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48722A01">
            <w:pPr>
              <w:wordWrap w:val="0"/>
              <w:adjustRightInd w:val="0"/>
              <w:snapToGrid w:val="0"/>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26566B09">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中级职称人员</w:t>
            </w:r>
          </w:p>
        </w:tc>
        <w:tc>
          <w:tcPr>
            <w:tcW w:w="1416" w:type="dxa"/>
            <w:noWrap w:val="0"/>
            <w:vAlign w:val="center"/>
          </w:tcPr>
          <w:p w14:paraId="4A4E6E8D">
            <w:pPr>
              <w:wordWrap w:val="0"/>
              <w:adjustRightInd w:val="0"/>
              <w:snapToGrid w:val="0"/>
              <w:jc w:val="center"/>
              <w:rPr>
                <w:rFonts w:hint="eastAsia" w:ascii="宋体" w:hAnsi="宋体" w:eastAsia="宋体" w:cs="宋体"/>
                <w:snapToGrid w:val="0"/>
                <w:color w:val="auto"/>
                <w:kern w:val="0"/>
                <w:szCs w:val="21"/>
                <w:highlight w:val="none"/>
              </w:rPr>
            </w:pPr>
          </w:p>
        </w:tc>
      </w:tr>
      <w:tr w14:paraId="05FC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1485" w:type="dxa"/>
            <w:noWrap w:val="0"/>
            <w:vAlign w:val="center"/>
          </w:tcPr>
          <w:p w14:paraId="69F79DDA">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基本账户</w:t>
            </w:r>
          </w:p>
          <w:p w14:paraId="120021F1">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开户银行</w:t>
            </w:r>
          </w:p>
        </w:tc>
        <w:tc>
          <w:tcPr>
            <w:tcW w:w="2586" w:type="dxa"/>
            <w:gridSpan w:val="2"/>
            <w:noWrap w:val="0"/>
            <w:vAlign w:val="center"/>
          </w:tcPr>
          <w:p w14:paraId="7BF6DFBF">
            <w:pPr>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6051AFDE">
            <w:pPr>
              <w:wordWrap w:val="0"/>
              <w:adjustRightInd w:val="0"/>
              <w:snapToGrid w:val="0"/>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2A242FFE">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初级职称人员</w:t>
            </w:r>
          </w:p>
        </w:tc>
        <w:tc>
          <w:tcPr>
            <w:tcW w:w="1416" w:type="dxa"/>
            <w:noWrap w:val="0"/>
            <w:vAlign w:val="center"/>
          </w:tcPr>
          <w:p w14:paraId="2B301DA7">
            <w:pPr>
              <w:wordWrap w:val="0"/>
              <w:adjustRightInd w:val="0"/>
              <w:snapToGrid w:val="0"/>
              <w:jc w:val="center"/>
              <w:rPr>
                <w:rFonts w:hint="eastAsia" w:ascii="宋体" w:hAnsi="宋体" w:eastAsia="宋体" w:cs="宋体"/>
                <w:snapToGrid w:val="0"/>
                <w:color w:val="auto"/>
                <w:kern w:val="0"/>
                <w:szCs w:val="21"/>
                <w:highlight w:val="none"/>
              </w:rPr>
            </w:pPr>
          </w:p>
        </w:tc>
      </w:tr>
      <w:tr w14:paraId="0CE2B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1485" w:type="dxa"/>
            <w:noWrap w:val="0"/>
            <w:vAlign w:val="center"/>
          </w:tcPr>
          <w:p w14:paraId="50099962">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基本账户</w:t>
            </w:r>
          </w:p>
          <w:p w14:paraId="12E3E38C">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银行账号</w:t>
            </w:r>
          </w:p>
        </w:tc>
        <w:tc>
          <w:tcPr>
            <w:tcW w:w="2586" w:type="dxa"/>
            <w:gridSpan w:val="2"/>
            <w:noWrap w:val="0"/>
            <w:vAlign w:val="center"/>
          </w:tcPr>
          <w:p w14:paraId="56A9FB1D">
            <w:pPr>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22E3C96C">
            <w:pPr>
              <w:wordWrap w:val="0"/>
              <w:adjustRightInd w:val="0"/>
              <w:snapToGrid w:val="0"/>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03913A88">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技术员</w:t>
            </w:r>
          </w:p>
        </w:tc>
        <w:tc>
          <w:tcPr>
            <w:tcW w:w="1416" w:type="dxa"/>
            <w:noWrap w:val="0"/>
            <w:vAlign w:val="center"/>
          </w:tcPr>
          <w:p w14:paraId="302404C1">
            <w:pPr>
              <w:wordWrap w:val="0"/>
              <w:adjustRightInd w:val="0"/>
              <w:snapToGrid w:val="0"/>
              <w:jc w:val="center"/>
              <w:rPr>
                <w:rFonts w:hint="eastAsia" w:ascii="宋体" w:hAnsi="宋体" w:eastAsia="宋体" w:cs="宋体"/>
                <w:snapToGrid w:val="0"/>
                <w:color w:val="auto"/>
                <w:kern w:val="0"/>
                <w:szCs w:val="21"/>
                <w:highlight w:val="none"/>
              </w:rPr>
            </w:pPr>
          </w:p>
        </w:tc>
      </w:tr>
      <w:tr w14:paraId="0751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jc w:val="center"/>
        </w:trPr>
        <w:tc>
          <w:tcPr>
            <w:tcW w:w="1485" w:type="dxa"/>
            <w:noWrap w:val="0"/>
            <w:vAlign w:val="center"/>
          </w:tcPr>
          <w:p w14:paraId="19BF3997">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经营范围</w:t>
            </w:r>
          </w:p>
        </w:tc>
        <w:tc>
          <w:tcPr>
            <w:tcW w:w="7020" w:type="dxa"/>
            <w:gridSpan w:val="8"/>
            <w:noWrap w:val="0"/>
            <w:vAlign w:val="center"/>
          </w:tcPr>
          <w:p w14:paraId="5DA14115">
            <w:pPr>
              <w:wordWrap w:val="0"/>
              <w:adjustRightInd w:val="0"/>
              <w:snapToGrid w:val="0"/>
              <w:jc w:val="left"/>
              <w:rPr>
                <w:rFonts w:hint="eastAsia" w:ascii="宋体" w:hAnsi="宋体" w:eastAsia="宋体" w:cs="宋体"/>
                <w:snapToGrid w:val="0"/>
                <w:color w:val="auto"/>
                <w:kern w:val="0"/>
                <w:szCs w:val="21"/>
                <w:highlight w:val="none"/>
              </w:rPr>
            </w:pPr>
          </w:p>
        </w:tc>
      </w:tr>
      <w:tr w14:paraId="62D7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1485" w:type="dxa"/>
            <w:noWrap w:val="0"/>
            <w:vAlign w:val="center"/>
          </w:tcPr>
          <w:p w14:paraId="5ABBCD27">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关联企业情况</w:t>
            </w:r>
          </w:p>
        </w:tc>
        <w:tc>
          <w:tcPr>
            <w:tcW w:w="7020" w:type="dxa"/>
            <w:gridSpan w:val="8"/>
            <w:noWrap w:val="0"/>
            <w:vAlign w:val="center"/>
          </w:tcPr>
          <w:p w14:paraId="20F9E971">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包括但不限于与投标人存在以下关系的不同单位：</w:t>
            </w:r>
          </w:p>
          <w:p w14:paraId="74F7D935">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1．法定代表人为同一人的。</w:t>
            </w:r>
          </w:p>
          <w:p w14:paraId="2FC62263">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2．存在控股、管理关系的。</w:t>
            </w:r>
          </w:p>
          <w:p w14:paraId="1F78526C">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3．主要人员相互任职的。</w:t>
            </w:r>
          </w:p>
        </w:tc>
      </w:tr>
      <w:tr w14:paraId="7F4D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485" w:type="dxa"/>
            <w:noWrap w:val="0"/>
            <w:vAlign w:val="center"/>
          </w:tcPr>
          <w:p w14:paraId="2B890EC9">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备注</w:t>
            </w:r>
          </w:p>
        </w:tc>
        <w:tc>
          <w:tcPr>
            <w:tcW w:w="7020" w:type="dxa"/>
            <w:gridSpan w:val="8"/>
            <w:noWrap w:val="0"/>
            <w:vAlign w:val="center"/>
          </w:tcPr>
          <w:p w14:paraId="4C3F0CF4">
            <w:pPr>
              <w:wordWrap w:val="0"/>
              <w:adjustRightInd w:val="0"/>
              <w:snapToGrid w:val="0"/>
              <w:jc w:val="center"/>
              <w:rPr>
                <w:rFonts w:hint="eastAsia" w:ascii="宋体" w:hAnsi="宋体" w:eastAsia="宋体" w:cs="宋体"/>
                <w:snapToGrid w:val="0"/>
                <w:color w:val="auto"/>
                <w:kern w:val="0"/>
                <w:szCs w:val="21"/>
                <w:highlight w:val="none"/>
              </w:rPr>
            </w:pPr>
          </w:p>
        </w:tc>
      </w:tr>
    </w:tbl>
    <w:p w14:paraId="5914E5FB">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w:t>
      </w:r>
    </w:p>
    <w:p w14:paraId="123B9F99">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1．《投标人基本情况表》后应附以下资料：</w:t>
      </w:r>
    </w:p>
    <w:p w14:paraId="124FD097">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（1）企业营业执照、资质证书的证书彩色扫描件；</w:t>
      </w:r>
    </w:p>
    <w:p w14:paraId="115817F3">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（2）“进粤企业和人员诚信信息登记平台”企业信息情况彩色扫描件。（适用于省外建筑企业）；</w:t>
      </w:r>
    </w:p>
    <w:p w14:paraId="26BE5545">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（3）《法人和非法人组织公共信用信息报告》扫描件(在“信用中国”网站企业查询界面中下载) 。</w:t>
      </w:r>
    </w:p>
    <w:p w14:paraId="72F4DC31">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2．联合体投标的，联合体成员单位均应填写《投标人基本情况表》并提供以上所需资料。</w:t>
      </w:r>
    </w:p>
    <w:p w14:paraId="1F7D1E3D">
      <w:pPr>
        <w:rPr>
          <w:rFonts w:hint="eastAsia" w:ascii="宋体" w:hAnsi="宋体" w:eastAsia="宋体" w:cs="宋体"/>
        </w:rPr>
      </w:pPr>
    </w:p>
    <w:p w14:paraId="4D8394B3">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259" w:name="_Toc27657"/>
      <w:bookmarkStart w:id="260" w:name="_Toc8897"/>
      <w:bookmarkStart w:id="261" w:name="_Toc26925"/>
      <w:r>
        <w:rPr>
          <w:rFonts w:hint="eastAsia" w:ascii="宋体" w:hAnsi="宋体" w:eastAsia="宋体" w:cs="宋体"/>
          <w:b/>
          <w:color w:val="auto"/>
          <w:kern w:val="2"/>
          <w:sz w:val="28"/>
          <w:szCs w:val="24"/>
          <w:lang w:val="en-US" w:eastAsia="zh-CN"/>
        </w:rPr>
        <w:t xml:space="preserve">格式九   </w:t>
      </w:r>
      <w:bookmarkEnd w:id="259"/>
      <w:bookmarkEnd w:id="260"/>
      <w:r>
        <w:rPr>
          <w:rFonts w:hint="eastAsia" w:ascii="宋体" w:hAnsi="宋体" w:eastAsia="宋体" w:cs="宋体"/>
          <w:b/>
          <w:color w:val="auto"/>
          <w:kern w:val="2"/>
          <w:sz w:val="28"/>
          <w:szCs w:val="24"/>
          <w:lang w:val="en-US" w:eastAsia="zh-CN"/>
        </w:rPr>
        <w:t>设计/勘察负责人简历表</w:t>
      </w:r>
      <w:bookmarkEnd w:id="261"/>
    </w:p>
    <w:p w14:paraId="4454FA0D">
      <w:pPr>
        <w:wordWrap w:val="0"/>
        <w:adjustRightInd w:val="0"/>
        <w:snapToGrid w:val="0"/>
        <w:spacing w:line="440" w:lineRule="exact"/>
        <w:ind w:firstLine="570"/>
        <w:jc w:val="center"/>
        <w:rPr>
          <w:rFonts w:hint="eastAsia" w:ascii="宋体" w:hAnsi="宋体" w:eastAsia="宋体" w:cs="宋体"/>
          <w:b/>
          <w:snapToGrid w:val="0"/>
          <w:color w:val="auto"/>
          <w:kern w:val="0"/>
          <w:sz w:val="30"/>
          <w:highlight w:val="none"/>
          <w:lang w:eastAsia="zh-CN"/>
        </w:rPr>
      </w:pPr>
      <w:r>
        <w:rPr>
          <w:rFonts w:hint="eastAsia" w:ascii="宋体" w:hAnsi="宋体" w:eastAsia="宋体" w:cs="宋体"/>
          <w:b/>
          <w:snapToGrid w:val="0"/>
          <w:color w:val="auto"/>
          <w:kern w:val="0"/>
          <w:sz w:val="30"/>
          <w:highlight w:val="none"/>
          <w:lang w:eastAsia="zh-CN"/>
        </w:rPr>
        <w:t>设计/勘察负责人简历表</w:t>
      </w:r>
    </w:p>
    <w:tbl>
      <w:tblPr>
        <w:tblStyle w:val="3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87"/>
        <w:gridCol w:w="704"/>
        <w:gridCol w:w="1473"/>
        <w:gridCol w:w="922"/>
        <w:gridCol w:w="99"/>
        <w:gridCol w:w="1158"/>
        <w:gridCol w:w="803"/>
        <w:gridCol w:w="183"/>
        <w:gridCol w:w="1749"/>
      </w:tblGrid>
      <w:tr w14:paraId="69E566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309" w:type="dxa"/>
            <w:gridSpan w:val="10"/>
            <w:noWrap w:val="0"/>
            <w:vAlign w:val="center"/>
          </w:tcPr>
          <w:p w14:paraId="0040E5B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1.基本情况</w:t>
            </w:r>
          </w:p>
        </w:tc>
      </w:tr>
      <w:tr w14:paraId="66641D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noWrap w:val="0"/>
            <w:vAlign w:val="center"/>
          </w:tcPr>
          <w:p w14:paraId="15E94FD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387" w:type="dxa"/>
            <w:noWrap w:val="0"/>
            <w:vAlign w:val="center"/>
          </w:tcPr>
          <w:p w14:paraId="43ED1E5E">
            <w:pPr>
              <w:spacing w:line="360" w:lineRule="auto"/>
              <w:jc w:val="center"/>
              <w:rPr>
                <w:rFonts w:hint="eastAsia" w:ascii="宋体" w:hAnsi="宋体" w:eastAsia="宋体" w:cs="宋体"/>
                <w:color w:val="auto"/>
                <w:sz w:val="24"/>
                <w:szCs w:val="24"/>
                <w:highlight w:val="none"/>
              </w:rPr>
            </w:pPr>
          </w:p>
        </w:tc>
        <w:tc>
          <w:tcPr>
            <w:tcW w:w="704" w:type="dxa"/>
            <w:noWrap w:val="0"/>
            <w:vAlign w:val="center"/>
          </w:tcPr>
          <w:p w14:paraId="3F878F8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1473" w:type="dxa"/>
            <w:noWrap w:val="0"/>
            <w:vAlign w:val="center"/>
          </w:tcPr>
          <w:p w14:paraId="311F9215">
            <w:pPr>
              <w:spacing w:line="360" w:lineRule="auto"/>
              <w:jc w:val="center"/>
              <w:rPr>
                <w:rFonts w:hint="eastAsia" w:ascii="宋体" w:hAnsi="宋体" w:eastAsia="宋体" w:cs="宋体"/>
                <w:color w:val="auto"/>
                <w:sz w:val="24"/>
                <w:szCs w:val="24"/>
                <w:highlight w:val="none"/>
              </w:rPr>
            </w:pPr>
          </w:p>
        </w:tc>
        <w:tc>
          <w:tcPr>
            <w:tcW w:w="922" w:type="dxa"/>
            <w:noWrap w:val="0"/>
            <w:vAlign w:val="center"/>
          </w:tcPr>
          <w:p w14:paraId="02F77FE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1257" w:type="dxa"/>
            <w:gridSpan w:val="2"/>
            <w:noWrap w:val="0"/>
            <w:vAlign w:val="center"/>
          </w:tcPr>
          <w:p w14:paraId="4B49167D">
            <w:pPr>
              <w:spacing w:line="360" w:lineRule="auto"/>
              <w:jc w:val="center"/>
              <w:rPr>
                <w:rFonts w:hint="eastAsia" w:ascii="宋体" w:hAnsi="宋体" w:eastAsia="宋体" w:cs="宋体"/>
                <w:color w:val="auto"/>
                <w:sz w:val="24"/>
                <w:szCs w:val="24"/>
                <w:highlight w:val="none"/>
              </w:rPr>
            </w:pPr>
          </w:p>
        </w:tc>
        <w:tc>
          <w:tcPr>
            <w:tcW w:w="986" w:type="dxa"/>
            <w:gridSpan w:val="2"/>
            <w:noWrap w:val="0"/>
            <w:vAlign w:val="center"/>
          </w:tcPr>
          <w:p w14:paraId="437996B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学位</w:t>
            </w:r>
          </w:p>
        </w:tc>
        <w:tc>
          <w:tcPr>
            <w:tcW w:w="1749" w:type="dxa"/>
            <w:noWrap w:val="0"/>
            <w:vAlign w:val="center"/>
          </w:tcPr>
          <w:p w14:paraId="6B57D7CB">
            <w:pPr>
              <w:spacing w:line="360" w:lineRule="auto"/>
              <w:jc w:val="center"/>
              <w:rPr>
                <w:rFonts w:hint="eastAsia" w:ascii="宋体" w:hAnsi="宋体" w:eastAsia="宋体" w:cs="宋体"/>
                <w:color w:val="auto"/>
                <w:sz w:val="24"/>
                <w:szCs w:val="24"/>
                <w:highlight w:val="none"/>
              </w:rPr>
            </w:pPr>
          </w:p>
        </w:tc>
      </w:tr>
      <w:tr w14:paraId="2E70FB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noWrap w:val="0"/>
            <w:vAlign w:val="center"/>
          </w:tcPr>
          <w:p w14:paraId="351596F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387" w:type="dxa"/>
            <w:noWrap w:val="0"/>
            <w:vAlign w:val="center"/>
          </w:tcPr>
          <w:p w14:paraId="27BABDAD">
            <w:pPr>
              <w:spacing w:line="360" w:lineRule="auto"/>
              <w:jc w:val="center"/>
              <w:rPr>
                <w:rFonts w:hint="eastAsia" w:ascii="宋体" w:hAnsi="宋体" w:eastAsia="宋体" w:cs="宋体"/>
                <w:color w:val="auto"/>
                <w:sz w:val="24"/>
                <w:szCs w:val="24"/>
                <w:highlight w:val="none"/>
              </w:rPr>
            </w:pPr>
          </w:p>
        </w:tc>
        <w:tc>
          <w:tcPr>
            <w:tcW w:w="2177" w:type="dxa"/>
            <w:gridSpan w:val="2"/>
            <w:noWrap w:val="0"/>
            <w:vAlign w:val="center"/>
          </w:tcPr>
          <w:p w14:paraId="74C6CD6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为投标人服务时间</w:t>
            </w:r>
          </w:p>
        </w:tc>
        <w:tc>
          <w:tcPr>
            <w:tcW w:w="922" w:type="dxa"/>
            <w:noWrap w:val="0"/>
            <w:vAlign w:val="center"/>
          </w:tcPr>
          <w:p w14:paraId="29AC1C90">
            <w:pPr>
              <w:spacing w:line="360" w:lineRule="auto"/>
              <w:jc w:val="center"/>
              <w:rPr>
                <w:rFonts w:hint="eastAsia" w:ascii="宋体" w:hAnsi="宋体" w:eastAsia="宋体" w:cs="宋体"/>
                <w:color w:val="auto"/>
                <w:sz w:val="24"/>
                <w:szCs w:val="24"/>
                <w:highlight w:val="none"/>
              </w:rPr>
            </w:pPr>
          </w:p>
        </w:tc>
        <w:tc>
          <w:tcPr>
            <w:tcW w:w="2243" w:type="dxa"/>
            <w:gridSpan w:val="4"/>
            <w:noWrap w:val="0"/>
            <w:vAlign w:val="center"/>
          </w:tcPr>
          <w:p w14:paraId="1609DFD3">
            <w:pPr>
              <w:spacing w:line="360" w:lineRule="auto"/>
              <w:jc w:val="center"/>
              <w:rPr>
                <w:rFonts w:hint="eastAsia" w:ascii="宋体" w:hAnsi="宋体" w:eastAsia="宋体" w:cs="宋体"/>
                <w:color w:val="auto"/>
                <w:spacing w:val="-12"/>
                <w:sz w:val="24"/>
                <w:szCs w:val="24"/>
                <w:highlight w:val="none"/>
              </w:rPr>
            </w:pPr>
            <w:r>
              <w:rPr>
                <w:rFonts w:hint="eastAsia" w:ascii="宋体" w:hAnsi="宋体" w:eastAsia="宋体" w:cs="宋体"/>
                <w:color w:val="auto"/>
                <w:sz w:val="24"/>
                <w:szCs w:val="24"/>
                <w:highlight w:val="none"/>
              </w:rPr>
              <w:t>在本合同中拟任职</w:t>
            </w:r>
          </w:p>
        </w:tc>
        <w:tc>
          <w:tcPr>
            <w:tcW w:w="1749" w:type="dxa"/>
            <w:noWrap w:val="0"/>
            <w:vAlign w:val="center"/>
          </w:tcPr>
          <w:p w14:paraId="3C832068">
            <w:pPr>
              <w:spacing w:line="360" w:lineRule="auto"/>
              <w:jc w:val="center"/>
              <w:rPr>
                <w:rFonts w:hint="eastAsia" w:ascii="宋体" w:hAnsi="宋体" w:eastAsia="宋体" w:cs="宋体"/>
                <w:color w:val="auto"/>
                <w:sz w:val="24"/>
                <w:szCs w:val="24"/>
                <w:highlight w:val="none"/>
              </w:rPr>
            </w:pPr>
          </w:p>
        </w:tc>
      </w:tr>
      <w:tr w14:paraId="6E8D6D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31" w:type="dxa"/>
            <w:noWrap w:val="0"/>
            <w:vAlign w:val="center"/>
          </w:tcPr>
          <w:p w14:paraId="65760A4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8478" w:type="dxa"/>
            <w:gridSpan w:val="9"/>
            <w:noWrap w:val="0"/>
            <w:vAlign w:val="center"/>
          </w:tcPr>
          <w:p w14:paraId="7D8BA2F1">
            <w:pPr>
              <w:spacing w:line="360" w:lineRule="auto"/>
              <w:ind w:firstLine="6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年毕业于              学校           专业</w:t>
            </w:r>
          </w:p>
        </w:tc>
      </w:tr>
      <w:tr w14:paraId="79228F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9309" w:type="dxa"/>
            <w:gridSpan w:val="10"/>
            <w:noWrap w:val="0"/>
            <w:vAlign w:val="center"/>
          </w:tcPr>
          <w:p w14:paraId="19B8106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2.经历</w:t>
            </w:r>
          </w:p>
        </w:tc>
      </w:tr>
      <w:tr w14:paraId="1993A2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noWrap w:val="0"/>
            <w:vAlign w:val="center"/>
          </w:tcPr>
          <w:p w14:paraId="4CFD071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4585" w:type="dxa"/>
            <w:gridSpan w:val="5"/>
            <w:noWrap w:val="0"/>
            <w:vAlign w:val="center"/>
          </w:tcPr>
          <w:p w14:paraId="1C1B0CA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负责过的主要工程（类型和金额）</w:t>
            </w:r>
          </w:p>
        </w:tc>
        <w:tc>
          <w:tcPr>
            <w:tcW w:w="1961" w:type="dxa"/>
            <w:gridSpan w:val="2"/>
            <w:noWrap w:val="0"/>
            <w:vAlign w:val="center"/>
          </w:tcPr>
          <w:p w14:paraId="73AAA6B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该项目中任职</w:t>
            </w:r>
          </w:p>
        </w:tc>
        <w:tc>
          <w:tcPr>
            <w:tcW w:w="1932" w:type="dxa"/>
            <w:gridSpan w:val="2"/>
            <w:noWrap w:val="0"/>
            <w:vAlign w:val="center"/>
          </w:tcPr>
          <w:p w14:paraId="7D55695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 注</w:t>
            </w:r>
          </w:p>
        </w:tc>
      </w:tr>
      <w:tr w14:paraId="0C30BD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31" w:type="dxa"/>
            <w:noWrap w:val="0"/>
            <w:vAlign w:val="center"/>
          </w:tcPr>
          <w:p w14:paraId="2E0027FA">
            <w:pPr>
              <w:spacing w:line="360" w:lineRule="auto"/>
              <w:jc w:val="center"/>
              <w:rPr>
                <w:rFonts w:hint="eastAsia" w:ascii="宋体" w:hAnsi="宋体" w:eastAsia="宋体" w:cs="宋体"/>
                <w:color w:val="auto"/>
                <w:sz w:val="24"/>
                <w:szCs w:val="24"/>
                <w:highlight w:val="none"/>
              </w:rPr>
            </w:pPr>
          </w:p>
        </w:tc>
        <w:tc>
          <w:tcPr>
            <w:tcW w:w="4585" w:type="dxa"/>
            <w:gridSpan w:val="5"/>
            <w:noWrap w:val="0"/>
            <w:vAlign w:val="center"/>
          </w:tcPr>
          <w:p w14:paraId="01D31106">
            <w:pPr>
              <w:spacing w:line="360" w:lineRule="auto"/>
              <w:jc w:val="center"/>
              <w:rPr>
                <w:rFonts w:hint="eastAsia" w:ascii="宋体" w:hAnsi="宋体" w:eastAsia="宋体" w:cs="宋体"/>
                <w:color w:val="auto"/>
                <w:sz w:val="24"/>
                <w:szCs w:val="24"/>
                <w:highlight w:val="none"/>
              </w:rPr>
            </w:pPr>
          </w:p>
        </w:tc>
        <w:tc>
          <w:tcPr>
            <w:tcW w:w="1961" w:type="dxa"/>
            <w:gridSpan w:val="2"/>
            <w:noWrap w:val="0"/>
            <w:vAlign w:val="center"/>
          </w:tcPr>
          <w:p w14:paraId="48B25587">
            <w:pPr>
              <w:spacing w:line="360" w:lineRule="auto"/>
              <w:jc w:val="center"/>
              <w:rPr>
                <w:rFonts w:hint="eastAsia" w:ascii="宋体" w:hAnsi="宋体" w:eastAsia="宋体" w:cs="宋体"/>
                <w:color w:val="auto"/>
                <w:sz w:val="24"/>
                <w:szCs w:val="24"/>
                <w:highlight w:val="none"/>
              </w:rPr>
            </w:pPr>
          </w:p>
        </w:tc>
        <w:tc>
          <w:tcPr>
            <w:tcW w:w="1932" w:type="dxa"/>
            <w:gridSpan w:val="2"/>
            <w:noWrap w:val="0"/>
            <w:vAlign w:val="center"/>
          </w:tcPr>
          <w:p w14:paraId="1BBB6571">
            <w:pPr>
              <w:spacing w:line="360" w:lineRule="auto"/>
              <w:jc w:val="center"/>
              <w:rPr>
                <w:rFonts w:hint="eastAsia" w:ascii="宋体" w:hAnsi="宋体" w:eastAsia="宋体" w:cs="宋体"/>
                <w:color w:val="auto"/>
                <w:sz w:val="24"/>
                <w:szCs w:val="24"/>
                <w:highlight w:val="none"/>
              </w:rPr>
            </w:pPr>
          </w:p>
        </w:tc>
      </w:tr>
      <w:tr w14:paraId="03E8BF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31" w:type="dxa"/>
            <w:noWrap w:val="0"/>
            <w:vAlign w:val="center"/>
          </w:tcPr>
          <w:p w14:paraId="4CFF5DF3">
            <w:pPr>
              <w:spacing w:line="360" w:lineRule="auto"/>
              <w:jc w:val="center"/>
              <w:rPr>
                <w:rFonts w:hint="eastAsia" w:ascii="宋体" w:hAnsi="宋体" w:eastAsia="宋体" w:cs="宋体"/>
                <w:color w:val="auto"/>
                <w:sz w:val="24"/>
                <w:szCs w:val="24"/>
                <w:highlight w:val="none"/>
              </w:rPr>
            </w:pPr>
          </w:p>
        </w:tc>
        <w:tc>
          <w:tcPr>
            <w:tcW w:w="4585" w:type="dxa"/>
            <w:gridSpan w:val="5"/>
            <w:noWrap w:val="0"/>
            <w:vAlign w:val="center"/>
          </w:tcPr>
          <w:p w14:paraId="0D5274F7">
            <w:pPr>
              <w:spacing w:line="360" w:lineRule="auto"/>
              <w:jc w:val="center"/>
              <w:rPr>
                <w:rFonts w:hint="eastAsia" w:ascii="宋体" w:hAnsi="宋体" w:eastAsia="宋体" w:cs="宋体"/>
                <w:color w:val="auto"/>
                <w:sz w:val="24"/>
                <w:szCs w:val="24"/>
                <w:highlight w:val="none"/>
              </w:rPr>
            </w:pPr>
          </w:p>
        </w:tc>
        <w:tc>
          <w:tcPr>
            <w:tcW w:w="1961" w:type="dxa"/>
            <w:gridSpan w:val="2"/>
            <w:noWrap w:val="0"/>
            <w:vAlign w:val="center"/>
          </w:tcPr>
          <w:p w14:paraId="798F99A1">
            <w:pPr>
              <w:spacing w:line="360" w:lineRule="auto"/>
              <w:jc w:val="center"/>
              <w:rPr>
                <w:rFonts w:hint="eastAsia" w:ascii="宋体" w:hAnsi="宋体" w:eastAsia="宋体" w:cs="宋体"/>
                <w:color w:val="auto"/>
                <w:sz w:val="24"/>
                <w:szCs w:val="24"/>
                <w:highlight w:val="none"/>
              </w:rPr>
            </w:pPr>
          </w:p>
        </w:tc>
        <w:tc>
          <w:tcPr>
            <w:tcW w:w="1932" w:type="dxa"/>
            <w:gridSpan w:val="2"/>
            <w:noWrap w:val="0"/>
            <w:vAlign w:val="center"/>
          </w:tcPr>
          <w:p w14:paraId="7BB0FB07">
            <w:pPr>
              <w:spacing w:line="360" w:lineRule="auto"/>
              <w:jc w:val="center"/>
              <w:rPr>
                <w:rFonts w:hint="eastAsia" w:ascii="宋体" w:hAnsi="宋体" w:eastAsia="宋体" w:cs="宋体"/>
                <w:color w:val="auto"/>
                <w:sz w:val="24"/>
                <w:szCs w:val="24"/>
                <w:highlight w:val="none"/>
              </w:rPr>
            </w:pPr>
          </w:p>
        </w:tc>
      </w:tr>
      <w:tr w14:paraId="7AB991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9309" w:type="dxa"/>
            <w:gridSpan w:val="10"/>
            <w:noWrap w:val="0"/>
            <w:vAlign w:val="center"/>
          </w:tcPr>
          <w:p w14:paraId="7D9240D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3.获奖情况（如有）</w:t>
            </w:r>
          </w:p>
        </w:tc>
      </w:tr>
      <w:tr w14:paraId="045A83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9309" w:type="dxa"/>
            <w:gridSpan w:val="10"/>
            <w:noWrap w:val="0"/>
            <w:vAlign w:val="center"/>
          </w:tcPr>
          <w:p w14:paraId="153C63B3">
            <w:pPr>
              <w:spacing w:line="360" w:lineRule="auto"/>
              <w:jc w:val="center"/>
              <w:rPr>
                <w:rFonts w:hint="eastAsia" w:ascii="宋体" w:hAnsi="宋体" w:eastAsia="宋体" w:cs="宋体"/>
                <w:color w:val="auto"/>
                <w:sz w:val="24"/>
                <w:szCs w:val="24"/>
                <w:highlight w:val="none"/>
              </w:rPr>
            </w:pPr>
          </w:p>
        </w:tc>
      </w:tr>
      <w:tr w14:paraId="1BD9C3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9309" w:type="dxa"/>
            <w:gridSpan w:val="10"/>
            <w:noWrap w:val="0"/>
            <w:vAlign w:val="center"/>
          </w:tcPr>
          <w:p w14:paraId="51888D2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4.目前承担的任务</w:t>
            </w:r>
          </w:p>
        </w:tc>
      </w:tr>
      <w:tr w14:paraId="21B4C1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309" w:type="dxa"/>
            <w:gridSpan w:val="10"/>
            <w:noWrap w:val="0"/>
            <w:vAlign w:val="center"/>
          </w:tcPr>
          <w:p w14:paraId="5E093EC6">
            <w:pPr>
              <w:spacing w:line="360" w:lineRule="auto"/>
              <w:jc w:val="center"/>
              <w:rPr>
                <w:rFonts w:hint="eastAsia" w:ascii="宋体" w:hAnsi="宋体" w:eastAsia="宋体" w:cs="宋体"/>
                <w:color w:val="auto"/>
                <w:sz w:val="24"/>
                <w:szCs w:val="24"/>
                <w:highlight w:val="none"/>
              </w:rPr>
            </w:pPr>
          </w:p>
        </w:tc>
      </w:tr>
    </w:tbl>
    <w:p w14:paraId="7CB78966">
      <w:pPr>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注：本表不够时自制</w:t>
      </w:r>
    </w:p>
    <w:p w14:paraId="6C6720F5">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w:t>
      </w:r>
      <w:r>
        <w:rPr>
          <w:rFonts w:hint="eastAsia" w:ascii="宋体" w:hAnsi="宋体" w:eastAsia="宋体" w:cs="宋体"/>
          <w:snapToGrid w:val="0"/>
          <w:color w:val="auto"/>
          <w:kern w:val="0"/>
          <w:sz w:val="24"/>
          <w:szCs w:val="24"/>
          <w:highlight w:val="none"/>
          <w:lang w:eastAsia="zh-CN"/>
        </w:rPr>
        <w:t>设计/勘察负责人简历表</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设计负责人和勘察负责人每人一张分别填写，并</w:t>
      </w:r>
      <w:r>
        <w:rPr>
          <w:rFonts w:hint="eastAsia" w:ascii="宋体" w:hAnsi="宋体" w:eastAsia="宋体" w:cs="宋体"/>
          <w:snapToGrid w:val="0"/>
          <w:color w:val="auto"/>
          <w:kern w:val="0"/>
          <w:sz w:val="24"/>
          <w:szCs w:val="24"/>
          <w:highlight w:val="none"/>
        </w:rPr>
        <w:t>应后附拟派项目（设计</w:t>
      </w:r>
      <w:r>
        <w:rPr>
          <w:rFonts w:hint="eastAsia" w:ascii="宋体" w:hAnsi="宋体" w:eastAsia="宋体" w:cs="宋体"/>
          <w:snapToGrid w:val="0"/>
          <w:color w:val="auto"/>
          <w:kern w:val="0"/>
          <w:sz w:val="24"/>
          <w:szCs w:val="24"/>
          <w:highlight w:val="none"/>
          <w:lang w:val="en-US" w:eastAsia="zh-CN"/>
        </w:rPr>
        <w:t>/勘察</w:t>
      </w:r>
      <w:r>
        <w:rPr>
          <w:rFonts w:hint="eastAsia" w:ascii="宋体" w:hAnsi="宋体" w:eastAsia="宋体" w:cs="宋体"/>
          <w:snapToGrid w:val="0"/>
          <w:color w:val="auto"/>
          <w:kern w:val="0"/>
          <w:sz w:val="24"/>
          <w:szCs w:val="24"/>
          <w:highlight w:val="none"/>
        </w:rPr>
        <w:t>）负责人以下资料：</w:t>
      </w:r>
    </w:p>
    <w:p w14:paraId="5641463B">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1．有效的身份证扫描件；</w:t>
      </w:r>
    </w:p>
    <w:p w14:paraId="5AEF4AA2">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2．所需相关证书彩色扫描件；</w:t>
      </w:r>
    </w:p>
    <w:p w14:paraId="2CD9D68F">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3．在本单位缴纳社保的证明（</w:t>
      </w:r>
      <w:r>
        <w:rPr>
          <w:rFonts w:hint="eastAsia" w:ascii="宋体" w:hAnsi="宋体" w:eastAsia="宋体" w:cs="宋体"/>
          <w:snapToGrid w:val="0"/>
          <w:color w:val="auto"/>
          <w:kern w:val="0"/>
          <w:sz w:val="24"/>
          <w:szCs w:val="24"/>
          <w:highlight w:val="none"/>
          <w:lang w:val="en-US" w:eastAsia="zh-CN"/>
        </w:rPr>
        <w:t>近</w:t>
      </w:r>
      <w:r>
        <w:rPr>
          <w:rFonts w:hint="eastAsia" w:ascii="宋体" w:hAnsi="宋体" w:cs="宋体"/>
          <w:snapToGrid w:val="0"/>
          <w:color w:val="auto"/>
          <w:kern w:val="0"/>
          <w:sz w:val="24"/>
          <w:szCs w:val="24"/>
          <w:highlight w:val="none"/>
          <w:lang w:val="en-US" w:eastAsia="zh-CN"/>
        </w:rPr>
        <w:t>三个月</w:t>
      </w:r>
      <w:r>
        <w:rPr>
          <w:rFonts w:hint="eastAsia" w:ascii="宋体" w:hAnsi="宋体" w:eastAsia="宋体" w:cs="宋体"/>
          <w:snapToGrid w:val="0"/>
          <w:color w:val="auto"/>
          <w:kern w:val="0"/>
          <w:sz w:val="24"/>
          <w:szCs w:val="24"/>
          <w:highlight w:val="none"/>
          <w:lang w:val="en-US" w:eastAsia="zh-CN"/>
        </w:rPr>
        <w:t>社保</w:t>
      </w:r>
      <w:r>
        <w:rPr>
          <w:rFonts w:hint="eastAsia" w:ascii="宋体" w:hAnsi="宋体" w:eastAsia="宋体" w:cs="宋体"/>
          <w:snapToGrid w:val="0"/>
          <w:color w:val="auto"/>
          <w:kern w:val="0"/>
          <w:sz w:val="24"/>
          <w:szCs w:val="24"/>
          <w:highlight w:val="none"/>
          <w:lang w:eastAsia="zh-CN"/>
        </w:rPr>
        <w:t>，其中必须有2026年</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lang w:eastAsia="zh-CN"/>
        </w:rPr>
        <w:t>月</w:t>
      </w:r>
      <w:r>
        <w:rPr>
          <w:rFonts w:hint="eastAsia" w:ascii="宋体" w:hAnsi="宋体" w:eastAsia="宋体" w:cs="宋体"/>
          <w:snapToGrid w:val="0"/>
          <w:color w:val="auto"/>
          <w:kern w:val="0"/>
          <w:sz w:val="24"/>
          <w:szCs w:val="24"/>
          <w:highlight w:val="none"/>
        </w:rPr>
        <w:t>）彩色扫描件（非独立法人分支机构出具社保，予以认可）；拟派设计</w:t>
      </w:r>
      <w:r>
        <w:rPr>
          <w:rFonts w:hint="eastAsia" w:ascii="宋体" w:hAnsi="宋体" w:eastAsia="宋体" w:cs="宋体"/>
          <w:snapToGrid w:val="0"/>
          <w:color w:val="auto"/>
          <w:kern w:val="0"/>
          <w:sz w:val="24"/>
          <w:szCs w:val="24"/>
          <w:highlight w:val="none"/>
          <w:lang w:eastAsia="zh-CN"/>
        </w:rPr>
        <w:t>/勘察</w:t>
      </w:r>
      <w:r>
        <w:rPr>
          <w:rFonts w:hint="eastAsia" w:ascii="宋体" w:hAnsi="宋体" w:eastAsia="宋体" w:cs="宋体"/>
          <w:snapToGrid w:val="0"/>
          <w:color w:val="auto"/>
          <w:kern w:val="0"/>
          <w:sz w:val="24"/>
          <w:szCs w:val="24"/>
          <w:highlight w:val="none"/>
        </w:rPr>
        <w:t>负责人为退休返聘人员无法提供社保证明的，提供退休证明和劳动合同彩色扫描件。</w:t>
      </w:r>
    </w:p>
    <w:p w14:paraId="3020D7F5">
      <w:pPr>
        <w:pStyle w:val="31"/>
        <w:ind w:left="0" w:leftChars="0" w:firstLine="0" w:firstLineChars="0"/>
        <w:rPr>
          <w:rFonts w:hint="eastAsia" w:ascii="宋体" w:hAnsi="宋体" w:eastAsia="宋体" w:cs="宋体"/>
          <w:snapToGrid w:val="0"/>
          <w:color w:val="auto"/>
          <w:kern w:val="0"/>
          <w:szCs w:val="21"/>
          <w:highlight w:val="none"/>
        </w:rPr>
      </w:pPr>
    </w:p>
    <w:p w14:paraId="18F68A7B">
      <w:pPr>
        <w:rPr>
          <w:rFonts w:hint="eastAsia" w:ascii="宋体" w:hAnsi="宋体" w:eastAsia="宋体" w:cs="宋体"/>
        </w:rPr>
      </w:pPr>
    </w:p>
    <w:p w14:paraId="095FE3DE">
      <w:pPr>
        <w:rPr>
          <w:rFonts w:hint="eastAsia" w:ascii="宋体" w:hAnsi="宋体" w:eastAsia="宋体" w:cs="宋体"/>
        </w:rPr>
      </w:pPr>
    </w:p>
    <w:p w14:paraId="33DFAD87">
      <w:pPr>
        <w:rPr>
          <w:rFonts w:hint="eastAsia" w:ascii="宋体" w:hAnsi="宋体" w:eastAsia="宋体" w:cs="宋体"/>
        </w:rPr>
      </w:pPr>
    </w:p>
    <w:p w14:paraId="173FC16A">
      <w:pPr>
        <w:rPr>
          <w:rFonts w:hint="eastAsia" w:ascii="宋体" w:hAnsi="宋体" w:eastAsia="宋体" w:cs="宋体"/>
        </w:rPr>
      </w:pPr>
    </w:p>
    <w:p w14:paraId="4A2E5044">
      <w:pPr>
        <w:rPr>
          <w:rFonts w:hint="eastAsia" w:ascii="宋体" w:hAnsi="宋体" w:eastAsia="宋体" w:cs="宋体"/>
        </w:rPr>
      </w:pPr>
    </w:p>
    <w:bookmarkEnd w:id="224"/>
    <w:bookmarkEnd w:id="225"/>
    <w:p w14:paraId="1A68958C">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262" w:name="_Toc14261309"/>
      <w:bookmarkStart w:id="263" w:name="_Toc20506"/>
      <w:bookmarkStart w:id="264" w:name="_Toc23155"/>
      <w:bookmarkStart w:id="265" w:name="_Toc15295"/>
      <w:bookmarkStart w:id="266" w:name="_Toc12205"/>
      <w:bookmarkStart w:id="267" w:name="_Toc200338098"/>
      <w:bookmarkStart w:id="268" w:name="_Toc8264"/>
      <w:r>
        <w:rPr>
          <w:rFonts w:hint="eastAsia" w:ascii="宋体" w:hAnsi="宋体" w:eastAsia="宋体" w:cs="宋体"/>
          <w:b/>
          <w:color w:val="auto"/>
          <w:kern w:val="2"/>
          <w:sz w:val="28"/>
          <w:szCs w:val="24"/>
          <w:lang w:val="en-US" w:eastAsia="zh-CN"/>
        </w:rPr>
        <w:t>格式</w:t>
      </w:r>
      <w:bookmarkStart w:id="269" w:name="_Hlt287950384"/>
      <w:bookmarkEnd w:id="269"/>
      <w:r>
        <w:rPr>
          <w:rFonts w:hint="eastAsia" w:ascii="宋体" w:hAnsi="宋体" w:eastAsia="宋体" w:cs="宋体"/>
          <w:b/>
          <w:color w:val="auto"/>
          <w:kern w:val="2"/>
          <w:sz w:val="28"/>
          <w:szCs w:val="24"/>
          <w:lang w:val="en-US" w:eastAsia="zh-CN"/>
        </w:rPr>
        <w:t xml:space="preserve">十 </w:t>
      </w:r>
      <w:bookmarkEnd w:id="262"/>
      <w:bookmarkEnd w:id="263"/>
      <w:r>
        <w:rPr>
          <w:rFonts w:hint="eastAsia" w:ascii="宋体" w:hAnsi="宋体" w:eastAsia="宋体" w:cs="宋体"/>
          <w:b/>
          <w:color w:val="auto"/>
          <w:kern w:val="2"/>
          <w:sz w:val="28"/>
          <w:szCs w:val="24"/>
          <w:lang w:val="en-US" w:eastAsia="zh-CN"/>
        </w:rPr>
        <w:t xml:space="preserve">  本项目拟投入的人员基本情况表</w:t>
      </w:r>
      <w:bookmarkEnd w:id="264"/>
      <w:bookmarkEnd w:id="265"/>
      <w:bookmarkEnd w:id="266"/>
    </w:p>
    <w:p w14:paraId="72EC123E">
      <w:pPr>
        <w:wordWrap w:val="0"/>
        <w:adjustRightInd w:val="0"/>
        <w:snapToGrid w:val="0"/>
        <w:spacing w:line="440" w:lineRule="exact"/>
        <w:ind w:firstLine="570"/>
        <w:jc w:val="center"/>
        <w:rPr>
          <w:rFonts w:hint="eastAsia" w:ascii="宋体" w:hAnsi="宋体" w:eastAsia="宋体" w:cs="宋体"/>
          <w:b/>
          <w:snapToGrid w:val="0"/>
          <w:color w:val="auto"/>
          <w:kern w:val="0"/>
          <w:sz w:val="30"/>
          <w:highlight w:val="none"/>
        </w:rPr>
      </w:pPr>
      <w:bookmarkStart w:id="270" w:name="_Toc14261751"/>
    </w:p>
    <w:p w14:paraId="03703139">
      <w:pPr>
        <w:wordWrap w:val="0"/>
        <w:adjustRightInd w:val="0"/>
        <w:snapToGrid w:val="0"/>
        <w:spacing w:line="440" w:lineRule="exact"/>
        <w:ind w:firstLine="570"/>
        <w:jc w:val="center"/>
        <w:rPr>
          <w:rFonts w:hint="eastAsia" w:ascii="宋体" w:hAnsi="宋体" w:eastAsia="宋体" w:cs="宋体"/>
          <w:b/>
          <w:snapToGrid w:val="0"/>
          <w:color w:val="auto"/>
          <w:kern w:val="0"/>
          <w:sz w:val="30"/>
          <w:highlight w:val="none"/>
        </w:rPr>
      </w:pPr>
      <w:r>
        <w:rPr>
          <w:rFonts w:hint="eastAsia" w:ascii="宋体" w:hAnsi="宋体" w:eastAsia="宋体" w:cs="宋体"/>
          <w:b/>
          <w:snapToGrid w:val="0"/>
          <w:color w:val="auto"/>
          <w:kern w:val="0"/>
          <w:sz w:val="30"/>
          <w:highlight w:val="none"/>
        </w:rPr>
        <w:t>本项目拟投入的人员基本情况表</w:t>
      </w:r>
      <w:bookmarkEnd w:id="270"/>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5"/>
        <w:gridCol w:w="1116"/>
        <w:gridCol w:w="1317"/>
        <w:gridCol w:w="3546"/>
      </w:tblGrid>
      <w:tr w14:paraId="56B2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3335" w:type="dxa"/>
            <w:noWrap w:val="0"/>
            <w:vAlign w:val="center"/>
          </w:tcPr>
          <w:p w14:paraId="0FEE8ED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人员安排</w:t>
            </w:r>
          </w:p>
        </w:tc>
        <w:tc>
          <w:tcPr>
            <w:tcW w:w="1116" w:type="dxa"/>
            <w:noWrap w:val="0"/>
            <w:vAlign w:val="center"/>
          </w:tcPr>
          <w:p w14:paraId="68317A2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p>
        </w:tc>
        <w:tc>
          <w:tcPr>
            <w:tcW w:w="1317" w:type="dxa"/>
            <w:noWrap w:val="0"/>
            <w:vAlign w:val="center"/>
          </w:tcPr>
          <w:p w14:paraId="0CEE093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3546" w:type="dxa"/>
            <w:noWrap w:val="0"/>
            <w:vAlign w:val="center"/>
          </w:tcPr>
          <w:p w14:paraId="7206BCB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职称证或注册执业专业</w:t>
            </w:r>
          </w:p>
        </w:tc>
      </w:tr>
      <w:tr w14:paraId="0371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3335" w:type="dxa"/>
            <w:noWrap w:val="0"/>
            <w:vAlign w:val="center"/>
          </w:tcPr>
          <w:p w14:paraId="5D73895F">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项目负责人（即设计负责人）</w:t>
            </w:r>
          </w:p>
        </w:tc>
        <w:tc>
          <w:tcPr>
            <w:tcW w:w="1116" w:type="dxa"/>
            <w:noWrap w:val="0"/>
            <w:vAlign w:val="center"/>
          </w:tcPr>
          <w:p w14:paraId="308A810E">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5A0AA00B">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301C92C6">
            <w:pPr>
              <w:adjustRightInd w:val="0"/>
              <w:snapToGrid w:val="0"/>
              <w:spacing w:line="360" w:lineRule="auto"/>
              <w:rPr>
                <w:rFonts w:hint="eastAsia" w:ascii="宋体" w:hAnsi="宋体" w:eastAsia="宋体" w:cs="宋体"/>
                <w:color w:val="auto"/>
                <w:sz w:val="24"/>
                <w:szCs w:val="24"/>
                <w:highlight w:val="none"/>
              </w:rPr>
            </w:pPr>
          </w:p>
        </w:tc>
      </w:tr>
      <w:tr w14:paraId="02E5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44240BE3">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勘察负责人</w:t>
            </w:r>
          </w:p>
        </w:tc>
        <w:tc>
          <w:tcPr>
            <w:tcW w:w="1116" w:type="dxa"/>
            <w:noWrap w:val="0"/>
            <w:vAlign w:val="center"/>
          </w:tcPr>
          <w:p w14:paraId="3A030BFD">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67A143E8">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74F58D1B">
            <w:pPr>
              <w:adjustRightInd w:val="0"/>
              <w:snapToGrid w:val="0"/>
              <w:spacing w:line="360" w:lineRule="auto"/>
              <w:rPr>
                <w:rFonts w:hint="eastAsia" w:ascii="宋体" w:hAnsi="宋体" w:eastAsia="宋体" w:cs="宋体"/>
                <w:color w:val="auto"/>
                <w:sz w:val="24"/>
                <w:szCs w:val="24"/>
                <w:highlight w:val="none"/>
              </w:rPr>
            </w:pPr>
          </w:p>
        </w:tc>
      </w:tr>
      <w:tr w14:paraId="0962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32DFEFD0">
            <w:pPr>
              <w:adjustRightInd w:val="0"/>
              <w:snapToGrid w:val="0"/>
              <w:spacing w:line="360" w:lineRule="auto"/>
              <w:rPr>
                <w:rFonts w:hint="eastAsia" w:ascii="宋体" w:hAnsi="宋体" w:eastAsia="宋体" w:cs="宋体"/>
                <w:b/>
                <w:color w:val="auto"/>
                <w:sz w:val="24"/>
                <w:szCs w:val="24"/>
                <w:highlight w:val="none"/>
              </w:rPr>
            </w:pPr>
          </w:p>
        </w:tc>
        <w:tc>
          <w:tcPr>
            <w:tcW w:w="1116" w:type="dxa"/>
            <w:noWrap w:val="0"/>
            <w:vAlign w:val="center"/>
          </w:tcPr>
          <w:p w14:paraId="54278DBB">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11B021B1">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06E73785">
            <w:pPr>
              <w:adjustRightInd w:val="0"/>
              <w:snapToGrid w:val="0"/>
              <w:spacing w:line="360" w:lineRule="auto"/>
              <w:rPr>
                <w:rFonts w:hint="eastAsia" w:ascii="宋体" w:hAnsi="宋体" w:eastAsia="宋体" w:cs="宋体"/>
                <w:color w:val="auto"/>
                <w:sz w:val="24"/>
                <w:szCs w:val="24"/>
                <w:highlight w:val="none"/>
              </w:rPr>
            </w:pPr>
          </w:p>
        </w:tc>
      </w:tr>
      <w:tr w14:paraId="1C9C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7CF4E661">
            <w:pPr>
              <w:adjustRightInd w:val="0"/>
              <w:snapToGrid w:val="0"/>
              <w:spacing w:line="360" w:lineRule="auto"/>
              <w:rPr>
                <w:rFonts w:hint="eastAsia" w:ascii="宋体" w:hAnsi="宋体" w:eastAsia="宋体" w:cs="宋体"/>
                <w:b/>
                <w:color w:val="auto"/>
                <w:sz w:val="24"/>
                <w:szCs w:val="24"/>
                <w:highlight w:val="none"/>
              </w:rPr>
            </w:pPr>
          </w:p>
        </w:tc>
        <w:tc>
          <w:tcPr>
            <w:tcW w:w="1116" w:type="dxa"/>
            <w:noWrap w:val="0"/>
            <w:vAlign w:val="center"/>
          </w:tcPr>
          <w:p w14:paraId="74B2E946">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119C0750">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7C79D629">
            <w:pPr>
              <w:adjustRightInd w:val="0"/>
              <w:snapToGrid w:val="0"/>
              <w:spacing w:line="360" w:lineRule="auto"/>
              <w:rPr>
                <w:rFonts w:hint="eastAsia" w:ascii="宋体" w:hAnsi="宋体" w:eastAsia="宋体" w:cs="宋体"/>
                <w:color w:val="auto"/>
                <w:sz w:val="24"/>
                <w:szCs w:val="24"/>
                <w:highlight w:val="none"/>
              </w:rPr>
            </w:pPr>
          </w:p>
        </w:tc>
      </w:tr>
      <w:tr w14:paraId="0199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69C51417">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....各专业负责人</w:t>
            </w:r>
          </w:p>
        </w:tc>
        <w:tc>
          <w:tcPr>
            <w:tcW w:w="1116" w:type="dxa"/>
            <w:noWrap w:val="0"/>
            <w:vAlign w:val="center"/>
          </w:tcPr>
          <w:p w14:paraId="317CBE90">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2F13BD1B">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3C678BFE">
            <w:pPr>
              <w:adjustRightInd w:val="0"/>
              <w:snapToGrid w:val="0"/>
              <w:spacing w:line="360" w:lineRule="auto"/>
              <w:rPr>
                <w:rFonts w:hint="eastAsia" w:ascii="宋体" w:hAnsi="宋体" w:eastAsia="宋体" w:cs="宋体"/>
                <w:color w:val="auto"/>
                <w:sz w:val="24"/>
                <w:szCs w:val="24"/>
                <w:highlight w:val="none"/>
              </w:rPr>
            </w:pPr>
          </w:p>
        </w:tc>
      </w:tr>
      <w:tr w14:paraId="1E01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35BF04F6">
            <w:pPr>
              <w:adjustRightInd w:val="0"/>
              <w:snapToGrid w:val="0"/>
              <w:spacing w:line="360" w:lineRule="auto"/>
              <w:rPr>
                <w:rFonts w:hint="eastAsia" w:ascii="宋体" w:hAnsi="宋体" w:eastAsia="宋体" w:cs="宋体"/>
                <w:b/>
                <w:color w:val="auto"/>
                <w:sz w:val="24"/>
                <w:szCs w:val="24"/>
                <w:highlight w:val="none"/>
              </w:rPr>
            </w:pPr>
          </w:p>
        </w:tc>
        <w:tc>
          <w:tcPr>
            <w:tcW w:w="1116" w:type="dxa"/>
            <w:noWrap w:val="0"/>
            <w:vAlign w:val="center"/>
          </w:tcPr>
          <w:p w14:paraId="63AA237A">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5F3BF495">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6509A419">
            <w:pPr>
              <w:adjustRightInd w:val="0"/>
              <w:snapToGrid w:val="0"/>
              <w:spacing w:line="360" w:lineRule="auto"/>
              <w:rPr>
                <w:rFonts w:hint="eastAsia" w:ascii="宋体" w:hAnsi="宋体" w:eastAsia="宋体" w:cs="宋体"/>
                <w:color w:val="auto"/>
                <w:sz w:val="24"/>
                <w:szCs w:val="24"/>
                <w:highlight w:val="none"/>
              </w:rPr>
            </w:pPr>
          </w:p>
        </w:tc>
      </w:tr>
      <w:tr w14:paraId="5927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6AA5AF90">
            <w:pPr>
              <w:adjustRightInd w:val="0"/>
              <w:snapToGrid w:val="0"/>
              <w:spacing w:line="360" w:lineRule="auto"/>
              <w:rPr>
                <w:rFonts w:hint="eastAsia" w:ascii="宋体" w:hAnsi="宋体" w:eastAsia="宋体" w:cs="宋体"/>
                <w:b/>
                <w:color w:val="auto"/>
                <w:sz w:val="24"/>
                <w:szCs w:val="24"/>
                <w:highlight w:val="none"/>
              </w:rPr>
            </w:pPr>
          </w:p>
        </w:tc>
        <w:tc>
          <w:tcPr>
            <w:tcW w:w="1116" w:type="dxa"/>
            <w:noWrap w:val="0"/>
            <w:vAlign w:val="center"/>
          </w:tcPr>
          <w:p w14:paraId="113FA3B0">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68225E56">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2748AD12">
            <w:pPr>
              <w:adjustRightInd w:val="0"/>
              <w:snapToGrid w:val="0"/>
              <w:spacing w:line="360" w:lineRule="auto"/>
              <w:rPr>
                <w:rFonts w:hint="eastAsia" w:ascii="宋体" w:hAnsi="宋体" w:eastAsia="宋体" w:cs="宋体"/>
                <w:color w:val="auto"/>
                <w:sz w:val="24"/>
                <w:szCs w:val="24"/>
                <w:highlight w:val="none"/>
              </w:rPr>
            </w:pPr>
          </w:p>
        </w:tc>
      </w:tr>
      <w:tr w14:paraId="5739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7FEE3E52">
            <w:pPr>
              <w:adjustRightInd w:val="0"/>
              <w:snapToGrid w:val="0"/>
              <w:spacing w:line="360" w:lineRule="auto"/>
              <w:rPr>
                <w:rFonts w:hint="eastAsia" w:ascii="宋体" w:hAnsi="宋体" w:eastAsia="宋体" w:cs="宋体"/>
                <w:b/>
                <w:color w:val="auto"/>
                <w:sz w:val="24"/>
                <w:szCs w:val="24"/>
                <w:highlight w:val="none"/>
              </w:rPr>
            </w:pPr>
          </w:p>
        </w:tc>
        <w:tc>
          <w:tcPr>
            <w:tcW w:w="1116" w:type="dxa"/>
            <w:noWrap w:val="0"/>
            <w:vAlign w:val="center"/>
          </w:tcPr>
          <w:p w14:paraId="7D898430">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061E614A">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71401236">
            <w:pPr>
              <w:adjustRightInd w:val="0"/>
              <w:snapToGrid w:val="0"/>
              <w:spacing w:line="360" w:lineRule="auto"/>
              <w:rPr>
                <w:rFonts w:hint="eastAsia" w:ascii="宋体" w:hAnsi="宋体" w:eastAsia="宋体" w:cs="宋体"/>
                <w:color w:val="auto"/>
                <w:sz w:val="24"/>
                <w:szCs w:val="24"/>
                <w:highlight w:val="none"/>
              </w:rPr>
            </w:pPr>
          </w:p>
        </w:tc>
      </w:tr>
      <w:tr w14:paraId="5A54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7333833D">
            <w:pPr>
              <w:adjustRightInd w:val="0"/>
              <w:snapToGrid w:val="0"/>
              <w:spacing w:line="360" w:lineRule="auto"/>
              <w:rPr>
                <w:rFonts w:hint="eastAsia" w:ascii="宋体" w:hAnsi="宋体" w:eastAsia="宋体" w:cs="宋体"/>
                <w:b/>
                <w:color w:val="auto"/>
                <w:sz w:val="24"/>
                <w:szCs w:val="24"/>
                <w:highlight w:val="none"/>
              </w:rPr>
            </w:pPr>
          </w:p>
        </w:tc>
        <w:tc>
          <w:tcPr>
            <w:tcW w:w="1116" w:type="dxa"/>
            <w:noWrap w:val="0"/>
            <w:vAlign w:val="center"/>
          </w:tcPr>
          <w:p w14:paraId="2DC6E5A6">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603809F6">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363AE06C">
            <w:pPr>
              <w:adjustRightInd w:val="0"/>
              <w:snapToGrid w:val="0"/>
              <w:spacing w:line="360" w:lineRule="auto"/>
              <w:rPr>
                <w:rFonts w:hint="eastAsia" w:ascii="宋体" w:hAnsi="宋体" w:eastAsia="宋体" w:cs="宋体"/>
                <w:color w:val="auto"/>
                <w:sz w:val="24"/>
                <w:szCs w:val="24"/>
                <w:highlight w:val="none"/>
              </w:rPr>
            </w:pPr>
          </w:p>
        </w:tc>
      </w:tr>
      <w:tr w14:paraId="2319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7A305902">
            <w:pPr>
              <w:adjustRightInd w:val="0"/>
              <w:snapToGrid w:val="0"/>
              <w:spacing w:line="360" w:lineRule="auto"/>
              <w:rPr>
                <w:rFonts w:hint="eastAsia" w:ascii="宋体" w:hAnsi="宋体" w:eastAsia="宋体" w:cs="宋体"/>
                <w:b/>
                <w:color w:val="auto"/>
                <w:sz w:val="24"/>
                <w:szCs w:val="24"/>
                <w:highlight w:val="none"/>
              </w:rPr>
            </w:pPr>
          </w:p>
        </w:tc>
        <w:tc>
          <w:tcPr>
            <w:tcW w:w="1116" w:type="dxa"/>
            <w:noWrap w:val="0"/>
            <w:vAlign w:val="center"/>
          </w:tcPr>
          <w:p w14:paraId="2C15F3FD">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5605A127">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299E777A">
            <w:pPr>
              <w:adjustRightInd w:val="0"/>
              <w:snapToGrid w:val="0"/>
              <w:spacing w:line="360" w:lineRule="auto"/>
              <w:rPr>
                <w:rFonts w:hint="eastAsia" w:ascii="宋体" w:hAnsi="宋体" w:eastAsia="宋体" w:cs="宋体"/>
                <w:color w:val="auto"/>
                <w:sz w:val="24"/>
                <w:szCs w:val="24"/>
                <w:highlight w:val="none"/>
              </w:rPr>
            </w:pPr>
          </w:p>
        </w:tc>
      </w:tr>
    </w:tbl>
    <w:p w14:paraId="13461BAB">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w:t>
      </w:r>
    </w:p>
    <w:p w14:paraId="4699370F">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1.投标人应根据招标文件要求和招标项目的实际需要，列出项目负责人及各专业负责人，如结构专业负责人、给排水专业负责人等专业负责人。</w:t>
      </w:r>
    </w:p>
    <w:bookmarkEnd w:id="267"/>
    <w:bookmarkEnd w:id="268"/>
    <w:p w14:paraId="17DE4351">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bookmarkStart w:id="271" w:name="_Hlt68774664"/>
      <w:bookmarkEnd w:id="271"/>
      <w:bookmarkStart w:id="272" w:name="_附件二十四：技术标提问单"/>
      <w:bookmarkEnd w:id="272"/>
      <w:bookmarkStart w:id="273" w:name="_附件十：单项工程费汇总表"/>
      <w:bookmarkEnd w:id="273"/>
      <w:bookmarkStart w:id="274" w:name="_Hlt69116778"/>
      <w:bookmarkEnd w:id="274"/>
      <w:bookmarkStart w:id="275" w:name="_附件二十五：综合评审合理低价法"/>
      <w:bookmarkEnd w:id="275"/>
      <w:r>
        <w:rPr>
          <w:rFonts w:hint="eastAsia" w:ascii="宋体" w:hAnsi="宋体" w:eastAsia="宋体" w:cs="宋体"/>
          <w:snapToGrid w:val="0"/>
          <w:color w:val="auto"/>
          <w:kern w:val="0"/>
          <w:sz w:val="24"/>
          <w:szCs w:val="24"/>
          <w:highlight w:val="none"/>
        </w:rPr>
        <w:t>2.《本项目拟投入的人员基本情况表》后应附拟派其他主要人员（设计负责人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勘察负责人</w:t>
      </w:r>
      <w:r>
        <w:rPr>
          <w:rFonts w:hint="eastAsia" w:ascii="宋体" w:hAnsi="宋体" w:eastAsia="宋体" w:cs="宋体"/>
          <w:snapToGrid w:val="0"/>
          <w:color w:val="auto"/>
          <w:kern w:val="0"/>
          <w:sz w:val="24"/>
          <w:szCs w:val="24"/>
          <w:highlight w:val="none"/>
        </w:rPr>
        <w:t>除外）以下资料：</w:t>
      </w:r>
    </w:p>
    <w:p w14:paraId="4C3B7A44">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（1）有效的身份证扫描件；</w:t>
      </w:r>
    </w:p>
    <w:p w14:paraId="391B1BB4">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（2）毕业证（如需）、职称证（如需）、有效期内注册证书（如需）的扫描件；投标人所提供的注册证书不能体现有效期的，必须提供住建部门相关网站的显示有效期的网页截图作为证明材料；</w:t>
      </w:r>
    </w:p>
    <w:p w14:paraId="2B9CC37B">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（3）在本单位缴纳社保的证明（</w:t>
      </w:r>
      <w:r>
        <w:rPr>
          <w:rFonts w:hint="eastAsia" w:ascii="宋体" w:hAnsi="宋体" w:eastAsia="宋体" w:cs="宋体"/>
          <w:snapToGrid w:val="0"/>
          <w:color w:val="auto"/>
          <w:kern w:val="0"/>
          <w:sz w:val="24"/>
          <w:szCs w:val="24"/>
          <w:highlight w:val="none"/>
          <w:lang w:val="en-US" w:eastAsia="zh-CN"/>
        </w:rPr>
        <w:t>近</w:t>
      </w:r>
      <w:r>
        <w:rPr>
          <w:rFonts w:hint="eastAsia" w:ascii="宋体" w:hAnsi="宋体" w:cs="宋体"/>
          <w:snapToGrid w:val="0"/>
          <w:color w:val="auto"/>
          <w:kern w:val="0"/>
          <w:sz w:val="24"/>
          <w:szCs w:val="24"/>
          <w:highlight w:val="none"/>
          <w:lang w:val="en-US" w:eastAsia="zh-CN"/>
        </w:rPr>
        <w:t>三个月</w:t>
      </w:r>
      <w:r>
        <w:rPr>
          <w:rFonts w:hint="eastAsia" w:ascii="宋体" w:hAnsi="宋体" w:eastAsia="宋体" w:cs="宋体"/>
          <w:snapToGrid w:val="0"/>
          <w:color w:val="auto"/>
          <w:kern w:val="0"/>
          <w:sz w:val="24"/>
          <w:szCs w:val="24"/>
          <w:highlight w:val="none"/>
          <w:lang w:val="en-US" w:eastAsia="zh-CN"/>
        </w:rPr>
        <w:t>社保</w:t>
      </w:r>
      <w:r>
        <w:rPr>
          <w:rFonts w:hint="eastAsia" w:ascii="宋体" w:hAnsi="宋体" w:eastAsia="宋体" w:cs="宋体"/>
          <w:snapToGrid w:val="0"/>
          <w:color w:val="auto"/>
          <w:kern w:val="0"/>
          <w:sz w:val="24"/>
          <w:szCs w:val="24"/>
          <w:highlight w:val="none"/>
          <w:lang w:eastAsia="zh-CN"/>
        </w:rPr>
        <w:t>，其中必须有2026年</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lang w:eastAsia="zh-CN"/>
        </w:rPr>
        <w:t>月</w:t>
      </w:r>
      <w:r>
        <w:rPr>
          <w:rFonts w:hint="eastAsia" w:ascii="宋体" w:hAnsi="宋体" w:eastAsia="宋体" w:cs="宋体"/>
          <w:snapToGrid w:val="0"/>
          <w:color w:val="auto"/>
          <w:kern w:val="0"/>
          <w:sz w:val="24"/>
          <w:szCs w:val="24"/>
          <w:highlight w:val="none"/>
        </w:rPr>
        <w:t>）彩色扫描件（非独立法人分支机构出具社保，予以认可）。拟派人员为退休返聘人员无法提供社保证明的，提供退休证明和劳动合同彩色扫描件；</w:t>
      </w:r>
    </w:p>
    <w:p w14:paraId="72B40774">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3．联合体投标的，《本项目拟投入的人员基本情况表》应包括联合体成员单位参与项目管理机构的人员，并提供以上所需资料。</w:t>
      </w:r>
      <w:bookmarkEnd w:id="5"/>
      <w:bookmarkEnd w:id="226"/>
      <w:bookmarkEnd w:id="227"/>
      <w:bookmarkStart w:id="276" w:name="_附件二十一：土建工程、电气工程、给排水工程工程清单项目费汇总表"/>
      <w:bookmarkEnd w:id="276"/>
      <w:bookmarkStart w:id="277" w:name="_Hlt87783244"/>
      <w:bookmarkEnd w:id="277"/>
      <w:bookmarkStart w:id="278" w:name="_附件十六：措施项目清单计价表"/>
      <w:bookmarkEnd w:id="278"/>
      <w:bookmarkStart w:id="279" w:name="_Hlt87793582"/>
      <w:bookmarkEnd w:id="279"/>
    </w:p>
    <w:p w14:paraId="2305A6A0">
      <w:pPr>
        <w:rPr>
          <w:rFonts w:hint="eastAsia" w:ascii="宋体" w:hAnsi="宋体" w:eastAsia="宋体" w:cs="宋体"/>
          <w:lang w:val="en-US" w:eastAsia="zh-CN"/>
        </w:rPr>
      </w:pPr>
    </w:p>
    <w:p w14:paraId="12402792">
      <w:pPr>
        <w:rPr>
          <w:rFonts w:hint="eastAsia" w:ascii="宋体" w:hAnsi="宋体" w:eastAsia="宋体" w:cs="宋体"/>
          <w:lang w:val="en-US" w:eastAsia="zh-CN"/>
        </w:rPr>
      </w:pPr>
    </w:p>
    <w:p w14:paraId="329F451B">
      <w:pPr>
        <w:pStyle w:val="5"/>
        <w:keepNext/>
        <w:tabs>
          <w:tab w:val="left" w:pos="1995"/>
        </w:tabs>
        <w:autoSpaceDE/>
        <w:autoSpaceDN/>
        <w:bidi w:val="0"/>
        <w:adjustRightInd/>
        <w:spacing w:line="480" w:lineRule="exact"/>
        <w:ind w:left="0" w:leftChars="0" w:firstLine="0" w:firstLineChars="0"/>
        <w:rPr>
          <w:rFonts w:hint="eastAsia" w:ascii="宋体" w:hAnsi="宋体" w:eastAsia="宋体" w:cs="宋体"/>
          <w:b/>
          <w:color w:val="auto"/>
          <w:kern w:val="2"/>
          <w:sz w:val="28"/>
          <w:szCs w:val="24"/>
          <w:lang w:val="en-US" w:eastAsia="zh-CN"/>
        </w:rPr>
      </w:pPr>
      <w:bookmarkStart w:id="280" w:name="_Toc18361"/>
      <w:r>
        <w:rPr>
          <w:rFonts w:hint="eastAsia" w:ascii="宋体" w:hAnsi="宋体" w:eastAsia="宋体" w:cs="宋体"/>
          <w:b/>
          <w:color w:val="auto"/>
          <w:kern w:val="2"/>
          <w:sz w:val="28"/>
          <w:szCs w:val="24"/>
          <w:lang w:val="en-US" w:eastAsia="zh-CN"/>
        </w:rPr>
        <w:t>格式十一   定标因素评审资料</w:t>
      </w:r>
      <w:bookmarkEnd w:id="280"/>
    </w:p>
    <w:p w14:paraId="3F49619A">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b/>
          <w:bCs/>
          <w:color w:val="auto"/>
          <w:sz w:val="30"/>
          <w:szCs w:val="30"/>
          <w:highlight w:val="none"/>
          <w:lang w:eastAsia="zh-CN"/>
        </w:rPr>
        <w:t>定标因素评审资料</w:t>
      </w:r>
    </w:p>
    <w:p w14:paraId="7CB38BEB">
      <w:pPr>
        <w:spacing w:line="500" w:lineRule="exact"/>
        <w:ind w:firstLine="560" w:firstLineChars="200"/>
        <w:rPr>
          <w:rFonts w:hint="eastAsia" w:ascii="宋体" w:hAnsi="宋体" w:eastAsia="宋体" w:cs="宋体"/>
          <w:snapToGrid w:val="0"/>
          <w:color w:val="auto"/>
          <w:kern w:val="0"/>
          <w:szCs w:val="21"/>
          <w:highlight w:val="none"/>
          <w:lang w:val="en-US" w:eastAsia="zh-CN"/>
        </w:rPr>
      </w:pPr>
      <w:r>
        <w:rPr>
          <w:rFonts w:hint="eastAsia" w:ascii="宋体" w:hAnsi="宋体" w:eastAsia="宋体" w:cs="宋体"/>
          <w:b w:val="0"/>
          <w:bCs w:val="0"/>
          <w:color w:val="auto"/>
          <w:sz w:val="28"/>
          <w:szCs w:val="28"/>
          <w:highlight w:val="none"/>
          <w:lang w:val="en-US" w:eastAsia="zh-CN"/>
        </w:rPr>
        <w:t xml:space="preserve">投标人根据“第一章 </w:t>
      </w:r>
      <w:r>
        <w:rPr>
          <w:rFonts w:hint="eastAsia" w:ascii="宋体" w:hAnsi="宋体" w:eastAsia="宋体" w:cs="宋体"/>
          <w:b w:val="0"/>
          <w:bCs w:val="0"/>
          <w:color w:val="auto"/>
          <w:sz w:val="28"/>
          <w:szCs w:val="28"/>
          <w:highlight w:val="none"/>
        </w:rPr>
        <w:t>第六节 定标规定及细则</w:t>
      </w:r>
      <w:r>
        <w:rPr>
          <w:rFonts w:hint="eastAsia" w:ascii="宋体" w:hAnsi="宋体" w:eastAsia="宋体" w:cs="宋体"/>
          <w:b w:val="0"/>
          <w:bCs w:val="0"/>
          <w:color w:val="auto"/>
          <w:sz w:val="28"/>
          <w:szCs w:val="28"/>
          <w:highlight w:val="none"/>
          <w:lang w:val="en-US" w:eastAsia="zh-CN"/>
        </w:rPr>
        <w:t>”载明的</w:t>
      </w:r>
      <w:r>
        <w:rPr>
          <w:rFonts w:hint="eastAsia" w:ascii="宋体" w:hAnsi="宋体" w:eastAsia="宋体" w:cs="宋体"/>
          <w:b w:val="0"/>
          <w:bCs w:val="0"/>
          <w:color w:val="auto"/>
          <w:sz w:val="28"/>
          <w:szCs w:val="28"/>
          <w:highlight w:val="none"/>
          <w:lang w:eastAsia="zh-CN"/>
        </w:rPr>
        <w:t>定标因素，</w:t>
      </w:r>
      <w:r>
        <w:rPr>
          <w:rFonts w:hint="eastAsia" w:ascii="宋体" w:hAnsi="宋体" w:eastAsia="宋体" w:cs="宋体"/>
          <w:b w:val="0"/>
          <w:bCs w:val="0"/>
          <w:color w:val="auto"/>
          <w:sz w:val="28"/>
          <w:szCs w:val="28"/>
          <w:highlight w:val="none"/>
          <w:lang w:val="en-US" w:eastAsia="zh-CN"/>
        </w:rPr>
        <w:t>提交</w:t>
      </w:r>
      <w:r>
        <w:rPr>
          <w:rFonts w:hint="eastAsia" w:ascii="宋体" w:hAnsi="宋体" w:eastAsia="宋体" w:cs="宋体"/>
          <w:b w:val="0"/>
          <w:bCs w:val="0"/>
          <w:color w:val="auto"/>
          <w:sz w:val="28"/>
          <w:szCs w:val="28"/>
          <w:highlight w:val="none"/>
          <w:lang w:eastAsia="zh-CN"/>
        </w:rPr>
        <w:t>评审资料。</w:t>
      </w:r>
    </w:p>
    <w:sectPr>
      <w:footerReference r:id="rId7" w:type="default"/>
      <w:endnotePr>
        <w:numFmt w:val="decimal"/>
      </w:endnotePr>
      <w:pgSz w:w="11907" w:h="16840"/>
      <w:pgMar w:top="1134" w:right="1134" w:bottom="1134" w:left="1134" w:header="850" w:footer="850" w:gutter="0"/>
      <w:pgBorders>
        <w:top w:val="none" w:sz="0" w:space="0"/>
        <w:left w:val="none" w:sz="0" w:space="0"/>
        <w:bottom w:val="none" w:sz="0" w:space="0"/>
        <w:right w:val="none" w:sz="0" w:space="0"/>
      </w:pgBorders>
      <w:pgNumType w:fmt="decimal" w:start="1"/>
      <w:cols w:space="0" w:num="1"/>
      <w:rtlGutter w:val="0"/>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
    <w:altName w:val="方正公文小标宋"/>
    <w:panose1 w:val="00000000000000000000"/>
    <w:charset w:val="00"/>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0E882">
    <w:pPr>
      <w:pStyle w:val="22"/>
      <w:jc w:val="both"/>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EE2DC">
    <w:pPr>
      <w:pStyle w:val="22"/>
      <w:jc w:val="both"/>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89F01">
    <w:pPr>
      <w:pStyle w:val="22"/>
      <w:jc w:val="both"/>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F6C51D6">
                          <w:pPr>
                            <w:pStyle w:val="22"/>
                            <w:rPr>
                              <w:rFonts w:hint="eastAsia" w:ascii="宋体" w:hAnsi="宋体" w:eastAsia="宋体" w:cs="宋体"/>
                              <w:sz w:val="21"/>
                              <w:szCs w:val="21"/>
                            </w:rPr>
                          </w:pPr>
                          <w:r>
                            <w:fldChar w:fldCharType="begin"/>
                          </w:r>
                          <w:r>
                            <w:instrText xml:space="preserve"> PAGE  \* MERGEFORMAT </w:instrText>
                          </w:r>
                          <w:r>
                            <w:fldChar w:fldCharType="separate"/>
                          </w:r>
                          <w:r>
                            <w:t>- 36 -</w:t>
                          </w:r>
                          <w:r>
                            <w:fldChar w:fldCharType="end"/>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o5F/3ucB&#10;AADJAwAADgAAAAAAAAABACAAAAAiAQAAZHJzL2Uyb0RvYy54bWxQSwUGAAAAAAYABgBZAQAAewUA&#10;AAAA&#10;">
              <v:fill on="f" focussize="0,0"/>
              <v:stroke on="f" weight="1.25pt"/>
              <v:imagedata o:title=""/>
              <o:lock v:ext="edit" aspectratio="f"/>
              <v:textbox inset="0mm,0mm,0mm,0mm" style="mso-fit-shape-to-text:t;">
                <w:txbxContent>
                  <w:p w14:paraId="6F6C51D6">
                    <w:pPr>
                      <w:pStyle w:val="22"/>
                      <w:rPr>
                        <w:rFonts w:hint="eastAsia" w:ascii="宋体" w:hAnsi="宋体" w:eastAsia="宋体" w:cs="宋体"/>
                        <w:sz w:val="21"/>
                        <w:szCs w:val="21"/>
                      </w:rPr>
                    </w:pPr>
                    <w:r>
                      <w:fldChar w:fldCharType="begin"/>
                    </w:r>
                    <w:r>
                      <w:instrText xml:space="preserve"> PAGE  \* MERGEFORMAT </w:instrText>
                    </w:r>
                    <w:r>
                      <w:fldChar w:fldCharType="separate"/>
                    </w:r>
                    <w:r>
                      <w:t>- 36 -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6504A">
    <w:pPr>
      <w:pStyle w:val="22"/>
      <w:jc w:val="both"/>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85D52DC">
                          <w:pPr>
                            <w:pStyle w:val="22"/>
                            <w:rPr>
                              <w:rFonts w:hint="eastAsia" w:ascii="宋体" w:hAnsi="宋体" w:eastAsia="宋体" w:cs="宋体"/>
                              <w:sz w:val="21"/>
                              <w:szCs w:val="21"/>
                            </w:rPr>
                          </w:pPr>
                          <w:r>
                            <w:fldChar w:fldCharType="begin"/>
                          </w:r>
                          <w:r>
                            <w:instrText xml:space="preserve"> PAGE  \* MERGEFORMAT </w:instrText>
                          </w:r>
                          <w:r>
                            <w:fldChar w:fldCharType="separate"/>
                          </w:r>
                          <w:r>
                            <w:t>- 36 -</w:t>
                          </w:r>
                          <w:r>
                            <w:fldChar w:fldCharType="end"/>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zByU85gEA&#10;AMkDAAAOAAAAAAAAAAEAIAAAACIBAABkcnMvZTJvRG9jLnhtbFBLBQYAAAAABgAGAFkBAAB6BQAA&#10;AAA=&#10;">
              <v:fill on="f" focussize="0,0"/>
              <v:stroke on="f" weight="1.25pt"/>
              <v:imagedata o:title=""/>
              <o:lock v:ext="edit" aspectratio="f"/>
              <v:textbox inset="0mm,0mm,0mm,0mm" style="mso-fit-shape-to-text:t;">
                <w:txbxContent>
                  <w:p w14:paraId="685D52DC">
                    <w:pPr>
                      <w:pStyle w:val="22"/>
                      <w:rPr>
                        <w:rFonts w:hint="eastAsia" w:ascii="宋体" w:hAnsi="宋体" w:eastAsia="宋体" w:cs="宋体"/>
                        <w:sz w:val="21"/>
                        <w:szCs w:val="21"/>
                      </w:rPr>
                    </w:pPr>
                    <w:r>
                      <w:fldChar w:fldCharType="begin"/>
                    </w:r>
                    <w:r>
                      <w:instrText xml:space="preserve"> PAGE  \* MERGEFORMAT </w:instrText>
                    </w:r>
                    <w:r>
                      <w:fldChar w:fldCharType="separate"/>
                    </w:r>
                    <w:r>
                      <w:t>- 36 -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29428">
    <w:pPr>
      <w:ind w:firstLine="180" w:firstLineChars="100"/>
      <w:rPr>
        <w:rFonts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D4B3E"/>
    <w:multiLevelType w:val="singleLevel"/>
    <w:tmpl w:val="917D4B3E"/>
    <w:lvl w:ilvl="0" w:tentative="0">
      <w:start w:val="1"/>
      <w:numFmt w:val="decimal"/>
      <w:lvlText w:val="%1."/>
      <w:lvlJc w:val="left"/>
      <w:pPr>
        <w:tabs>
          <w:tab w:val="left" w:pos="312"/>
        </w:tabs>
      </w:pPr>
    </w:lvl>
  </w:abstractNum>
  <w:abstractNum w:abstractNumId="1">
    <w:nsid w:val="00000000"/>
    <w:multiLevelType w:val="multilevel"/>
    <w:tmpl w:val="00000000"/>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960"/>
        </w:tabs>
        <w:ind w:left="960" w:hanging="420"/>
      </w:pPr>
    </w:lvl>
    <w:lvl w:ilvl="2" w:tentative="0">
      <w:start w:val="1"/>
      <w:numFmt w:val="lowerRoman"/>
      <w:lvlText w:val="%3."/>
      <w:lvlJc w:val="right"/>
      <w:pPr>
        <w:tabs>
          <w:tab w:val="left" w:pos="1380"/>
        </w:tabs>
        <w:ind w:left="1380" w:hanging="420"/>
      </w:pPr>
    </w:lvl>
    <w:lvl w:ilvl="3" w:tentative="0">
      <w:start w:val="1"/>
      <w:numFmt w:val="decimal"/>
      <w:lvlText w:val="%4."/>
      <w:lvlJc w:val="left"/>
      <w:pPr>
        <w:tabs>
          <w:tab w:val="left" w:pos="1800"/>
        </w:tabs>
        <w:ind w:left="1800" w:hanging="420"/>
      </w:pPr>
    </w:lvl>
    <w:lvl w:ilvl="4" w:tentative="0">
      <w:start w:val="1"/>
      <w:numFmt w:val="lowerLetter"/>
      <w:lvlText w:val="%5)"/>
      <w:lvlJc w:val="left"/>
      <w:pPr>
        <w:tabs>
          <w:tab w:val="left" w:pos="2220"/>
        </w:tabs>
        <w:ind w:left="2220" w:hanging="420"/>
      </w:pPr>
    </w:lvl>
    <w:lvl w:ilvl="5" w:tentative="0">
      <w:start w:val="1"/>
      <w:numFmt w:val="lowerRoman"/>
      <w:lvlText w:val="%6."/>
      <w:lvlJc w:val="right"/>
      <w:pPr>
        <w:tabs>
          <w:tab w:val="left" w:pos="2640"/>
        </w:tabs>
        <w:ind w:left="2640" w:hanging="420"/>
      </w:pPr>
    </w:lvl>
    <w:lvl w:ilvl="6" w:tentative="0">
      <w:start w:val="1"/>
      <w:numFmt w:val="decimal"/>
      <w:lvlText w:val="%7."/>
      <w:lvlJc w:val="left"/>
      <w:pPr>
        <w:tabs>
          <w:tab w:val="left" w:pos="3060"/>
        </w:tabs>
        <w:ind w:left="3060" w:hanging="420"/>
      </w:pPr>
    </w:lvl>
    <w:lvl w:ilvl="7" w:tentative="0">
      <w:start w:val="1"/>
      <w:numFmt w:val="lowerLetter"/>
      <w:lvlText w:val="%8)"/>
      <w:lvlJc w:val="left"/>
      <w:pPr>
        <w:tabs>
          <w:tab w:val="left" w:pos="3480"/>
        </w:tabs>
        <w:ind w:left="3480" w:hanging="420"/>
      </w:pPr>
    </w:lvl>
    <w:lvl w:ilvl="8" w:tentative="0">
      <w:start w:val="1"/>
      <w:numFmt w:val="lowerRoman"/>
      <w:lvlText w:val="%9."/>
      <w:lvlJc w:val="right"/>
      <w:pPr>
        <w:tabs>
          <w:tab w:val="left" w:pos="3900"/>
        </w:tabs>
        <w:ind w:left="3900" w:hanging="420"/>
      </w:pPr>
    </w:lvl>
  </w:abstractNum>
  <w:abstractNum w:abstractNumId="2">
    <w:nsid w:val="29BEF2C6"/>
    <w:multiLevelType w:val="singleLevel"/>
    <w:tmpl w:val="29BEF2C6"/>
    <w:lvl w:ilvl="0" w:tentative="0">
      <w:start w:val="1"/>
      <w:numFmt w:val="decimal"/>
      <w:lvlText w:val="%1."/>
      <w:lvlJc w:val="left"/>
      <w:pPr>
        <w:tabs>
          <w:tab w:val="left" w:pos="312"/>
        </w:tabs>
      </w:pPr>
    </w:lvl>
  </w:abstractNum>
  <w:abstractNum w:abstractNumId="3">
    <w:nsid w:val="48955F2F"/>
    <w:multiLevelType w:val="singleLevel"/>
    <w:tmpl w:val="48955F2F"/>
    <w:lvl w:ilvl="0" w:tentative="0">
      <w:start w:val="1"/>
      <w:numFmt w:val="decimal"/>
      <w:lvlText w:val="%1."/>
      <w:lvlJc w:val="left"/>
      <w:pPr>
        <w:tabs>
          <w:tab w:val="left" w:pos="312"/>
        </w:tabs>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endnotePr>
    <w:numFmt w:val="decimal"/>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mOGI3Nzk1YzM2Yzc0NGVmZmViM2ZmNWRkNTcxYTkifQ=="/>
  </w:docVars>
  <w:rsids>
    <w:rsidRoot w:val="00172A27"/>
    <w:rsid w:val="0000710A"/>
    <w:rsid w:val="0001416E"/>
    <w:rsid w:val="00021A19"/>
    <w:rsid w:val="00084253"/>
    <w:rsid w:val="000D1566"/>
    <w:rsid w:val="0010310E"/>
    <w:rsid w:val="00106301"/>
    <w:rsid w:val="00113C99"/>
    <w:rsid w:val="001211B1"/>
    <w:rsid w:val="001A2FB7"/>
    <w:rsid w:val="001C3D1C"/>
    <w:rsid w:val="00222274"/>
    <w:rsid w:val="002A3359"/>
    <w:rsid w:val="00327414"/>
    <w:rsid w:val="00374796"/>
    <w:rsid w:val="003815BA"/>
    <w:rsid w:val="00390AEA"/>
    <w:rsid w:val="0042502B"/>
    <w:rsid w:val="00490294"/>
    <w:rsid w:val="004B0EAC"/>
    <w:rsid w:val="004C2699"/>
    <w:rsid w:val="0052074E"/>
    <w:rsid w:val="0055397E"/>
    <w:rsid w:val="00576B14"/>
    <w:rsid w:val="005D4EC9"/>
    <w:rsid w:val="00654F8B"/>
    <w:rsid w:val="0066264E"/>
    <w:rsid w:val="006948F4"/>
    <w:rsid w:val="006E13DA"/>
    <w:rsid w:val="006F49E6"/>
    <w:rsid w:val="00740F39"/>
    <w:rsid w:val="00760C6F"/>
    <w:rsid w:val="00782CDD"/>
    <w:rsid w:val="00860B1D"/>
    <w:rsid w:val="00881332"/>
    <w:rsid w:val="008A51CD"/>
    <w:rsid w:val="008C6B4D"/>
    <w:rsid w:val="008D28C7"/>
    <w:rsid w:val="008E53EE"/>
    <w:rsid w:val="00941C6C"/>
    <w:rsid w:val="009471EC"/>
    <w:rsid w:val="009827A2"/>
    <w:rsid w:val="00997D18"/>
    <w:rsid w:val="00A11426"/>
    <w:rsid w:val="00A144D6"/>
    <w:rsid w:val="00A15974"/>
    <w:rsid w:val="00B05314"/>
    <w:rsid w:val="00B15DD7"/>
    <w:rsid w:val="00B726A1"/>
    <w:rsid w:val="00B8536E"/>
    <w:rsid w:val="00BD1EAB"/>
    <w:rsid w:val="00C06FA4"/>
    <w:rsid w:val="00C20AB5"/>
    <w:rsid w:val="00C22D51"/>
    <w:rsid w:val="00C41BBB"/>
    <w:rsid w:val="00C67B8F"/>
    <w:rsid w:val="00CD5C14"/>
    <w:rsid w:val="00CE5DBA"/>
    <w:rsid w:val="00D57915"/>
    <w:rsid w:val="00DE5743"/>
    <w:rsid w:val="00E46210"/>
    <w:rsid w:val="00E5202C"/>
    <w:rsid w:val="00ED39DD"/>
    <w:rsid w:val="00EE438A"/>
    <w:rsid w:val="00EF0AEA"/>
    <w:rsid w:val="00EF6EAC"/>
    <w:rsid w:val="00F247A9"/>
    <w:rsid w:val="00F61FEF"/>
    <w:rsid w:val="00F62BBD"/>
    <w:rsid w:val="00F82376"/>
    <w:rsid w:val="00FB383A"/>
    <w:rsid w:val="00FB52A4"/>
    <w:rsid w:val="00FC1865"/>
    <w:rsid w:val="0107676F"/>
    <w:rsid w:val="012706AB"/>
    <w:rsid w:val="01523E0F"/>
    <w:rsid w:val="016027F7"/>
    <w:rsid w:val="017924E8"/>
    <w:rsid w:val="01885E0B"/>
    <w:rsid w:val="018B1696"/>
    <w:rsid w:val="01A326DD"/>
    <w:rsid w:val="01A95C2A"/>
    <w:rsid w:val="02022957"/>
    <w:rsid w:val="020F4ADB"/>
    <w:rsid w:val="021420B8"/>
    <w:rsid w:val="021533E7"/>
    <w:rsid w:val="025B329E"/>
    <w:rsid w:val="02603343"/>
    <w:rsid w:val="026E3A37"/>
    <w:rsid w:val="027F7A07"/>
    <w:rsid w:val="02856339"/>
    <w:rsid w:val="028B483E"/>
    <w:rsid w:val="02B349AE"/>
    <w:rsid w:val="02C22538"/>
    <w:rsid w:val="02E5159B"/>
    <w:rsid w:val="02EC0AEB"/>
    <w:rsid w:val="02EF3948"/>
    <w:rsid w:val="03061F71"/>
    <w:rsid w:val="03077ED0"/>
    <w:rsid w:val="032420A3"/>
    <w:rsid w:val="03461C7A"/>
    <w:rsid w:val="03515DE6"/>
    <w:rsid w:val="03592F99"/>
    <w:rsid w:val="036451F4"/>
    <w:rsid w:val="03710AF1"/>
    <w:rsid w:val="0390197C"/>
    <w:rsid w:val="03952CA3"/>
    <w:rsid w:val="03977511"/>
    <w:rsid w:val="039A01F5"/>
    <w:rsid w:val="039E6F5E"/>
    <w:rsid w:val="03CD17D7"/>
    <w:rsid w:val="03D8741A"/>
    <w:rsid w:val="03F30C00"/>
    <w:rsid w:val="03F614DB"/>
    <w:rsid w:val="03FD5F08"/>
    <w:rsid w:val="0402799B"/>
    <w:rsid w:val="040A77E4"/>
    <w:rsid w:val="041A581C"/>
    <w:rsid w:val="042E65AA"/>
    <w:rsid w:val="043E5DB6"/>
    <w:rsid w:val="0466617C"/>
    <w:rsid w:val="047610B5"/>
    <w:rsid w:val="04915280"/>
    <w:rsid w:val="049A5B85"/>
    <w:rsid w:val="04A2697C"/>
    <w:rsid w:val="04A320AD"/>
    <w:rsid w:val="04A6649B"/>
    <w:rsid w:val="04B72E12"/>
    <w:rsid w:val="04C85836"/>
    <w:rsid w:val="04D360AB"/>
    <w:rsid w:val="04D522FD"/>
    <w:rsid w:val="04F361E1"/>
    <w:rsid w:val="05005F4F"/>
    <w:rsid w:val="05026B36"/>
    <w:rsid w:val="052043CA"/>
    <w:rsid w:val="052D0291"/>
    <w:rsid w:val="05445D91"/>
    <w:rsid w:val="056D7096"/>
    <w:rsid w:val="057A0FAE"/>
    <w:rsid w:val="057A1AE4"/>
    <w:rsid w:val="058A1352"/>
    <w:rsid w:val="05921402"/>
    <w:rsid w:val="05A141E1"/>
    <w:rsid w:val="05AD0423"/>
    <w:rsid w:val="05BC7618"/>
    <w:rsid w:val="05CD5D86"/>
    <w:rsid w:val="05E631C8"/>
    <w:rsid w:val="05F60066"/>
    <w:rsid w:val="05F9707D"/>
    <w:rsid w:val="061B1B6D"/>
    <w:rsid w:val="062E067F"/>
    <w:rsid w:val="063F4ED6"/>
    <w:rsid w:val="06433BB9"/>
    <w:rsid w:val="064A387B"/>
    <w:rsid w:val="064A73D7"/>
    <w:rsid w:val="064D52BF"/>
    <w:rsid w:val="06545C68"/>
    <w:rsid w:val="068F76D6"/>
    <w:rsid w:val="069410ED"/>
    <w:rsid w:val="0697383C"/>
    <w:rsid w:val="06D01FD2"/>
    <w:rsid w:val="06DA700D"/>
    <w:rsid w:val="06E33408"/>
    <w:rsid w:val="06E873D3"/>
    <w:rsid w:val="07040256"/>
    <w:rsid w:val="0714685F"/>
    <w:rsid w:val="07582DB5"/>
    <w:rsid w:val="07686C82"/>
    <w:rsid w:val="077412B5"/>
    <w:rsid w:val="07747295"/>
    <w:rsid w:val="07765862"/>
    <w:rsid w:val="07B32E6E"/>
    <w:rsid w:val="07BD7EF4"/>
    <w:rsid w:val="07C82CA9"/>
    <w:rsid w:val="07CC1D83"/>
    <w:rsid w:val="07ED2A15"/>
    <w:rsid w:val="07F675FA"/>
    <w:rsid w:val="080C55F5"/>
    <w:rsid w:val="08186C75"/>
    <w:rsid w:val="082322B0"/>
    <w:rsid w:val="0830442A"/>
    <w:rsid w:val="0839769A"/>
    <w:rsid w:val="083F1C28"/>
    <w:rsid w:val="085836AE"/>
    <w:rsid w:val="08752E31"/>
    <w:rsid w:val="087B0F5C"/>
    <w:rsid w:val="087C4E72"/>
    <w:rsid w:val="088D2719"/>
    <w:rsid w:val="08987EF8"/>
    <w:rsid w:val="089B6610"/>
    <w:rsid w:val="08A53180"/>
    <w:rsid w:val="08A65993"/>
    <w:rsid w:val="08B43452"/>
    <w:rsid w:val="08B61918"/>
    <w:rsid w:val="08B76F0B"/>
    <w:rsid w:val="08D232AA"/>
    <w:rsid w:val="08D52ABF"/>
    <w:rsid w:val="08D55065"/>
    <w:rsid w:val="08DF3359"/>
    <w:rsid w:val="08EC554C"/>
    <w:rsid w:val="08ED6D63"/>
    <w:rsid w:val="08F63846"/>
    <w:rsid w:val="08F95F04"/>
    <w:rsid w:val="08FF1663"/>
    <w:rsid w:val="0900016B"/>
    <w:rsid w:val="09002522"/>
    <w:rsid w:val="09031D95"/>
    <w:rsid w:val="090345E1"/>
    <w:rsid w:val="09190A28"/>
    <w:rsid w:val="09491BC8"/>
    <w:rsid w:val="0957742A"/>
    <w:rsid w:val="09627F55"/>
    <w:rsid w:val="09660931"/>
    <w:rsid w:val="09687FF2"/>
    <w:rsid w:val="096C00F5"/>
    <w:rsid w:val="098453A1"/>
    <w:rsid w:val="098B5CEC"/>
    <w:rsid w:val="09A261FB"/>
    <w:rsid w:val="09B30D57"/>
    <w:rsid w:val="09B40D25"/>
    <w:rsid w:val="09BF32EA"/>
    <w:rsid w:val="09CB5D9C"/>
    <w:rsid w:val="09D27E0F"/>
    <w:rsid w:val="09D678FF"/>
    <w:rsid w:val="09D92F9D"/>
    <w:rsid w:val="09E75FE1"/>
    <w:rsid w:val="09E94260"/>
    <w:rsid w:val="09F064E7"/>
    <w:rsid w:val="09F907FD"/>
    <w:rsid w:val="09FC1466"/>
    <w:rsid w:val="0A0271D7"/>
    <w:rsid w:val="0A041994"/>
    <w:rsid w:val="0A145FD6"/>
    <w:rsid w:val="0A16274D"/>
    <w:rsid w:val="0A312D88"/>
    <w:rsid w:val="0A3F1F5A"/>
    <w:rsid w:val="0A594D65"/>
    <w:rsid w:val="0A742D50"/>
    <w:rsid w:val="0A771D5D"/>
    <w:rsid w:val="0A777D83"/>
    <w:rsid w:val="0A7F3D19"/>
    <w:rsid w:val="0A912070"/>
    <w:rsid w:val="0A93124E"/>
    <w:rsid w:val="0AAA0D0D"/>
    <w:rsid w:val="0ABE6123"/>
    <w:rsid w:val="0ACA2D1F"/>
    <w:rsid w:val="0ACD76E7"/>
    <w:rsid w:val="0AD24798"/>
    <w:rsid w:val="0AD82B2D"/>
    <w:rsid w:val="0ADD2955"/>
    <w:rsid w:val="0ADE752C"/>
    <w:rsid w:val="0AE3428C"/>
    <w:rsid w:val="0AF94C36"/>
    <w:rsid w:val="0B0315E0"/>
    <w:rsid w:val="0B0B07B8"/>
    <w:rsid w:val="0B0E781A"/>
    <w:rsid w:val="0B102142"/>
    <w:rsid w:val="0B1B0BD9"/>
    <w:rsid w:val="0B312AFA"/>
    <w:rsid w:val="0B3E647F"/>
    <w:rsid w:val="0B3F7726"/>
    <w:rsid w:val="0B697370"/>
    <w:rsid w:val="0B711B60"/>
    <w:rsid w:val="0B737F05"/>
    <w:rsid w:val="0B743182"/>
    <w:rsid w:val="0B80322F"/>
    <w:rsid w:val="0B8E2115"/>
    <w:rsid w:val="0BA21003"/>
    <w:rsid w:val="0BDA2FA5"/>
    <w:rsid w:val="0BE12E8D"/>
    <w:rsid w:val="0BE5715D"/>
    <w:rsid w:val="0BF03727"/>
    <w:rsid w:val="0BF53750"/>
    <w:rsid w:val="0C004AAC"/>
    <w:rsid w:val="0C045D9E"/>
    <w:rsid w:val="0C05627A"/>
    <w:rsid w:val="0C087B18"/>
    <w:rsid w:val="0C0913A5"/>
    <w:rsid w:val="0C0E76EB"/>
    <w:rsid w:val="0C150F74"/>
    <w:rsid w:val="0C166753"/>
    <w:rsid w:val="0C1E7F11"/>
    <w:rsid w:val="0C2A69A2"/>
    <w:rsid w:val="0C390F2B"/>
    <w:rsid w:val="0C3E6B99"/>
    <w:rsid w:val="0C4832BA"/>
    <w:rsid w:val="0C4B64CA"/>
    <w:rsid w:val="0C4E0F6F"/>
    <w:rsid w:val="0C501260"/>
    <w:rsid w:val="0C5F7D2C"/>
    <w:rsid w:val="0C612223"/>
    <w:rsid w:val="0C71390F"/>
    <w:rsid w:val="0C8A39F0"/>
    <w:rsid w:val="0C9F1477"/>
    <w:rsid w:val="0CA85B84"/>
    <w:rsid w:val="0CAE3939"/>
    <w:rsid w:val="0CD725F3"/>
    <w:rsid w:val="0CE21773"/>
    <w:rsid w:val="0CF433B4"/>
    <w:rsid w:val="0CF574CA"/>
    <w:rsid w:val="0CF83908"/>
    <w:rsid w:val="0D257820"/>
    <w:rsid w:val="0D281556"/>
    <w:rsid w:val="0D2A368D"/>
    <w:rsid w:val="0D2E10AB"/>
    <w:rsid w:val="0D2E6299"/>
    <w:rsid w:val="0D315E36"/>
    <w:rsid w:val="0D336A7B"/>
    <w:rsid w:val="0D3967C9"/>
    <w:rsid w:val="0D507F73"/>
    <w:rsid w:val="0D627B73"/>
    <w:rsid w:val="0D6C2329"/>
    <w:rsid w:val="0D850B0B"/>
    <w:rsid w:val="0D880645"/>
    <w:rsid w:val="0D97753E"/>
    <w:rsid w:val="0D9A0C44"/>
    <w:rsid w:val="0DB86DD1"/>
    <w:rsid w:val="0DBC4284"/>
    <w:rsid w:val="0DC24E06"/>
    <w:rsid w:val="0DC26090"/>
    <w:rsid w:val="0DC3445B"/>
    <w:rsid w:val="0DC61F47"/>
    <w:rsid w:val="0DDE394C"/>
    <w:rsid w:val="0E193695"/>
    <w:rsid w:val="0E1B5B8D"/>
    <w:rsid w:val="0E323572"/>
    <w:rsid w:val="0E3609DB"/>
    <w:rsid w:val="0E367427"/>
    <w:rsid w:val="0E3735DB"/>
    <w:rsid w:val="0E3A34DA"/>
    <w:rsid w:val="0E4F5FBD"/>
    <w:rsid w:val="0E6F10C7"/>
    <w:rsid w:val="0E912047"/>
    <w:rsid w:val="0E9438E5"/>
    <w:rsid w:val="0E954BFC"/>
    <w:rsid w:val="0E9A5A47"/>
    <w:rsid w:val="0EB63E60"/>
    <w:rsid w:val="0EC51CF1"/>
    <w:rsid w:val="0EF97BEC"/>
    <w:rsid w:val="0F014B1F"/>
    <w:rsid w:val="0F015D2A"/>
    <w:rsid w:val="0F104080"/>
    <w:rsid w:val="0F270CBB"/>
    <w:rsid w:val="0F47568F"/>
    <w:rsid w:val="0F51370F"/>
    <w:rsid w:val="0F7732EC"/>
    <w:rsid w:val="0F9943C0"/>
    <w:rsid w:val="0FA71E9B"/>
    <w:rsid w:val="0FA91612"/>
    <w:rsid w:val="0FB52CD8"/>
    <w:rsid w:val="0FD81B47"/>
    <w:rsid w:val="0FDE2D7D"/>
    <w:rsid w:val="10001035"/>
    <w:rsid w:val="10002F26"/>
    <w:rsid w:val="100D557C"/>
    <w:rsid w:val="101F096D"/>
    <w:rsid w:val="1025693D"/>
    <w:rsid w:val="102968E9"/>
    <w:rsid w:val="1039622F"/>
    <w:rsid w:val="10560184"/>
    <w:rsid w:val="107B78F8"/>
    <w:rsid w:val="107F0B8D"/>
    <w:rsid w:val="10844AC4"/>
    <w:rsid w:val="10950DE7"/>
    <w:rsid w:val="109723AB"/>
    <w:rsid w:val="10A20F7A"/>
    <w:rsid w:val="10A40B54"/>
    <w:rsid w:val="10A51079"/>
    <w:rsid w:val="10AC285E"/>
    <w:rsid w:val="10BE733F"/>
    <w:rsid w:val="10DE709A"/>
    <w:rsid w:val="10F97774"/>
    <w:rsid w:val="11060C2B"/>
    <w:rsid w:val="110E4329"/>
    <w:rsid w:val="113F7FDE"/>
    <w:rsid w:val="11473F4B"/>
    <w:rsid w:val="114E09AD"/>
    <w:rsid w:val="1176557F"/>
    <w:rsid w:val="1184707C"/>
    <w:rsid w:val="11920C12"/>
    <w:rsid w:val="11982CE3"/>
    <w:rsid w:val="11B211CD"/>
    <w:rsid w:val="11B31A31"/>
    <w:rsid w:val="11C56EB6"/>
    <w:rsid w:val="11DA20E1"/>
    <w:rsid w:val="11DB545B"/>
    <w:rsid w:val="11DE2999"/>
    <w:rsid w:val="11F14126"/>
    <w:rsid w:val="11F75AC1"/>
    <w:rsid w:val="123328A9"/>
    <w:rsid w:val="1234204C"/>
    <w:rsid w:val="1235718D"/>
    <w:rsid w:val="12521669"/>
    <w:rsid w:val="125735A8"/>
    <w:rsid w:val="126A63FD"/>
    <w:rsid w:val="12761509"/>
    <w:rsid w:val="12A56C0A"/>
    <w:rsid w:val="12A61E39"/>
    <w:rsid w:val="12AB56A1"/>
    <w:rsid w:val="12C60D8E"/>
    <w:rsid w:val="12CE14B9"/>
    <w:rsid w:val="12D5043C"/>
    <w:rsid w:val="12FC318B"/>
    <w:rsid w:val="130A73A9"/>
    <w:rsid w:val="130C4781"/>
    <w:rsid w:val="130C4E36"/>
    <w:rsid w:val="132D1357"/>
    <w:rsid w:val="132F6187"/>
    <w:rsid w:val="134B0802"/>
    <w:rsid w:val="134D32E9"/>
    <w:rsid w:val="13644406"/>
    <w:rsid w:val="1379760B"/>
    <w:rsid w:val="139879D4"/>
    <w:rsid w:val="13A51B3A"/>
    <w:rsid w:val="13AC347F"/>
    <w:rsid w:val="13BF7656"/>
    <w:rsid w:val="13C61970"/>
    <w:rsid w:val="13D839AF"/>
    <w:rsid w:val="13DA3309"/>
    <w:rsid w:val="14000D13"/>
    <w:rsid w:val="14082317"/>
    <w:rsid w:val="141624E1"/>
    <w:rsid w:val="14225D9C"/>
    <w:rsid w:val="14300282"/>
    <w:rsid w:val="14330140"/>
    <w:rsid w:val="14453936"/>
    <w:rsid w:val="144B3AE7"/>
    <w:rsid w:val="144F22B5"/>
    <w:rsid w:val="145537B7"/>
    <w:rsid w:val="145D29CB"/>
    <w:rsid w:val="145E6E6F"/>
    <w:rsid w:val="145F70B5"/>
    <w:rsid w:val="14872E01"/>
    <w:rsid w:val="14A4678E"/>
    <w:rsid w:val="14AE457A"/>
    <w:rsid w:val="14C6698B"/>
    <w:rsid w:val="14CE0788"/>
    <w:rsid w:val="150B5E25"/>
    <w:rsid w:val="152711FD"/>
    <w:rsid w:val="15332448"/>
    <w:rsid w:val="153D3E2D"/>
    <w:rsid w:val="154010ED"/>
    <w:rsid w:val="15405318"/>
    <w:rsid w:val="1548367B"/>
    <w:rsid w:val="155342D7"/>
    <w:rsid w:val="1557616A"/>
    <w:rsid w:val="159B4BE9"/>
    <w:rsid w:val="15A14628"/>
    <w:rsid w:val="15AC2ADB"/>
    <w:rsid w:val="15BB5509"/>
    <w:rsid w:val="15CF67CF"/>
    <w:rsid w:val="15E11B06"/>
    <w:rsid w:val="15EC31A0"/>
    <w:rsid w:val="16094704"/>
    <w:rsid w:val="16183931"/>
    <w:rsid w:val="1618573C"/>
    <w:rsid w:val="161C62F4"/>
    <w:rsid w:val="162821A7"/>
    <w:rsid w:val="162E3FE3"/>
    <w:rsid w:val="163D2AB4"/>
    <w:rsid w:val="1662251B"/>
    <w:rsid w:val="166E0EC0"/>
    <w:rsid w:val="1678206D"/>
    <w:rsid w:val="168A14A8"/>
    <w:rsid w:val="168B3820"/>
    <w:rsid w:val="1697415B"/>
    <w:rsid w:val="169B33EF"/>
    <w:rsid w:val="16A60B8F"/>
    <w:rsid w:val="16B61523"/>
    <w:rsid w:val="16BE67D9"/>
    <w:rsid w:val="16C06DBA"/>
    <w:rsid w:val="16D61FC6"/>
    <w:rsid w:val="16F07B27"/>
    <w:rsid w:val="16FD323B"/>
    <w:rsid w:val="171D6234"/>
    <w:rsid w:val="17255A22"/>
    <w:rsid w:val="172F6753"/>
    <w:rsid w:val="17362928"/>
    <w:rsid w:val="17577BA6"/>
    <w:rsid w:val="175F6772"/>
    <w:rsid w:val="17664D86"/>
    <w:rsid w:val="17693D82"/>
    <w:rsid w:val="176E42D0"/>
    <w:rsid w:val="17785390"/>
    <w:rsid w:val="177C7932"/>
    <w:rsid w:val="178A4A5E"/>
    <w:rsid w:val="178B7795"/>
    <w:rsid w:val="17A4093A"/>
    <w:rsid w:val="17A84232"/>
    <w:rsid w:val="17BC0000"/>
    <w:rsid w:val="17C638D7"/>
    <w:rsid w:val="17CE11B0"/>
    <w:rsid w:val="17D23939"/>
    <w:rsid w:val="17D7560C"/>
    <w:rsid w:val="17FD2638"/>
    <w:rsid w:val="180D79FC"/>
    <w:rsid w:val="181D77E2"/>
    <w:rsid w:val="18260AC0"/>
    <w:rsid w:val="1836526C"/>
    <w:rsid w:val="1842764A"/>
    <w:rsid w:val="18830167"/>
    <w:rsid w:val="189C00F1"/>
    <w:rsid w:val="18AB65E7"/>
    <w:rsid w:val="18D23948"/>
    <w:rsid w:val="18E24C39"/>
    <w:rsid w:val="1939761E"/>
    <w:rsid w:val="196B6714"/>
    <w:rsid w:val="196D53A9"/>
    <w:rsid w:val="197F7F5E"/>
    <w:rsid w:val="19864814"/>
    <w:rsid w:val="198C0CFA"/>
    <w:rsid w:val="19944074"/>
    <w:rsid w:val="19946E8F"/>
    <w:rsid w:val="19BA2A1E"/>
    <w:rsid w:val="19BB3783"/>
    <w:rsid w:val="19C07C84"/>
    <w:rsid w:val="19C41271"/>
    <w:rsid w:val="19C55C5D"/>
    <w:rsid w:val="19CD7DB6"/>
    <w:rsid w:val="19D26C09"/>
    <w:rsid w:val="19DA2EB6"/>
    <w:rsid w:val="19FC79C1"/>
    <w:rsid w:val="19FF7EB4"/>
    <w:rsid w:val="1A0274BC"/>
    <w:rsid w:val="1A096667"/>
    <w:rsid w:val="1A121F89"/>
    <w:rsid w:val="1A1C69E7"/>
    <w:rsid w:val="1A226249"/>
    <w:rsid w:val="1A226726"/>
    <w:rsid w:val="1A291FEB"/>
    <w:rsid w:val="1A29728D"/>
    <w:rsid w:val="1A35316D"/>
    <w:rsid w:val="1A4334AB"/>
    <w:rsid w:val="1A615927"/>
    <w:rsid w:val="1A7B7AFA"/>
    <w:rsid w:val="1A972280"/>
    <w:rsid w:val="1A9F46AF"/>
    <w:rsid w:val="1AAB4D8E"/>
    <w:rsid w:val="1AAE5D2F"/>
    <w:rsid w:val="1AAF591C"/>
    <w:rsid w:val="1AB328E5"/>
    <w:rsid w:val="1AB6762A"/>
    <w:rsid w:val="1AB709EE"/>
    <w:rsid w:val="1ADF238C"/>
    <w:rsid w:val="1AEE09C5"/>
    <w:rsid w:val="1AF565FC"/>
    <w:rsid w:val="1B0921C1"/>
    <w:rsid w:val="1B0B3181"/>
    <w:rsid w:val="1B2C4F18"/>
    <w:rsid w:val="1B3077F5"/>
    <w:rsid w:val="1B376E54"/>
    <w:rsid w:val="1B3E5821"/>
    <w:rsid w:val="1BBE25E0"/>
    <w:rsid w:val="1BC73F72"/>
    <w:rsid w:val="1BCB0C0C"/>
    <w:rsid w:val="1BEE6150"/>
    <w:rsid w:val="1BFC27B9"/>
    <w:rsid w:val="1C05162B"/>
    <w:rsid w:val="1C1D7C3F"/>
    <w:rsid w:val="1C23795C"/>
    <w:rsid w:val="1C3265E3"/>
    <w:rsid w:val="1C392331"/>
    <w:rsid w:val="1C497DA3"/>
    <w:rsid w:val="1C4D0F8B"/>
    <w:rsid w:val="1C5C6846"/>
    <w:rsid w:val="1C763B24"/>
    <w:rsid w:val="1C7756BA"/>
    <w:rsid w:val="1C7A583D"/>
    <w:rsid w:val="1C803F58"/>
    <w:rsid w:val="1C8B74DB"/>
    <w:rsid w:val="1C9C7529"/>
    <w:rsid w:val="1C9E3FCC"/>
    <w:rsid w:val="1CA078F9"/>
    <w:rsid w:val="1CBD6CD4"/>
    <w:rsid w:val="1CC16E42"/>
    <w:rsid w:val="1CC62F6D"/>
    <w:rsid w:val="1CCC06EE"/>
    <w:rsid w:val="1CE30AFA"/>
    <w:rsid w:val="1CE974F2"/>
    <w:rsid w:val="1CFB334C"/>
    <w:rsid w:val="1D4A3A50"/>
    <w:rsid w:val="1D5D0701"/>
    <w:rsid w:val="1D5F733B"/>
    <w:rsid w:val="1D74677E"/>
    <w:rsid w:val="1D840FC9"/>
    <w:rsid w:val="1D930211"/>
    <w:rsid w:val="1D99763F"/>
    <w:rsid w:val="1DBC0D48"/>
    <w:rsid w:val="1DC80363"/>
    <w:rsid w:val="1DC85C18"/>
    <w:rsid w:val="1DED0595"/>
    <w:rsid w:val="1E0523E4"/>
    <w:rsid w:val="1E065386"/>
    <w:rsid w:val="1E124EC2"/>
    <w:rsid w:val="1E3A01D5"/>
    <w:rsid w:val="1E426959"/>
    <w:rsid w:val="1E4D3BBF"/>
    <w:rsid w:val="1E4D5AA1"/>
    <w:rsid w:val="1E621C38"/>
    <w:rsid w:val="1E6358B6"/>
    <w:rsid w:val="1E67331A"/>
    <w:rsid w:val="1E756669"/>
    <w:rsid w:val="1E7D6144"/>
    <w:rsid w:val="1E9935E2"/>
    <w:rsid w:val="1EA8054F"/>
    <w:rsid w:val="1EC10789"/>
    <w:rsid w:val="1EC3067E"/>
    <w:rsid w:val="1EC83421"/>
    <w:rsid w:val="1EDB6CE0"/>
    <w:rsid w:val="1F36764E"/>
    <w:rsid w:val="1F3C725C"/>
    <w:rsid w:val="1F3D06D2"/>
    <w:rsid w:val="1F3D1B7A"/>
    <w:rsid w:val="1F6C4B85"/>
    <w:rsid w:val="1F7172F1"/>
    <w:rsid w:val="1F7A7BF4"/>
    <w:rsid w:val="1F8D77EF"/>
    <w:rsid w:val="1F986CD2"/>
    <w:rsid w:val="1F9F06F3"/>
    <w:rsid w:val="1FA83C86"/>
    <w:rsid w:val="1FAD7985"/>
    <w:rsid w:val="1FB039BC"/>
    <w:rsid w:val="1FB8022F"/>
    <w:rsid w:val="1FBE47D0"/>
    <w:rsid w:val="1FC40A2F"/>
    <w:rsid w:val="1FC97E21"/>
    <w:rsid w:val="1FD532DB"/>
    <w:rsid w:val="1FE447FC"/>
    <w:rsid w:val="1FF443B2"/>
    <w:rsid w:val="1FF8581C"/>
    <w:rsid w:val="2006579B"/>
    <w:rsid w:val="200D08DC"/>
    <w:rsid w:val="2011334B"/>
    <w:rsid w:val="202331F2"/>
    <w:rsid w:val="202552D7"/>
    <w:rsid w:val="202E32ED"/>
    <w:rsid w:val="204527AF"/>
    <w:rsid w:val="207374E9"/>
    <w:rsid w:val="20812FE9"/>
    <w:rsid w:val="20860DA1"/>
    <w:rsid w:val="2097213B"/>
    <w:rsid w:val="20A53730"/>
    <w:rsid w:val="20AA660B"/>
    <w:rsid w:val="20BB11A5"/>
    <w:rsid w:val="20C25A15"/>
    <w:rsid w:val="20E60268"/>
    <w:rsid w:val="20EF03A0"/>
    <w:rsid w:val="20F321A8"/>
    <w:rsid w:val="21005017"/>
    <w:rsid w:val="21214A55"/>
    <w:rsid w:val="21221225"/>
    <w:rsid w:val="212E0A02"/>
    <w:rsid w:val="21342F91"/>
    <w:rsid w:val="213B1415"/>
    <w:rsid w:val="21485CA5"/>
    <w:rsid w:val="21863A5C"/>
    <w:rsid w:val="2192686F"/>
    <w:rsid w:val="219A172E"/>
    <w:rsid w:val="21B005DE"/>
    <w:rsid w:val="21BD6CA3"/>
    <w:rsid w:val="21D5652A"/>
    <w:rsid w:val="21DB7773"/>
    <w:rsid w:val="21E47391"/>
    <w:rsid w:val="21E86236"/>
    <w:rsid w:val="222E31ED"/>
    <w:rsid w:val="223244CB"/>
    <w:rsid w:val="22384371"/>
    <w:rsid w:val="224D37D0"/>
    <w:rsid w:val="22755657"/>
    <w:rsid w:val="227B0386"/>
    <w:rsid w:val="228127CE"/>
    <w:rsid w:val="228D6FEE"/>
    <w:rsid w:val="22CA7293"/>
    <w:rsid w:val="22CE2893"/>
    <w:rsid w:val="22EE7610"/>
    <w:rsid w:val="22F30C8A"/>
    <w:rsid w:val="22F90A2E"/>
    <w:rsid w:val="22FB0D99"/>
    <w:rsid w:val="22FE020A"/>
    <w:rsid w:val="230324D5"/>
    <w:rsid w:val="231B08E0"/>
    <w:rsid w:val="23502CAF"/>
    <w:rsid w:val="235326D8"/>
    <w:rsid w:val="23554DC8"/>
    <w:rsid w:val="2369313B"/>
    <w:rsid w:val="236B51E7"/>
    <w:rsid w:val="237008C4"/>
    <w:rsid w:val="238A110E"/>
    <w:rsid w:val="23B82764"/>
    <w:rsid w:val="23C86DAB"/>
    <w:rsid w:val="23D50FD6"/>
    <w:rsid w:val="23D5104D"/>
    <w:rsid w:val="23DE15E8"/>
    <w:rsid w:val="23E145CD"/>
    <w:rsid w:val="23F009BB"/>
    <w:rsid w:val="23FE163F"/>
    <w:rsid w:val="240C6E87"/>
    <w:rsid w:val="2418246B"/>
    <w:rsid w:val="2423386F"/>
    <w:rsid w:val="242377C2"/>
    <w:rsid w:val="244A0CA5"/>
    <w:rsid w:val="24507E57"/>
    <w:rsid w:val="246456B0"/>
    <w:rsid w:val="246A4EEA"/>
    <w:rsid w:val="246E0A3F"/>
    <w:rsid w:val="249B3770"/>
    <w:rsid w:val="24A27661"/>
    <w:rsid w:val="24B93BAF"/>
    <w:rsid w:val="24F5416A"/>
    <w:rsid w:val="251C6096"/>
    <w:rsid w:val="252A6ED8"/>
    <w:rsid w:val="252B77EB"/>
    <w:rsid w:val="252D117E"/>
    <w:rsid w:val="254556A5"/>
    <w:rsid w:val="255D1714"/>
    <w:rsid w:val="257D67F0"/>
    <w:rsid w:val="25853B30"/>
    <w:rsid w:val="25877303"/>
    <w:rsid w:val="258D504F"/>
    <w:rsid w:val="25B41248"/>
    <w:rsid w:val="25B54415"/>
    <w:rsid w:val="25C83030"/>
    <w:rsid w:val="25DD396C"/>
    <w:rsid w:val="25E66CC5"/>
    <w:rsid w:val="25F25669"/>
    <w:rsid w:val="25F27D4D"/>
    <w:rsid w:val="25FD5DBC"/>
    <w:rsid w:val="264947BA"/>
    <w:rsid w:val="264A6022"/>
    <w:rsid w:val="26577D7A"/>
    <w:rsid w:val="266B1D2A"/>
    <w:rsid w:val="268559BA"/>
    <w:rsid w:val="26A040F2"/>
    <w:rsid w:val="26A32D39"/>
    <w:rsid w:val="26A362D9"/>
    <w:rsid w:val="26A7674B"/>
    <w:rsid w:val="26B97F35"/>
    <w:rsid w:val="26C02DFC"/>
    <w:rsid w:val="26C62116"/>
    <w:rsid w:val="26CB123C"/>
    <w:rsid w:val="26F927DC"/>
    <w:rsid w:val="26FE003E"/>
    <w:rsid w:val="270159E8"/>
    <w:rsid w:val="271512A4"/>
    <w:rsid w:val="272411EE"/>
    <w:rsid w:val="274C4F1B"/>
    <w:rsid w:val="2753038A"/>
    <w:rsid w:val="275358FE"/>
    <w:rsid w:val="27574DCA"/>
    <w:rsid w:val="27580A18"/>
    <w:rsid w:val="27654312"/>
    <w:rsid w:val="277E2C99"/>
    <w:rsid w:val="27822471"/>
    <w:rsid w:val="2785728F"/>
    <w:rsid w:val="27876585"/>
    <w:rsid w:val="278A1672"/>
    <w:rsid w:val="279544FE"/>
    <w:rsid w:val="27982240"/>
    <w:rsid w:val="279C3655"/>
    <w:rsid w:val="279C697E"/>
    <w:rsid w:val="27AC39A7"/>
    <w:rsid w:val="27CA4388"/>
    <w:rsid w:val="27CE6258"/>
    <w:rsid w:val="27D90BC9"/>
    <w:rsid w:val="27EB7D23"/>
    <w:rsid w:val="27EC60E8"/>
    <w:rsid w:val="27F47FB7"/>
    <w:rsid w:val="27F76F67"/>
    <w:rsid w:val="28070D37"/>
    <w:rsid w:val="28295F2D"/>
    <w:rsid w:val="28483A6C"/>
    <w:rsid w:val="28495AD5"/>
    <w:rsid w:val="2857212E"/>
    <w:rsid w:val="28575047"/>
    <w:rsid w:val="28591640"/>
    <w:rsid w:val="28601ADA"/>
    <w:rsid w:val="28666D4B"/>
    <w:rsid w:val="286A3D5A"/>
    <w:rsid w:val="286D1BDB"/>
    <w:rsid w:val="286E17A3"/>
    <w:rsid w:val="289C7FDA"/>
    <w:rsid w:val="28A36429"/>
    <w:rsid w:val="28A92DDA"/>
    <w:rsid w:val="28BE7A85"/>
    <w:rsid w:val="28C07077"/>
    <w:rsid w:val="28C332ED"/>
    <w:rsid w:val="290044AF"/>
    <w:rsid w:val="29114E68"/>
    <w:rsid w:val="291D0EC5"/>
    <w:rsid w:val="291F1FEF"/>
    <w:rsid w:val="292759B7"/>
    <w:rsid w:val="2934056D"/>
    <w:rsid w:val="293D1A4A"/>
    <w:rsid w:val="29411A4D"/>
    <w:rsid w:val="29496228"/>
    <w:rsid w:val="29523730"/>
    <w:rsid w:val="295E0603"/>
    <w:rsid w:val="296A6E28"/>
    <w:rsid w:val="297005F7"/>
    <w:rsid w:val="29712625"/>
    <w:rsid w:val="29996CC8"/>
    <w:rsid w:val="299D092B"/>
    <w:rsid w:val="29A7338E"/>
    <w:rsid w:val="29C332B0"/>
    <w:rsid w:val="29D2640A"/>
    <w:rsid w:val="29D3071B"/>
    <w:rsid w:val="29DC64F5"/>
    <w:rsid w:val="29FD435D"/>
    <w:rsid w:val="2A0A3F1D"/>
    <w:rsid w:val="2A0F079C"/>
    <w:rsid w:val="2A1F1B82"/>
    <w:rsid w:val="2A2210D2"/>
    <w:rsid w:val="2A3615AB"/>
    <w:rsid w:val="2A3E2D09"/>
    <w:rsid w:val="2A4943E1"/>
    <w:rsid w:val="2A602F58"/>
    <w:rsid w:val="2A6F2533"/>
    <w:rsid w:val="2A7F1EB9"/>
    <w:rsid w:val="2A8379A8"/>
    <w:rsid w:val="2A8C4388"/>
    <w:rsid w:val="2AB35959"/>
    <w:rsid w:val="2AD21F1A"/>
    <w:rsid w:val="2AE2508E"/>
    <w:rsid w:val="2AF111A5"/>
    <w:rsid w:val="2B063753"/>
    <w:rsid w:val="2B1376DD"/>
    <w:rsid w:val="2B1C4789"/>
    <w:rsid w:val="2B2E7456"/>
    <w:rsid w:val="2B391EB6"/>
    <w:rsid w:val="2B5B04A2"/>
    <w:rsid w:val="2B6F4EB9"/>
    <w:rsid w:val="2B7C45EA"/>
    <w:rsid w:val="2B982212"/>
    <w:rsid w:val="2BA707AB"/>
    <w:rsid w:val="2BBC360E"/>
    <w:rsid w:val="2BC066B9"/>
    <w:rsid w:val="2BC8197A"/>
    <w:rsid w:val="2BCB638B"/>
    <w:rsid w:val="2BCB686C"/>
    <w:rsid w:val="2BDC5957"/>
    <w:rsid w:val="2BE5716D"/>
    <w:rsid w:val="2C0145D6"/>
    <w:rsid w:val="2C077995"/>
    <w:rsid w:val="2C1026AE"/>
    <w:rsid w:val="2C3879D4"/>
    <w:rsid w:val="2C3B100C"/>
    <w:rsid w:val="2C555779"/>
    <w:rsid w:val="2C59507C"/>
    <w:rsid w:val="2C5F24CD"/>
    <w:rsid w:val="2C7A4197"/>
    <w:rsid w:val="2C7D4B63"/>
    <w:rsid w:val="2C8F0E96"/>
    <w:rsid w:val="2C906044"/>
    <w:rsid w:val="2CAF0B48"/>
    <w:rsid w:val="2CB43679"/>
    <w:rsid w:val="2CC01497"/>
    <w:rsid w:val="2CC325BA"/>
    <w:rsid w:val="2CC93688"/>
    <w:rsid w:val="2CDF067A"/>
    <w:rsid w:val="2CF15585"/>
    <w:rsid w:val="2D0B206B"/>
    <w:rsid w:val="2D0B32C7"/>
    <w:rsid w:val="2D284168"/>
    <w:rsid w:val="2D2F1A13"/>
    <w:rsid w:val="2D3D6649"/>
    <w:rsid w:val="2D3E7B17"/>
    <w:rsid w:val="2D4B0D12"/>
    <w:rsid w:val="2D4D3891"/>
    <w:rsid w:val="2D4E6789"/>
    <w:rsid w:val="2D6F134E"/>
    <w:rsid w:val="2D7706C4"/>
    <w:rsid w:val="2D7F601F"/>
    <w:rsid w:val="2D8C0171"/>
    <w:rsid w:val="2D93363A"/>
    <w:rsid w:val="2DAB375A"/>
    <w:rsid w:val="2DB667C0"/>
    <w:rsid w:val="2DBB71E7"/>
    <w:rsid w:val="2DCA4EAD"/>
    <w:rsid w:val="2DD218DC"/>
    <w:rsid w:val="2DD53B93"/>
    <w:rsid w:val="2E083213"/>
    <w:rsid w:val="2E085BAD"/>
    <w:rsid w:val="2E0C4DEE"/>
    <w:rsid w:val="2E144F84"/>
    <w:rsid w:val="2E71047E"/>
    <w:rsid w:val="2E717697"/>
    <w:rsid w:val="2E793903"/>
    <w:rsid w:val="2E910BE6"/>
    <w:rsid w:val="2E921798"/>
    <w:rsid w:val="2E9B579F"/>
    <w:rsid w:val="2E9D7722"/>
    <w:rsid w:val="2E9E3ECA"/>
    <w:rsid w:val="2EA17C2D"/>
    <w:rsid w:val="2EA878B3"/>
    <w:rsid w:val="2EAB21F1"/>
    <w:rsid w:val="2EFC24BA"/>
    <w:rsid w:val="2F083808"/>
    <w:rsid w:val="2F172203"/>
    <w:rsid w:val="2F17369A"/>
    <w:rsid w:val="2F247F31"/>
    <w:rsid w:val="2F33576A"/>
    <w:rsid w:val="2F383732"/>
    <w:rsid w:val="2F3B29A9"/>
    <w:rsid w:val="2F40539D"/>
    <w:rsid w:val="2F422672"/>
    <w:rsid w:val="2F4C2A75"/>
    <w:rsid w:val="2F574929"/>
    <w:rsid w:val="2F7357C9"/>
    <w:rsid w:val="2F765391"/>
    <w:rsid w:val="2F7C4347"/>
    <w:rsid w:val="2F855811"/>
    <w:rsid w:val="2FA24D14"/>
    <w:rsid w:val="2FA32884"/>
    <w:rsid w:val="2FAD3C4C"/>
    <w:rsid w:val="2FC11AFC"/>
    <w:rsid w:val="2FCC5473"/>
    <w:rsid w:val="2FD31D5A"/>
    <w:rsid w:val="2FD4085F"/>
    <w:rsid w:val="2FD743AB"/>
    <w:rsid w:val="2FE50131"/>
    <w:rsid w:val="2FE66278"/>
    <w:rsid w:val="2FE9157A"/>
    <w:rsid w:val="2FEB3C1D"/>
    <w:rsid w:val="300F506A"/>
    <w:rsid w:val="30603F54"/>
    <w:rsid w:val="306C0596"/>
    <w:rsid w:val="3072125F"/>
    <w:rsid w:val="307D411A"/>
    <w:rsid w:val="309061AB"/>
    <w:rsid w:val="309D537A"/>
    <w:rsid w:val="30B0741D"/>
    <w:rsid w:val="30B728B1"/>
    <w:rsid w:val="30BC6129"/>
    <w:rsid w:val="30D74A46"/>
    <w:rsid w:val="30E45881"/>
    <w:rsid w:val="30E76373"/>
    <w:rsid w:val="30E7770A"/>
    <w:rsid w:val="30E947AF"/>
    <w:rsid w:val="30FF3D6C"/>
    <w:rsid w:val="3112096E"/>
    <w:rsid w:val="31152E07"/>
    <w:rsid w:val="312A5858"/>
    <w:rsid w:val="312F7234"/>
    <w:rsid w:val="313D3B3C"/>
    <w:rsid w:val="31442AF1"/>
    <w:rsid w:val="31477752"/>
    <w:rsid w:val="314B71FC"/>
    <w:rsid w:val="31684C4E"/>
    <w:rsid w:val="31B639EF"/>
    <w:rsid w:val="31BF02DE"/>
    <w:rsid w:val="31C034B8"/>
    <w:rsid w:val="31C143D8"/>
    <w:rsid w:val="31CD7146"/>
    <w:rsid w:val="31D02BE8"/>
    <w:rsid w:val="31DB3455"/>
    <w:rsid w:val="31DD1ED5"/>
    <w:rsid w:val="31DF3992"/>
    <w:rsid w:val="31E062AC"/>
    <w:rsid w:val="32127FC3"/>
    <w:rsid w:val="32187A23"/>
    <w:rsid w:val="321A114B"/>
    <w:rsid w:val="321C4ABE"/>
    <w:rsid w:val="321D0CF7"/>
    <w:rsid w:val="32225021"/>
    <w:rsid w:val="32376DBB"/>
    <w:rsid w:val="324646FE"/>
    <w:rsid w:val="325B4596"/>
    <w:rsid w:val="32693339"/>
    <w:rsid w:val="32903511"/>
    <w:rsid w:val="32A2793C"/>
    <w:rsid w:val="32A95302"/>
    <w:rsid w:val="32AE6EC0"/>
    <w:rsid w:val="32C674BA"/>
    <w:rsid w:val="32F07CD0"/>
    <w:rsid w:val="32FA191D"/>
    <w:rsid w:val="332156F8"/>
    <w:rsid w:val="33234BF4"/>
    <w:rsid w:val="33290122"/>
    <w:rsid w:val="332901F1"/>
    <w:rsid w:val="332E5807"/>
    <w:rsid w:val="333C2D82"/>
    <w:rsid w:val="335014CF"/>
    <w:rsid w:val="33631954"/>
    <w:rsid w:val="33651CA7"/>
    <w:rsid w:val="33694A91"/>
    <w:rsid w:val="336F3761"/>
    <w:rsid w:val="337E6130"/>
    <w:rsid w:val="339666F9"/>
    <w:rsid w:val="339E007A"/>
    <w:rsid w:val="33A51AED"/>
    <w:rsid w:val="33BA3F0E"/>
    <w:rsid w:val="33BD4769"/>
    <w:rsid w:val="33C26121"/>
    <w:rsid w:val="33C341A1"/>
    <w:rsid w:val="33DB4845"/>
    <w:rsid w:val="33E5326A"/>
    <w:rsid w:val="33E55C81"/>
    <w:rsid w:val="33F300DB"/>
    <w:rsid w:val="3418237F"/>
    <w:rsid w:val="344A0004"/>
    <w:rsid w:val="345F3B06"/>
    <w:rsid w:val="34796F56"/>
    <w:rsid w:val="34814AD7"/>
    <w:rsid w:val="34932400"/>
    <w:rsid w:val="34957D8E"/>
    <w:rsid w:val="349800B3"/>
    <w:rsid w:val="34A32532"/>
    <w:rsid w:val="34A60312"/>
    <w:rsid w:val="34AA6E52"/>
    <w:rsid w:val="34B216DE"/>
    <w:rsid w:val="34CC6AF3"/>
    <w:rsid w:val="34D10B40"/>
    <w:rsid w:val="34E91773"/>
    <w:rsid w:val="35035ED5"/>
    <w:rsid w:val="3519606C"/>
    <w:rsid w:val="351C4B52"/>
    <w:rsid w:val="35241607"/>
    <w:rsid w:val="352B46F4"/>
    <w:rsid w:val="352C656A"/>
    <w:rsid w:val="353D0B03"/>
    <w:rsid w:val="356A107A"/>
    <w:rsid w:val="356E638F"/>
    <w:rsid w:val="35731BF7"/>
    <w:rsid w:val="3575771D"/>
    <w:rsid w:val="357C0AAC"/>
    <w:rsid w:val="35807E88"/>
    <w:rsid w:val="359A2AB4"/>
    <w:rsid w:val="35A2317E"/>
    <w:rsid w:val="35A40895"/>
    <w:rsid w:val="35BA1F45"/>
    <w:rsid w:val="35F35464"/>
    <w:rsid w:val="36201DE9"/>
    <w:rsid w:val="36280C33"/>
    <w:rsid w:val="362A675A"/>
    <w:rsid w:val="362C0724"/>
    <w:rsid w:val="363249C4"/>
    <w:rsid w:val="36485E9F"/>
    <w:rsid w:val="364C2B74"/>
    <w:rsid w:val="365E2595"/>
    <w:rsid w:val="366065C0"/>
    <w:rsid w:val="36721F9F"/>
    <w:rsid w:val="369C656A"/>
    <w:rsid w:val="369F1F52"/>
    <w:rsid w:val="36CC0FD2"/>
    <w:rsid w:val="36E463DD"/>
    <w:rsid w:val="36EF3E0D"/>
    <w:rsid w:val="370D2E47"/>
    <w:rsid w:val="371B12D5"/>
    <w:rsid w:val="372D77C8"/>
    <w:rsid w:val="375142A8"/>
    <w:rsid w:val="375A0BBB"/>
    <w:rsid w:val="37616336"/>
    <w:rsid w:val="376932B2"/>
    <w:rsid w:val="3778164F"/>
    <w:rsid w:val="377A726D"/>
    <w:rsid w:val="378B76CC"/>
    <w:rsid w:val="379A644B"/>
    <w:rsid w:val="37A463C5"/>
    <w:rsid w:val="37AD13F0"/>
    <w:rsid w:val="37CB1C4F"/>
    <w:rsid w:val="37CC635E"/>
    <w:rsid w:val="37D129FA"/>
    <w:rsid w:val="37DE37E1"/>
    <w:rsid w:val="3805122C"/>
    <w:rsid w:val="381A01C6"/>
    <w:rsid w:val="3828676A"/>
    <w:rsid w:val="382A10B6"/>
    <w:rsid w:val="382A30F6"/>
    <w:rsid w:val="382B67B9"/>
    <w:rsid w:val="383877B7"/>
    <w:rsid w:val="383E38E8"/>
    <w:rsid w:val="384855BD"/>
    <w:rsid w:val="38575BCD"/>
    <w:rsid w:val="385D1B58"/>
    <w:rsid w:val="38630F50"/>
    <w:rsid w:val="386941EF"/>
    <w:rsid w:val="3872138D"/>
    <w:rsid w:val="388F515E"/>
    <w:rsid w:val="38926846"/>
    <w:rsid w:val="38A1098D"/>
    <w:rsid w:val="38B15DBE"/>
    <w:rsid w:val="38B5074F"/>
    <w:rsid w:val="38B60778"/>
    <w:rsid w:val="38BE13DB"/>
    <w:rsid w:val="38D0023D"/>
    <w:rsid w:val="38EB35D9"/>
    <w:rsid w:val="38EE3566"/>
    <w:rsid w:val="38EF1306"/>
    <w:rsid w:val="38FC4DCB"/>
    <w:rsid w:val="391D4354"/>
    <w:rsid w:val="39202BDF"/>
    <w:rsid w:val="39277AF9"/>
    <w:rsid w:val="394C5E9F"/>
    <w:rsid w:val="394E7C29"/>
    <w:rsid w:val="39551544"/>
    <w:rsid w:val="39755F3E"/>
    <w:rsid w:val="3979181D"/>
    <w:rsid w:val="398E578D"/>
    <w:rsid w:val="39A5557C"/>
    <w:rsid w:val="39C462B9"/>
    <w:rsid w:val="39C81445"/>
    <w:rsid w:val="39F75C98"/>
    <w:rsid w:val="3A176FF5"/>
    <w:rsid w:val="3A2A167E"/>
    <w:rsid w:val="3A3519D1"/>
    <w:rsid w:val="3A40531D"/>
    <w:rsid w:val="3A4B4FBC"/>
    <w:rsid w:val="3A684532"/>
    <w:rsid w:val="3A690131"/>
    <w:rsid w:val="3A6A1AF4"/>
    <w:rsid w:val="3A936E05"/>
    <w:rsid w:val="3A9C5C5F"/>
    <w:rsid w:val="3A9F4E8C"/>
    <w:rsid w:val="3AAE6BB0"/>
    <w:rsid w:val="3AC1698E"/>
    <w:rsid w:val="3AD5069F"/>
    <w:rsid w:val="3ADB0022"/>
    <w:rsid w:val="3B01667D"/>
    <w:rsid w:val="3B0A38C2"/>
    <w:rsid w:val="3B0E2A6F"/>
    <w:rsid w:val="3B271CCA"/>
    <w:rsid w:val="3B6157C4"/>
    <w:rsid w:val="3B7A596E"/>
    <w:rsid w:val="3B884075"/>
    <w:rsid w:val="3B9B259E"/>
    <w:rsid w:val="3B9C2C67"/>
    <w:rsid w:val="3BA41CDA"/>
    <w:rsid w:val="3BBC4322"/>
    <w:rsid w:val="3BD04FEB"/>
    <w:rsid w:val="3BDD1B00"/>
    <w:rsid w:val="3C016052"/>
    <w:rsid w:val="3C1617B3"/>
    <w:rsid w:val="3C2A5888"/>
    <w:rsid w:val="3C2E0828"/>
    <w:rsid w:val="3C2F2485"/>
    <w:rsid w:val="3C2F616B"/>
    <w:rsid w:val="3C397580"/>
    <w:rsid w:val="3C423350"/>
    <w:rsid w:val="3C4F3659"/>
    <w:rsid w:val="3C503C99"/>
    <w:rsid w:val="3C6061B5"/>
    <w:rsid w:val="3C6600A4"/>
    <w:rsid w:val="3C697005"/>
    <w:rsid w:val="3C7666B5"/>
    <w:rsid w:val="3C780106"/>
    <w:rsid w:val="3C7D76BD"/>
    <w:rsid w:val="3C7E335B"/>
    <w:rsid w:val="3C8666B4"/>
    <w:rsid w:val="3C8C0008"/>
    <w:rsid w:val="3C976B5F"/>
    <w:rsid w:val="3C9F28E1"/>
    <w:rsid w:val="3CA0084E"/>
    <w:rsid w:val="3CB43236"/>
    <w:rsid w:val="3CCC7420"/>
    <w:rsid w:val="3CDC52E1"/>
    <w:rsid w:val="3CDD24E6"/>
    <w:rsid w:val="3CE03707"/>
    <w:rsid w:val="3D170FAE"/>
    <w:rsid w:val="3D316BD6"/>
    <w:rsid w:val="3D4855E8"/>
    <w:rsid w:val="3D75085B"/>
    <w:rsid w:val="3D820E64"/>
    <w:rsid w:val="3D8D2697"/>
    <w:rsid w:val="3DA718F8"/>
    <w:rsid w:val="3DB5650C"/>
    <w:rsid w:val="3DBE2A4D"/>
    <w:rsid w:val="3DD5425E"/>
    <w:rsid w:val="3DE569AC"/>
    <w:rsid w:val="3DE80438"/>
    <w:rsid w:val="3E25559B"/>
    <w:rsid w:val="3E2F677D"/>
    <w:rsid w:val="3E2F6BEF"/>
    <w:rsid w:val="3E3A2B52"/>
    <w:rsid w:val="3E4947F6"/>
    <w:rsid w:val="3E5D50E7"/>
    <w:rsid w:val="3E6F0041"/>
    <w:rsid w:val="3E933110"/>
    <w:rsid w:val="3E97040F"/>
    <w:rsid w:val="3E9931B6"/>
    <w:rsid w:val="3E9A61BC"/>
    <w:rsid w:val="3E9A6808"/>
    <w:rsid w:val="3E9E6B6F"/>
    <w:rsid w:val="3EB9443D"/>
    <w:rsid w:val="3ED9319B"/>
    <w:rsid w:val="3EF45053"/>
    <w:rsid w:val="3F050B15"/>
    <w:rsid w:val="3F067CEB"/>
    <w:rsid w:val="3F075CC4"/>
    <w:rsid w:val="3F4307BD"/>
    <w:rsid w:val="3F501ED8"/>
    <w:rsid w:val="3F55745C"/>
    <w:rsid w:val="3F5712BE"/>
    <w:rsid w:val="3F5C7F8B"/>
    <w:rsid w:val="3F62215E"/>
    <w:rsid w:val="3F6A39E3"/>
    <w:rsid w:val="3F8E7D59"/>
    <w:rsid w:val="3F9236EA"/>
    <w:rsid w:val="3FA21E20"/>
    <w:rsid w:val="3FAB67E3"/>
    <w:rsid w:val="3FBC32C7"/>
    <w:rsid w:val="3FBD0608"/>
    <w:rsid w:val="3FDC2D64"/>
    <w:rsid w:val="3FDD56C2"/>
    <w:rsid w:val="3FE135AA"/>
    <w:rsid w:val="3FFB4CC3"/>
    <w:rsid w:val="3FFF5178"/>
    <w:rsid w:val="40116B29"/>
    <w:rsid w:val="402931A2"/>
    <w:rsid w:val="402F0E5C"/>
    <w:rsid w:val="40302CA3"/>
    <w:rsid w:val="403420DF"/>
    <w:rsid w:val="4034295E"/>
    <w:rsid w:val="404A2D44"/>
    <w:rsid w:val="404E4E30"/>
    <w:rsid w:val="405D5CF5"/>
    <w:rsid w:val="406C56BA"/>
    <w:rsid w:val="40754A75"/>
    <w:rsid w:val="40784565"/>
    <w:rsid w:val="407A652F"/>
    <w:rsid w:val="408155FA"/>
    <w:rsid w:val="40944994"/>
    <w:rsid w:val="409B3295"/>
    <w:rsid w:val="409C463B"/>
    <w:rsid w:val="409F73FA"/>
    <w:rsid w:val="40A11D0E"/>
    <w:rsid w:val="40D41AB1"/>
    <w:rsid w:val="40EB4D37"/>
    <w:rsid w:val="40F17018"/>
    <w:rsid w:val="40F214B7"/>
    <w:rsid w:val="40F24F08"/>
    <w:rsid w:val="40FD4B69"/>
    <w:rsid w:val="410215D7"/>
    <w:rsid w:val="410302D3"/>
    <w:rsid w:val="41095C4A"/>
    <w:rsid w:val="41206CC1"/>
    <w:rsid w:val="41254209"/>
    <w:rsid w:val="41362EAC"/>
    <w:rsid w:val="413E5D98"/>
    <w:rsid w:val="41580FE7"/>
    <w:rsid w:val="415959F4"/>
    <w:rsid w:val="417879A9"/>
    <w:rsid w:val="417D0085"/>
    <w:rsid w:val="418577D5"/>
    <w:rsid w:val="41961100"/>
    <w:rsid w:val="419966ED"/>
    <w:rsid w:val="41B64DFE"/>
    <w:rsid w:val="41B700BE"/>
    <w:rsid w:val="41B8417E"/>
    <w:rsid w:val="41FE32F3"/>
    <w:rsid w:val="422564C8"/>
    <w:rsid w:val="42307025"/>
    <w:rsid w:val="4249446A"/>
    <w:rsid w:val="42530915"/>
    <w:rsid w:val="425F3C8C"/>
    <w:rsid w:val="426C62D9"/>
    <w:rsid w:val="42776DF5"/>
    <w:rsid w:val="427B23F3"/>
    <w:rsid w:val="42925DB2"/>
    <w:rsid w:val="429571BA"/>
    <w:rsid w:val="42A044DE"/>
    <w:rsid w:val="42A4461E"/>
    <w:rsid w:val="42A6013F"/>
    <w:rsid w:val="42AC7DBF"/>
    <w:rsid w:val="42AD096B"/>
    <w:rsid w:val="42C96BE6"/>
    <w:rsid w:val="42CF7492"/>
    <w:rsid w:val="42D918D2"/>
    <w:rsid w:val="42E04496"/>
    <w:rsid w:val="42E82D9C"/>
    <w:rsid w:val="432C3635"/>
    <w:rsid w:val="433C0D8F"/>
    <w:rsid w:val="43410D90"/>
    <w:rsid w:val="436037BB"/>
    <w:rsid w:val="43633D45"/>
    <w:rsid w:val="437153F4"/>
    <w:rsid w:val="438F2E78"/>
    <w:rsid w:val="439B7758"/>
    <w:rsid w:val="43A044FF"/>
    <w:rsid w:val="43A72D42"/>
    <w:rsid w:val="43AE25D9"/>
    <w:rsid w:val="43B256D5"/>
    <w:rsid w:val="43BA2B9E"/>
    <w:rsid w:val="43C22388"/>
    <w:rsid w:val="43C2293A"/>
    <w:rsid w:val="43C63D09"/>
    <w:rsid w:val="43D11656"/>
    <w:rsid w:val="43D3464D"/>
    <w:rsid w:val="43E7547D"/>
    <w:rsid w:val="43F27DEC"/>
    <w:rsid w:val="43F403A7"/>
    <w:rsid w:val="440143FA"/>
    <w:rsid w:val="44242A3A"/>
    <w:rsid w:val="442B40D0"/>
    <w:rsid w:val="442E4283"/>
    <w:rsid w:val="442E7970"/>
    <w:rsid w:val="444D2FD0"/>
    <w:rsid w:val="445157F9"/>
    <w:rsid w:val="4456019A"/>
    <w:rsid w:val="445F1CC4"/>
    <w:rsid w:val="44640E69"/>
    <w:rsid w:val="4467556E"/>
    <w:rsid w:val="44690083"/>
    <w:rsid w:val="44717DA3"/>
    <w:rsid w:val="447A7C55"/>
    <w:rsid w:val="448C5F9C"/>
    <w:rsid w:val="449B69D0"/>
    <w:rsid w:val="44B51B10"/>
    <w:rsid w:val="44CC35B2"/>
    <w:rsid w:val="44D10102"/>
    <w:rsid w:val="44D87DBA"/>
    <w:rsid w:val="44DA3664"/>
    <w:rsid w:val="44E12D11"/>
    <w:rsid w:val="44E406BF"/>
    <w:rsid w:val="44FC7AAF"/>
    <w:rsid w:val="451E56CA"/>
    <w:rsid w:val="451E56DB"/>
    <w:rsid w:val="45393F4C"/>
    <w:rsid w:val="453E7601"/>
    <w:rsid w:val="455F2A4B"/>
    <w:rsid w:val="456125ED"/>
    <w:rsid w:val="457412D9"/>
    <w:rsid w:val="45922FA8"/>
    <w:rsid w:val="45C0755D"/>
    <w:rsid w:val="45E143DF"/>
    <w:rsid w:val="45E26209"/>
    <w:rsid w:val="45EF0E26"/>
    <w:rsid w:val="4605093B"/>
    <w:rsid w:val="461309BF"/>
    <w:rsid w:val="463A645D"/>
    <w:rsid w:val="463B5EBB"/>
    <w:rsid w:val="464506DD"/>
    <w:rsid w:val="46455393"/>
    <w:rsid w:val="464C2158"/>
    <w:rsid w:val="46597DDD"/>
    <w:rsid w:val="466F7C85"/>
    <w:rsid w:val="46713F31"/>
    <w:rsid w:val="467B212D"/>
    <w:rsid w:val="46AF11EE"/>
    <w:rsid w:val="46B51AF9"/>
    <w:rsid w:val="46BB09F6"/>
    <w:rsid w:val="46C640E7"/>
    <w:rsid w:val="46DB65AB"/>
    <w:rsid w:val="46EB7055"/>
    <w:rsid w:val="46EF4B8F"/>
    <w:rsid w:val="46F247F2"/>
    <w:rsid w:val="46F43517"/>
    <w:rsid w:val="46F801AE"/>
    <w:rsid w:val="46FC1A4C"/>
    <w:rsid w:val="46FF6C92"/>
    <w:rsid w:val="470A78C6"/>
    <w:rsid w:val="47272598"/>
    <w:rsid w:val="47343C1B"/>
    <w:rsid w:val="473C39E1"/>
    <w:rsid w:val="473F6246"/>
    <w:rsid w:val="47537846"/>
    <w:rsid w:val="47562C90"/>
    <w:rsid w:val="47580E59"/>
    <w:rsid w:val="475A6773"/>
    <w:rsid w:val="475D4F8B"/>
    <w:rsid w:val="47637D1D"/>
    <w:rsid w:val="47692BE9"/>
    <w:rsid w:val="476D7132"/>
    <w:rsid w:val="47755B43"/>
    <w:rsid w:val="4775799F"/>
    <w:rsid w:val="47774690"/>
    <w:rsid w:val="478101A3"/>
    <w:rsid w:val="47816780"/>
    <w:rsid w:val="47C45EEA"/>
    <w:rsid w:val="47CB0F98"/>
    <w:rsid w:val="47D05D62"/>
    <w:rsid w:val="47E17348"/>
    <w:rsid w:val="47E93327"/>
    <w:rsid w:val="480E4C1F"/>
    <w:rsid w:val="48254FD3"/>
    <w:rsid w:val="48452BB5"/>
    <w:rsid w:val="48591EB9"/>
    <w:rsid w:val="48743864"/>
    <w:rsid w:val="4875049A"/>
    <w:rsid w:val="4880045B"/>
    <w:rsid w:val="48856527"/>
    <w:rsid w:val="48966751"/>
    <w:rsid w:val="48996585"/>
    <w:rsid w:val="48B1559F"/>
    <w:rsid w:val="48C90054"/>
    <w:rsid w:val="48CE02E5"/>
    <w:rsid w:val="48E20F8B"/>
    <w:rsid w:val="48FB1DB1"/>
    <w:rsid w:val="49456486"/>
    <w:rsid w:val="4948574D"/>
    <w:rsid w:val="49520E7A"/>
    <w:rsid w:val="495C03CA"/>
    <w:rsid w:val="495D254A"/>
    <w:rsid w:val="49673F41"/>
    <w:rsid w:val="496F1A7D"/>
    <w:rsid w:val="497421D5"/>
    <w:rsid w:val="49743A75"/>
    <w:rsid w:val="497C6A6A"/>
    <w:rsid w:val="4981763E"/>
    <w:rsid w:val="499113C0"/>
    <w:rsid w:val="49973E03"/>
    <w:rsid w:val="49B66980"/>
    <w:rsid w:val="49DE3ABD"/>
    <w:rsid w:val="49E04067"/>
    <w:rsid w:val="49E15068"/>
    <w:rsid w:val="49ED300D"/>
    <w:rsid w:val="49F25E55"/>
    <w:rsid w:val="49FB2EC4"/>
    <w:rsid w:val="49FB423D"/>
    <w:rsid w:val="4A274F46"/>
    <w:rsid w:val="4A3941F9"/>
    <w:rsid w:val="4A3B0411"/>
    <w:rsid w:val="4A5A7206"/>
    <w:rsid w:val="4A9A7E33"/>
    <w:rsid w:val="4AA26E1A"/>
    <w:rsid w:val="4AB6751C"/>
    <w:rsid w:val="4AC37D95"/>
    <w:rsid w:val="4AD47351"/>
    <w:rsid w:val="4AF50D47"/>
    <w:rsid w:val="4B024C20"/>
    <w:rsid w:val="4B0714D1"/>
    <w:rsid w:val="4B146144"/>
    <w:rsid w:val="4B15561D"/>
    <w:rsid w:val="4B176736"/>
    <w:rsid w:val="4B1B446B"/>
    <w:rsid w:val="4B6418E3"/>
    <w:rsid w:val="4B756271"/>
    <w:rsid w:val="4B8155DB"/>
    <w:rsid w:val="4B871C83"/>
    <w:rsid w:val="4B971D44"/>
    <w:rsid w:val="4BA31E68"/>
    <w:rsid w:val="4BA440B0"/>
    <w:rsid w:val="4BC51CB5"/>
    <w:rsid w:val="4BCE319F"/>
    <w:rsid w:val="4BD7329D"/>
    <w:rsid w:val="4BDB0077"/>
    <w:rsid w:val="4BE344D1"/>
    <w:rsid w:val="4BF85D76"/>
    <w:rsid w:val="4C463838"/>
    <w:rsid w:val="4C480FB2"/>
    <w:rsid w:val="4C567AC4"/>
    <w:rsid w:val="4C7D2B1A"/>
    <w:rsid w:val="4C7F1958"/>
    <w:rsid w:val="4C9269AF"/>
    <w:rsid w:val="4CA62CE1"/>
    <w:rsid w:val="4CAE6394"/>
    <w:rsid w:val="4CBC0F2B"/>
    <w:rsid w:val="4CBF0399"/>
    <w:rsid w:val="4CF13B19"/>
    <w:rsid w:val="4D0D7563"/>
    <w:rsid w:val="4D2D0027"/>
    <w:rsid w:val="4D2F41FE"/>
    <w:rsid w:val="4D44218D"/>
    <w:rsid w:val="4D8F12D1"/>
    <w:rsid w:val="4DA317D2"/>
    <w:rsid w:val="4DAB0942"/>
    <w:rsid w:val="4DCA2B2F"/>
    <w:rsid w:val="4DF50813"/>
    <w:rsid w:val="4DF8603A"/>
    <w:rsid w:val="4E1119F8"/>
    <w:rsid w:val="4E181259"/>
    <w:rsid w:val="4E335FFF"/>
    <w:rsid w:val="4E3E294A"/>
    <w:rsid w:val="4E466B47"/>
    <w:rsid w:val="4E4C75D0"/>
    <w:rsid w:val="4E643432"/>
    <w:rsid w:val="4E7474AA"/>
    <w:rsid w:val="4E78270C"/>
    <w:rsid w:val="4E790FA8"/>
    <w:rsid w:val="4E880069"/>
    <w:rsid w:val="4EAE3E03"/>
    <w:rsid w:val="4EB51E09"/>
    <w:rsid w:val="4ED31EAC"/>
    <w:rsid w:val="4EE0713C"/>
    <w:rsid w:val="4EE22F7C"/>
    <w:rsid w:val="4EE549FD"/>
    <w:rsid w:val="4EE8199A"/>
    <w:rsid w:val="4EF16E5B"/>
    <w:rsid w:val="4F195C8C"/>
    <w:rsid w:val="4F3D131E"/>
    <w:rsid w:val="4F466847"/>
    <w:rsid w:val="4F4A5B2E"/>
    <w:rsid w:val="4F4B5F4A"/>
    <w:rsid w:val="4F6E7478"/>
    <w:rsid w:val="4F7D1600"/>
    <w:rsid w:val="4F900A0B"/>
    <w:rsid w:val="4FA56078"/>
    <w:rsid w:val="4FB20A21"/>
    <w:rsid w:val="4FDA4DA4"/>
    <w:rsid w:val="4FE956E2"/>
    <w:rsid w:val="4FEF1F54"/>
    <w:rsid w:val="5003775F"/>
    <w:rsid w:val="50144F89"/>
    <w:rsid w:val="50256FBF"/>
    <w:rsid w:val="503046CF"/>
    <w:rsid w:val="504467EA"/>
    <w:rsid w:val="5051105B"/>
    <w:rsid w:val="505C2373"/>
    <w:rsid w:val="50643E76"/>
    <w:rsid w:val="506D1027"/>
    <w:rsid w:val="507D4C94"/>
    <w:rsid w:val="508605D9"/>
    <w:rsid w:val="50AB7E0E"/>
    <w:rsid w:val="50AF5D81"/>
    <w:rsid w:val="50B272A0"/>
    <w:rsid w:val="50C54780"/>
    <w:rsid w:val="50C83311"/>
    <w:rsid w:val="50D372FC"/>
    <w:rsid w:val="50F83689"/>
    <w:rsid w:val="50FC752C"/>
    <w:rsid w:val="51002ECA"/>
    <w:rsid w:val="51015E64"/>
    <w:rsid w:val="510231D8"/>
    <w:rsid w:val="51151FE3"/>
    <w:rsid w:val="51273B6A"/>
    <w:rsid w:val="51351F88"/>
    <w:rsid w:val="513B5867"/>
    <w:rsid w:val="513C6A33"/>
    <w:rsid w:val="5145527C"/>
    <w:rsid w:val="514E0FD7"/>
    <w:rsid w:val="51586345"/>
    <w:rsid w:val="51643BFE"/>
    <w:rsid w:val="51656440"/>
    <w:rsid w:val="51856AE2"/>
    <w:rsid w:val="518613B5"/>
    <w:rsid w:val="51BD627C"/>
    <w:rsid w:val="51C52D66"/>
    <w:rsid w:val="51CA5A13"/>
    <w:rsid w:val="51DC639F"/>
    <w:rsid w:val="51E63A25"/>
    <w:rsid w:val="51F07302"/>
    <w:rsid w:val="5237783C"/>
    <w:rsid w:val="52716521"/>
    <w:rsid w:val="52865A20"/>
    <w:rsid w:val="52A21553"/>
    <w:rsid w:val="52B551A5"/>
    <w:rsid w:val="52C0392A"/>
    <w:rsid w:val="52CD7D2A"/>
    <w:rsid w:val="52CE4611"/>
    <w:rsid w:val="52D61DCD"/>
    <w:rsid w:val="52E26721"/>
    <w:rsid w:val="52FE71AD"/>
    <w:rsid w:val="531E0F9C"/>
    <w:rsid w:val="5336421B"/>
    <w:rsid w:val="533E5918"/>
    <w:rsid w:val="53582700"/>
    <w:rsid w:val="535C18DD"/>
    <w:rsid w:val="53660F92"/>
    <w:rsid w:val="536A41E2"/>
    <w:rsid w:val="538E7ED0"/>
    <w:rsid w:val="5398690D"/>
    <w:rsid w:val="53AD27F0"/>
    <w:rsid w:val="53B55DE2"/>
    <w:rsid w:val="53CE621C"/>
    <w:rsid w:val="53CF41BF"/>
    <w:rsid w:val="53D14261"/>
    <w:rsid w:val="53E2021C"/>
    <w:rsid w:val="53E76315"/>
    <w:rsid w:val="53EA73F7"/>
    <w:rsid w:val="53F00AD8"/>
    <w:rsid w:val="54022672"/>
    <w:rsid w:val="540A48F5"/>
    <w:rsid w:val="54327411"/>
    <w:rsid w:val="54347790"/>
    <w:rsid w:val="5435659E"/>
    <w:rsid w:val="5444038B"/>
    <w:rsid w:val="545128D7"/>
    <w:rsid w:val="54605CB9"/>
    <w:rsid w:val="54707B46"/>
    <w:rsid w:val="54862736"/>
    <w:rsid w:val="549E05E7"/>
    <w:rsid w:val="54CF6FAC"/>
    <w:rsid w:val="54D71CAC"/>
    <w:rsid w:val="54DB2AD1"/>
    <w:rsid w:val="54E6161F"/>
    <w:rsid w:val="54E75C97"/>
    <w:rsid w:val="54F93C92"/>
    <w:rsid w:val="55050D6F"/>
    <w:rsid w:val="550C19B3"/>
    <w:rsid w:val="551B1EA3"/>
    <w:rsid w:val="553D1BAE"/>
    <w:rsid w:val="55477FC9"/>
    <w:rsid w:val="554D5EDF"/>
    <w:rsid w:val="555349D7"/>
    <w:rsid w:val="555B1C8F"/>
    <w:rsid w:val="556C39FA"/>
    <w:rsid w:val="556E2F16"/>
    <w:rsid w:val="55806F35"/>
    <w:rsid w:val="55951E37"/>
    <w:rsid w:val="55A87CCB"/>
    <w:rsid w:val="55BD684B"/>
    <w:rsid w:val="55D72A08"/>
    <w:rsid w:val="55E71B19"/>
    <w:rsid w:val="55FB3FEE"/>
    <w:rsid w:val="56020870"/>
    <w:rsid w:val="56127C71"/>
    <w:rsid w:val="561E5DC8"/>
    <w:rsid w:val="561F3B66"/>
    <w:rsid w:val="563A4EC2"/>
    <w:rsid w:val="563F0693"/>
    <w:rsid w:val="56490A60"/>
    <w:rsid w:val="564B4B24"/>
    <w:rsid w:val="564F6360"/>
    <w:rsid w:val="565509E2"/>
    <w:rsid w:val="565E5140"/>
    <w:rsid w:val="56707142"/>
    <w:rsid w:val="568D4760"/>
    <w:rsid w:val="5693494A"/>
    <w:rsid w:val="56A45C5C"/>
    <w:rsid w:val="56B51CDC"/>
    <w:rsid w:val="56BE6488"/>
    <w:rsid w:val="56C27360"/>
    <w:rsid w:val="56C74F0A"/>
    <w:rsid w:val="56D13F4F"/>
    <w:rsid w:val="56EA509E"/>
    <w:rsid w:val="56F641C0"/>
    <w:rsid w:val="56FF17D3"/>
    <w:rsid w:val="57007337"/>
    <w:rsid w:val="570A060B"/>
    <w:rsid w:val="57170E89"/>
    <w:rsid w:val="571D01D4"/>
    <w:rsid w:val="57280FEB"/>
    <w:rsid w:val="57350E49"/>
    <w:rsid w:val="57472C70"/>
    <w:rsid w:val="57636C91"/>
    <w:rsid w:val="57676C87"/>
    <w:rsid w:val="576D604E"/>
    <w:rsid w:val="576E5213"/>
    <w:rsid w:val="576F4DDC"/>
    <w:rsid w:val="577D5B93"/>
    <w:rsid w:val="578277DD"/>
    <w:rsid w:val="578313D3"/>
    <w:rsid w:val="5789077C"/>
    <w:rsid w:val="578F4296"/>
    <w:rsid w:val="57915214"/>
    <w:rsid w:val="57BC0799"/>
    <w:rsid w:val="57C81D75"/>
    <w:rsid w:val="57DE484E"/>
    <w:rsid w:val="57EC78BB"/>
    <w:rsid w:val="58034F78"/>
    <w:rsid w:val="58095D77"/>
    <w:rsid w:val="580C7B2F"/>
    <w:rsid w:val="581F15FC"/>
    <w:rsid w:val="582C330E"/>
    <w:rsid w:val="58362289"/>
    <w:rsid w:val="58371503"/>
    <w:rsid w:val="58435C13"/>
    <w:rsid w:val="58490869"/>
    <w:rsid w:val="586D09FC"/>
    <w:rsid w:val="58746EE7"/>
    <w:rsid w:val="58777462"/>
    <w:rsid w:val="587B2287"/>
    <w:rsid w:val="58926A23"/>
    <w:rsid w:val="58972C69"/>
    <w:rsid w:val="58AB0A25"/>
    <w:rsid w:val="58BA4EAF"/>
    <w:rsid w:val="58BD4ADB"/>
    <w:rsid w:val="58C92823"/>
    <w:rsid w:val="58D32D85"/>
    <w:rsid w:val="58DA1B7D"/>
    <w:rsid w:val="58F559B3"/>
    <w:rsid w:val="58FF045A"/>
    <w:rsid w:val="590C1AB3"/>
    <w:rsid w:val="59111892"/>
    <w:rsid w:val="59170116"/>
    <w:rsid w:val="59183D8F"/>
    <w:rsid w:val="593D2BEE"/>
    <w:rsid w:val="594231E8"/>
    <w:rsid w:val="59455708"/>
    <w:rsid w:val="594B1120"/>
    <w:rsid w:val="59537495"/>
    <w:rsid w:val="59567C22"/>
    <w:rsid w:val="59602EFC"/>
    <w:rsid w:val="596C7680"/>
    <w:rsid w:val="59830D34"/>
    <w:rsid w:val="59883A46"/>
    <w:rsid w:val="599A7EFB"/>
    <w:rsid w:val="599D59DF"/>
    <w:rsid w:val="59A33FA9"/>
    <w:rsid w:val="59A541C5"/>
    <w:rsid w:val="59D0652D"/>
    <w:rsid w:val="59E3209C"/>
    <w:rsid w:val="5A1D3386"/>
    <w:rsid w:val="5A285D60"/>
    <w:rsid w:val="5A296BA4"/>
    <w:rsid w:val="5A407A4A"/>
    <w:rsid w:val="5A4E3D02"/>
    <w:rsid w:val="5AA3731E"/>
    <w:rsid w:val="5AAA6E1A"/>
    <w:rsid w:val="5AB8737A"/>
    <w:rsid w:val="5AD76E92"/>
    <w:rsid w:val="5AED36B0"/>
    <w:rsid w:val="5B0132E0"/>
    <w:rsid w:val="5B1E7D8B"/>
    <w:rsid w:val="5B2C26E2"/>
    <w:rsid w:val="5B4058E3"/>
    <w:rsid w:val="5B44356A"/>
    <w:rsid w:val="5B465119"/>
    <w:rsid w:val="5B544766"/>
    <w:rsid w:val="5B586F2D"/>
    <w:rsid w:val="5B742292"/>
    <w:rsid w:val="5B77749C"/>
    <w:rsid w:val="5B7E6A7C"/>
    <w:rsid w:val="5B800248"/>
    <w:rsid w:val="5B981AAF"/>
    <w:rsid w:val="5BA43402"/>
    <w:rsid w:val="5BAA44A9"/>
    <w:rsid w:val="5BB33D3C"/>
    <w:rsid w:val="5BBD10BA"/>
    <w:rsid w:val="5BC87CF7"/>
    <w:rsid w:val="5BD02586"/>
    <w:rsid w:val="5BD30443"/>
    <w:rsid w:val="5BD52813"/>
    <w:rsid w:val="5BDE39BF"/>
    <w:rsid w:val="5BDF3A1A"/>
    <w:rsid w:val="5BEC30F5"/>
    <w:rsid w:val="5BFD00BB"/>
    <w:rsid w:val="5C007E2A"/>
    <w:rsid w:val="5C51268C"/>
    <w:rsid w:val="5C5D6807"/>
    <w:rsid w:val="5C641296"/>
    <w:rsid w:val="5C7565CA"/>
    <w:rsid w:val="5C803BB7"/>
    <w:rsid w:val="5C8E7193"/>
    <w:rsid w:val="5CA22C3E"/>
    <w:rsid w:val="5CA25359"/>
    <w:rsid w:val="5CAB0D19"/>
    <w:rsid w:val="5CB158EA"/>
    <w:rsid w:val="5CBA220A"/>
    <w:rsid w:val="5CC606D0"/>
    <w:rsid w:val="5CE27857"/>
    <w:rsid w:val="5CE53DAD"/>
    <w:rsid w:val="5CE768A3"/>
    <w:rsid w:val="5CEF6D78"/>
    <w:rsid w:val="5CF00DD0"/>
    <w:rsid w:val="5CF47D98"/>
    <w:rsid w:val="5D202179"/>
    <w:rsid w:val="5D4B0D6A"/>
    <w:rsid w:val="5D564B75"/>
    <w:rsid w:val="5D5C4B9B"/>
    <w:rsid w:val="5D5E75F7"/>
    <w:rsid w:val="5D96761C"/>
    <w:rsid w:val="5D995DEF"/>
    <w:rsid w:val="5D9C58DF"/>
    <w:rsid w:val="5DB6074F"/>
    <w:rsid w:val="5DBC6178"/>
    <w:rsid w:val="5DBE641F"/>
    <w:rsid w:val="5DEB5F1F"/>
    <w:rsid w:val="5DEF5A0E"/>
    <w:rsid w:val="5DF0765F"/>
    <w:rsid w:val="5DFD4F07"/>
    <w:rsid w:val="5E3E6996"/>
    <w:rsid w:val="5E4A2442"/>
    <w:rsid w:val="5E675E31"/>
    <w:rsid w:val="5E960374"/>
    <w:rsid w:val="5E9C24F3"/>
    <w:rsid w:val="5EA1718D"/>
    <w:rsid w:val="5EB3509A"/>
    <w:rsid w:val="5EBD78BB"/>
    <w:rsid w:val="5EC7073A"/>
    <w:rsid w:val="5EF7171B"/>
    <w:rsid w:val="5F011E9E"/>
    <w:rsid w:val="5F015F42"/>
    <w:rsid w:val="5F03339C"/>
    <w:rsid w:val="5F0E2DDC"/>
    <w:rsid w:val="5F1414C0"/>
    <w:rsid w:val="5F1D464E"/>
    <w:rsid w:val="5F2715C2"/>
    <w:rsid w:val="5F2A79EC"/>
    <w:rsid w:val="5F2B45DC"/>
    <w:rsid w:val="5F2D5C10"/>
    <w:rsid w:val="5F4C7161"/>
    <w:rsid w:val="5F4F2418"/>
    <w:rsid w:val="5F6B2DFC"/>
    <w:rsid w:val="5F6E1573"/>
    <w:rsid w:val="5F816759"/>
    <w:rsid w:val="5F8325E0"/>
    <w:rsid w:val="5F9245DB"/>
    <w:rsid w:val="5F937EE8"/>
    <w:rsid w:val="5FA033D2"/>
    <w:rsid w:val="5FB27537"/>
    <w:rsid w:val="5FB703B9"/>
    <w:rsid w:val="5FBC4304"/>
    <w:rsid w:val="5FC34763"/>
    <w:rsid w:val="5FDA29A8"/>
    <w:rsid w:val="5FDE21DF"/>
    <w:rsid w:val="5FE1426D"/>
    <w:rsid w:val="5FE90490"/>
    <w:rsid w:val="5FF13F85"/>
    <w:rsid w:val="5FFA55D0"/>
    <w:rsid w:val="5FFB282F"/>
    <w:rsid w:val="5FFC4413"/>
    <w:rsid w:val="5FFE6BF5"/>
    <w:rsid w:val="601328FB"/>
    <w:rsid w:val="60142302"/>
    <w:rsid w:val="60285168"/>
    <w:rsid w:val="603B3A3A"/>
    <w:rsid w:val="605E0C2A"/>
    <w:rsid w:val="606371D1"/>
    <w:rsid w:val="607B68FE"/>
    <w:rsid w:val="607C4F7E"/>
    <w:rsid w:val="60940D5F"/>
    <w:rsid w:val="609B1ADE"/>
    <w:rsid w:val="60D34AE4"/>
    <w:rsid w:val="60E2708F"/>
    <w:rsid w:val="60E32FFC"/>
    <w:rsid w:val="61365030"/>
    <w:rsid w:val="6140662A"/>
    <w:rsid w:val="61492DD9"/>
    <w:rsid w:val="614D4307"/>
    <w:rsid w:val="61522551"/>
    <w:rsid w:val="61571345"/>
    <w:rsid w:val="617C3C1D"/>
    <w:rsid w:val="617D5EF1"/>
    <w:rsid w:val="619B4D59"/>
    <w:rsid w:val="61B04B98"/>
    <w:rsid w:val="61B2778B"/>
    <w:rsid w:val="61BC0D56"/>
    <w:rsid w:val="61CB104D"/>
    <w:rsid w:val="61D15FA6"/>
    <w:rsid w:val="6227756E"/>
    <w:rsid w:val="62404A8B"/>
    <w:rsid w:val="624A13D6"/>
    <w:rsid w:val="62832073"/>
    <w:rsid w:val="628520D9"/>
    <w:rsid w:val="628D0F61"/>
    <w:rsid w:val="62AD115F"/>
    <w:rsid w:val="62AF6C36"/>
    <w:rsid w:val="62B02D63"/>
    <w:rsid w:val="62BD432E"/>
    <w:rsid w:val="62C31218"/>
    <w:rsid w:val="62CD0FAB"/>
    <w:rsid w:val="62DB608D"/>
    <w:rsid w:val="62E11030"/>
    <w:rsid w:val="62E172BD"/>
    <w:rsid w:val="62FB76E3"/>
    <w:rsid w:val="632779AD"/>
    <w:rsid w:val="63283CC7"/>
    <w:rsid w:val="632932ED"/>
    <w:rsid w:val="632A40DA"/>
    <w:rsid w:val="63313CF1"/>
    <w:rsid w:val="63366A5D"/>
    <w:rsid w:val="633F4D43"/>
    <w:rsid w:val="634F2A9F"/>
    <w:rsid w:val="63513B80"/>
    <w:rsid w:val="63601ED7"/>
    <w:rsid w:val="636833BA"/>
    <w:rsid w:val="637E574A"/>
    <w:rsid w:val="638623F7"/>
    <w:rsid w:val="639332E3"/>
    <w:rsid w:val="639702D9"/>
    <w:rsid w:val="639A38C0"/>
    <w:rsid w:val="63A9646B"/>
    <w:rsid w:val="63AE3AA0"/>
    <w:rsid w:val="63BA261B"/>
    <w:rsid w:val="63CC375B"/>
    <w:rsid w:val="63DA4380"/>
    <w:rsid w:val="63EE0D15"/>
    <w:rsid w:val="63F23C78"/>
    <w:rsid w:val="64027633"/>
    <w:rsid w:val="64155273"/>
    <w:rsid w:val="64336278"/>
    <w:rsid w:val="64362F3E"/>
    <w:rsid w:val="64376A16"/>
    <w:rsid w:val="6448156A"/>
    <w:rsid w:val="644973E5"/>
    <w:rsid w:val="64530212"/>
    <w:rsid w:val="64584FCA"/>
    <w:rsid w:val="6469244C"/>
    <w:rsid w:val="64696A5B"/>
    <w:rsid w:val="646B7CF1"/>
    <w:rsid w:val="64A13D83"/>
    <w:rsid w:val="64A61985"/>
    <w:rsid w:val="64B9521C"/>
    <w:rsid w:val="64CC310D"/>
    <w:rsid w:val="64CC7D82"/>
    <w:rsid w:val="64D5577D"/>
    <w:rsid w:val="64D94532"/>
    <w:rsid w:val="64DD2F78"/>
    <w:rsid w:val="64E55B0E"/>
    <w:rsid w:val="64F90C4E"/>
    <w:rsid w:val="64FE23A0"/>
    <w:rsid w:val="65134DC6"/>
    <w:rsid w:val="65272E71"/>
    <w:rsid w:val="653D3AED"/>
    <w:rsid w:val="65497187"/>
    <w:rsid w:val="6552281F"/>
    <w:rsid w:val="655C7EA5"/>
    <w:rsid w:val="655F49B8"/>
    <w:rsid w:val="656349CE"/>
    <w:rsid w:val="658645FB"/>
    <w:rsid w:val="65A557EB"/>
    <w:rsid w:val="65AA2091"/>
    <w:rsid w:val="65C15BA4"/>
    <w:rsid w:val="65D0539F"/>
    <w:rsid w:val="65D939B7"/>
    <w:rsid w:val="65DC6139"/>
    <w:rsid w:val="65E52CF3"/>
    <w:rsid w:val="65EA604A"/>
    <w:rsid w:val="65F8693F"/>
    <w:rsid w:val="66061AD4"/>
    <w:rsid w:val="661070D1"/>
    <w:rsid w:val="66297639"/>
    <w:rsid w:val="663F130D"/>
    <w:rsid w:val="663F19B6"/>
    <w:rsid w:val="663F28D8"/>
    <w:rsid w:val="6656698A"/>
    <w:rsid w:val="66664CDC"/>
    <w:rsid w:val="6673297D"/>
    <w:rsid w:val="66841601"/>
    <w:rsid w:val="66A7404A"/>
    <w:rsid w:val="66B3296E"/>
    <w:rsid w:val="66E833E8"/>
    <w:rsid w:val="66F52E78"/>
    <w:rsid w:val="66FA3298"/>
    <w:rsid w:val="67032B1A"/>
    <w:rsid w:val="670E3F84"/>
    <w:rsid w:val="67136BF0"/>
    <w:rsid w:val="671A5D5E"/>
    <w:rsid w:val="67381BDA"/>
    <w:rsid w:val="67606C70"/>
    <w:rsid w:val="677671A1"/>
    <w:rsid w:val="67801DCE"/>
    <w:rsid w:val="678B2239"/>
    <w:rsid w:val="67970A99"/>
    <w:rsid w:val="67AC6919"/>
    <w:rsid w:val="67CC599C"/>
    <w:rsid w:val="67D01686"/>
    <w:rsid w:val="67EA66C6"/>
    <w:rsid w:val="67F65D6D"/>
    <w:rsid w:val="67FD2073"/>
    <w:rsid w:val="68000819"/>
    <w:rsid w:val="683651C6"/>
    <w:rsid w:val="683D4129"/>
    <w:rsid w:val="6840658B"/>
    <w:rsid w:val="68415E2F"/>
    <w:rsid w:val="68460921"/>
    <w:rsid w:val="68493AFA"/>
    <w:rsid w:val="684D4FDA"/>
    <w:rsid w:val="68642991"/>
    <w:rsid w:val="686B0388"/>
    <w:rsid w:val="686B27ED"/>
    <w:rsid w:val="686E74B7"/>
    <w:rsid w:val="68707C99"/>
    <w:rsid w:val="687A54CA"/>
    <w:rsid w:val="687C2D5D"/>
    <w:rsid w:val="68890C27"/>
    <w:rsid w:val="688B4064"/>
    <w:rsid w:val="6894236C"/>
    <w:rsid w:val="68994EF5"/>
    <w:rsid w:val="689A2236"/>
    <w:rsid w:val="68B33A45"/>
    <w:rsid w:val="68BE476E"/>
    <w:rsid w:val="68D67E24"/>
    <w:rsid w:val="68E11D92"/>
    <w:rsid w:val="68EF6F8D"/>
    <w:rsid w:val="69140D7D"/>
    <w:rsid w:val="691652F6"/>
    <w:rsid w:val="6922234E"/>
    <w:rsid w:val="69230C63"/>
    <w:rsid w:val="69320EA6"/>
    <w:rsid w:val="69461282"/>
    <w:rsid w:val="696E6058"/>
    <w:rsid w:val="69734D4C"/>
    <w:rsid w:val="697C497B"/>
    <w:rsid w:val="697C53C4"/>
    <w:rsid w:val="697D5E14"/>
    <w:rsid w:val="698108D9"/>
    <w:rsid w:val="69881641"/>
    <w:rsid w:val="69A35DE1"/>
    <w:rsid w:val="69A4491A"/>
    <w:rsid w:val="69C759E7"/>
    <w:rsid w:val="69C954EA"/>
    <w:rsid w:val="69CA10DE"/>
    <w:rsid w:val="69CA184C"/>
    <w:rsid w:val="69DD1324"/>
    <w:rsid w:val="69E3184F"/>
    <w:rsid w:val="69E40345"/>
    <w:rsid w:val="69F30D32"/>
    <w:rsid w:val="69F917C6"/>
    <w:rsid w:val="69FB15F8"/>
    <w:rsid w:val="6A072198"/>
    <w:rsid w:val="6A0B1334"/>
    <w:rsid w:val="6A4849BC"/>
    <w:rsid w:val="6A570995"/>
    <w:rsid w:val="6A683732"/>
    <w:rsid w:val="6A6F7D67"/>
    <w:rsid w:val="6A9C7F89"/>
    <w:rsid w:val="6AAA0BF3"/>
    <w:rsid w:val="6AB0766B"/>
    <w:rsid w:val="6AB56951"/>
    <w:rsid w:val="6AB803B0"/>
    <w:rsid w:val="6ADA151E"/>
    <w:rsid w:val="6AED5247"/>
    <w:rsid w:val="6B01771D"/>
    <w:rsid w:val="6B034A8C"/>
    <w:rsid w:val="6B070BD1"/>
    <w:rsid w:val="6B082A99"/>
    <w:rsid w:val="6B3F724F"/>
    <w:rsid w:val="6B4836FF"/>
    <w:rsid w:val="6B4B3B36"/>
    <w:rsid w:val="6B4D3E89"/>
    <w:rsid w:val="6B553A66"/>
    <w:rsid w:val="6B5A620B"/>
    <w:rsid w:val="6B5F6511"/>
    <w:rsid w:val="6B717934"/>
    <w:rsid w:val="6B7846F6"/>
    <w:rsid w:val="6B7B7ED8"/>
    <w:rsid w:val="6B9D4CFC"/>
    <w:rsid w:val="6BAF67DE"/>
    <w:rsid w:val="6BB84FEC"/>
    <w:rsid w:val="6BC2462A"/>
    <w:rsid w:val="6BE41F2F"/>
    <w:rsid w:val="6BF113CB"/>
    <w:rsid w:val="6BF11E03"/>
    <w:rsid w:val="6C1F43D9"/>
    <w:rsid w:val="6C2C4CB3"/>
    <w:rsid w:val="6C3311BD"/>
    <w:rsid w:val="6C3B793A"/>
    <w:rsid w:val="6C3E5941"/>
    <w:rsid w:val="6C416C00"/>
    <w:rsid w:val="6C445178"/>
    <w:rsid w:val="6C537304"/>
    <w:rsid w:val="6C6B112D"/>
    <w:rsid w:val="6C6D1E1E"/>
    <w:rsid w:val="6C6F27D8"/>
    <w:rsid w:val="6C9360FF"/>
    <w:rsid w:val="6CBA368C"/>
    <w:rsid w:val="6CD209D6"/>
    <w:rsid w:val="6CDE126B"/>
    <w:rsid w:val="6CFB55E2"/>
    <w:rsid w:val="6D0772D6"/>
    <w:rsid w:val="6D1A3AF6"/>
    <w:rsid w:val="6D21447B"/>
    <w:rsid w:val="6D2A4D0F"/>
    <w:rsid w:val="6D2A6A64"/>
    <w:rsid w:val="6D2E0002"/>
    <w:rsid w:val="6D2E1FA8"/>
    <w:rsid w:val="6D3B6503"/>
    <w:rsid w:val="6D5121C9"/>
    <w:rsid w:val="6D77160F"/>
    <w:rsid w:val="6D7A45BA"/>
    <w:rsid w:val="6D9379EC"/>
    <w:rsid w:val="6D9C7802"/>
    <w:rsid w:val="6DBF3BD6"/>
    <w:rsid w:val="6DCD59F1"/>
    <w:rsid w:val="6DCF6065"/>
    <w:rsid w:val="6DD15131"/>
    <w:rsid w:val="6DDF7DF7"/>
    <w:rsid w:val="6DFC1680"/>
    <w:rsid w:val="6E036ABA"/>
    <w:rsid w:val="6E054DDB"/>
    <w:rsid w:val="6E18298E"/>
    <w:rsid w:val="6E2F7865"/>
    <w:rsid w:val="6E3F653F"/>
    <w:rsid w:val="6E4C5C05"/>
    <w:rsid w:val="6E926520"/>
    <w:rsid w:val="6E993134"/>
    <w:rsid w:val="6E9A19C7"/>
    <w:rsid w:val="6EBF4F8A"/>
    <w:rsid w:val="6ECB2339"/>
    <w:rsid w:val="6EE01F2C"/>
    <w:rsid w:val="6EF02AC2"/>
    <w:rsid w:val="6EFD47BC"/>
    <w:rsid w:val="6F046A54"/>
    <w:rsid w:val="6F1165C9"/>
    <w:rsid w:val="6F1E52B4"/>
    <w:rsid w:val="6F24015F"/>
    <w:rsid w:val="6F41687E"/>
    <w:rsid w:val="6F4E647E"/>
    <w:rsid w:val="6F5D5C7F"/>
    <w:rsid w:val="6F62357A"/>
    <w:rsid w:val="6F7406BD"/>
    <w:rsid w:val="6F901925"/>
    <w:rsid w:val="6FAF71A4"/>
    <w:rsid w:val="6FAF79C5"/>
    <w:rsid w:val="6FB07C38"/>
    <w:rsid w:val="6FB3629F"/>
    <w:rsid w:val="6FB72E5F"/>
    <w:rsid w:val="6FD20DD5"/>
    <w:rsid w:val="6FF45E8C"/>
    <w:rsid w:val="701240E1"/>
    <w:rsid w:val="70214F84"/>
    <w:rsid w:val="7025492C"/>
    <w:rsid w:val="702D0CD7"/>
    <w:rsid w:val="702E0619"/>
    <w:rsid w:val="703151A3"/>
    <w:rsid w:val="70433998"/>
    <w:rsid w:val="70481D1E"/>
    <w:rsid w:val="70533142"/>
    <w:rsid w:val="70807F9B"/>
    <w:rsid w:val="70814BED"/>
    <w:rsid w:val="708C263B"/>
    <w:rsid w:val="708F1CC4"/>
    <w:rsid w:val="709661BE"/>
    <w:rsid w:val="70B52540"/>
    <w:rsid w:val="70CB6D51"/>
    <w:rsid w:val="70CD6F49"/>
    <w:rsid w:val="70DD3639"/>
    <w:rsid w:val="70FA674D"/>
    <w:rsid w:val="710D6480"/>
    <w:rsid w:val="710E253D"/>
    <w:rsid w:val="711128A7"/>
    <w:rsid w:val="711772FF"/>
    <w:rsid w:val="711B2FBA"/>
    <w:rsid w:val="712A5284"/>
    <w:rsid w:val="71456942"/>
    <w:rsid w:val="714E5C26"/>
    <w:rsid w:val="71596C1A"/>
    <w:rsid w:val="715B1A60"/>
    <w:rsid w:val="715B6F1D"/>
    <w:rsid w:val="715C6278"/>
    <w:rsid w:val="717A3C13"/>
    <w:rsid w:val="717B3239"/>
    <w:rsid w:val="71803828"/>
    <w:rsid w:val="718C1B45"/>
    <w:rsid w:val="718F1A3C"/>
    <w:rsid w:val="71AF00CC"/>
    <w:rsid w:val="71B05419"/>
    <w:rsid w:val="71C11940"/>
    <w:rsid w:val="71D96DB1"/>
    <w:rsid w:val="71E31DC5"/>
    <w:rsid w:val="71E573FD"/>
    <w:rsid w:val="71EB2670"/>
    <w:rsid w:val="71EF5588"/>
    <w:rsid w:val="71F77495"/>
    <w:rsid w:val="72041482"/>
    <w:rsid w:val="720D184D"/>
    <w:rsid w:val="7215759C"/>
    <w:rsid w:val="723548F0"/>
    <w:rsid w:val="72464FAC"/>
    <w:rsid w:val="72486C48"/>
    <w:rsid w:val="7251239D"/>
    <w:rsid w:val="72633843"/>
    <w:rsid w:val="726C2249"/>
    <w:rsid w:val="726C4B8D"/>
    <w:rsid w:val="727F6B17"/>
    <w:rsid w:val="728111DC"/>
    <w:rsid w:val="72907540"/>
    <w:rsid w:val="72927C0F"/>
    <w:rsid w:val="7298621E"/>
    <w:rsid w:val="72A27EA1"/>
    <w:rsid w:val="72B017B9"/>
    <w:rsid w:val="72B65B1B"/>
    <w:rsid w:val="72C25F8A"/>
    <w:rsid w:val="72CD2EF8"/>
    <w:rsid w:val="72E077CA"/>
    <w:rsid w:val="72E1548E"/>
    <w:rsid w:val="72E300A5"/>
    <w:rsid w:val="72F376E8"/>
    <w:rsid w:val="72F614B0"/>
    <w:rsid w:val="72FE0315"/>
    <w:rsid w:val="73042059"/>
    <w:rsid w:val="7309151C"/>
    <w:rsid w:val="73535E93"/>
    <w:rsid w:val="73696D05"/>
    <w:rsid w:val="736F25F5"/>
    <w:rsid w:val="737215F8"/>
    <w:rsid w:val="73897853"/>
    <w:rsid w:val="738A0FF9"/>
    <w:rsid w:val="7390347D"/>
    <w:rsid w:val="73A30D3E"/>
    <w:rsid w:val="73AA0504"/>
    <w:rsid w:val="73B06349"/>
    <w:rsid w:val="73C848E1"/>
    <w:rsid w:val="73E174B1"/>
    <w:rsid w:val="73E564F8"/>
    <w:rsid w:val="741528FF"/>
    <w:rsid w:val="74171D6B"/>
    <w:rsid w:val="74190B91"/>
    <w:rsid w:val="741D3B1E"/>
    <w:rsid w:val="742064CB"/>
    <w:rsid w:val="74253E6F"/>
    <w:rsid w:val="74364BAE"/>
    <w:rsid w:val="746A10E2"/>
    <w:rsid w:val="747F322B"/>
    <w:rsid w:val="747F3DA7"/>
    <w:rsid w:val="74804BC8"/>
    <w:rsid w:val="748E78D8"/>
    <w:rsid w:val="748F3835"/>
    <w:rsid w:val="749B5A83"/>
    <w:rsid w:val="74A6237F"/>
    <w:rsid w:val="74A84833"/>
    <w:rsid w:val="74AE7F7A"/>
    <w:rsid w:val="74D24E9E"/>
    <w:rsid w:val="74DF4FCC"/>
    <w:rsid w:val="74E03EAC"/>
    <w:rsid w:val="74E1742C"/>
    <w:rsid w:val="74E751A2"/>
    <w:rsid w:val="75060696"/>
    <w:rsid w:val="75180C19"/>
    <w:rsid w:val="753171A0"/>
    <w:rsid w:val="753309CD"/>
    <w:rsid w:val="7540002D"/>
    <w:rsid w:val="755A7FF6"/>
    <w:rsid w:val="755C3F5F"/>
    <w:rsid w:val="755E4601"/>
    <w:rsid w:val="756B642B"/>
    <w:rsid w:val="75720461"/>
    <w:rsid w:val="757401F5"/>
    <w:rsid w:val="75861AB1"/>
    <w:rsid w:val="758B51B3"/>
    <w:rsid w:val="758F3F41"/>
    <w:rsid w:val="75A1464A"/>
    <w:rsid w:val="75A44B1B"/>
    <w:rsid w:val="75A4793E"/>
    <w:rsid w:val="75B10A71"/>
    <w:rsid w:val="75BE301B"/>
    <w:rsid w:val="75BF6422"/>
    <w:rsid w:val="75D035E3"/>
    <w:rsid w:val="75E0667F"/>
    <w:rsid w:val="75E207CF"/>
    <w:rsid w:val="75E55C1E"/>
    <w:rsid w:val="75E56258"/>
    <w:rsid w:val="75F031E4"/>
    <w:rsid w:val="75F74770"/>
    <w:rsid w:val="75FD398F"/>
    <w:rsid w:val="760B6D06"/>
    <w:rsid w:val="76240A81"/>
    <w:rsid w:val="76271A68"/>
    <w:rsid w:val="762E68C6"/>
    <w:rsid w:val="764346F2"/>
    <w:rsid w:val="76437003"/>
    <w:rsid w:val="764531E9"/>
    <w:rsid w:val="76497EC6"/>
    <w:rsid w:val="76610F85"/>
    <w:rsid w:val="76884D79"/>
    <w:rsid w:val="768C6170"/>
    <w:rsid w:val="768E0A09"/>
    <w:rsid w:val="76A0108A"/>
    <w:rsid w:val="76A75CE5"/>
    <w:rsid w:val="76AD5E75"/>
    <w:rsid w:val="76C64B7A"/>
    <w:rsid w:val="76D04A02"/>
    <w:rsid w:val="76D62103"/>
    <w:rsid w:val="76D85277"/>
    <w:rsid w:val="76DE792E"/>
    <w:rsid w:val="76E50523"/>
    <w:rsid w:val="76EA523D"/>
    <w:rsid w:val="76F714B1"/>
    <w:rsid w:val="76FF6781"/>
    <w:rsid w:val="77190F0B"/>
    <w:rsid w:val="771B65F0"/>
    <w:rsid w:val="773F53B4"/>
    <w:rsid w:val="77400EE8"/>
    <w:rsid w:val="77444BC6"/>
    <w:rsid w:val="778B4D6C"/>
    <w:rsid w:val="779D6301"/>
    <w:rsid w:val="779F004E"/>
    <w:rsid w:val="779F6909"/>
    <w:rsid w:val="77B02F14"/>
    <w:rsid w:val="77B533CE"/>
    <w:rsid w:val="77B61FDD"/>
    <w:rsid w:val="77DC71E4"/>
    <w:rsid w:val="77F57C6E"/>
    <w:rsid w:val="780B3D48"/>
    <w:rsid w:val="78183C24"/>
    <w:rsid w:val="781C0B3D"/>
    <w:rsid w:val="781D355F"/>
    <w:rsid w:val="784D6F9E"/>
    <w:rsid w:val="78564BB1"/>
    <w:rsid w:val="78671615"/>
    <w:rsid w:val="786728C9"/>
    <w:rsid w:val="786731BB"/>
    <w:rsid w:val="787222E6"/>
    <w:rsid w:val="787B4832"/>
    <w:rsid w:val="78844C87"/>
    <w:rsid w:val="788E471D"/>
    <w:rsid w:val="78912056"/>
    <w:rsid w:val="78A90F77"/>
    <w:rsid w:val="78B50321"/>
    <w:rsid w:val="78C02E72"/>
    <w:rsid w:val="78C44DB6"/>
    <w:rsid w:val="78D8692C"/>
    <w:rsid w:val="78DC6139"/>
    <w:rsid w:val="78E36009"/>
    <w:rsid w:val="78F83896"/>
    <w:rsid w:val="78FC577C"/>
    <w:rsid w:val="790C7366"/>
    <w:rsid w:val="79201025"/>
    <w:rsid w:val="79212A47"/>
    <w:rsid w:val="79215E5D"/>
    <w:rsid w:val="7928674B"/>
    <w:rsid w:val="792E51E6"/>
    <w:rsid w:val="794E2D6C"/>
    <w:rsid w:val="79795612"/>
    <w:rsid w:val="79874153"/>
    <w:rsid w:val="798E588D"/>
    <w:rsid w:val="798F6D6D"/>
    <w:rsid w:val="799F7E92"/>
    <w:rsid w:val="79AD214E"/>
    <w:rsid w:val="79BA116F"/>
    <w:rsid w:val="79D94F16"/>
    <w:rsid w:val="79DC27FB"/>
    <w:rsid w:val="7A086AC6"/>
    <w:rsid w:val="7A1D69B9"/>
    <w:rsid w:val="7A266805"/>
    <w:rsid w:val="7A283826"/>
    <w:rsid w:val="7A2B115A"/>
    <w:rsid w:val="7A2D610B"/>
    <w:rsid w:val="7A38223B"/>
    <w:rsid w:val="7A3C5519"/>
    <w:rsid w:val="7A4E5D19"/>
    <w:rsid w:val="7A4E6CFB"/>
    <w:rsid w:val="7A503A69"/>
    <w:rsid w:val="7A5B57AA"/>
    <w:rsid w:val="7A702637"/>
    <w:rsid w:val="7A730A7C"/>
    <w:rsid w:val="7A8718A7"/>
    <w:rsid w:val="7A9058E9"/>
    <w:rsid w:val="7AA74DCC"/>
    <w:rsid w:val="7AB874D3"/>
    <w:rsid w:val="7ABD59E5"/>
    <w:rsid w:val="7AC208AB"/>
    <w:rsid w:val="7AD57572"/>
    <w:rsid w:val="7AEC23EF"/>
    <w:rsid w:val="7B074BD9"/>
    <w:rsid w:val="7B0B276E"/>
    <w:rsid w:val="7B0D5D57"/>
    <w:rsid w:val="7B1B75B1"/>
    <w:rsid w:val="7B4547B2"/>
    <w:rsid w:val="7B4A3049"/>
    <w:rsid w:val="7B537186"/>
    <w:rsid w:val="7B605DDE"/>
    <w:rsid w:val="7B652CCA"/>
    <w:rsid w:val="7B752A66"/>
    <w:rsid w:val="7B773337"/>
    <w:rsid w:val="7B7B66DC"/>
    <w:rsid w:val="7B8958EB"/>
    <w:rsid w:val="7B901FF8"/>
    <w:rsid w:val="7BB454FD"/>
    <w:rsid w:val="7BD30691"/>
    <w:rsid w:val="7BFC2F20"/>
    <w:rsid w:val="7C330859"/>
    <w:rsid w:val="7C425523"/>
    <w:rsid w:val="7C480B6D"/>
    <w:rsid w:val="7C480CB4"/>
    <w:rsid w:val="7C4901BE"/>
    <w:rsid w:val="7C505E0E"/>
    <w:rsid w:val="7C6F5DE5"/>
    <w:rsid w:val="7C7F193B"/>
    <w:rsid w:val="7C8D7C29"/>
    <w:rsid w:val="7C920181"/>
    <w:rsid w:val="7C961A20"/>
    <w:rsid w:val="7C98412F"/>
    <w:rsid w:val="7CA5399E"/>
    <w:rsid w:val="7CB202CF"/>
    <w:rsid w:val="7CB542DB"/>
    <w:rsid w:val="7CC06A6C"/>
    <w:rsid w:val="7CD82038"/>
    <w:rsid w:val="7CE81B50"/>
    <w:rsid w:val="7CF16265"/>
    <w:rsid w:val="7CFD6567"/>
    <w:rsid w:val="7D042897"/>
    <w:rsid w:val="7D052502"/>
    <w:rsid w:val="7D2453C6"/>
    <w:rsid w:val="7D3A2E8A"/>
    <w:rsid w:val="7D3E5797"/>
    <w:rsid w:val="7D41287B"/>
    <w:rsid w:val="7D5D2479"/>
    <w:rsid w:val="7D5F1145"/>
    <w:rsid w:val="7D6155A6"/>
    <w:rsid w:val="7D662523"/>
    <w:rsid w:val="7D6836F8"/>
    <w:rsid w:val="7D6E7027"/>
    <w:rsid w:val="7D7134E6"/>
    <w:rsid w:val="7D744704"/>
    <w:rsid w:val="7D747B63"/>
    <w:rsid w:val="7D7578C1"/>
    <w:rsid w:val="7D98166C"/>
    <w:rsid w:val="7D9971F5"/>
    <w:rsid w:val="7DB56669"/>
    <w:rsid w:val="7DCD663C"/>
    <w:rsid w:val="7DE67BD0"/>
    <w:rsid w:val="7DFD32EC"/>
    <w:rsid w:val="7E0367D3"/>
    <w:rsid w:val="7E0F61B9"/>
    <w:rsid w:val="7E2E3480"/>
    <w:rsid w:val="7E456AC6"/>
    <w:rsid w:val="7E4D115D"/>
    <w:rsid w:val="7E4E3093"/>
    <w:rsid w:val="7E57171C"/>
    <w:rsid w:val="7E5D0E85"/>
    <w:rsid w:val="7E7336B3"/>
    <w:rsid w:val="7E787AF6"/>
    <w:rsid w:val="7E8603C0"/>
    <w:rsid w:val="7E8D6062"/>
    <w:rsid w:val="7E984846"/>
    <w:rsid w:val="7EA877E8"/>
    <w:rsid w:val="7EAC24A1"/>
    <w:rsid w:val="7EBD3672"/>
    <w:rsid w:val="7EBF15AF"/>
    <w:rsid w:val="7EC46D62"/>
    <w:rsid w:val="7ECC004E"/>
    <w:rsid w:val="7EEB606A"/>
    <w:rsid w:val="7EED7C04"/>
    <w:rsid w:val="7EF23159"/>
    <w:rsid w:val="7EF74757"/>
    <w:rsid w:val="7EFB35DB"/>
    <w:rsid w:val="7F2330D5"/>
    <w:rsid w:val="7F2B6068"/>
    <w:rsid w:val="7F2E68B6"/>
    <w:rsid w:val="7F4E6E32"/>
    <w:rsid w:val="7F585D96"/>
    <w:rsid w:val="7F590AE3"/>
    <w:rsid w:val="7F5C7915"/>
    <w:rsid w:val="7F665903"/>
    <w:rsid w:val="7F802603"/>
    <w:rsid w:val="7F844902"/>
    <w:rsid w:val="7F8A5140"/>
    <w:rsid w:val="7F912972"/>
    <w:rsid w:val="7FA17FB4"/>
    <w:rsid w:val="7FDFC6BC"/>
    <w:rsid w:val="7FFF3276"/>
    <w:rsid w:val="F3E7731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49"/>
    <w:qFormat/>
    <w:uiPriority w:val="0"/>
    <w:pPr>
      <w:autoSpaceDE w:val="0"/>
      <w:autoSpaceDN w:val="0"/>
      <w:adjustRightInd w:val="0"/>
      <w:jc w:val="left"/>
      <w:outlineLvl w:val="0"/>
    </w:pPr>
    <w:rPr>
      <w:kern w:val="0"/>
      <w:sz w:val="30"/>
    </w:rPr>
  </w:style>
  <w:style w:type="paragraph" w:styleId="5">
    <w:name w:val="heading 2"/>
    <w:basedOn w:val="1"/>
    <w:next w:val="1"/>
    <w:link w:val="50"/>
    <w:qFormat/>
    <w:uiPriority w:val="0"/>
    <w:pPr>
      <w:autoSpaceDE w:val="0"/>
      <w:autoSpaceDN w:val="0"/>
      <w:adjustRightInd w:val="0"/>
      <w:jc w:val="left"/>
      <w:outlineLvl w:val="1"/>
    </w:pPr>
    <w:rPr>
      <w:kern w:val="0"/>
      <w:sz w:val="20"/>
    </w:rPr>
  </w:style>
  <w:style w:type="paragraph" w:styleId="6">
    <w:name w:val="heading 3"/>
    <w:basedOn w:val="7"/>
    <w:next w:val="7"/>
    <w:qFormat/>
    <w:uiPriority w:val="0"/>
    <w:pPr>
      <w:keepNext/>
      <w:keepLines/>
      <w:spacing w:before="120" w:beforeLines="0" w:after="120" w:afterLines="0"/>
      <w:outlineLvl w:val="2"/>
    </w:pPr>
    <w:rPr>
      <w:b/>
      <w:kern w:val="2"/>
      <w:sz w:val="24"/>
    </w:rPr>
  </w:style>
  <w:style w:type="paragraph" w:styleId="8">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eastAsia="宋体" w:cs="Times New Roman"/>
      <w:sz w:val="24"/>
    </w:rPr>
  </w:style>
  <w:style w:type="paragraph" w:styleId="9">
    <w:name w:val="heading 8"/>
    <w:basedOn w:val="1"/>
    <w:next w:val="1"/>
    <w:qFormat/>
    <w:uiPriority w:val="0"/>
    <w:pPr>
      <w:keepNext/>
      <w:keepLines/>
      <w:spacing w:before="240" w:beforeLines="0" w:after="64" w:afterLines="0" w:line="320" w:lineRule="auto"/>
      <w:outlineLvl w:val="7"/>
    </w:pPr>
    <w:rPr>
      <w:rFonts w:ascii="Arial" w:hAnsi="Arial" w:eastAsia="黑体"/>
      <w:sz w:val="24"/>
      <w:szCs w:val="24"/>
    </w:rPr>
  </w:style>
  <w:style w:type="paragraph" w:styleId="10">
    <w:name w:val="heading 9"/>
    <w:basedOn w:val="1"/>
    <w:next w:val="1"/>
    <w:qFormat/>
    <w:uiPriority w:val="0"/>
    <w:pPr>
      <w:keepNext/>
      <w:keepLines/>
      <w:spacing w:before="240" w:beforeLines="0" w:after="64" w:afterLines="0" w:line="320" w:lineRule="auto"/>
      <w:outlineLvl w:val="8"/>
    </w:pPr>
    <w:rPr>
      <w:rFonts w:ascii="Cambria" w:hAnsi="Cambria"/>
      <w:szCs w:val="21"/>
    </w:rPr>
  </w:style>
  <w:style w:type="character" w:default="1" w:styleId="35">
    <w:name w:val="Default Paragraph Font"/>
    <w:qFormat/>
    <w:uiPriority w:val="0"/>
    <w:rPr>
      <w:rFonts w:ascii="Tahoma" w:hAnsi="Tahoma"/>
      <w:szCs w:val="24"/>
    </w:rPr>
  </w:style>
  <w:style w:type="table" w:default="1" w:styleId="33">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rPr>
  </w:style>
  <w:style w:type="paragraph" w:styleId="3">
    <w:name w:val="Body Text"/>
    <w:basedOn w:val="1"/>
    <w:qFormat/>
    <w:uiPriority w:val="0"/>
    <w:pPr>
      <w:spacing w:after="120" w:afterLines="0" w:afterAutospacing="0"/>
    </w:pPr>
  </w:style>
  <w:style w:type="paragraph" w:styleId="7">
    <w:name w:val="Normal Indent"/>
    <w:basedOn w:val="1"/>
    <w:qFormat/>
    <w:uiPriority w:val="0"/>
    <w:pPr>
      <w:widowControl/>
      <w:ind w:firstLine="420"/>
      <w:jc w:val="left"/>
    </w:pPr>
    <w:rPr>
      <w:kern w:val="0"/>
      <w:sz w:val="20"/>
    </w:rPr>
  </w:style>
  <w:style w:type="paragraph" w:styleId="11">
    <w:name w:val="Document Map"/>
    <w:basedOn w:val="1"/>
    <w:link w:val="51"/>
    <w:qFormat/>
    <w:uiPriority w:val="0"/>
    <w:pPr>
      <w:shd w:val="clear" w:color="auto" w:fill="000080"/>
    </w:pPr>
  </w:style>
  <w:style w:type="paragraph" w:styleId="12">
    <w:name w:val="annotation text"/>
    <w:basedOn w:val="1"/>
    <w:link w:val="52"/>
    <w:qFormat/>
    <w:uiPriority w:val="0"/>
    <w:pPr>
      <w:jc w:val="left"/>
    </w:pPr>
  </w:style>
  <w:style w:type="paragraph" w:styleId="13">
    <w:name w:val="Salutation"/>
    <w:basedOn w:val="1"/>
    <w:next w:val="1"/>
    <w:qFormat/>
    <w:uiPriority w:val="0"/>
  </w:style>
  <w:style w:type="paragraph" w:styleId="14">
    <w:name w:val="Body Text Indent"/>
    <w:basedOn w:val="1"/>
    <w:next w:val="15"/>
    <w:qFormat/>
    <w:uiPriority w:val="0"/>
    <w:pPr>
      <w:ind w:firstLine="560" w:firstLineChars="200"/>
    </w:pPr>
  </w:style>
  <w:style w:type="paragraph" w:styleId="15">
    <w:name w:val="envelope return"/>
    <w:basedOn w:val="1"/>
    <w:qFormat/>
    <w:uiPriority w:val="0"/>
    <w:pPr>
      <w:snapToGrid w:val="0"/>
    </w:pPr>
    <w:rPr>
      <w:rFonts w:ascii="Arial" w:hAnsi="Arial"/>
    </w:rPr>
  </w:style>
  <w:style w:type="paragraph" w:styleId="16">
    <w:name w:val="toc 3"/>
    <w:basedOn w:val="1"/>
    <w:next w:val="1"/>
    <w:qFormat/>
    <w:uiPriority w:val="39"/>
    <w:pPr>
      <w:ind w:left="840" w:leftChars="400"/>
    </w:pPr>
  </w:style>
  <w:style w:type="paragraph" w:styleId="17">
    <w:name w:val="Plain Text"/>
    <w:basedOn w:val="1"/>
    <w:unhideWhenUsed/>
    <w:qFormat/>
    <w:uiPriority w:val="0"/>
    <w:rPr>
      <w:rFonts w:hint="eastAsia" w:hAnsi="Courier New" w:eastAsia="Times New Roman"/>
      <w:sz w:val="21"/>
    </w:rPr>
  </w:style>
  <w:style w:type="paragraph" w:styleId="18">
    <w:name w:val="Date"/>
    <w:basedOn w:val="1"/>
    <w:next w:val="1"/>
    <w:link w:val="53"/>
    <w:qFormat/>
    <w:uiPriority w:val="0"/>
    <w:pPr>
      <w:ind w:left="100" w:leftChars="2500"/>
    </w:pPr>
  </w:style>
  <w:style w:type="paragraph" w:styleId="19">
    <w:name w:val="Body Text Indent 2"/>
    <w:basedOn w:val="1"/>
    <w:qFormat/>
    <w:uiPriority w:val="0"/>
    <w:pPr>
      <w:spacing w:line="480" w:lineRule="auto"/>
      <w:ind w:firstLine="561"/>
    </w:pPr>
    <w:rPr>
      <w:rFonts w:ascii="宋体"/>
    </w:rPr>
  </w:style>
  <w:style w:type="paragraph" w:styleId="20">
    <w:name w:val="endnote text"/>
    <w:basedOn w:val="1"/>
    <w:qFormat/>
    <w:uiPriority w:val="0"/>
    <w:pPr>
      <w:snapToGrid w:val="0"/>
      <w:jc w:val="left"/>
    </w:pPr>
  </w:style>
  <w:style w:type="paragraph" w:styleId="21">
    <w:name w:val="Balloon Text"/>
    <w:basedOn w:val="1"/>
    <w:link w:val="54"/>
    <w:qFormat/>
    <w:uiPriority w:val="0"/>
    <w:rPr>
      <w:sz w:val="18"/>
      <w:szCs w:val="18"/>
    </w:rPr>
  </w:style>
  <w:style w:type="paragraph" w:styleId="22">
    <w:name w:val="footer"/>
    <w:basedOn w:val="1"/>
    <w:qFormat/>
    <w:uiPriority w:val="0"/>
    <w:pPr>
      <w:tabs>
        <w:tab w:val="center" w:pos="4153"/>
        <w:tab w:val="right" w:pos="8306"/>
      </w:tabs>
      <w:snapToGrid w:val="0"/>
      <w:jc w:val="left"/>
    </w:pPr>
    <w:rPr>
      <w:sz w:val="18"/>
    </w:rPr>
  </w:style>
  <w:style w:type="paragraph" w:styleId="2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24">
    <w:name w:val="toc 1"/>
    <w:basedOn w:val="1"/>
    <w:next w:val="1"/>
    <w:qFormat/>
    <w:uiPriority w:val="39"/>
  </w:style>
  <w:style w:type="paragraph" w:styleId="25">
    <w:name w:val="List"/>
    <w:basedOn w:val="1"/>
    <w:unhideWhenUsed/>
    <w:qFormat/>
    <w:uiPriority w:val="99"/>
    <w:pPr>
      <w:ind w:left="200" w:hanging="200" w:hangingChars="200"/>
      <w:contextualSpacing/>
    </w:pPr>
  </w:style>
  <w:style w:type="paragraph" w:styleId="26">
    <w:name w:val="toc 2"/>
    <w:basedOn w:val="1"/>
    <w:next w:val="1"/>
    <w:qFormat/>
    <w:uiPriority w:val="39"/>
    <w:pPr>
      <w:ind w:left="420" w:leftChars="200"/>
    </w:pPr>
  </w:style>
  <w:style w:type="paragraph" w:styleId="27">
    <w:name w:val="Body Text 2"/>
    <w:basedOn w:val="1"/>
    <w:next w:val="3"/>
    <w:qFormat/>
    <w:uiPriority w:val="0"/>
    <w:pPr>
      <w:spacing w:line="500" w:lineRule="exact"/>
    </w:pPr>
    <w:rPr>
      <w:rFonts w:ascii="宋体"/>
      <w:sz w:val="24"/>
    </w:rPr>
  </w:style>
  <w:style w:type="paragraph" w:styleId="2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9">
    <w:name w:val="Normal (Web)"/>
    <w:basedOn w:val="1"/>
    <w:qFormat/>
    <w:uiPriority w:val="0"/>
    <w:pPr>
      <w:widowControl/>
      <w:spacing w:before="100" w:beforeLines="0" w:beforeAutospacing="1" w:after="100" w:afterLines="0" w:afterAutospacing="1" w:line="240" w:lineRule="auto"/>
      <w:jc w:val="left"/>
    </w:pPr>
    <w:rPr>
      <w:rFonts w:hAnsi="宋体" w:cs="宋体"/>
      <w:color w:val="000000"/>
      <w:kern w:val="0"/>
      <w:szCs w:val="24"/>
    </w:rPr>
  </w:style>
  <w:style w:type="paragraph" w:styleId="30">
    <w:name w:val="annotation subject"/>
    <w:basedOn w:val="12"/>
    <w:next w:val="12"/>
    <w:link w:val="55"/>
    <w:qFormat/>
    <w:uiPriority w:val="0"/>
    <w:rPr>
      <w:b/>
      <w:bCs/>
    </w:rPr>
  </w:style>
  <w:style w:type="paragraph" w:styleId="31">
    <w:name w:val="Body Text First Indent 2"/>
    <w:basedOn w:val="14"/>
    <w:next w:val="32"/>
    <w:qFormat/>
    <w:uiPriority w:val="0"/>
    <w:pPr>
      <w:ind w:firstLine="420" w:firstLineChars="200"/>
    </w:pPr>
    <w:rPr>
      <w:rFonts w:ascii="宋体" w:hAnsi="宋体"/>
      <w:spacing w:val="-20"/>
      <w:kern w:val="21"/>
      <w:sz w:val="28"/>
    </w:rPr>
  </w:style>
  <w:style w:type="paragraph" w:customStyle="1" w:styleId="32">
    <w:name w:val="章标题"/>
    <w:next w:val="1"/>
    <w:qFormat/>
    <w:uiPriority w:val="0"/>
    <w:pPr>
      <w:spacing w:before="50" w:after="50"/>
      <w:jc w:val="both"/>
      <w:outlineLvl w:val="1"/>
    </w:pPr>
    <w:rPr>
      <w:rFonts w:ascii="黑体" w:hAnsi="Calibri" w:eastAsia="黑体" w:cs="Times New Roman"/>
      <w:sz w:val="21"/>
      <w:lang w:val="en-US" w:eastAsia="zh-CN" w:bidi="ar-SA"/>
    </w:rPr>
  </w:style>
  <w:style w:type="table" w:styleId="34">
    <w:name w:val="Table Grid"/>
    <w:basedOn w:val="3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basedOn w:val="35"/>
    <w:qFormat/>
    <w:uiPriority w:val="0"/>
    <w:rPr>
      <w:b/>
    </w:rPr>
  </w:style>
  <w:style w:type="character" w:styleId="37">
    <w:name w:val="endnote reference"/>
    <w:qFormat/>
    <w:uiPriority w:val="0"/>
    <w:rPr>
      <w:vertAlign w:val="superscript"/>
    </w:rPr>
  </w:style>
  <w:style w:type="character" w:styleId="38">
    <w:name w:val="page number"/>
    <w:qFormat/>
    <w:uiPriority w:val="0"/>
  </w:style>
  <w:style w:type="character" w:styleId="39">
    <w:name w:val="FollowedHyperlink"/>
    <w:qFormat/>
    <w:uiPriority w:val="0"/>
    <w:rPr>
      <w:color w:val="000000"/>
      <w:u w:val="none"/>
    </w:rPr>
  </w:style>
  <w:style w:type="character" w:styleId="40">
    <w:name w:val="Emphasis"/>
    <w:basedOn w:val="35"/>
    <w:qFormat/>
    <w:uiPriority w:val="0"/>
  </w:style>
  <w:style w:type="character" w:styleId="41">
    <w:name w:val="HTML Definition"/>
    <w:qFormat/>
    <w:uiPriority w:val="0"/>
  </w:style>
  <w:style w:type="character" w:styleId="42">
    <w:name w:val="HTML Variable"/>
    <w:qFormat/>
    <w:uiPriority w:val="0"/>
  </w:style>
  <w:style w:type="character" w:styleId="43">
    <w:name w:val="Hyperlink"/>
    <w:qFormat/>
    <w:uiPriority w:val="99"/>
    <w:rPr>
      <w:color w:val="000000"/>
      <w:u w:val="none"/>
    </w:rPr>
  </w:style>
  <w:style w:type="character" w:styleId="44">
    <w:name w:val="HTML Code"/>
    <w:qFormat/>
    <w:uiPriority w:val="0"/>
    <w:rPr>
      <w:rFonts w:hint="default" w:ascii="Arial" w:hAnsi="Arial" w:cs="Arial"/>
      <w:sz w:val="20"/>
    </w:rPr>
  </w:style>
  <w:style w:type="character" w:styleId="45">
    <w:name w:val="annotation reference"/>
    <w:qFormat/>
    <w:uiPriority w:val="0"/>
    <w:rPr>
      <w:sz w:val="21"/>
      <w:szCs w:val="21"/>
    </w:rPr>
  </w:style>
  <w:style w:type="character" w:styleId="46">
    <w:name w:val="HTML Cite"/>
    <w:qFormat/>
    <w:uiPriority w:val="0"/>
  </w:style>
  <w:style w:type="character" w:styleId="47">
    <w:name w:val="HTML Keyboard"/>
    <w:qFormat/>
    <w:uiPriority w:val="0"/>
    <w:rPr>
      <w:rFonts w:hint="eastAsia" w:ascii="Arial" w:hAnsi="Arial" w:cs="Arial"/>
      <w:sz w:val="20"/>
    </w:rPr>
  </w:style>
  <w:style w:type="character" w:styleId="48">
    <w:name w:val="HTML Sample"/>
    <w:qFormat/>
    <w:uiPriority w:val="0"/>
    <w:rPr>
      <w:rFonts w:hint="default" w:ascii="Arial" w:hAnsi="Arial" w:cs="Arial"/>
    </w:rPr>
  </w:style>
  <w:style w:type="character" w:customStyle="1" w:styleId="49">
    <w:name w:val="标题 1 字符"/>
    <w:link w:val="4"/>
    <w:qFormat/>
    <w:uiPriority w:val="0"/>
    <w:rPr>
      <w:kern w:val="0"/>
      <w:sz w:val="30"/>
    </w:rPr>
  </w:style>
  <w:style w:type="character" w:customStyle="1" w:styleId="50">
    <w:name w:val="标题 2 字符"/>
    <w:link w:val="5"/>
    <w:qFormat/>
    <w:uiPriority w:val="0"/>
    <w:rPr>
      <w:kern w:val="0"/>
    </w:rPr>
  </w:style>
  <w:style w:type="character" w:customStyle="1" w:styleId="51">
    <w:name w:val="文档结构图 字符"/>
    <w:link w:val="11"/>
    <w:qFormat/>
    <w:uiPriority w:val="0"/>
    <w:rPr>
      <w:kern w:val="2"/>
      <w:sz w:val="21"/>
      <w:shd w:val="clear" w:color="auto" w:fill="000080"/>
    </w:rPr>
  </w:style>
  <w:style w:type="character" w:customStyle="1" w:styleId="52">
    <w:name w:val="批注文字 字符"/>
    <w:link w:val="12"/>
    <w:qFormat/>
    <w:uiPriority w:val="0"/>
    <w:rPr>
      <w:kern w:val="2"/>
      <w:sz w:val="21"/>
    </w:rPr>
  </w:style>
  <w:style w:type="character" w:customStyle="1" w:styleId="53">
    <w:name w:val="日期 字符"/>
    <w:link w:val="18"/>
    <w:qFormat/>
    <w:uiPriority w:val="0"/>
    <w:rPr>
      <w:kern w:val="2"/>
      <w:sz w:val="21"/>
    </w:rPr>
  </w:style>
  <w:style w:type="character" w:customStyle="1" w:styleId="54">
    <w:name w:val="批注框文本 字符"/>
    <w:link w:val="21"/>
    <w:qFormat/>
    <w:uiPriority w:val="0"/>
    <w:rPr>
      <w:kern w:val="2"/>
      <w:sz w:val="18"/>
      <w:szCs w:val="18"/>
    </w:rPr>
  </w:style>
  <w:style w:type="character" w:customStyle="1" w:styleId="55">
    <w:name w:val="批注主题 字符"/>
    <w:link w:val="30"/>
    <w:qFormat/>
    <w:uiPriority w:val="0"/>
    <w:rPr>
      <w:b/>
      <w:bCs/>
      <w:kern w:val="2"/>
      <w:sz w:val="21"/>
    </w:rPr>
  </w:style>
  <w:style w:type="paragraph" w:customStyle="1" w:styleId="56">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character" w:customStyle="1" w:styleId="57">
    <w:name w:val="页码 New New New New New New New New New New New"/>
    <w:qFormat/>
    <w:uiPriority w:val="0"/>
  </w:style>
  <w:style w:type="character" w:customStyle="1" w:styleId="58">
    <w:name w:val="font51"/>
    <w:qFormat/>
    <w:uiPriority w:val="0"/>
    <w:rPr>
      <w:rFonts w:hint="eastAsia" w:ascii="宋体" w:hAnsi="宋体" w:eastAsia="宋体" w:cs="宋体"/>
      <w:color w:val="000000"/>
      <w:sz w:val="24"/>
      <w:szCs w:val="24"/>
      <w:u w:val="none"/>
    </w:rPr>
  </w:style>
  <w:style w:type="character" w:customStyle="1" w:styleId="59">
    <w:name w:val="页码 New New New New New New New New New"/>
    <w:qFormat/>
    <w:uiPriority w:val="0"/>
  </w:style>
  <w:style w:type="character" w:customStyle="1" w:styleId="60">
    <w:name w:val="页码 New New"/>
    <w:qFormat/>
    <w:uiPriority w:val="0"/>
  </w:style>
  <w:style w:type="character" w:customStyle="1" w:styleId="61">
    <w:name w:val="页码 New New New New New New New New New New"/>
    <w:qFormat/>
    <w:uiPriority w:val="0"/>
  </w:style>
  <w:style w:type="character" w:customStyle="1" w:styleId="62">
    <w:name w:val="页码 New New New New New New New"/>
    <w:qFormat/>
    <w:uiPriority w:val="0"/>
  </w:style>
  <w:style w:type="character" w:customStyle="1" w:styleId="63">
    <w:name w:val="页码 New New New New"/>
    <w:qFormat/>
    <w:uiPriority w:val="0"/>
  </w:style>
  <w:style w:type="character" w:customStyle="1" w:styleId="64">
    <w:name w:val="NormalCharacter"/>
    <w:semiHidden/>
    <w:qFormat/>
    <w:uiPriority w:val="0"/>
    <w:rPr>
      <w:rFonts w:ascii="宋体"/>
      <w:kern w:val="2"/>
      <w:sz w:val="24"/>
      <w:lang w:val="en-US" w:eastAsia="zh-CN" w:bidi="ar-SA"/>
    </w:rPr>
  </w:style>
  <w:style w:type="character" w:customStyle="1" w:styleId="65">
    <w:name w:val="正文文本 (2) + 间距 0 pt3"/>
    <w:qFormat/>
    <w:uiPriority w:val="99"/>
    <w:rPr>
      <w:rFonts w:ascii="MingLiU" w:eastAsia="MingLiU" w:cs="MingLiU"/>
      <w:spacing w:val="0"/>
      <w:sz w:val="22"/>
      <w:szCs w:val="22"/>
      <w:u w:val="none"/>
    </w:rPr>
  </w:style>
  <w:style w:type="character" w:customStyle="1" w:styleId="66">
    <w:name w:val="font21"/>
    <w:qFormat/>
    <w:uiPriority w:val="0"/>
    <w:rPr>
      <w:rFonts w:ascii="Calibri" w:hAnsi="Calibri" w:cs="Calibri"/>
      <w:color w:val="000000"/>
      <w:sz w:val="24"/>
      <w:szCs w:val="24"/>
      <w:u w:val="none"/>
    </w:rPr>
  </w:style>
  <w:style w:type="character" w:customStyle="1" w:styleId="67">
    <w:name w:val="页码 New New New"/>
    <w:qFormat/>
    <w:uiPriority w:val="0"/>
  </w:style>
  <w:style w:type="character" w:customStyle="1" w:styleId="68">
    <w:name w:val="font41"/>
    <w:qFormat/>
    <w:uiPriority w:val="0"/>
    <w:rPr>
      <w:rFonts w:hint="eastAsia" w:ascii="宋体" w:hAnsi="宋体" w:eastAsia="宋体" w:cs="宋体"/>
      <w:color w:val="000000"/>
      <w:sz w:val="24"/>
      <w:szCs w:val="24"/>
      <w:u w:val="none"/>
    </w:rPr>
  </w:style>
  <w:style w:type="character" w:customStyle="1" w:styleId="69">
    <w:name w:val="font11"/>
    <w:qFormat/>
    <w:uiPriority w:val="0"/>
    <w:rPr>
      <w:rFonts w:ascii="����" w:hAnsi="����" w:eastAsia="����" w:cs="����"/>
      <w:color w:val="000000"/>
      <w:sz w:val="24"/>
      <w:szCs w:val="24"/>
      <w:u w:val="none"/>
    </w:rPr>
  </w:style>
  <w:style w:type="character" w:customStyle="1" w:styleId="70">
    <w:name w:val="超链接 New New"/>
    <w:qFormat/>
    <w:uiPriority w:val="0"/>
    <w:rPr>
      <w:color w:val="000000"/>
      <w:sz w:val="18"/>
      <w:szCs w:val="18"/>
      <w:u w:val="none"/>
    </w:rPr>
  </w:style>
  <w:style w:type="character" w:customStyle="1" w:styleId="71">
    <w:name w:val="页码 New New New New New New New New"/>
    <w:qFormat/>
    <w:uiPriority w:val="0"/>
  </w:style>
  <w:style w:type="character" w:customStyle="1" w:styleId="72">
    <w:name w:val="超链接 New"/>
    <w:qFormat/>
    <w:uiPriority w:val="0"/>
    <w:rPr>
      <w:color w:val="0000FF"/>
      <w:u w:val="single"/>
    </w:rPr>
  </w:style>
  <w:style w:type="character" w:customStyle="1" w:styleId="73">
    <w:name w:val="页码 New New New New New New"/>
    <w:qFormat/>
    <w:uiPriority w:val="0"/>
  </w:style>
  <w:style w:type="character" w:customStyle="1" w:styleId="74">
    <w:name w:val="fontstyle01"/>
    <w:qFormat/>
    <w:uiPriority w:val="99"/>
    <w:rPr>
      <w:rFonts w:ascii="宋体" w:hAnsi="宋体" w:eastAsia="宋体" w:cs="Times New Roman"/>
      <w:color w:val="000000"/>
      <w:sz w:val="22"/>
      <w:szCs w:val="22"/>
    </w:rPr>
  </w:style>
  <w:style w:type="character" w:customStyle="1" w:styleId="75">
    <w:name w:val="页码 New New New New New New New New New New New New"/>
    <w:qFormat/>
    <w:uiPriority w:val="0"/>
  </w:style>
  <w:style w:type="character" w:customStyle="1" w:styleId="76">
    <w:name w:val="hover35"/>
    <w:qFormat/>
    <w:uiPriority w:val="0"/>
  </w:style>
  <w:style w:type="character" w:customStyle="1" w:styleId="77">
    <w:name w:val="页码 New"/>
    <w:qFormat/>
    <w:uiPriority w:val="0"/>
  </w:style>
  <w:style w:type="character" w:customStyle="1" w:styleId="78">
    <w:name w:val="正文文本缩进 2 New Char Char"/>
    <w:link w:val="79"/>
    <w:qFormat/>
    <w:uiPriority w:val="0"/>
    <w:rPr>
      <w:rFonts w:ascii="宋体"/>
    </w:rPr>
  </w:style>
  <w:style w:type="paragraph" w:customStyle="1" w:styleId="79">
    <w:name w:val="正文文本缩进 2 New"/>
    <w:basedOn w:val="80"/>
    <w:link w:val="78"/>
    <w:qFormat/>
    <w:uiPriority w:val="0"/>
    <w:pPr>
      <w:spacing w:line="480" w:lineRule="auto"/>
      <w:ind w:firstLine="561"/>
    </w:pPr>
    <w:rPr>
      <w:kern w:val="0"/>
      <w:sz w:val="20"/>
    </w:rPr>
  </w:style>
  <w:style w:type="paragraph" w:customStyle="1" w:styleId="80">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81">
    <w:name w:val="标题 2 New New Char Char"/>
    <w:link w:val="82"/>
    <w:qFormat/>
    <w:uiPriority w:val="0"/>
    <w:rPr>
      <w:kern w:val="0"/>
      <w:sz w:val="24"/>
    </w:rPr>
  </w:style>
  <w:style w:type="paragraph" w:customStyle="1" w:styleId="82">
    <w:name w:val="标题 2 New New"/>
    <w:basedOn w:val="80"/>
    <w:next w:val="80"/>
    <w:link w:val="81"/>
    <w:qFormat/>
    <w:uiPriority w:val="0"/>
    <w:pPr>
      <w:autoSpaceDE w:val="0"/>
      <w:autoSpaceDN w:val="0"/>
      <w:adjustRightInd w:val="0"/>
      <w:jc w:val="left"/>
      <w:outlineLvl w:val="1"/>
    </w:pPr>
    <w:rPr>
      <w:rFonts w:ascii="Times New Roman"/>
      <w:kern w:val="0"/>
    </w:rPr>
  </w:style>
  <w:style w:type="character" w:customStyle="1" w:styleId="83">
    <w:name w:val="页码 New New New New New"/>
    <w:qFormat/>
    <w:uiPriority w:val="0"/>
  </w:style>
  <w:style w:type="paragraph" w:customStyle="1" w:styleId="84">
    <w:name w:val="正文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5">
    <w:name w:val="文档结构图 New"/>
    <w:basedOn w:val="80"/>
    <w:qFormat/>
    <w:uiPriority w:val="0"/>
    <w:pPr>
      <w:shd w:val="clear" w:color="auto" w:fill="000080"/>
    </w:pPr>
  </w:style>
  <w:style w:type="paragraph" w:customStyle="1" w:styleId="86">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7">
    <w:name w:val="正文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文本缩进 New New New New New New New"/>
    <w:basedOn w:val="89"/>
    <w:qFormat/>
    <w:uiPriority w:val="0"/>
    <w:pPr>
      <w:spacing w:after="120" w:afterLines="0"/>
      <w:ind w:left="420" w:leftChars="200"/>
    </w:pPr>
    <w:rPr>
      <w:rFonts w:eastAsia="宋体"/>
      <w:szCs w:val="24"/>
      <w:lang w:bidi="ar-SA"/>
    </w:rPr>
  </w:style>
  <w:style w:type="paragraph" w:customStyle="1" w:styleId="89">
    <w:name w:val="正文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0">
    <w:name w:val="正文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1">
    <w:name w:val="正文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2">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3">
    <w:name w:val="页眉 New"/>
    <w:basedOn w:val="94"/>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9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
    <w:name w:val="正文缩进 New New"/>
    <w:basedOn w:val="91"/>
    <w:qFormat/>
    <w:uiPriority w:val="0"/>
    <w:pPr>
      <w:widowControl/>
      <w:ind w:firstLine="420"/>
      <w:jc w:val="left"/>
    </w:pPr>
    <w:rPr>
      <w:rFonts w:ascii="宋体" w:eastAsia="宋体"/>
      <w:lang w:val="en-US" w:eastAsia="zh-CN" w:bidi="ar-SA"/>
    </w:rPr>
  </w:style>
  <w:style w:type="paragraph" w:customStyle="1" w:styleId="96">
    <w:name w:val="正文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7">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8">
    <w:name w:val="索引 1 New"/>
    <w:basedOn w:val="1"/>
    <w:next w:val="1"/>
    <w:qFormat/>
    <w:uiPriority w:val="0"/>
  </w:style>
  <w:style w:type="paragraph" w:customStyle="1" w:styleId="99">
    <w:name w:val="页脚 New New New New New New New New New New New New New New New New New New New New New"/>
    <w:basedOn w:val="100"/>
    <w:qFormat/>
    <w:uiPriority w:val="0"/>
    <w:pPr>
      <w:widowControl/>
      <w:tabs>
        <w:tab w:val="center" w:pos="4153"/>
        <w:tab w:val="right" w:pos="8306"/>
      </w:tabs>
      <w:snapToGrid w:val="0"/>
      <w:jc w:val="left"/>
    </w:pPr>
    <w:rPr>
      <w:kern w:val="0"/>
      <w:sz w:val="18"/>
    </w:rPr>
  </w:style>
  <w:style w:type="paragraph" w:customStyle="1" w:styleId="100">
    <w:name w:val="正文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1">
    <w:name w:val="目录 1 New"/>
    <w:basedOn w:val="80"/>
    <w:next w:val="80"/>
    <w:qFormat/>
    <w:uiPriority w:val="0"/>
    <w:pPr>
      <w:spacing w:before="120" w:beforeLines="0" w:beforeAutospacing="0" w:after="120" w:afterLines="0" w:afterAutospacing="0"/>
      <w:jc w:val="left"/>
    </w:pPr>
    <w:rPr>
      <w:caps/>
      <w:sz w:val="24"/>
    </w:rPr>
  </w:style>
  <w:style w:type="paragraph" w:customStyle="1" w:styleId="102">
    <w:name w:val="正文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3">
    <w:name w:val="正文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4">
    <w:name w:val="正文缩进 New New New New"/>
    <w:basedOn w:val="105"/>
    <w:qFormat/>
    <w:uiPriority w:val="0"/>
    <w:pPr>
      <w:widowControl/>
      <w:ind w:firstLine="420"/>
      <w:jc w:val="left"/>
    </w:pPr>
    <w:rPr>
      <w:rFonts w:ascii="宋体" w:eastAsia="宋体"/>
      <w:lang w:val="en-US" w:eastAsia="zh-CN" w:bidi="ar-SA"/>
    </w:rPr>
  </w:style>
  <w:style w:type="paragraph" w:customStyle="1" w:styleId="105">
    <w:name w:val="正文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6">
    <w:name w:val="页脚 New New New New New New New"/>
    <w:basedOn w:val="84"/>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07">
    <w:name w:val="标题 2 New"/>
    <w:basedOn w:val="94"/>
    <w:qFormat/>
    <w:uiPriority w:val="0"/>
    <w:pPr>
      <w:widowControl/>
      <w:spacing w:before="100" w:beforeLines="0" w:beforeAutospacing="1" w:after="100" w:afterLines="0" w:afterAutospacing="1"/>
      <w:jc w:val="left"/>
      <w:outlineLvl w:val="1"/>
    </w:pPr>
    <w:rPr>
      <w:rFonts w:ascii="宋体" w:hAnsi="宋体" w:cs="宋体"/>
      <w:b/>
      <w:bCs/>
      <w:kern w:val="0"/>
      <w:sz w:val="36"/>
      <w:szCs w:val="36"/>
    </w:rPr>
  </w:style>
  <w:style w:type="paragraph" w:customStyle="1" w:styleId="108">
    <w:name w:val="正文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9">
    <w:name w:val="正文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0">
    <w:name w:val="正文缩进 New New New"/>
    <w:basedOn w:val="111"/>
    <w:qFormat/>
    <w:uiPriority w:val="0"/>
    <w:pPr>
      <w:widowControl/>
      <w:ind w:firstLine="420"/>
      <w:jc w:val="left"/>
    </w:pPr>
    <w:rPr>
      <w:rFonts w:ascii="宋体" w:eastAsia="宋体"/>
      <w:lang w:val="en-US" w:eastAsia="zh-CN" w:bidi="ar-SA"/>
    </w:rPr>
  </w:style>
  <w:style w:type="paragraph" w:customStyle="1" w:styleId="111">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2">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3">
    <w:name w:val="页眉 New New New New"/>
    <w:basedOn w:val="1"/>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14">
    <w:name w:val=" Char Char2"/>
    <w:basedOn w:val="85"/>
    <w:qFormat/>
    <w:uiPriority w:val="0"/>
    <w:pPr>
      <w:spacing w:line="240" w:lineRule="auto"/>
    </w:pPr>
  </w:style>
  <w:style w:type="paragraph" w:customStyle="1" w:styleId="115">
    <w:name w:val="正文文本缩进 New"/>
    <w:basedOn w:val="116"/>
    <w:qFormat/>
    <w:uiPriority w:val="0"/>
    <w:pPr>
      <w:ind w:firstLine="560" w:firstLineChars="200"/>
    </w:pPr>
    <w:rPr>
      <w:rFonts w:ascii="宋体"/>
      <w:kern w:val="2"/>
      <w:sz w:val="24"/>
    </w:rPr>
  </w:style>
  <w:style w:type="paragraph" w:customStyle="1" w:styleId="116">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7">
    <w:name w:val="正文缩进 New"/>
    <w:basedOn w:val="116"/>
    <w:qFormat/>
    <w:uiPriority w:val="0"/>
    <w:pPr>
      <w:widowControl/>
      <w:ind w:firstLine="420"/>
      <w:jc w:val="left"/>
    </w:pPr>
    <w:rPr>
      <w:kern w:val="0"/>
      <w:sz w:val="20"/>
    </w:rPr>
  </w:style>
  <w:style w:type="paragraph" w:customStyle="1" w:styleId="118">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9">
    <w:name w:val="目录 2 New"/>
    <w:basedOn w:val="80"/>
    <w:next w:val="80"/>
    <w:qFormat/>
    <w:uiPriority w:val="0"/>
    <w:pPr>
      <w:ind w:left="278"/>
      <w:jc w:val="left"/>
    </w:pPr>
    <w:rPr>
      <w:smallCaps/>
      <w:sz w:val="24"/>
    </w:rPr>
  </w:style>
  <w:style w:type="paragraph" w:customStyle="1" w:styleId="120">
    <w:name w:val="UserStyle_0"/>
    <w:basedOn w:val="1"/>
    <w:next w:val="1"/>
    <w:qFormat/>
    <w:uiPriority w:val="0"/>
    <w:pPr>
      <w:jc w:val="center"/>
      <w:textAlignment w:val="baseline"/>
    </w:pPr>
    <w:rPr>
      <w:rFonts w:ascii="Times New Roman"/>
      <w:b/>
    </w:rPr>
  </w:style>
  <w:style w:type="paragraph" w:customStyle="1" w:styleId="121">
    <w:name w:val="正文文本缩进 New New New New New New New New"/>
    <w:basedOn w:val="122"/>
    <w:qFormat/>
    <w:uiPriority w:val="0"/>
    <w:pPr>
      <w:spacing w:after="120" w:afterLines="0"/>
      <w:ind w:left="420" w:leftChars="200"/>
    </w:pPr>
    <w:rPr>
      <w:rFonts w:eastAsia="宋体"/>
      <w:szCs w:val="24"/>
      <w:lang w:bidi="ar-SA"/>
    </w:rPr>
  </w:style>
  <w:style w:type="paragraph" w:customStyle="1" w:styleId="122">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3">
    <w:name w:val="文档结构图 New New New New"/>
    <w:basedOn w:val="102"/>
    <w:qFormat/>
    <w:uiPriority w:val="0"/>
    <w:pPr>
      <w:shd w:val="clear" w:color="auto" w:fill="000080"/>
    </w:pPr>
  </w:style>
  <w:style w:type="paragraph" w:customStyle="1" w:styleId="124">
    <w:name w:val="正文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5">
    <w:name w:val="样式 WG标题3 + 行距: 固定值 18 磅"/>
    <w:basedOn w:val="1"/>
    <w:qFormat/>
    <w:uiPriority w:val="0"/>
    <w:pPr>
      <w:autoSpaceDE w:val="0"/>
      <w:autoSpaceDN w:val="0"/>
      <w:adjustRightInd w:val="0"/>
      <w:spacing w:line="360" w:lineRule="exact"/>
      <w:textAlignment w:val="baseline"/>
      <w:outlineLvl w:val="2"/>
    </w:pPr>
    <w:rPr>
      <w:rFonts w:hAnsi="宋体" w:cs="宋体"/>
      <w:b/>
      <w:bCs/>
      <w:color w:val="000000"/>
      <w:kern w:val="20"/>
      <w:sz w:val="21"/>
    </w:rPr>
  </w:style>
  <w:style w:type="paragraph" w:customStyle="1" w:styleId="126">
    <w:name w:val="页脚 New New New New New"/>
    <w:basedOn w:val="1"/>
    <w:qFormat/>
    <w:uiPriority w:val="0"/>
    <w:pPr>
      <w:widowControl/>
      <w:tabs>
        <w:tab w:val="center" w:pos="4153"/>
        <w:tab w:val="right" w:pos="8306"/>
      </w:tabs>
      <w:snapToGrid w:val="0"/>
      <w:jc w:val="left"/>
    </w:pPr>
    <w:rPr>
      <w:rFonts w:ascii="宋体"/>
      <w:sz w:val="18"/>
    </w:rPr>
  </w:style>
  <w:style w:type="paragraph" w:customStyle="1" w:styleId="127">
    <w:name w:val="页脚 New New New New New New New New New New New New New New New New"/>
    <w:basedOn w:val="128"/>
    <w:qFormat/>
    <w:uiPriority w:val="0"/>
    <w:pPr>
      <w:widowControl/>
      <w:tabs>
        <w:tab w:val="center" w:pos="4153"/>
        <w:tab w:val="right" w:pos="8306"/>
      </w:tabs>
      <w:snapToGrid w:val="0"/>
      <w:jc w:val="left"/>
    </w:pPr>
    <w:rPr>
      <w:kern w:val="0"/>
      <w:sz w:val="18"/>
    </w:rPr>
  </w:style>
  <w:style w:type="paragraph" w:customStyle="1" w:styleId="128">
    <w:name w:val="正文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9">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3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31"/>
    <w:qFormat/>
    <w:uiPriority w:val="0"/>
    <w:pPr>
      <w:widowControl w:val="0"/>
      <w:jc w:val="both"/>
    </w:pPr>
    <w:rPr>
      <w:rFonts w:ascii="Calibri" w:hAnsi="Calibri" w:eastAsia="宋体" w:cs="黑体"/>
      <w:kern w:val="2"/>
      <w:sz w:val="21"/>
      <w:szCs w:val="24"/>
      <w:lang w:val="en-US" w:eastAsia="zh-CN" w:bidi="ar-SA"/>
    </w:rPr>
  </w:style>
  <w:style w:type="paragraph" w:customStyle="1" w:styleId="131">
    <w:name w:val="样式 宋体 行距: 1.5 倍行距"/>
    <w:basedOn w:val="130"/>
    <w:qFormat/>
    <w:uiPriority w:val="0"/>
    <w:pPr>
      <w:jc w:val="center"/>
    </w:pPr>
    <w:rPr>
      <w:rFonts w:ascii="Times New Roman" w:hAnsi="Times New Roman"/>
      <w:b/>
    </w:rPr>
  </w:style>
  <w:style w:type="paragraph" w:customStyle="1" w:styleId="13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31"/>
    <w:qFormat/>
    <w:uiPriority w:val="0"/>
    <w:pPr>
      <w:widowControl w:val="0"/>
      <w:jc w:val="both"/>
    </w:pPr>
    <w:rPr>
      <w:rFonts w:ascii="Calibri" w:hAnsi="Calibri" w:eastAsia="宋体" w:cs="黑体"/>
      <w:kern w:val="2"/>
      <w:sz w:val="21"/>
      <w:szCs w:val="24"/>
      <w:lang w:val="en-US" w:eastAsia="zh-CN" w:bidi="ar-SA"/>
    </w:rPr>
  </w:style>
  <w:style w:type="paragraph" w:customStyle="1" w:styleId="133">
    <w:name w:val="页脚 New New New New"/>
    <w:basedOn w:val="1"/>
    <w:qFormat/>
    <w:uiPriority w:val="0"/>
    <w:pPr>
      <w:widowControl/>
      <w:tabs>
        <w:tab w:val="center" w:pos="4153"/>
        <w:tab w:val="right" w:pos="8306"/>
      </w:tabs>
      <w:snapToGrid w:val="0"/>
      <w:jc w:val="left"/>
    </w:pPr>
    <w:rPr>
      <w:rFonts w:ascii="宋体"/>
      <w:sz w:val="18"/>
    </w:rPr>
  </w:style>
  <w:style w:type="paragraph" w:customStyle="1" w:styleId="134">
    <w:name w:val="页脚 New New"/>
    <w:basedOn w:val="1"/>
    <w:qFormat/>
    <w:uiPriority w:val="0"/>
    <w:pPr>
      <w:widowControl/>
      <w:tabs>
        <w:tab w:val="center" w:pos="4153"/>
        <w:tab w:val="right" w:pos="8306"/>
      </w:tabs>
      <w:snapToGrid w:val="0"/>
      <w:jc w:val="left"/>
    </w:pPr>
    <w:rPr>
      <w:rFonts w:ascii="宋体"/>
      <w:sz w:val="18"/>
    </w:rPr>
  </w:style>
  <w:style w:type="paragraph" w:customStyle="1" w:styleId="135">
    <w:name w:val="正文文本缩进 New New New New New New New New New"/>
    <w:basedOn w:val="87"/>
    <w:qFormat/>
    <w:uiPriority w:val="0"/>
    <w:pPr>
      <w:spacing w:after="120" w:afterLines="0"/>
      <w:ind w:left="420" w:leftChars="200"/>
    </w:pPr>
    <w:rPr>
      <w:rFonts w:eastAsia="宋体"/>
      <w:szCs w:val="24"/>
      <w:lang w:bidi="ar-SA"/>
    </w:rPr>
  </w:style>
  <w:style w:type="paragraph" w:customStyle="1" w:styleId="136">
    <w:name w:val="页脚 New New New New New New New New New New New New New New New"/>
    <w:basedOn w:val="137"/>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37">
    <w:name w:val="正文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8">
    <w:name w:val="正文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9">
    <w:name w:val="Body text|221"/>
    <w:basedOn w:val="1"/>
    <w:qFormat/>
    <w:uiPriority w:val="0"/>
    <w:pPr>
      <w:widowControl w:val="0"/>
      <w:shd w:val="clear" w:color="auto" w:fill="FFFFFF"/>
      <w:spacing w:before="700" w:line="396" w:lineRule="exact"/>
      <w:ind w:hanging="860"/>
      <w:jc w:val="distribute"/>
    </w:pPr>
    <w:rPr>
      <w:rFonts w:ascii="PMingLiU" w:hAnsi="PMingLiU" w:eastAsia="PMingLiU" w:cs="PMingLiU"/>
      <w:sz w:val="20"/>
      <w:szCs w:val="20"/>
      <w:u w:val="none"/>
    </w:rPr>
  </w:style>
  <w:style w:type="paragraph" w:customStyle="1" w:styleId="140">
    <w:name w:val="UserStyle_36"/>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141">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42">
    <w:name w:val="页脚 New New New New New New New New New"/>
    <w:basedOn w:val="143"/>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43">
    <w:name w:val="正文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4">
    <w:name w:val="正文文本缩进 New New"/>
    <w:basedOn w:val="80"/>
    <w:qFormat/>
    <w:uiPriority w:val="0"/>
    <w:pPr>
      <w:ind w:firstLine="560" w:firstLineChars="200"/>
    </w:pPr>
    <w:rPr>
      <w:rFonts w:ascii="宋体"/>
      <w:kern w:val="2"/>
      <w:sz w:val="24"/>
    </w:rPr>
  </w:style>
  <w:style w:type="paragraph" w:customStyle="1" w:styleId="145">
    <w:name w:val="页脚 New New New New New New"/>
    <w:basedOn w:val="97"/>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46">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147">
    <w:name w:val="正文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8">
    <w:name w:val="页眉 New New New"/>
    <w:basedOn w:val="1"/>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49">
    <w:name w:val="页脚 New New New New New New New New New New New New New"/>
    <w:basedOn w:val="96"/>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50">
    <w:name w:val="列出段落3"/>
    <w:basedOn w:val="1"/>
    <w:qFormat/>
    <w:uiPriority w:val="0"/>
    <w:pPr>
      <w:ind w:firstLine="420" w:firstLineChars="200"/>
    </w:pPr>
    <w:rPr>
      <w:szCs w:val="20"/>
    </w:rPr>
  </w:style>
  <w:style w:type="paragraph" w:customStyle="1" w:styleId="151">
    <w:name w:val="页脚 New New New New New New New New New New New New New New"/>
    <w:basedOn w:val="152"/>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52">
    <w:name w:val="正文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3">
    <w:name w:val="正文 New New New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54">
    <w:name w:val="列出段落1"/>
    <w:basedOn w:val="1"/>
    <w:qFormat/>
    <w:uiPriority w:val="0"/>
    <w:pPr>
      <w:adjustRightInd w:val="0"/>
      <w:snapToGrid w:val="0"/>
      <w:spacing w:line="312" w:lineRule="auto"/>
      <w:ind w:firstLine="420" w:firstLineChars="200"/>
    </w:pPr>
    <w:rPr>
      <w:sz w:val="20"/>
    </w:rPr>
  </w:style>
  <w:style w:type="paragraph" w:customStyle="1" w:styleId="155">
    <w:name w:val="正文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156">
    <w:name w:val="List Paragraph"/>
    <w:basedOn w:val="1"/>
    <w:qFormat/>
    <w:uiPriority w:val="99"/>
    <w:pPr>
      <w:ind w:firstLine="420"/>
    </w:pPr>
  </w:style>
  <w:style w:type="paragraph" w:customStyle="1" w:styleId="157">
    <w:name w:val="普通(网站) New"/>
    <w:basedOn w:val="158"/>
    <w:qFormat/>
    <w:uiPriority w:val="0"/>
    <w:rPr>
      <w:sz w:val="24"/>
    </w:rPr>
  </w:style>
  <w:style w:type="paragraph" w:customStyle="1" w:styleId="158">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9">
    <w:name w:val="文档结构图 New New New New New"/>
    <w:basedOn w:val="100"/>
    <w:qFormat/>
    <w:uiPriority w:val="0"/>
    <w:pPr>
      <w:shd w:val="clear" w:color="auto" w:fill="000080"/>
    </w:pPr>
  </w:style>
  <w:style w:type="paragraph" w:customStyle="1" w:styleId="160">
    <w:name w:val="样式 WG标题2 + 行距: 固定值 18 磅"/>
    <w:basedOn w:val="1"/>
    <w:qFormat/>
    <w:uiPriority w:val="0"/>
    <w:pPr>
      <w:autoSpaceDE w:val="0"/>
      <w:autoSpaceDN w:val="0"/>
      <w:adjustRightInd w:val="0"/>
      <w:spacing w:line="360" w:lineRule="exact"/>
      <w:textAlignment w:val="baseline"/>
      <w:outlineLvl w:val="1"/>
    </w:pPr>
    <w:rPr>
      <w:rFonts w:ascii="仿宋_GB2312" w:hAnsi="宋体" w:cs="宋体"/>
      <w:b/>
      <w:bCs/>
      <w:color w:val="000000"/>
      <w:kern w:val="20"/>
    </w:rPr>
  </w:style>
  <w:style w:type="paragraph" w:customStyle="1" w:styleId="161">
    <w:name w:val="正文缩进1"/>
    <w:basedOn w:val="1"/>
    <w:qFormat/>
    <w:uiPriority w:val="0"/>
    <w:pPr>
      <w:widowControl/>
      <w:ind w:firstLine="420"/>
      <w:jc w:val="left"/>
    </w:pPr>
    <w:rPr>
      <w:kern w:val="0"/>
    </w:rPr>
  </w:style>
  <w:style w:type="paragraph" w:customStyle="1" w:styleId="162">
    <w:name w:val="页脚 New New New New New New New New New New New New New New New New New"/>
    <w:basedOn w:val="163"/>
    <w:qFormat/>
    <w:uiPriority w:val="0"/>
    <w:pPr>
      <w:widowControl/>
      <w:tabs>
        <w:tab w:val="center" w:pos="4153"/>
        <w:tab w:val="right" w:pos="8306"/>
      </w:tabs>
      <w:snapToGrid w:val="0"/>
      <w:jc w:val="left"/>
    </w:pPr>
    <w:rPr>
      <w:kern w:val="0"/>
      <w:sz w:val="18"/>
    </w:rPr>
  </w:style>
  <w:style w:type="paragraph" w:customStyle="1" w:styleId="163">
    <w:name w:val="正文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4">
    <w:name w:val="标题三"/>
    <w:basedOn w:val="5"/>
    <w:qFormat/>
    <w:uiPriority w:val="0"/>
    <w:pPr>
      <w:keepNext w:val="0"/>
      <w:keepLines w:val="0"/>
      <w:spacing w:before="240" w:beforeLines="0" w:after="240" w:afterLines="0" w:line="480" w:lineRule="exact"/>
    </w:pPr>
    <w:rPr>
      <w:rFonts w:ascii="Times New Roman" w:hAnsi="Times New Roman" w:eastAsia="宋体" w:cs="宋体"/>
      <w:sz w:val="28"/>
      <w:szCs w:val="20"/>
    </w:rPr>
  </w:style>
  <w:style w:type="paragraph" w:customStyle="1" w:styleId="165">
    <w:name w:val="正文文本 New New"/>
    <w:basedOn w:val="128"/>
    <w:qFormat/>
    <w:uiPriority w:val="0"/>
    <w:pPr>
      <w:spacing w:after="120" w:afterLines="0" w:afterAutospacing="0"/>
    </w:pPr>
  </w:style>
  <w:style w:type="paragraph" w:customStyle="1" w:styleId="166">
    <w:name w:val="正文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7">
    <w:name w:val="标题 3 New New New New New"/>
    <w:basedOn w:val="110"/>
    <w:next w:val="110"/>
    <w:qFormat/>
    <w:uiPriority w:val="0"/>
    <w:pPr>
      <w:keepNext/>
      <w:keepLines/>
      <w:spacing w:before="120" w:beforeLines="0" w:beforeAutospacing="0" w:after="120" w:afterLines="0" w:afterAutospacing="0"/>
      <w:jc w:val="center"/>
      <w:outlineLvl w:val="2"/>
    </w:pPr>
    <w:rPr>
      <w:rFonts w:ascii="宋体" w:eastAsia="宋体"/>
      <w:sz w:val="24"/>
      <w:lang w:val="en-US" w:eastAsia="zh-CN" w:bidi="ar-SA"/>
    </w:rPr>
  </w:style>
  <w:style w:type="paragraph" w:customStyle="1" w:styleId="168">
    <w:name w:val="标题 3 New New"/>
    <w:basedOn w:val="117"/>
    <w:next w:val="117"/>
    <w:qFormat/>
    <w:uiPriority w:val="0"/>
    <w:pPr>
      <w:keepNext/>
      <w:keepLines/>
      <w:spacing w:before="120" w:beforeLines="0" w:beforeAutospacing="0" w:after="120" w:afterLines="0" w:afterAutospacing="0"/>
      <w:jc w:val="center"/>
      <w:outlineLvl w:val="2"/>
    </w:pPr>
    <w:rPr>
      <w:sz w:val="24"/>
    </w:rPr>
  </w:style>
  <w:style w:type="paragraph" w:customStyle="1" w:styleId="169">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70">
    <w:name w:val="Normal Indent1"/>
    <w:basedOn w:val="1"/>
    <w:qFormat/>
    <w:uiPriority w:val="0"/>
    <w:pPr>
      <w:widowControl/>
      <w:ind w:firstLine="420"/>
      <w:jc w:val="left"/>
    </w:pPr>
    <w:rPr>
      <w:rFonts w:ascii="Times New Roman" w:hAnsi="Times New Roman"/>
      <w:kern w:val="0"/>
      <w:szCs w:val="20"/>
    </w:rPr>
  </w:style>
  <w:style w:type="paragraph" w:customStyle="1" w:styleId="171">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72">
    <w:name w:val="正文文本 New"/>
    <w:basedOn w:val="80"/>
    <w:qFormat/>
    <w:uiPriority w:val="0"/>
    <w:pPr>
      <w:spacing w:after="120" w:afterLines="0" w:afterAutospacing="0"/>
    </w:pPr>
  </w:style>
  <w:style w:type="paragraph" w:customStyle="1" w:styleId="173">
    <w:name w:val="页脚 New New New New New New New New New New New New New New New New New New"/>
    <w:basedOn w:val="174"/>
    <w:qFormat/>
    <w:uiPriority w:val="0"/>
    <w:pPr>
      <w:widowControl/>
      <w:tabs>
        <w:tab w:val="center" w:pos="4153"/>
        <w:tab w:val="right" w:pos="8306"/>
      </w:tabs>
      <w:snapToGrid w:val="0"/>
      <w:jc w:val="left"/>
    </w:pPr>
    <w:rPr>
      <w:kern w:val="0"/>
      <w:sz w:val="18"/>
    </w:rPr>
  </w:style>
  <w:style w:type="paragraph" w:customStyle="1" w:styleId="174">
    <w:name w:val="正文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7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76">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77">
    <w:name w:val="页脚 New New New New New New New New New New"/>
    <w:basedOn w:val="108"/>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78">
    <w:name w:val="图"/>
    <w:basedOn w:val="1"/>
    <w:qFormat/>
    <w:uiPriority w:val="0"/>
    <w:pPr>
      <w:keepNext/>
      <w:adjustRightInd w:val="0"/>
      <w:spacing w:before="60" w:beforeLines="0" w:after="60" w:afterLines="0" w:line="300" w:lineRule="auto"/>
      <w:jc w:val="center"/>
      <w:textAlignment w:val="center"/>
    </w:pPr>
    <w:rPr>
      <w:rFonts w:ascii="Times New Roman"/>
      <w:snapToGrid w:val="0"/>
      <w:spacing w:val="20"/>
      <w:kern w:val="0"/>
    </w:rPr>
  </w:style>
  <w:style w:type="paragraph" w:customStyle="1" w:styleId="179">
    <w:name w:val="标题 1 New"/>
    <w:basedOn w:val="80"/>
    <w:next w:val="80"/>
    <w:qFormat/>
    <w:uiPriority w:val="0"/>
    <w:pPr>
      <w:autoSpaceDE w:val="0"/>
      <w:autoSpaceDN w:val="0"/>
      <w:adjustRightInd w:val="0"/>
      <w:jc w:val="left"/>
      <w:outlineLvl w:val="0"/>
    </w:pPr>
    <w:rPr>
      <w:kern w:val="0"/>
      <w:sz w:val="30"/>
    </w:rPr>
  </w:style>
  <w:style w:type="paragraph" w:customStyle="1" w:styleId="180">
    <w:name w:val="页脚 New New New New New New New New"/>
    <w:basedOn w:val="181"/>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81">
    <w:name w:val="正文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2">
    <w:name w:val="TOC 标题1"/>
    <w:basedOn w:val="4"/>
    <w:next w:val="1"/>
    <w:qFormat/>
    <w:uiPriority w:val="0"/>
    <w:pPr>
      <w:widowControl/>
      <w:spacing w:before="480" w:beforeLines="0" w:line="276" w:lineRule="auto"/>
      <w:outlineLvl w:val="9"/>
    </w:pPr>
    <w:rPr>
      <w:rFonts w:ascii="Cambria" w:hAnsi="Cambria"/>
      <w:color w:val="366091"/>
      <w:sz w:val="28"/>
      <w:szCs w:val="28"/>
    </w:rPr>
  </w:style>
  <w:style w:type="paragraph" w:customStyle="1" w:styleId="183">
    <w:name w:val="标题 3 New"/>
    <w:basedOn w:val="117"/>
    <w:next w:val="117"/>
    <w:qFormat/>
    <w:uiPriority w:val="0"/>
    <w:pPr>
      <w:keepNext/>
      <w:keepLines/>
      <w:spacing w:before="120" w:beforeLines="0" w:after="120" w:afterLines="0"/>
      <w:jc w:val="center"/>
      <w:outlineLvl w:val="2"/>
    </w:pPr>
    <w:rPr>
      <w:sz w:val="24"/>
    </w:rPr>
  </w:style>
  <w:style w:type="paragraph" w:customStyle="1" w:styleId="184">
    <w:name w:val="xl24"/>
    <w:basedOn w:val="1"/>
    <w:qFormat/>
    <w:uiPriority w:val="0"/>
    <w:pPr>
      <w:widowControl/>
      <w:spacing w:before="100" w:beforeLines="0" w:after="100" w:afterLines="0"/>
      <w:jc w:val="center"/>
      <w:textAlignment w:val="center"/>
    </w:pPr>
    <w:rPr>
      <w:rFonts w:ascii="宋体" w:hAnsi="宋体"/>
      <w:kern w:val="0"/>
      <w:sz w:val="24"/>
    </w:rPr>
  </w:style>
  <w:style w:type="paragraph" w:customStyle="1" w:styleId="185">
    <w:name w:val="标题 3 New New New"/>
    <w:basedOn w:val="117"/>
    <w:next w:val="117"/>
    <w:qFormat/>
    <w:uiPriority w:val="0"/>
    <w:pPr>
      <w:keepNext/>
      <w:keepLines/>
      <w:spacing w:before="120" w:beforeLines="0" w:beforeAutospacing="0" w:after="120" w:afterLines="0" w:afterAutospacing="0"/>
      <w:jc w:val="center"/>
      <w:outlineLvl w:val="2"/>
    </w:pPr>
    <w:rPr>
      <w:sz w:val="24"/>
    </w:rPr>
  </w:style>
  <w:style w:type="paragraph" w:customStyle="1" w:styleId="186">
    <w:name w:val="正文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7">
    <w:name w:val="标题 3 New New New New New New"/>
    <w:basedOn w:val="104"/>
    <w:next w:val="104"/>
    <w:qFormat/>
    <w:uiPriority w:val="0"/>
    <w:pPr>
      <w:keepNext/>
      <w:keepLines/>
      <w:spacing w:before="120" w:beforeLines="0" w:beforeAutospacing="0" w:after="120" w:afterLines="0" w:afterAutospacing="0"/>
      <w:jc w:val="center"/>
      <w:outlineLvl w:val="2"/>
    </w:pPr>
    <w:rPr>
      <w:rFonts w:ascii="宋体" w:eastAsia="宋体"/>
      <w:sz w:val="24"/>
      <w:lang w:val="en-US" w:eastAsia="zh-CN" w:bidi="ar-SA"/>
    </w:rPr>
  </w:style>
  <w:style w:type="paragraph" w:customStyle="1" w:styleId="188">
    <w:name w:val="正文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9">
    <w:name w:val="页脚 New New New New New New New New New New New"/>
    <w:basedOn w:val="124"/>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90">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91">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92">
    <w:name w:val="正文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93">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94">
    <w:name w:val="正文正"/>
    <w:basedOn w:val="91"/>
    <w:qFormat/>
    <w:uiPriority w:val="99"/>
    <w:pPr>
      <w:spacing w:line="560" w:lineRule="exact"/>
      <w:ind w:firstLine="561"/>
    </w:pPr>
    <w:rPr>
      <w:rFonts w:ascii="Calibri" w:hAnsi="Calibri" w:cs="Calibri"/>
      <w:sz w:val="28"/>
      <w:szCs w:val="28"/>
    </w:rPr>
  </w:style>
  <w:style w:type="paragraph" w:customStyle="1" w:styleId="195">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96">
    <w:name w:val="页脚 New New New New New New New New New New New New New New New New New New New"/>
    <w:basedOn w:val="146"/>
    <w:qFormat/>
    <w:uiPriority w:val="0"/>
    <w:pPr>
      <w:tabs>
        <w:tab w:val="center" w:pos="4153"/>
        <w:tab w:val="right" w:pos="8306"/>
      </w:tabs>
      <w:snapToGrid w:val="0"/>
      <w:jc w:val="left"/>
    </w:pPr>
    <w:rPr>
      <w:sz w:val="18"/>
      <w:szCs w:val="18"/>
    </w:rPr>
  </w:style>
  <w:style w:type="paragraph" w:customStyle="1" w:styleId="197">
    <w:name w:val="页脚 New New New New New New New New New New New New New New New New New New New New"/>
    <w:basedOn w:val="102"/>
    <w:qFormat/>
    <w:uiPriority w:val="0"/>
    <w:pPr>
      <w:widowControl/>
      <w:tabs>
        <w:tab w:val="center" w:pos="4153"/>
        <w:tab w:val="right" w:pos="8306"/>
      </w:tabs>
      <w:snapToGrid w:val="0"/>
      <w:jc w:val="left"/>
    </w:pPr>
    <w:rPr>
      <w:kern w:val="0"/>
      <w:sz w:val="18"/>
    </w:rPr>
  </w:style>
  <w:style w:type="paragraph" w:customStyle="1" w:styleId="198">
    <w:name w:val="正文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99">
    <w:name w:val="正文文本缩进 3 New"/>
    <w:basedOn w:val="80"/>
    <w:qFormat/>
    <w:uiPriority w:val="0"/>
    <w:pPr>
      <w:ind w:firstLine="560"/>
    </w:pPr>
    <w:rPr>
      <w:rFonts w:ascii="宋体" w:eastAsia="宋体"/>
      <w:color w:val="FF0000"/>
      <w:kern w:val="2"/>
      <w:sz w:val="24"/>
      <w:lang w:val="en-US" w:eastAsia="zh-CN" w:bidi="ar-SA"/>
    </w:rPr>
  </w:style>
  <w:style w:type="paragraph" w:customStyle="1" w:styleId="200">
    <w:name w:val="标题 2 New New New"/>
    <w:basedOn w:val="90"/>
    <w:next w:val="90"/>
    <w:qFormat/>
    <w:uiPriority w:val="0"/>
    <w:pPr>
      <w:autoSpaceDE w:val="0"/>
      <w:autoSpaceDN w:val="0"/>
      <w:adjustRightInd w:val="0"/>
      <w:jc w:val="left"/>
      <w:outlineLvl w:val="1"/>
    </w:pPr>
    <w:rPr>
      <w:rFonts w:ascii="宋体" w:eastAsia="宋体"/>
      <w:sz w:val="24"/>
      <w:lang w:val="en-US" w:eastAsia="zh-CN" w:bidi="ar-SA"/>
    </w:rPr>
  </w:style>
  <w:style w:type="paragraph" w:customStyle="1" w:styleId="201">
    <w:name w:val="Normal Indent"/>
    <w:basedOn w:val="1"/>
    <w:qFormat/>
    <w:uiPriority w:val="0"/>
    <w:pPr>
      <w:widowControl/>
      <w:ind w:firstLine="420"/>
      <w:jc w:val="left"/>
    </w:pPr>
    <w:rPr>
      <w:rFonts w:ascii="Times New Roman" w:hAnsi="Times New Roman"/>
      <w:kern w:val="0"/>
      <w:szCs w:val="20"/>
    </w:rPr>
  </w:style>
  <w:style w:type="paragraph" w:customStyle="1" w:styleId="202">
    <w:name w:val="正文文本缩进 New New New New"/>
    <w:basedOn w:val="193"/>
    <w:qFormat/>
    <w:uiPriority w:val="0"/>
    <w:pPr>
      <w:ind w:firstLine="560" w:firstLineChars="200"/>
    </w:pPr>
    <w:rPr>
      <w:rFonts w:ascii="宋体"/>
      <w:kern w:val="2"/>
      <w:sz w:val="24"/>
      <w:szCs w:val="28"/>
    </w:rPr>
  </w:style>
  <w:style w:type="paragraph" w:customStyle="1" w:styleId="203">
    <w:name w:val="批注文字 New"/>
    <w:basedOn w:val="198"/>
    <w:qFormat/>
    <w:uiPriority w:val="0"/>
    <w:pPr>
      <w:adjustRightInd w:val="0"/>
      <w:spacing w:line="360" w:lineRule="atLeast"/>
      <w:jc w:val="left"/>
      <w:textAlignment w:val="baseline"/>
    </w:pPr>
    <w:rPr>
      <w:rFonts w:ascii="宋体" w:eastAsia="宋体"/>
      <w:sz w:val="24"/>
      <w:lang w:val="en-US" w:eastAsia="zh-CN" w:bidi="ar-SA"/>
    </w:rPr>
  </w:style>
  <w:style w:type="paragraph" w:customStyle="1" w:styleId="204">
    <w:name w:val="文档结构图 New New New"/>
    <w:basedOn w:val="174"/>
    <w:qFormat/>
    <w:uiPriority w:val="0"/>
    <w:pPr>
      <w:shd w:val="clear" w:color="auto" w:fill="000080"/>
    </w:pPr>
  </w:style>
  <w:style w:type="paragraph" w:customStyle="1" w:styleId="205">
    <w:name w:val="页眉 New New"/>
    <w:basedOn w:val="1"/>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206">
    <w:name w:val="文档结构图 New New"/>
    <w:basedOn w:val="128"/>
    <w:qFormat/>
    <w:uiPriority w:val="0"/>
    <w:pPr>
      <w:shd w:val="clear" w:color="auto" w:fill="000080"/>
    </w:pPr>
  </w:style>
  <w:style w:type="paragraph" w:customStyle="1" w:styleId="207">
    <w:name w:val="页脚 New New New New New New New New New New New New"/>
    <w:basedOn w:val="186"/>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208">
    <w:name w:val="页脚 New"/>
    <w:basedOn w:val="80"/>
    <w:qFormat/>
    <w:uiPriority w:val="0"/>
    <w:pPr>
      <w:widowControl/>
      <w:tabs>
        <w:tab w:val="center" w:pos="4153"/>
        <w:tab w:val="right" w:pos="8306"/>
      </w:tabs>
      <w:snapToGrid w:val="0"/>
      <w:jc w:val="left"/>
    </w:pPr>
    <w:rPr>
      <w:kern w:val="0"/>
      <w:sz w:val="18"/>
    </w:rPr>
  </w:style>
  <w:style w:type="paragraph" w:customStyle="1" w:styleId="209">
    <w:name w:val="页脚 New New New"/>
    <w:basedOn w:val="1"/>
    <w:qFormat/>
    <w:uiPriority w:val="0"/>
    <w:pPr>
      <w:widowControl/>
      <w:tabs>
        <w:tab w:val="center" w:pos="4153"/>
        <w:tab w:val="right" w:pos="8306"/>
      </w:tabs>
      <w:snapToGrid w:val="0"/>
      <w:jc w:val="left"/>
    </w:pPr>
    <w:rPr>
      <w:rFonts w:ascii="宋体"/>
      <w:sz w:val="18"/>
    </w:rPr>
  </w:style>
  <w:style w:type="paragraph" w:customStyle="1" w:styleId="210">
    <w:name w:val=" Char"/>
    <w:basedOn w:val="1"/>
    <w:qFormat/>
    <w:uiPriority w:val="0"/>
    <w:pPr>
      <w:spacing w:line="240" w:lineRule="auto"/>
    </w:pPr>
    <w:rPr>
      <w:rFonts w:ascii="Tahoma" w:hAnsi="Tahoma"/>
      <w:szCs w:val="24"/>
    </w:rPr>
  </w:style>
  <w:style w:type="paragraph" w:customStyle="1" w:styleId="211">
    <w:name w:val="标题 3 New New New New"/>
    <w:basedOn w:val="95"/>
    <w:next w:val="95"/>
    <w:qFormat/>
    <w:uiPriority w:val="0"/>
    <w:pPr>
      <w:keepNext/>
      <w:keepLines/>
      <w:spacing w:before="120" w:beforeLines="0" w:beforeAutospacing="0" w:after="120" w:afterLines="0" w:afterAutospacing="0"/>
      <w:jc w:val="center"/>
      <w:outlineLvl w:val="2"/>
    </w:pPr>
    <w:rPr>
      <w:rFonts w:ascii="宋体" w:eastAsia="宋体"/>
      <w:sz w:val="24"/>
      <w:lang w:val="en-US" w:eastAsia="zh-CN" w:bidi="ar-SA"/>
    </w:rPr>
  </w:style>
  <w:style w:type="paragraph" w:customStyle="1" w:styleId="212">
    <w:name w:val="索引标题 New"/>
    <w:basedOn w:val="1"/>
    <w:next w:val="98"/>
    <w:qFormat/>
    <w:uiPriority w:val="0"/>
    <w:pPr>
      <w:spacing w:line="240" w:lineRule="auto"/>
    </w:pPr>
    <w:rPr>
      <w:rFonts w:ascii="Times New Roman"/>
      <w:sz w:val="21"/>
    </w:rPr>
  </w:style>
  <w:style w:type="paragraph" w:customStyle="1" w:styleId="213">
    <w:name w:val="样式 样式 四号 首行缩进:  0 厘米 + 首行缩进:  2 字符"/>
    <w:basedOn w:val="1"/>
    <w:qFormat/>
    <w:uiPriority w:val="0"/>
    <w:pPr>
      <w:snapToGrid/>
      <w:spacing w:before="120" w:beforeLines="0" w:after="0" w:afterLines="0" w:line="360" w:lineRule="auto"/>
      <w:ind w:firstLine="566" w:firstLineChars="236"/>
      <w:jc w:val="both"/>
    </w:pPr>
    <w:rPr>
      <w:rFonts w:ascii="Times New Roman" w:hAnsi="Times New Roman" w:eastAsia="宋体" w:cs="Times New Roman"/>
      <w:kern w:val="24"/>
      <w:sz w:val="21"/>
      <w:szCs w:val="21"/>
    </w:rPr>
  </w:style>
  <w:style w:type="paragraph" w:customStyle="1" w:styleId="214">
    <w:name w:val="正文1"/>
    <w:qFormat/>
    <w:uiPriority w:val="0"/>
    <w:pPr>
      <w:widowControl w:val="0"/>
      <w:spacing w:after="156" w:afterLines="50" w:line="360" w:lineRule="auto"/>
      <w:ind w:firstLine="200" w:firstLineChars="200"/>
      <w:jc w:val="both"/>
    </w:pPr>
    <w:rPr>
      <w:rFonts w:ascii="Times New Roman" w:hAnsi="Times New Roman" w:eastAsia="宋体" w:cs="Times New Roman"/>
      <w:sz w:val="24"/>
      <w:szCs w:val="24"/>
      <w:lang w:val="en-US" w:eastAsia="zh-CN" w:bidi="ar-SA"/>
    </w:rPr>
  </w:style>
  <w:style w:type="paragraph" w:customStyle="1" w:styleId="215">
    <w:name w:val="目录 3 New"/>
    <w:basedOn w:val="80"/>
    <w:next w:val="80"/>
    <w:qFormat/>
    <w:uiPriority w:val="0"/>
    <w:pPr>
      <w:ind w:left="561"/>
      <w:jc w:val="left"/>
    </w:pPr>
    <w:rPr>
      <w:sz w:val="24"/>
    </w:rPr>
  </w:style>
  <w:style w:type="paragraph" w:customStyle="1" w:styleId="216">
    <w:name w:val="p0"/>
    <w:basedOn w:val="1"/>
    <w:qFormat/>
    <w:uiPriority w:val="0"/>
    <w:pPr>
      <w:spacing w:line="360" w:lineRule="auto"/>
      <w:jc w:val="both"/>
    </w:pPr>
    <w:rPr>
      <w:rFonts w:hAnsi="宋体" w:cs="宋体"/>
      <w:kern w:val="0"/>
      <w:szCs w:val="24"/>
    </w:rPr>
  </w:style>
  <w:style w:type="paragraph" w:customStyle="1" w:styleId="217">
    <w:name w:val="Table Text"/>
    <w:basedOn w:val="1"/>
    <w:semiHidden/>
    <w:qFormat/>
    <w:uiPriority w:val="0"/>
    <w:rPr>
      <w:rFonts w:ascii="宋体" w:hAnsi="宋体" w:eastAsia="宋体" w:cs="宋体"/>
      <w:sz w:val="20"/>
      <w:szCs w:val="20"/>
      <w:lang w:val="en-US" w:eastAsia="en-US" w:bidi="ar-SA"/>
    </w:rPr>
  </w:style>
  <w:style w:type="paragraph" w:customStyle="1" w:styleId="218">
    <w:name w:val=" Char Char Char Char"/>
    <w:basedOn w:val="1"/>
    <w:qFormat/>
    <w:uiPriority w:val="0"/>
    <w:pPr>
      <w:tabs>
        <w:tab w:val="left" w:pos="360"/>
      </w:tabs>
      <w:spacing w:line="440" w:lineRule="exact"/>
      <w:ind w:firstLine="480" w:firstLineChars="200"/>
    </w:pPr>
    <w:rPr>
      <w:rFonts w:cs="宋体"/>
      <w:kern w:val="0"/>
      <w:sz w:val="24"/>
      <w:u w:val="wave"/>
    </w:rPr>
  </w:style>
  <w:style w:type="paragraph" w:customStyle="1" w:styleId="219">
    <w:name w:val="Normal (Web)"/>
    <w:qFormat/>
    <w:uiPriority w:val="0"/>
    <w:pPr>
      <w:spacing w:before="100" w:beforeLines="0" w:beforeAutospacing="1" w:after="100" w:afterLines="0" w:afterAutospacing="1" w:line="360" w:lineRule="auto"/>
    </w:pPr>
    <w:rPr>
      <w:rFonts w:ascii="宋体" w:hAnsi="宋体" w:eastAsia="宋体" w:cs="宋体"/>
      <w:sz w:val="25"/>
      <w:szCs w:val="25"/>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85</Pages>
  <Words>50744</Words>
  <Characters>53960</Characters>
  <Lines>485</Lines>
  <Paragraphs>136</Paragraphs>
  <TotalTime>152</TotalTime>
  <ScaleCrop>false</ScaleCrop>
  <LinksUpToDate>false</LinksUpToDate>
  <CharactersWithSpaces>56341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2021-05-14T15:54:00Z</dcterms:created>
  <dc:creator>Administrator</dc:creator>
  <cp:lastModifiedBy>刘聪、</cp:lastModifiedBy>
  <cp:lastPrinted>2026-06-10T01:26:57Z</cp:lastPrinted>
  <dcterms:modified xsi:type="dcterms:W3CDTF">2026-06-10T03:46:29Z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2EDFD8FF103B4FD5A276EE3D1E6CFCF6_13</vt:lpwstr>
  </property>
  <property fmtid="{D5CDD505-2E9C-101B-9397-08002B2CF9AE}" pid="4" name="KSOTemplateDocerSaveRecord">
    <vt:lpwstr>eyJoZGlkIjoiZTE2MmJjZTY4MTc3YzQxMGVmOGU1MzgwMDJhZmUxYTgiLCJ1c2VySWQiOiI2MjI1MzA2MDkifQ==</vt:lpwstr>
  </property>
</Properties>
</file>