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F4DCC8">
      <w:pPr>
        <w:rPr>
          <w:rFonts w:hint="default" w:ascii="宋体" w:hAnsi="宋体" w:eastAsia="宋体" w:cs="宋体"/>
          <w:lang w:val="en-US" w:eastAsia="zh-CN"/>
        </w:rPr>
      </w:pPr>
      <w:r>
        <w:rPr>
          <w:rFonts w:hint="eastAsia" w:ascii="宋体" w:hAnsi="宋体" w:cs="宋体"/>
          <w:lang w:val="en-US" w:eastAsia="zh-CN"/>
        </w:rPr>
        <w:t xml:space="preserve">             </w:t>
      </w:r>
    </w:p>
    <w:p w14:paraId="5DEF711E">
      <w:pPr>
        <w:rPr>
          <w:rFonts w:hint="eastAsia" w:ascii="宋体" w:hAnsi="宋体" w:eastAsia="宋体" w:cs="宋体"/>
        </w:rPr>
      </w:pPr>
    </w:p>
    <w:p w14:paraId="490537D3">
      <w:pPr>
        <w:rPr>
          <w:rFonts w:hint="eastAsia" w:ascii="宋体" w:hAnsi="宋体" w:eastAsia="宋体" w:cs="宋体"/>
        </w:rPr>
      </w:pPr>
    </w:p>
    <w:p w14:paraId="2577FE11">
      <w:pPr>
        <w:pStyle w:val="171"/>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韶关市浈江区大数据产业基础设施工程勘察、设计</w:t>
      </w:r>
    </w:p>
    <w:p w14:paraId="137D4CEC">
      <w:pPr>
        <w:rPr>
          <w:rFonts w:hint="eastAsia" w:ascii="宋体" w:hAnsi="宋体" w:eastAsia="宋体" w:cs="宋体"/>
        </w:rPr>
      </w:pPr>
    </w:p>
    <w:p w14:paraId="31A5EA10">
      <w:pPr>
        <w:rPr>
          <w:rFonts w:hint="eastAsia" w:ascii="宋体" w:hAnsi="宋体" w:eastAsia="宋体" w:cs="宋体"/>
        </w:rPr>
      </w:pPr>
    </w:p>
    <w:p w14:paraId="785F72D9">
      <w:pPr>
        <w:rPr>
          <w:rFonts w:hint="eastAsia" w:ascii="宋体" w:hAnsi="宋体" w:eastAsia="宋体" w:cs="宋体"/>
        </w:rPr>
      </w:pPr>
    </w:p>
    <w:p w14:paraId="7ECB570C">
      <w:pPr>
        <w:pStyle w:val="171"/>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68059910">
      <w:pPr>
        <w:rPr>
          <w:rFonts w:hint="eastAsia" w:ascii="宋体" w:hAnsi="宋体" w:eastAsia="宋体" w:cs="宋体"/>
        </w:rPr>
      </w:pPr>
    </w:p>
    <w:p w14:paraId="12CE50CC">
      <w:pPr>
        <w:rPr>
          <w:rFonts w:hint="eastAsia" w:ascii="宋体" w:hAnsi="宋体" w:eastAsia="宋体" w:cs="宋体"/>
        </w:rPr>
      </w:pPr>
    </w:p>
    <w:p w14:paraId="09E18A6D">
      <w:pPr>
        <w:rPr>
          <w:rFonts w:hint="eastAsia" w:ascii="宋体" w:hAnsi="宋体" w:eastAsia="宋体" w:cs="宋体"/>
        </w:rPr>
      </w:pPr>
    </w:p>
    <w:tbl>
      <w:tblPr>
        <w:tblStyle w:val="33"/>
        <w:tblpPr w:leftFromText="180" w:rightFromText="180" w:vertAnchor="text" w:horzAnchor="page" w:tblpX="1312" w:tblpY="423"/>
        <w:tblOverlap w:val="never"/>
        <w:tblW w:w="9564" w:type="dxa"/>
        <w:tblInd w:w="0" w:type="dxa"/>
        <w:tblLayout w:type="fixed"/>
        <w:tblCellMar>
          <w:top w:w="0" w:type="dxa"/>
          <w:left w:w="0" w:type="dxa"/>
          <w:bottom w:w="0" w:type="dxa"/>
          <w:right w:w="0" w:type="dxa"/>
        </w:tblCellMar>
      </w:tblPr>
      <w:tblGrid>
        <w:gridCol w:w="4768"/>
        <w:gridCol w:w="4796"/>
      </w:tblGrid>
      <w:tr w14:paraId="70FD84ED">
        <w:tblPrEx>
          <w:tblCellMar>
            <w:top w:w="0" w:type="dxa"/>
            <w:left w:w="0" w:type="dxa"/>
            <w:bottom w:w="0" w:type="dxa"/>
            <w:right w:w="0" w:type="dxa"/>
          </w:tblCellMar>
        </w:tblPrEx>
        <w:trPr>
          <w:trHeight w:val="854" w:hRule="atLeast"/>
        </w:trPr>
        <w:tc>
          <w:tcPr>
            <w:tcW w:w="4768" w:type="dxa"/>
            <w:noWrap w:val="0"/>
            <w:vAlign w:val="center"/>
          </w:tcPr>
          <w:p w14:paraId="2294D2A5">
            <w:pPr>
              <w:pStyle w:val="19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招        标        人（盖 章）：</w:t>
            </w:r>
          </w:p>
        </w:tc>
        <w:tc>
          <w:tcPr>
            <w:tcW w:w="4796" w:type="dxa"/>
            <w:noWrap w:val="0"/>
            <w:vAlign w:val="center"/>
          </w:tcPr>
          <w:p w14:paraId="53C38594">
            <w:pPr>
              <w:pStyle w:val="195"/>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韶关市浈江区鸿通投资有限公司</w:t>
            </w:r>
          </w:p>
        </w:tc>
      </w:tr>
      <w:tr w14:paraId="38669481">
        <w:tblPrEx>
          <w:tblCellMar>
            <w:top w:w="0" w:type="dxa"/>
            <w:left w:w="0" w:type="dxa"/>
            <w:bottom w:w="0" w:type="dxa"/>
            <w:right w:w="0" w:type="dxa"/>
          </w:tblCellMar>
        </w:tblPrEx>
        <w:trPr>
          <w:trHeight w:val="936" w:hRule="atLeast"/>
        </w:trPr>
        <w:tc>
          <w:tcPr>
            <w:tcW w:w="4768" w:type="dxa"/>
            <w:noWrap w:val="0"/>
            <w:vAlign w:val="center"/>
          </w:tcPr>
          <w:p w14:paraId="755E07A4">
            <w:pPr>
              <w:pStyle w:val="195"/>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招标人工作领导小组负责人（签字）：</w:t>
            </w:r>
          </w:p>
        </w:tc>
        <w:tc>
          <w:tcPr>
            <w:tcW w:w="4796" w:type="dxa"/>
            <w:noWrap w:val="0"/>
            <w:vAlign w:val="center"/>
          </w:tcPr>
          <w:p w14:paraId="5FF17A66">
            <w:pPr>
              <w:pStyle w:val="195"/>
              <w:spacing w:line="240" w:lineRule="auto"/>
              <w:rPr>
                <w:rFonts w:hint="eastAsia" w:ascii="宋体" w:hAnsi="宋体" w:eastAsia="宋体" w:cs="宋体"/>
                <w:color w:val="auto"/>
                <w:sz w:val="28"/>
                <w:szCs w:val="28"/>
                <w:highlight w:val="none"/>
              </w:rPr>
            </w:pPr>
          </w:p>
        </w:tc>
      </w:tr>
      <w:tr w14:paraId="1D096A91">
        <w:tblPrEx>
          <w:tblCellMar>
            <w:top w:w="0" w:type="dxa"/>
            <w:left w:w="0" w:type="dxa"/>
            <w:bottom w:w="0" w:type="dxa"/>
            <w:right w:w="0" w:type="dxa"/>
          </w:tblCellMar>
        </w:tblPrEx>
        <w:trPr>
          <w:trHeight w:val="875" w:hRule="atLeast"/>
        </w:trPr>
        <w:tc>
          <w:tcPr>
            <w:tcW w:w="4768" w:type="dxa"/>
            <w:noWrap w:val="0"/>
            <w:vAlign w:val="center"/>
          </w:tcPr>
          <w:p w14:paraId="54340BF5">
            <w:pPr>
              <w:pStyle w:val="195"/>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代  理  机  构（盖 章）：</w:t>
            </w:r>
          </w:p>
        </w:tc>
        <w:tc>
          <w:tcPr>
            <w:tcW w:w="4796" w:type="dxa"/>
            <w:noWrap w:val="0"/>
            <w:vAlign w:val="center"/>
          </w:tcPr>
          <w:p w14:paraId="34A1ABF4">
            <w:pPr>
              <w:pStyle w:val="195"/>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广东合正项目管理有限公司</w:t>
            </w:r>
          </w:p>
        </w:tc>
      </w:tr>
      <w:tr w14:paraId="5A0C7F02">
        <w:tblPrEx>
          <w:tblCellMar>
            <w:top w:w="0" w:type="dxa"/>
            <w:left w:w="0" w:type="dxa"/>
            <w:bottom w:w="0" w:type="dxa"/>
            <w:right w:w="0" w:type="dxa"/>
          </w:tblCellMar>
        </w:tblPrEx>
        <w:trPr>
          <w:trHeight w:val="963" w:hRule="atLeast"/>
        </w:trPr>
        <w:tc>
          <w:tcPr>
            <w:tcW w:w="4768" w:type="dxa"/>
            <w:noWrap w:val="0"/>
            <w:vAlign w:val="center"/>
          </w:tcPr>
          <w:p w14:paraId="0FEA023A">
            <w:pPr>
              <w:pStyle w:val="195"/>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文  件 编 制  人 （签字）：</w:t>
            </w:r>
          </w:p>
        </w:tc>
        <w:tc>
          <w:tcPr>
            <w:tcW w:w="4796" w:type="dxa"/>
            <w:noWrap w:val="0"/>
            <w:vAlign w:val="center"/>
          </w:tcPr>
          <w:p w14:paraId="29C6D429">
            <w:pPr>
              <w:pStyle w:val="195"/>
              <w:spacing w:line="240" w:lineRule="auto"/>
              <w:rPr>
                <w:rFonts w:hint="eastAsia" w:ascii="宋体" w:hAnsi="宋体" w:eastAsia="宋体" w:cs="宋体"/>
                <w:color w:val="auto"/>
                <w:sz w:val="28"/>
                <w:szCs w:val="28"/>
                <w:highlight w:val="none"/>
              </w:rPr>
            </w:pPr>
          </w:p>
        </w:tc>
      </w:tr>
      <w:tr w14:paraId="50C58583">
        <w:tblPrEx>
          <w:tblCellMar>
            <w:top w:w="0" w:type="dxa"/>
            <w:left w:w="0" w:type="dxa"/>
            <w:bottom w:w="0" w:type="dxa"/>
            <w:right w:w="0" w:type="dxa"/>
          </w:tblCellMar>
        </w:tblPrEx>
        <w:trPr>
          <w:trHeight w:val="983" w:hRule="atLeast"/>
        </w:trPr>
        <w:tc>
          <w:tcPr>
            <w:tcW w:w="4768" w:type="dxa"/>
            <w:noWrap w:val="0"/>
            <w:vAlign w:val="center"/>
          </w:tcPr>
          <w:p w14:paraId="378F0693">
            <w:pPr>
              <w:pStyle w:val="195"/>
              <w:wordWrap w:val="0"/>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招标代理机构项目负责人 （签字）：</w:t>
            </w:r>
          </w:p>
        </w:tc>
        <w:tc>
          <w:tcPr>
            <w:tcW w:w="4796" w:type="dxa"/>
            <w:noWrap w:val="0"/>
            <w:vAlign w:val="center"/>
          </w:tcPr>
          <w:p w14:paraId="6F17ABDF">
            <w:pPr>
              <w:pStyle w:val="195"/>
              <w:spacing w:line="240" w:lineRule="auto"/>
              <w:rPr>
                <w:rFonts w:hint="eastAsia" w:ascii="宋体" w:hAnsi="宋体" w:eastAsia="宋体" w:cs="宋体"/>
                <w:color w:val="auto"/>
                <w:sz w:val="28"/>
                <w:szCs w:val="28"/>
                <w:highlight w:val="none"/>
              </w:rPr>
            </w:pPr>
          </w:p>
        </w:tc>
      </w:tr>
      <w:tr w14:paraId="608FFCB9">
        <w:tblPrEx>
          <w:tblCellMar>
            <w:top w:w="0" w:type="dxa"/>
            <w:left w:w="0" w:type="dxa"/>
            <w:bottom w:w="0" w:type="dxa"/>
            <w:right w:w="0" w:type="dxa"/>
          </w:tblCellMar>
        </w:tblPrEx>
        <w:trPr>
          <w:trHeight w:val="768" w:hRule="atLeast"/>
        </w:trPr>
        <w:tc>
          <w:tcPr>
            <w:tcW w:w="4768" w:type="dxa"/>
            <w:noWrap w:val="0"/>
            <w:vAlign w:val="center"/>
          </w:tcPr>
          <w:p w14:paraId="7C384E87">
            <w:pPr>
              <w:pStyle w:val="195"/>
              <w:wordWrap w:val="0"/>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招  标  文  件  编  制  日  期： </w:t>
            </w:r>
          </w:p>
        </w:tc>
        <w:tc>
          <w:tcPr>
            <w:tcW w:w="4796" w:type="dxa"/>
            <w:noWrap w:val="0"/>
            <w:vAlign w:val="center"/>
          </w:tcPr>
          <w:p w14:paraId="1C40AEB4">
            <w:pPr>
              <w:pStyle w:val="195"/>
              <w:spacing w:line="24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 xml:space="preserve">    </w:t>
            </w:r>
            <w:r>
              <w:rPr>
                <w:rFonts w:hint="eastAsia" w:hAnsi="宋体" w:cs="宋体"/>
                <w:color w:val="auto"/>
                <w:sz w:val="28"/>
                <w:highlight w:val="none"/>
                <w:lang w:val="en-US" w:eastAsia="zh-CN"/>
              </w:rPr>
              <w:t>2026</w:t>
            </w:r>
            <w:r>
              <w:rPr>
                <w:rFonts w:hint="eastAsia" w:ascii="宋体" w:hAnsi="宋体" w:eastAsia="宋体" w:cs="宋体"/>
                <w:color w:val="auto"/>
                <w:sz w:val="28"/>
                <w:highlight w:val="none"/>
              </w:rPr>
              <w:t>年</w:t>
            </w:r>
            <w:r>
              <w:rPr>
                <w:rFonts w:hint="eastAsia" w:hAnsi="宋体" w:cs="宋体"/>
                <w:color w:val="auto"/>
                <w:sz w:val="28"/>
                <w:highlight w:val="none"/>
                <w:lang w:val="en-US" w:eastAsia="zh-CN"/>
              </w:rPr>
              <w:t>6</w:t>
            </w:r>
            <w:r>
              <w:rPr>
                <w:rFonts w:hint="eastAsia" w:ascii="宋体" w:hAnsi="宋体" w:eastAsia="宋体" w:cs="宋体"/>
                <w:color w:val="auto"/>
                <w:sz w:val="28"/>
                <w:highlight w:val="none"/>
              </w:rPr>
              <w:t>月</w:t>
            </w:r>
          </w:p>
        </w:tc>
      </w:tr>
    </w:tbl>
    <w:p w14:paraId="6FEFD667">
      <w:pPr>
        <w:rPr>
          <w:rFonts w:hint="eastAsia" w:ascii="宋体" w:hAnsi="宋体" w:eastAsia="宋体" w:cs="宋体"/>
        </w:rPr>
      </w:pPr>
    </w:p>
    <w:p w14:paraId="0A230A20">
      <w:pPr>
        <w:rPr>
          <w:rFonts w:hint="eastAsia" w:ascii="宋体" w:hAnsi="宋体" w:eastAsia="宋体" w:cs="宋体"/>
        </w:rPr>
      </w:pPr>
    </w:p>
    <w:p w14:paraId="560E0E21">
      <w:pPr>
        <w:rPr>
          <w:rFonts w:hint="eastAsia" w:ascii="宋体" w:hAnsi="宋体" w:eastAsia="宋体" w:cs="宋体"/>
        </w:rPr>
      </w:pPr>
    </w:p>
    <w:p w14:paraId="05F101DE">
      <w:pPr>
        <w:rPr>
          <w:rFonts w:hint="eastAsia" w:ascii="宋体" w:hAnsi="宋体" w:eastAsia="宋体" w:cs="宋体"/>
        </w:rPr>
        <w:sectPr>
          <w:headerReference r:id="rId3" w:type="default"/>
          <w:footerReference r:id="rId4" w:type="default"/>
          <w:endnotePr>
            <w:numFmt w:val="decimal"/>
          </w:endnotePr>
          <w:type w:val="continuous"/>
          <w:pgSz w:w="11907" w:h="16840"/>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type="lines" w:linePitch="272" w:charSpace="0"/>
        </w:sectPr>
      </w:pPr>
    </w:p>
    <w:p w14:paraId="54FC5108">
      <w:pPr>
        <w:pStyle w:val="31"/>
        <w:rPr>
          <w:rFonts w:hint="eastAsia"/>
        </w:rPr>
      </w:pPr>
    </w:p>
    <w:p w14:paraId="667F5FB2">
      <w:pPr>
        <w:rPr>
          <w:rFonts w:hint="eastAsia" w:ascii="宋体" w:hAnsi="宋体" w:eastAsia="宋体" w:cs="宋体"/>
        </w:rPr>
      </w:pPr>
    </w:p>
    <w:p w14:paraId="7861FFF2">
      <w:pPr>
        <w:rPr>
          <w:rFonts w:hint="eastAsia" w:ascii="宋体" w:hAnsi="宋体" w:eastAsia="宋体" w:cs="宋体"/>
        </w:rPr>
      </w:pPr>
    </w:p>
    <w:p w14:paraId="733DC403">
      <w:pPr>
        <w:rPr>
          <w:rFonts w:hint="eastAsia" w:ascii="宋体" w:hAnsi="宋体" w:eastAsia="宋体" w:cs="宋体"/>
        </w:rPr>
      </w:pPr>
    </w:p>
    <w:p w14:paraId="506AE066">
      <w:pPr>
        <w:rPr>
          <w:rFonts w:hint="eastAsia" w:ascii="宋体" w:hAnsi="宋体" w:eastAsia="宋体" w:cs="宋体"/>
        </w:rPr>
      </w:pPr>
    </w:p>
    <w:p w14:paraId="7681FFC5">
      <w:pPr>
        <w:rPr>
          <w:rFonts w:hint="eastAsia" w:ascii="宋体" w:hAnsi="宋体" w:eastAsia="宋体" w:cs="宋体"/>
        </w:rPr>
      </w:pPr>
    </w:p>
    <w:p w14:paraId="62A0C331">
      <w:pPr>
        <w:rPr>
          <w:rFonts w:hint="eastAsia" w:ascii="宋体" w:hAnsi="宋体" w:eastAsia="宋体" w:cs="宋体"/>
        </w:rPr>
      </w:pPr>
    </w:p>
    <w:p w14:paraId="6B216A83">
      <w:pPr>
        <w:rPr>
          <w:rFonts w:hint="eastAsia" w:ascii="宋体" w:hAnsi="宋体" w:eastAsia="宋体" w:cs="宋体"/>
        </w:rPr>
      </w:pPr>
    </w:p>
    <w:p w14:paraId="58036D95">
      <w:pPr>
        <w:rPr>
          <w:rFonts w:hint="eastAsia" w:ascii="宋体" w:hAnsi="宋体" w:eastAsia="宋体" w:cs="宋体"/>
        </w:rPr>
      </w:pPr>
    </w:p>
    <w:p w14:paraId="7EF66B0E">
      <w:pPr>
        <w:rPr>
          <w:rFonts w:hint="eastAsia" w:ascii="宋体" w:hAnsi="宋体" w:eastAsia="宋体" w:cs="宋体"/>
        </w:rPr>
      </w:pPr>
    </w:p>
    <w:p w14:paraId="49CBC2F6">
      <w:pPr>
        <w:rPr>
          <w:rFonts w:hint="eastAsia" w:ascii="宋体" w:hAnsi="宋体" w:eastAsia="宋体" w:cs="宋体"/>
        </w:rPr>
      </w:pPr>
    </w:p>
    <w:p w14:paraId="5F24F4E6">
      <w:pPr>
        <w:rPr>
          <w:rFonts w:hint="eastAsia" w:ascii="宋体" w:hAnsi="宋体" w:eastAsia="宋体" w:cs="宋体"/>
        </w:rPr>
      </w:pPr>
    </w:p>
    <w:p w14:paraId="56F87ECE">
      <w:pPr>
        <w:rPr>
          <w:rFonts w:hint="eastAsia" w:ascii="宋体" w:hAnsi="宋体" w:eastAsia="宋体" w:cs="宋体"/>
        </w:rPr>
      </w:pPr>
    </w:p>
    <w:p w14:paraId="01B03645">
      <w:pPr>
        <w:rPr>
          <w:rFonts w:hint="eastAsia" w:ascii="宋体" w:hAnsi="宋体" w:eastAsia="宋体" w:cs="宋体"/>
        </w:rPr>
      </w:pPr>
    </w:p>
    <w:p w14:paraId="5857B227">
      <w:pPr>
        <w:rPr>
          <w:rFonts w:hint="eastAsia" w:ascii="宋体" w:hAnsi="宋体" w:eastAsia="宋体" w:cs="宋体"/>
        </w:rPr>
      </w:pPr>
    </w:p>
    <w:p w14:paraId="2FD65A0F">
      <w:pPr>
        <w:rPr>
          <w:rFonts w:hint="eastAsia" w:ascii="宋体" w:hAnsi="宋体" w:eastAsia="宋体" w:cs="宋体"/>
        </w:rPr>
      </w:pPr>
    </w:p>
    <w:p w14:paraId="0BFA0F35">
      <w:pPr>
        <w:rPr>
          <w:rFonts w:hint="eastAsia" w:ascii="宋体" w:hAnsi="宋体" w:eastAsia="宋体" w:cs="宋体"/>
        </w:rPr>
      </w:pPr>
    </w:p>
    <w:p w14:paraId="711FE1FC">
      <w:pPr>
        <w:rPr>
          <w:rFonts w:hint="eastAsia" w:ascii="宋体" w:hAnsi="宋体" w:eastAsia="宋体" w:cs="宋体"/>
        </w:rPr>
      </w:pPr>
    </w:p>
    <w:p w14:paraId="06BBD91C">
      <w:pPr>
        <w:rPr>
          <w:rFonts w:hint="eastAsia" w:ascii="宋体" w:hAnsi="宋体" w:eastAsia="宋体" w:cs="宋体"/>
        </w:rPr>
      </w:pPr>
    </w:p>
    <w:p w14:paraId="51169C13">
      <w:pPr>
        <w:rPr>
          <w:rFonts w:hint="eastAsia" w:ascii="宋体" w:hAnsi="宋体" w:eastAsia="宋体" w:cs="宋体"/>
        </w:rPr>
      </w:pPr>
    </w:p>
    <w:p w14:paraId="58DD89BF">
      <w:pPr>
        <w:rPr>
          <w:rFonts w:hint="eastAsia" w:ascii="宋体" w:hAnsi="宋体" w:eastAsia="宋体" w:cs="宋体"/>
        </w:rPr>
      </w:pPr>
    </w:p>
    <w:p w14:paraId="58CD4728">
      <w:pPr>
        <w:rPr>
          <w:rFonts w:hint="eastAsia" w:ascii="宋体" w:hAnsi="宋体" w:eastAsia="宋体" w:cs="宋体"/>
        </w:rPr>
      </w:pPr>
    </w:p>
    <w:p w14:paraId="0BD34E58">
      <w:pPr>
        <w:rPr>
          <w:rFonts w:hint="eastAsia" w:ascii="宋体" w:hAnsi="宋体" w:eastAsia="宋体" w:cs="宋体"/>
        </w:rPr>
      </w:pPr>
    </w:p>
    <w:p w14:paraId="67824719">
      <w:pPr>
        <w:rPr>
          <w:rFonts w:hint="eastAsia" w:ascii="宋体" w:hAnsi="宋体" w:eastAsia="宋体" w:cs="宋体"/>
        </w:rPr>
      </w:pPr>
    </w:p>
    <w:p w14:paraId="7F4EB722">
      <w:pPr>
        <w:rPr>
          <w:rFonts w:hint="eastAsia" w:ascii="宋体" w:hAnsi="宋体" w:eastAsia="宋体" w:cs="宋体"/>
        </w:rPr>
      </w:pPr>
    </w:p>
    <w:p w14:paraId="692052C6">
      <w:pPr>
        <w:rPr>
          <w:rFonts w:hint="eastAsia" w:ascii="宋体" w:hAnsi="宋体" w:eastAsia="宋体" w:cs="宋体"/>
        </w:rPr>
      </w:pPr>
    </w:p>
    <w:p w14:paraId="5C5130E9">
      <w:pPr>
        <w:jc w:val="center"/>
        <w:rPr>
          <w:rFonts w:hint="eastAsia" w:ascii="宋体" w:hAnsi="宋体" w:eastAsia="宋体" w:cs="宋体"/>
          <w:b/>
          <w:color w:val="auto"/>
          <w:sz w:val="32"/>
          <w:szCs w:val="32"/>
          <w:highlight w:val="none"/>
        </w:rPr>
        <w:sectPr>
          <w:footerReference r:id="rId5" w:type="default"/>
          <w:endnotePr>
            <w:numFmt w:val="decimal"/>
          </w:endnotePr>
          <w:pgSz w:w="11907" w:h="16840"/>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272" w:charSpace="0"/>
        </w:sectPr>
      </w:pPr>
    </w:p>
    <w:p w14:paraId="3D43F1EC">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b/>
          <w:color w:val="auto"/>
          <w:sz w:val="32"/>
          <w:szCs w:val="32"/>
          <w:highlight w:val="none"/>
        </w:rPr>
        <w:t>目    录</w:t>
      </w:r>
      <w:bookmarkStart w:id="0" w:name="_Hlt68775471"/>
      <w:bookmarkStart w:id="1" w:name="_Hlt69333523"/>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"1-4" \h \z </w:instrText>
      </w:r>
      <w:r>
        <w:rPr>
          <w:rFonts w:hint="eastAsia" w:ascii="宋体" w:hAnsi="宋体" w:eastAsia="宋体" w:cs="宋体"/>
          <w:color w:val="auto"/>
          <w:sz w:val="24"/>
          <w:szCs w:val="24"/>
          <w:highlight w:val="none"/>
        </w:rPr>
        <w:fldChar w:fldCharType="separate"/>
      </w:r>
    </w:p>
    <w:p w14:paraId="314A300A">
      <w:pPr>
        <w:pStyle w:val="24"/>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_Toc14401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rPr>
        <w:t xml:space="preserve">第一章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AD6C369">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_Toc11217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第一节   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_Toc11217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C08C22B">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_Toc32054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第二节   重要事项时间地点一览表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_Toc32054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05C08C">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_Toc29051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第三节   投标人须知正文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_Toc29051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F267D4A">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_Toc21821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1．项目概况、招标范围和标段划分、投标费用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_Toc21821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BA68094">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_Toc14971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2．投标人资格要求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_Toc14971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9F4E847">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_Toc8869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3．招标文件获取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_Toc8869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B622F01">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_Toc1576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4．工期要求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81F1FE0">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_Toc7308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．勘察、设计工程内容和质量标准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_Toc7308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7D4EFBB">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_Toc6084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6．现场踏勘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_Toc6084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E525447">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_Toc10080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7．招标文件的提问和答疑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_Toc10080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8EA5150">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_Toc32628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8．最高投标限价的确定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_Toc32628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CA7420E">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_Toc626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9．投标报价的约定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2B4412D">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_Toc14329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10．投标文件的编制要求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_Toc14329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D4ACBE9">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_Toc31569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11．电子投标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_Toc31569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A3C6CC5">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_Toc26419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12．投标文件的递交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_Toc26419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B4AD50">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_Toc7360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13．投标有效期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_Toc7360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0905A71">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_Toc32690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14．开标规定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_Toc32690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01F2756">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_Toc15996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15．评标</w:t>
      </w:r>
      <w:r>
        <w:rPr>
          <w:rFonts w:hint="eastAsia" w:ascii="宋体" w:hAnsi="宋体" w:eastAsia="宋体" w:cs="宋体"/>
          <w:bCs/>
          <w:kern w:val="0"/>
          <w:sz w:val="24"/>
          <w:szCs w:val="24"/>
          <w:highlight w:val="none"/>
          <w:lang w:eastAsia="zh-CN"/>
        </w:rPr>
        <w:t>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_Toc15996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8E533F6">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_Toc13287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16</w:t>
      </w:r>
      <w:r>
        <w:rPr>
          <w:rFonts w:hint="eastAsia" w:ascii="宋体" w:hAnsi="宋体" w:eastAsia="宋体" w:cs="宋体"/>
          <w:bCs/>
          <w:kern w:val="0"/>
          <w:sz w:val="24"/>
          <w:szCs w:val="24"/>
          <w:highlight w:val="none"/>
        </w:rPr>
        <w:t>．中标确认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3E07CEF">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_Toc17469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17．电子管理规定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_Toc17469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F9418B8">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_Toc28586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18．相关规定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_Toc28586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6D23D5C">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_Toc3462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19．其他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_Toc3462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8BF4E0F">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_Toc29495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第四节   评标定标办法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4BBFB8A">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_Toc25930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一、评标</w:t>
      </w:r>
      <w:r>
        <w:rPr>
          <w:rFonts w:hint="eastAsia" w:ascii="宋体" w:hAnsi="宋体" w:eastAsia="宋体" w:cs="宋体"/>
          <w:bCs/>
          <w:kern w:val="0"/>
          <w:sz w:val="24"/>
          <w:szCs w:val="24"/>
          <w:highlight w:val="none"/>
          <w:lang w:eastAsia="zh-CN"/>
        </w:rPr>
        <w:t>定标</w:t>
      </w:r>
      <w:r>
        <w:rPr>
          <w:rFonts w:hint="eastAsia" w:ascii="宋体" w:hAnsi="宋体" w:eastAsia="宋体" w:cs="宋体"/>
          <w:bCs/>
          <w:kern w:val="0"/>
          <w:sz w:val="24"/>
          <w:szCs w:val="24"/>
          <w:highlight w:val="none"/>
        </w:rPr>
        <w:t>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_Toc25930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2D39E61">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_Toc17102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定标</w:t>
      </w:r>
      <w:r>
        <w:rPr>
          <w:rFonts w:hint="eastAsia" w:ascii="宋体" w:hAnsi="宋体" w:eastAsia="宋体" w:cs="宋体"/>
          <w:bCs/>
          <w:kern w:val="0"/>
          <w:sz w:val="24"/>
          <w:szCs w:val="24"/>
          <w:highlight w:val="none"/>
          <w:lang w:eastAsia="zh-CN"/>
        </w:rPr>
        <w:t>规则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_Toc17102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39E4A80">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_Toc30580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eastAsia="zh-CN"/>
        </w:rPr>
        <w:t>三、评标细则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_Toc30580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DA0EAAE">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_Toc30876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第五节   否决投标条件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_Toc30876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BC7847F">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_Toc17350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1．资格评审环节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_Toc17350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6633F3">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_Toc12948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2．形式评审环节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_Toc12948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7983AE8">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_Toc182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3．响应性评审环节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0C2F9AC">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_Toc25694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rPr>
        <w:t>4．其他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_Toc25694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6001A3F">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_Toc13872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第六节   定标规定及细则（本项目采用票决数量法定标）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_Toc13872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8C9A571">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_Toc21902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eastAsia="zh-CN"/>
        </w:rPr>
        <w:t>确定</w:t>
      </w:r>
      <w:r>
        <w:rPr>
          <w:rFonts w:hint="eastAsia" w:ascii="宋体" w:hAnsi="宋体" w:eastAsia="宋体" w:cs="宋体"/>
          <w:bCs/>
          <w:kern w:val="0"/>
          <w:sz w:val="24"/>
          <w:szCs w:val="24"/>
          <w:highlight w:val="none"/>
        </w:rPr>
        <w:t>定标时间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_Toc21902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164A144">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_Toc22372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定标委员会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_Toc22372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D05CA71">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_Toc5823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组建招标监督小组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_Toc5823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875F674">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_Toc7179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4</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定标办法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_Toc7179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423969">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_Toc19519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5．定标细则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_Toc19519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6BB6FC4">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_Toc7367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6．定标结果公示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_Toc7367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70F0675">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_Toc25461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第七节   中标确认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_Toc25461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24C5622">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_Toc4999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中标人确定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_Toc4999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EB5DD31">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_Toc12333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异议和投诉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_Toc12333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200873F">
      <w:pPr>
        <w:pStyle w:val="1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_Toc26651 </w:instrText>
      </w:r>
      <w:r>
        <w:rPr>
          <w:rFonts w:hint="eastAsia" w:ascii="宋体" w:hAnsi="宋体" w:eastAsia="宋体" w:cs="宋体"/>
          <w:sz w:val="24"/>
          <w:szCs w:val="24"/>
          <w:highlight w:val="none"/>
        </w:rPr>
        <w:fldChar w:fldCharType="separate"/>
      </w:r>
      <w:r>
        <w:rPr>
          <w:rFonts w:hint="eastAsia" w:ascii="宋体" w:hAnsi="宋体" w:eastAsia="宋体" w:cs="宋体"/>
          <w:bCs/>
          <w:kern w:val="0"/>
          <w:sz w:val="24"/>
          <w:szCs w:val="24"/>
          <w:highlight w:val="none"/>
          <w:lang w:val="en-US" w:eastAsia="zh-CN"/>
        </w:rPr>
        <w:t>3</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废除授标及授标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78DB948">
      <w:pPr>
        <w:pStyle w:val="24"/>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_Toc6494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rPr>
        <w:t xml:space="preserve">第二章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中标人须知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_Toc6494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8CA1BF7">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_Toc12893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1．中标通知书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_Toc12893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CF15D5E">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_Toc31031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2．中标结果公示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_Toc31031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48469D6">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_Toc26259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3．履约保证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_Toc26259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2CB243E">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_Toc12912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4．合同订立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_Toc12912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713AC78">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_Toc17915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5．放弃中标的处理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_Toc17915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37C7DA0">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_Toc19753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6．专业工程分包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_Toc19753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9DDB9D1">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_Toc15518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7．项目管理机构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_Toc15518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7F56C42">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_Toc16367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8．监督实施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_Toc16367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A82E7A2">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_Toc24289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9．其他事项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_Toc24289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B4F0394">
      <w:pPr>
        <w:pStyle w:val="24"/>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_Toc28046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rPr>
        <w:t xml:space="preserve">第三章 </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拟签订合同的主要条款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_Toc28046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F4A042E">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_Toc3177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1．承包方式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_Toc3177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B54B82">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_Toc26338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2．合同价款支付办法及结算原则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_Toc26338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F5CFB26">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_Toc11083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3．最终以合同签订为准（由招标人自行补充）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_Toc11083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77C98F5">
      <w:pPr>
        <w:pStyle w:val="24"/>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_Toc14278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rPr>
        <w:t>第四章   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_Toc14278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7136DBE">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_Toc17829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1．工程的技术要求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_Toc17829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0FB048B">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_Toc199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2．备查要求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B7B0792">
      <w:pPr>
        <w:pStyle w:val="24"/>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_Toc25872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rPr>
        <w:t>第五章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_Toc25872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8C5CC90">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_Toc27480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格式一   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_Toc27480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3D7E865">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_Toc8842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格式二   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_Toc8842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945AF3F">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_Toc13446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格式三   工程项目报价表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_Toc13446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705448F">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_Toc22218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格式四   各项承诺一览表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043E5D3">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_Toc10889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格式五   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_Toc10889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7454888">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_Toc30236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格式六   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_Toc30236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3EA9E66">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_Toc7076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格式七   联合体协议书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_Toc7076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447F4B3">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_Toc15415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格式八   投标人基本情况表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_Toc15415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AFCA443">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_Toc26925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格式九   设计/勘察负责人简历表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_Toc26925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60E9AB6">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_Toc12205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格式十   本项目拟投入的人员基本情况表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_Toc12205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6546F6A">
      <w:pPr>
        <w:pStyle w:val="26"/>
        <w:tabs>
          <w:tab w:val="right" w:leader="dot" w:pos="9639"/>
        </w:tabs>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_Toc18361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lang w:val="en-US" w:eastAsia="zh-CN"/>
        </w:rPr>
        <w:t>格式十一   定标因素评审资料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_Toc18361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1FD134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end"/>
      </w:r>
      <w:bookmarkEnd w:id="0"/>
      <w:bookmarkEnd w:id="1"/>
    </w:p>
    <w:p w14:paraId="4B5A2CAA">
      <w:pPr>
        <w:rPr>
          <w:rFonts w:hint="eastAsia" w:ascii="宋体" w:hAnsi="宋体" w:eastAsia="宋体" w:cs="宋体"/>
        </w:rPr>
      </w:pPr>
    </w:p>
    <w:p w14:paraId="7C38E9C9">
      <w:pPr>
        <w:rPr>
          <w:rFonts w:hint="eastAsia" w:ascii="宋体" w:hAnsi="宋体" w:eastAsia="宋体" w:cs="宋体"/>
        </w:rPr>
      </w:pPr>
    </w:p>
    <w:p w14:paraId="3B26C671">
      <w:pPr>
        <w:rPr>
          <w:rFonts w:hint="eastAsia" w:ascii="宋体" w:hAnsi="宋体" w:eastAsia="宋体" w:cs="宋体"/>
        </w:rPr>
      </w:pPr>
    </w:p>
    <w:p w14:paraId="0975CCC7">
      <w:pPr>
        <w:rPr>
          <w:rFonts w:hint="eastAsia" w:ascii="宋体" w:hAnsi="宋体" w:eastAsia="宋体" w:cs="宋体"/>
        </w:rPr>
      </w:pPr>
    </w:p>
    <w:p w14:paraId="3DD45294">
      <w:pPr>
        <w:rPr>
          <w:rFonts w:hint="eastAsia" w:ascii="宋体" w:hAnsi="宋体" w:eastAsia="宋体" w:cs="宋体"/>
        </w:rPr>
      </w:pPr>
    </w:p>
    <w:p w14:paraId="1F3841D8">
      <w:pPr>
        <w:rPr>
          <w:rFonts w:hint="eastAsia" w:ascii="宋体" w:hAnsi="宋体" w:eastAsia="宋体" w:cs="宋体"/>
        </w:rPr>
      </w:pPr>
    </w:p>
    <w:p w14:paraId="12237B0D">
      <w:pPr>
        <w:rPr>
          <w:rFonts w:hint="eastAsia" w:ascii="宋体" w:hAnsi="宋体" w:eastAsia="宋体" w:cs="宋体"/>
        </w:rPr>
      </w:pPr>
    </w:p>
    <w:p w14:paraId="2421A54A">
      <w:pPr>
        <w:pStyle w:val="4"/>
        <w:keepNext/>
        <w:keepLines w:val="0"/>
        <w:pageBreakBefore w:val="0"/>
        <w:shd w:val="clear" w:color="auto" w:fill="auto"/>
        <w:tabs>
          <w:tab w:val="left" w:pos="1830"/>
        </w:tabs>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color w:val="auto"/>
          <w:kern w:val="2"/>
          <w:sz w:val="32"/>
          <w:szCs w:val="32"/>
          <w:highlight w:val="none"/>
        </w:rPr>
        <w:sectPr>
          <w:footerReference r:id="rId6" w:type="default"/>
          <w:endnotePr>
            <w:numFmt w:val="decimal"/>
          </w:endnotePr>
          <w:pgSz w:w="11907" w:h="16840"/>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272" w:charSpace="0"/>
        </w:sectPr>
      </w:pPr>
      <w:bookmarkStart w:id="2" w:name="_Toc14401"/>
      <w:bookmarkStart w:id="3" w:name="_Toc459"/>
      <w:bookmarkStart w:id="4" w:name="_Toc476739600"/>
      <w:bookmarkStart w:id="5" w:name="_Hlt111690251"/>
    </w:p>
    <w:p w14:paraId="2F7C6705">
      <w:pPr>
        <w:pStyle w:val="4"/>
        <w:keepNext/>
        <w:keepLines w:val="0"/>
        <w:pageBreakBefore w:val="0"/>
        <w:shd w:val="clear" w:color="auto" w:fill="auto"/>
        <w:tabs>
          <w:tab w:val="left" w:pos="1830"/>
        </w:tabs>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 xml:space="preserve">第一章 </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投标人须知</w:t>
      </w:r>
      <w:bookmarkEnd w:id="2"/>
      <w:bookmarkEnd w:id="3"/>
      <w:bookmarkEnd w:id="4"/>
    </w:p>
    <w:p w14:paraId="1FAC6852">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6" w:name="_Hlt127175444"/>
      <w:bookmarkEnd w:id="6"/>
      <w:bookmarkStart w:id="7" w:name="_Toc11217"/>
      <w:bookmarkStart w:id="8" w:name="_Toc1510"/>
      <w:bookmarkStart w:id="9" w:name="_Hlt120077520"/>
      <w:r>
        <w:rPr>
          <w:rFonts w:hint="eastAsia" w:ascii="宋体" w:hAnsi="宋体" w:eastAsia="宋体" w:cs="宋体"/>
          <w:b/>
          <w:color w:val="auto"/>
          <w:kern w:val="2"/>
          <w:sz w:val="28"/>
          <w:szCs w:val="24"/>
          <w:lang w:val="en-US" w:eastAsia="zh-CN"/>
        </w:rPr>
        <w:t>第一节   投标人须知前附表</w:t>
      </w:r>
      <w:bookmarkEnd w:id="7"/>
      <w:bookmarkEnd w:id="8"/>
    </w:p>
    <w:tbl>
      <w:tblPr>
        <w:tblStyle w:val="34"/>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99"/>
        <w:gridCol w:w="7543"/>
      </w:tblGrid>
      <w:tr w14:paraId="1BA2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57D66C28">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序号</w:t>
            </w:r>
          </w:p>
        </w:tc>
        <w:tc>
          <w:tcPr>
            <w:tcW w:w="1699" w:type="dxa"/>
            <w:shd w:val="clear" w:color="auto" w:fill="auto"/>
            <w:vAlign w:val="center"/>
          </w:tcPr>
          <w:p w14:paraId="7CF04732">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内容</w:t>
            </w:r>
          </w:p>
        </w:tc>
        <w:tc>
          <w:tcPr>
            <w:tcW w:w="7543" w:type="dxa"/>
            <w:shd w:val="clear" w:color="auto" w:fill="auto"/>
            <w:vAlign w:val="center"/>
          </w:tcPr>
          <w:p w14:paraId="3390E1CC">
            <w:pPr>
              <w:tabs>
                <w:tab w:val="left" w:pos="1180"/>
              </w:tabs>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说明与要求</w:t>
            </w:r>
          </w:p>
        </w:tc>
      </w:tr>
      <w:tr w14:paraId="523A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37B877FA">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1699" w:type="dxa"/>
            <w:shd w:val="clear" w:color="auto" w:fill="auto"/>
            <w:vAlign w:val="center"/>
          </w:tcPr>
          <w:p w14:paraId="17F70B85">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项目名称</w:t>
            </w:r>
          </w:p>
        </w:tc>
        <w:tc>
          <w:tcPr>
            <w:tcW w:w="7543" w:type="dxa"/>
            <w:shd w:val="clear" w:color="auto" w:fill="auto"/>
            <w:vAlign w:val="center"/>
          </w:tcPr>
          <w:p w14:paraId="6A87F320">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韶关市浈江区大数据产业基础设施工程勘察、设计</w:t>
            </w:r>
          </w:p>
        </w:tc>
      </w:tr>
      <w:tr w14:paraId="44B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6186084F">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1699" w:type="dxa"/>
            <w:shd w:val="clear" w:color="auto" w:fill="auto"/>
            <w:vAlign w:val="center"/>
          </w:tcPr>
          <w:p w14:paraId="5CD6E3D3">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项目业主</w:t>
            </w:r>
          </w:p>
        </w:tc>
        <w:tc>
          <w:tcPr>
            <w:tcW w:w="7543" w:type="dxa"/>
            <w:shd w:val="clear" w:color="auto" w:fill="auto"/>
            <w:vAlign w:val="center"/>
          </w:tcPr>
          <w:p w14:paraId="623D6647">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eastAsia="zh-CN"/>
              </w:rPr>
              <w:t>韶关市浈江区鸿通投资有限公司</w:t>
            </w:r>
          </w:p>
        </w:tc>
      </w:tr>
      <w:tr w14:paraId="636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09315240">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1699" w:type="dxa"/>
            <w:shd w:val="clear" w:color="auto" w:fill="auto"/>
            <w:vAlign w:val="center"/>
          </w:tcPr>
          <w:p w14:paraId="295F71E0">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项目批准部门</w:t>
            </w:r>
          </w:p>
        </w:tc>
        <w:tc>
          <w:tcPr>
            <w:tcW w:w="7543" w:type="dxa"/>
            <w:shd w:val="clear" w:color="auto" w:fill="auto"/>
            <w:vAlign w:val="center"/>
          </w:tcPr>
          <w:p w14:paraId="12B14794">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韶关市浈江区发展和改革局</w:t>
            </w:r>
          </w:p>
        </w:tc>
      </w:tr>
      <w:tr w14:paraId="3898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3CA8D015">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1699" w:type="dxa"/>
            <w:shd w:val="clear" w:color="auto" w:fill="auto"/>
            <w:vAlign w:val="center"/>
          </w:tcPr>
          <w:p w14:paraId="7E1D54E6">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项目批准文号</w:t>
            </w:r>
          </w:p>
        </w:tc>
        <w:tc>
          <w:tcPr>
            <w:tcW w:w="7543" w:type="dxa"/>
            <w:shd w:val="clear" w:color="auto" w:fill="auto"/>
            <w:vAlign w:val="center"/>
          </w:tcPr>
          <w:p w14:paraId="172FC5ED">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韶浈发改投审〔2026〕27号</w:t>
            </w:r>
          </w:p>
        </w:tc>
      </w:tr>
      <w:tr w14:paraId="504F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7EE73063">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1699" w:type="dxa"/>
            <w:shd w:val="clear" w:color="auto" w:fill="auto"/>
            <w:vAlign w:val="center"/>
          </w:tcPr>
          <w:p w14:paraId="40084B56">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项目代码</w:t>
            </w:r>
          </w:p>
        </w:tc>
        <w:tc>
          <w:tcPr>
            <w:tcW w:w="7543" w:type="dxa"/>
            <w:shd w:val="clear" w:color="auto" w:fill="auto"/>
            <w:vAlign w:val="center"/>
          </w:tcPr>
          <w:p w14:paraId="1E81F465">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2603-440204-04-01-645031</w:t>
            </w:r>
          </w:p>
        </w:tc>
      </w:tr>
      <w:tr w14:paraId="3AA1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37E7858C">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w:t>
            </w:r>
          </w:p>
        </w:tc>
        <w:tc>
          <w:tcPr>
            <w:tcW w:w="1699" w:type="dxa"/>
            <w:shd w:val="clear" w:color="auto" w:fill="auto"/>
            <w:vAlign w:val="center"/>
          </w:tcPr>
          <w:p w14:paraId="233E1718">
            <w:pPr>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14:paraId="047BE6A1">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及出资比例</w:t>
            </w:r>
          </w:p>
        </w:tc>
        <w:tc>
          <w:tcPr>
            <w:tcW w:w="7543" w:type="dxa"/>
            <w:shd w:val="clear" w:color="auto" w:fill="auto"/>
            <w:vAlign w:val="center"/>
          </w:tcPr>
          <w:p w14:paraId="67AB8847">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由上级财政投资、地方配套和自筹安排解决，100%。</w:t>
            </w:r>
          </w:p>
        </w:tc>
      </w:tr>
      <w:tr w14:paraId="7A76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0694F8EB">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7</w:t>
            </w:r>
          </w:p>
        </w:tc>
        <w:tc>
          <w:tcPr>
            <w:tcW w:w="1699" w:type="dxa"/>
            <w:shd w:val="clear" w:color="auto" w:fill="auto"/>
            <w:vAlign w:val="center"/>
          </w:tcPr>
          <w:p w14:paraId="1CF7F7C0">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招标人</w:t>
            </w:r>
          </w:p>
        </w:tc>
        <w:tc>
          <w:tcPr>
            <w:tcW w:w="7543" w:type="dxa"/>
            <w:shd w:val="clear" w:color="auto" w:fill="auto"/>
            <w:vAlign w:val="center"/>
          </w:tcPr>
          <w:p w14:paraId="4B2599D3">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韶关市浈江区鸿通投资有限公司</w:t>
            </w:r>
          </w:p>
        </w:tc>
      </w:tr>
      <w:tr w14:paraId="3C1B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100A52C3">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w:t>
            </w:r>
          </w:p>
        </w:tc>
        <w:tc>
          <w:tcPr>
            <w:tcW w:w="1699" w:type="dxa"/>
            <w:shd w:val="clear" w:color="auto" w:fill="auto"/>
            <w:vAlign w:val="center"/>
          </w:tcPr>
          <w:p w14:paraId="1430FF54">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招标代理机构</w:t>
            </w:r>
          </w:p>
        </w:tc>
        <w:tc>
          <w:tcPr>
            <w:tcW w:w="7543" w:type="dxa"/>
            <w:shd w:val="clear" w:color="auto" w:fill="auto"/>
            <w:vAlign w:val="center"/>
          </w:tcPr>
          <w:p w14:paraId="460438DD">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广东合正项目管理有限公司</w:t>
            </w:r>
          </w:p>
        </w:tc>
      </w:tr>
      <w:tr w14:paraId="484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0A22A587">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9</w:t>
            </w:r>
          </w:p>
        </w:tc>
        <w:tc>
          <w:tcPr>
            <w:tcW w:w="1699" w:type="dxa"/>
            <w:shd w:val="clear" w:color="auto" w:fill="auto"/>
            <w:vAlign w:val="center"/>
          </w:tcPr>
          <w:p w14:paraId="538B1CD9">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建设地点</w:t>
            </w:r>
          </w:p>
        </w:tc>
        <w:tc>
          <w:tcPr>
            <w:tcW w:w="7543" w:type="dxa"/>
            <w:shd w:val="clear" w:color="auto" w:fill="auto"/>
            <w:vAlign w:val="center"/>
          </w:tcPr>
          <w:p w14:paraId="79F00A0E">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韶关市浈江区新韶镇大学路片区</w:t>
            </w:r>
          </w:p>
        </w:tc>
      </w:tr>
      <w:tr w14:paraId="1E71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696D5EB3">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10</w:t>
            </w:r>
          </w:p>
        </w:tc>
        <w:tc>
          <w:tcPr>
            <w:tcW w:w="1699" w:type="dxa"/>
            <w:shd w:val="clear" w:color="auto" w:fill="auto"/>
            <w:vAlign w:val="center"/>
          </w:tcPr>
          <w:p w14:paraId="5070A92D">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建设内容和规模</w:t>
            </w:r>
          </w:p>
        </w:tc>
        <w:tc>
          <w:tcPr>
            <w:tcW w:w="7543" w:type="dxa"/>
            <w:shd w:val="clear" w:color="auto" w:fill="auto"/>
            <w:vAlign w:val="center"/>
          </w:tcPr>
          <w:p w14:paraId="41FB3822">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本次招标建设内容：</w:t>
            </w:r>
            <w:r>
              <w:rPr>
                <w:rFonts w:hint="eastAsia" w:ascii="宋体" w:hAnsi="宋体" w:eastAsia="宋体" w:cs="宋体"/>
                <w:color w:val="auto"/>
                <w:sz w:val="24"/>
                <w:szCs w:val="24"/>
                <w:highlight w:val="none"/>
                <w:lang w:val="en-US" w:eastAsia="zh-CN"/>
              </w:rPr>
              <w:t>包括场地平整及边坡防护、新建园区道路及配套</w:t>
            </w:r>
            <w:r>
              <w:rPr>
                <w:rFonts w:hint="eastAsia" w:ascii="宋体" w:hAnsi="宋体" w:cs="宋体"/>
                <w:color w:val="auto"/>
                <w:sz w:val="24"/>
                <w:szCs w:val="24"/>
                <w:highlight w:val="none"/>
                <w:lang w:val="en-US" w:eastAsia="zh-CN"/>
              </w:rPr>
              <w:t>设施</w:t>
            </w:r>
            <w:r>
              <w:rPr>
                <w:rFonts w:hint="eastAsia" w:ascii="宋体" w:hAnsi="宋体" w:eastAsia="宋体" w:cs="宋体"/>
                <w:color w:val="auto"/>
                <w:sz w:val="24"/>
                <w:szCs w:val="24"/>
                <w:highlight w:val="none"/>
                <w:lang w:val="en-US" w:eastAsia="zh-CN"/>
              </w:rPr>
              <w:t>。其中项目场地平整3780亩，总挖填方约998万立方米；新建7条园区道路及配套</w:t>
            </w:r>
            <w:r>
              <w:rPr>
                <w:rFonts w:hint="eastAsia" w:ascii="宋体" w:hAnsi="宋体" w:cs="宋体"/>
                <w:color w:val="auto"/>
                <w:sz w:val="24"/>
                <w:szCs w:val="24"/>
                <w:highlight w:val="none"/>
                <w:lang w:val="en-US" w:eastAsia="zh-CN"/>
              </w:rPr>
              <w:t>设施</w:t>
            </w:r>
            <w:r>
              <w:rPr>
                <w:rFonts w:hint="eastAsia" w:ascii="宋体" w:hAnsi="宋体" w:eastAsia="宋体" w:cs="宋体"/>
                <w:color w:val="auto"/>
                <w:sz w:val="24"/>
                <w:szCs w:val="24"/>
                <w:highlight w:val="none"/>
                <w:lang w:val="en-US" w:eastAsia="zh-CN"/>
              </w:rPr>
              <w:t>，道路总长度约9.56km。</w:t>
            </w:r>
          </w:p>
        </w:tc>
      </w:tr>
      <w:tr w14:paraId="1767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6B145242">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11</w:t>
            </w:r>
          </w:p>
        </w:tc>
        <w:tc>
          <w:tcPr>
            <w:tcW w:w="1699" w:type="dxa"/>
            <w:shd w:val="clear" w:color="auto" w:fill="auto"/>
            <w:vAlign w:val="center"/>
          </w:tcPr>
          <w:p w14:paraId="5F25E22D">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项目总投资</w:t>
            </w:r>
          </w:p>
        </w:tc>
        <w:tc>
          <w:tcPr>
            <w:tcW w:w="7543" w:type="dxa"/>
            <w:shd w:val="clear" w:color="auto" w:fill="auto"/>
            <w:vAlign w:val="center"/>
          </w:tcPr>
          <w:p w14:paraId="5946E91E">
            <w:pPr>
              <w:keepNext w:val="0"/>
              <w:keepLines w:val="0"/>
              <w:pageBreakBefore w:val="0"/>
              <w:tabs>
                <w:tab w:val="left" w:pos="1180"/>
              </w:tabs>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项目估算总投资225420.30万元，其中：工程费158174.86万元、工程建设其他费用39165.95万元、预备费9040.49万元。</w:t>
            </w:r>
          </w:p>
        </w:tc>
      </w:tr>
      <w:tr w14:paraId="4FE0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140064D1">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12</w:t>
            </w:r>
          </w:p>
        </w:tc>
        <w:tc>
          <w:tcPr>
            <w:tcW w:w="1699" w:type="dxa"/>
            <w:shd w:val="clear" w:color="auto" w:fill="auto"/>
            <w:vAlign w:val="center"/>
          </w:tcPr>
          <w:p w14:paraId="3A1A6F62">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招标范围</w:t>
            </w:r>
          </w:p>
        </w:tc>
        <w:tc>
          <w:tcPr>
            <w:tcW w:w="7543" w:type="dxa"/>
            <w:shd w:val="clear" w:color="auto" w:fill="auto"/>
            <w:vAlign w:val="center"/>
          </w:tcPr>
          <w:p w14:paraId="3CB723A8">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本工程所涉及的内容包括但不限于以下（1）和（2）：</w:t>
            </w:r>
          </w:p>
          <w:p w14:paraId="16CF5A5A">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（1）勘察部分：工程岩土勘察（包括初步勘察、详细勘察）；</w:t>
            </w:r>
          </w:p>
          <w:p w14:paraId="19596050">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（2）设计部分：确保项目顺利实施的报建、施工等所需的设计文件，所涉及的内容包括但不限于以下：</w:t>
            </w:r>
          </w:p>
          <w:p w14:paraId="66556BC9">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①设计方案（含效果图）、初步设计（含概算）；</w:t>
            </w:r>
          </w:p>
          <w:p w14:paraId="0B4CB2C6">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②施工图设计（施工图设计范围为本次招标设计范围的所有内容，施工图送审并确保审查合格）；</w:t>
            </w:r>
          </w:p>
          <w:p w14:paraId="48721D63">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③调整并优化设计和在工程施工期间指导和解决施工难题；</w:t>
            </w:r>
          </w:p>
          <w:p w14:paraId="1A3915F2">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④完成招标人</w:t>
            </w:r>
            <w:r>
              <w:rPr>
                <w:rFonts w:hint="eastAsia" w:ascii="宋体" w:hAnsi="宋体" w:eastAsia="宋体" w:cs="宋体"/>
                <w:color w:val="auto"/>
                <w:sz w:val="24"/>
                <w:szCs w:val="24"/>
                <w:highlight w:val="none"/>
              </w:rPr>
              <w:t>提出的与项目相关并确保项目顺利实施的其他要求。</w:t>
            </w:r>
          </w:p>
        </w:tc>
      </w:tr>
      <w:tr w14:paraId="1CB1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74662647">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13</w:t>
            </w:r>
          </w:p>
        </w:tc>
        <w:tc>
          <w:tcPr>
            <w:tcW w:w="1699" w:type="dxa"/>
            <w:shd w:val="clear" w:color="auto" w:fill="auto"/>
            <w:vAlign w:val="center"/>
          </w:tcPr>
          <w:p w14:paraId="7868F98B">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标段划分</w:t>
            </w:r>
          </w:p>
        </w:tc>
        <w:tc>
          <w:tcPr>
            <w:tcW w:w="7543" w:type="dxa"/>
            <w:shd w:val="clear" w:color="auto" w:fill="auto"/>
            <w:vAlign w:val="center"/>
          </w:tcPr>
          <w:p w14:paraId="0582CD2C">
            <w:pPr>
              <w:keepNext w:val="0"/>
              <w:keepLines w:val="0"/>
              <w:pageBreakBefore w:val="0"/>
              <w:kinsoku/>
              <w:wordWrap w:val="0"/>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本招标项目不划分标段。</w:t>
            </w:r>
          </w:p>
        </w:tc>
      </w:tr>
      <w:tr w14:paraId="7682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422D9841">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14</w:t>
            </w:r>
          </w:p>
        </w:tc>
        <w:tc>
          <w:tcPr>
            <w:tcW w:w="1699" w:type="dxa"/>
            <w:shd w:val="clear" w:color="auto" w:fill="auto"/>
            <w:vAlign w:val="center"/>
          </w:tcPr>
          <w:p w14:paraId="48A5CC02">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工期</w:t>
            </w:r>
          </w:p>
        </w:tc>
        <w:tc>
          <w:tcPr>
            <w:tcW w:w="7543" w:type="dxa"/>
            <w:shd w:val="clear" w:color="auto" w:fill="auto"/>
            <w:vAlign w:val="center"/>
          </w:tcPr>
          <w:p w14:paraId="078907F3">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招标项目勘察、设计工期：</w:t>
            </w:r>
            <w:r>
              <w:rPr>
                <w:rFonts w:hint="eastAsia" w:ascii="宋体" w:hAnsi="宋体" w:cs="宋体"/>
                <w:color w:val="auto"/>
                <w:sz w:val="24"/>
                <w:szCs w:val="24"/>
                <w:highlight w:val="none"/>
                <w:lang w:val="en-US" w:eastAsia="zh-CN"/>
              </w:rPr>
              <w:t>120个日历天</w:t>
            </w:r>
            <w:r>
              <w:rPr>
                <w:rFonts w:hint="eastAsia" w:ascii="宋体" w:hAnsi="宋体" w:eastAsia="宋体" w:cs="宋体"/>
                <w:color w:val="auto"/>
                <w:sz w:val="24"/>
                <w:szCs w:val="24"/>
                <w:highlight w:val="none"/>
                <w:lang w:val="en-US" w:eastAsia="zh-CN"/>
              </w:rPr>
              <w:t>，各阶段实施期限如下：</w:t>
            </w:r>
          </w:p>
          <w:p w14:paraId="4ADA58BD">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（1）勘察阶段：从中标通知书发出之日起30个日历天提交勘察成果文件等；</w:t>
            </w:r>
          </w:p>
          <w:p w14:paraId="2219375F">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（2）初步设计</w:t>
            </w:r>
            <w:r>
              <w:rPr>
                <w:rFonts w:hint="eastAsia" w:ascii="宋体" w:hAnsi="宋体" w:cs="宋体"/>
                <w:color w:val="auto"/>
                <w:sz w:val="24"/>
                <w:szCs w:val="24"/>
                <w:highlight w:val="none"/>
                <w:lang w:val="en-US" w:eastAsia="zh-CN"/>
              </w:rPr>
              <w:t>阶段：从提交勘察成果文件之日起45个日历天内提交初步设计</w:t>
            </w:r>
            <w:r>
              <w:rPr>
                <w:rFonts w:hint="eastAsia" w:ascii="宋体" w:hAnsi="宋体" w:eastAsia="宋体" w:cs="宋体"/>
                <w:color w:val="auto"/>
                <w:sz w:val="24"/>
                <w:szCs w:val="24"/>
                <w:highlight w:val="none"/>
                <w:lang w:val="en-US" w:eastAsia="zh-CN"/>
              </w:rPr>
              <w:t>（含概算）</w:t>
            </w:r>
            <w:r>
              <w:rPr>
                <w:rFonts w:hint="eastAsia" w:ascii="宋体" w:hAnsi="宋体" w:cs="宋体"/>
                <w:color w:val="auto"/>
                <w:sz w:val="24"/>
                <w:szCs w:val="24"/>
                <w:highlight w:val="none"/>
                <w:lang w:val="en-US" w:eastAsia="zh-CN"/>
              </w:rPr>
              <w:t>；</w:t>
            </w:r>
          </w:p>
          <w:p w14:paraId="0F2551C0">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施工图设计阶段：从初步设计评审完成之日起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个日历天完成施工图设计；</w:t>
            </w:r>
          </w:p>
          <w:p w14:paraId="0972B00B">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（3）施工图修编：出具施工图审查意见后</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个日历天内完成施工图修编；</w:t>
            </w:r>
          </w:p>
          <w:p w14:paraId="05F66840">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（4）施工现场配合服务：项目施工及缺陷责任期内。</w:t>
            </w:r>
          </w:p>
          <w:p w14:paraId="1EB47990">
            <w:pPr>
              <w:keepNext w:val="0"/>
              <w:keepLines w:val="0"/>
              <w:pageBreakBefore w:val="0"/>
              <w:kinsoku/>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注：因本项目分</w:t>
            </w:r>
            <w:r>
              <w:rPr>
                <w:rFonts w:hint="eastAsia" w:ascii="宋体" w:hAnsi="宋体" w:cs="宋体"/>
                <w:color w:val="auto"/>
                <w:sz w:val="24"/>
                <w:szCs w:val="24"/>
                <w:highlight w:val="none"/>
                <w:lang w:val="en-US" w:eastAsia="zh-CN"/>
              </w:rPr>
              <w:t>阶段</w:t>
            </w:r>
            <w:r>
              <w:rPr>
                <w:rFonts w:hint="eastAsia" w:ascii="宋体" w:hAnsi="宋体" w:eastAsia="宋体" w:cs="宋体"/>
                <w:color w:val="auto"/>
                <w:sz w:val="24"/>
                <w:szCs w:val="24"/>
                <w:highlight w:val="none"/>
                <w:lang w:val="en-US" w:eastAsia="zh-CN"/>
              </w:rPr>
              <w:t>实施，工期根据业主实际</w:t>
            </w:r>
            <w:r>
              <w:rPr>
                <w:rFonts w:hint="eastAsia" w:ascii="宋体" w:hAnsi="宋体" w:eastAsia="宋体" w:cs="宋体"/>
                <w:bCs/>
                <w:snapToGrid w:val="0"/>
                <w:color w:val="auto"/>
                <w:kern w:val="0"/>
                <w:sz w:val="24"/>
                <w:szCs w:val="24"/>
                <w:highlight w:val="none"/>
                <w:lang w:eastAsia="zh-CN"/>
              </w:rPr>
              <w:t>项目要求进行调整。</w:t>
            </w:r>
          </w:p>
        </w:tc>
      </w:tr>
      <w:tr w14:paraId="3A5A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47D32FC8">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15</w:t>
            </w:r>
          </w:p>
        </w:tc>
        <w:tc>
          <w:tcPr>
            <w:tcW w:w="1699" w:type="dxa"/>
            <w:shd w:val="clear" w:color="auto" w:fill="auto"/>
            <w:vAlign w:val="center"/>
          </w:tcPr>
          <w:p w14:paraId="1EE94BC6">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质量标准</w:t>
            </w:r>
          </w:p>
        </w:tc>
        <w:tc>
          <w:tcPr>
            <w:tcW w:w="7543" w:type="dxa"/>
            <w:shd w:val="clear" w:color="auto" w:fill="auto"/>
            <w:vAlign w:val="center"/>
          </w:tcPr>
          <w:p w14:paraId="5295CD44">
            <w:pPr>
              <w:keepNext w:val="0"/>
              <w:keepLines w:val="0"/>
              <w:pageBreakBefore w:val="0"/>
              <w:kinsoku/>
              <w:wordWrap w:val="0"/>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勘察要求：</w:t>
            </w:r>
            <w:r>
              <w:rPr>
                <w:rFonts w:hint="eastAsia" w:ascii="宋体" w:hAnsi="宋体" w:eastAsia="宋体" w:cs="宋体"/>
                <w:snapToGrid w:val="0"/>
                <w:color w:val="auto"/>
                <w:kern w:val="0"/>
                <w:sz w:val="24"/>
                <w:szCs w:val="24"/>
                <w:highlight w:val="none"/>
                <w:lang w:eastAsia="zh-CN"/>
              </w:rPr>
              <w:t>符合国家及住建部门颁布的现行有关勘察规范、标准要求</w:t>
            </w:r>
            <w:r>
              <w:rPr>
                <w:rFonts w:hint="eastAsia" w:ascii="宋体" w:hAnsi="宋体" w:eastAsia="宋体" w:cs="宋体"/>
                <w:snapToGrid w:val="0"/>
                <w:color w:val="auto"/>
                <w:kern w:val="0"/>
                <w:sz w:val="24"/>
                <w:szCs w:val="24"/>
                <w:highlight w:val="none"/>
              </w:rPr>
              <w:t>。</w:t>
            </w:r>
          </w:p>
          <w:p w14:paraId="365CD204">
            <w:pPr>
              <w:keepNext w:val="0"/>
              <w:keepLines w:val="0"/>
              <w:pageBreakBefore w:val="0"/>
              <w:kinsoku/>
              <w:wordWrap w:val="0"/>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设计要求：</w:t>
            </w:r>
            <w:r>
              <w:rPr>
                <w:rFonts w:hint="eastAsia" w:ascii="宋体" w:hAnsi="宋体" w:eastAsia="宋体" w:cs="宋体"/>
                <w:snapToGrid w:val="0"/>
                <w:color w:val="auto"/>
                <w:kern w:val="0"/>
                <w:sz w:val="24"/>
                <w:szCs w:val="24"/>
                <w:highlight w:val="none"/>
                <w:lang w:eastAsia="zh-CN"/>
              </w:rPr>
              <w:t>符合国家及地方现行有效的有关设计规范、标准、规定等，必须通过有关部门的审查及经有资质的审图机构审查合格</w:t>
            </w:r>
            <w:r>
              <w:rPr>
                <w:rFonts w:hint="eastAsia" w:ascii="宋体" w:hAnsi="宋体" w:eastAsia="宋体" w:cs="宋体"/>
                <w:snapToGrid w:val="0"/>
                <w:color w:val="auto"/>
                <w:kern w:val="0"/>
                <w:sz w:val="24"/>
                <w:szCs w:val="24"/>
                <w:highlight w:val="none"/>
              </w:rPr>
              <w:t>。</w:t>
            </w:r>
          </w:p>
        </w:tc>
      </w:tr>
      <w:tr w14:paraId="6234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3229008A">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6</w:t>
            </w:r>
          </w:p>
        </w:tc>
        <w:tc>
          <w:tcPr>
            <w:tcW w:w="1699" w:type="dxa"/>
            <w:shd w:val="clear" w:color="auto" w:fill="auto"/>
            <w:vAlign w:val="center"/>
          </w:tcPr>
          <w:p w14:paraId="4E6473A6">
            <w:pPr>
              <w:wordWrap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最高投标限价</w:t>
            </w:r>
          </w:p>
        </w:tc>
        <w:tc>
          <w:tcPr>
            <w:tcW w:w="7543" w:type="dxa"/>
            <w:shd w:val="clear" w:color="auto" w:fill="auto"/>
            <w:vAlign w:val="center"/>
          </w:tcPr>
          <w:p w14:paraId="14DC5FC6">
            <w:pPr>
              <w:keepNext w:val="0"/>
              <w:keepLines w:val="0"/>
              <w:pageBreakBefore w:val="0"/>
              <w:kinsoku/>
              <w:wordWrap w:val="0"/>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sz w:val="24"/>
                <w:szCs w:val="24"/>
                <w:highlight w:val="none"/>
              </w:rPr>
              <w:t>详见招标文件“</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最高投标限价的确定”</w:t>
            </w:r>
          </w:p>
        </w:tc>
      </w:tr>
      <w:tr w14:paraId="1AAE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5D0899F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7</w:t>
            </w:r>
          </w:p>
        </w:tc>
        <w:tc>
          <w:tcPr>
            <w:tcW w:w="1699" w:type="dxa"/>
            <w:shd w:val="clear" w:color="auto" w:fill="auto"/>
            <w:vAlign w:val="center"/>
          </w:tcPr>
          <w:p w14:paraId="2933A04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投标人资格要求</w:t>
            </w:r>
          </w:p>
        </w:tc>
        <w:tc>
          <w:tcPr>
            <w:tcW w:w="7543" w:type="dxa"/>
            <w:shd w:val="clear" w:color="auto" w:fill="auto"/>
            <w:vAlign w:val="center"/>
          </w:tcPr>
          <w:p w14:paraId="368C7D4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本工程</w:t>
            </w:r>
            <w:r>
              <w:rPr>
                <w:rFonts w:hint="eastAsia" w:ascii="宋体" w:hAnsi="宋体" w:eastAsia="宋体" w:cs="宋体"/>
                <w:color w:val="auto"/>
                <w:kern w:val="0"/>
                <w:sz w:val="24"/>
                <w:szCs w:val="24"/>
                <w:highlight w:val="none"/>
                <w:u w:val="single"/>
              </w:rPr>
              <w:t>接受</w:t>
            </w:r>
            <w:r>
              <w:rPr>
                <w:rFonts w:hint="eastAsia" w:ascii="宋体" w:hAnsi="宋体" w:eastAsia="宋体" w:cs="宋体"/>
                <w:color w:val="auto"/>
                <w:kern w:val="0"/>
                <w:sz w:val="24"/>
                <w:szCs w:val="24"/>
                <w:highlight w:val="none"/>
              </w:rPr>
              <w:t>联合体投标，联合体以一个投标人的身份共同投标。</w:t>
            </w:r>
          </w:p>
          <w:p w14:paraId="6B3987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1.1联合体成员数量不超过2个。</w:t>
            </w:r>
          </w:p>
          <w:p w14:paraId="19401B9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1.2联合体各方应按招标文件提供的格式签订联合体协议书，明确联合体牵头人和各方权利义务，并承诺就中标项目向招标人承担连带责任。《联合体协议书》作为投标文件的组成部分向招标人提交。</w:t>
            </w:r>
          </w:p>
          <w:p w14:paraId="37A9CF7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558DBF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1.4联合体各方不得再以自己名义单独或参加其他联合体在本招标项目中投标，否则各相关投标均无效。</w:t>
            </w:r>
          </w:p>
          <w:p w14:paraId="2E0420C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2.资质要求</w:t>
            </w:r>
          </w:p>
          <w:p w14:paraId="6F32141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2.1投标人须持有市场监督管理部门（或原工商管理部门）核发的营业执照，按国家法律经营的独立法人。</w:t>
            </w:r>
          </w:p>
          <w:p w14:paraId="464254B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2.2工程勘察、设计单位须持有建设行政主管部门核发的资质证书。</w:t>
            </w:r>
          </w:p>
          <w:p w14:paraId="49E68F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参加投标的投标人可以是单一独立法人或由不超过两家独立法人组成的联合体（必须注明其中一家为牵头人；联合体成员中勘察、设计企业分别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6F26044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①设计资质必须具备以下资质之一：</w:t>
            </w:r>
          </w:p>
          <w:p w14:paraId="1A92B3C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（1）具备工程设计综合甲级资质；</w:t>
            </w:r>
          </w:p>
          <w:p w14:paraId="5A3399E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（2）具备工程设计市政行业乙级以上(含乙级)资质；</w:t>
            </w:r>
          </w:p>
          <w:p w14:paraId="30CE227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（3）具备工程设计市政行业（燃气工程、轨道交通工程除外）乙级以上(含乙级)资质；</w:t>
            </w:r>
          </w:p>
          <w:p w14:paraId="79C072C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（4）市政行业（道路工程）专业设计乙级以上（含乙级）资质。</w:t>
            </w:r>
          </w:p>
          <w:p w14:paraId="010D5F5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②勘察资质必须具备建设行政主管部门颁发的以下资质之一：</w:t>
            </w:r>
          </w:p>
          <w:p w14:paraId="16EE31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（1）具备工程勘察综合类甲级资质；</w:t>
            </w:r>
          </w:p>
          <w:p w14:paraId="325418A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（2）具备工程勘察专业（岩土工程）乙级以上（含乙级）资质；</w:t>
            </w:r>
          </w:p>
          <w:p w14:paraId="1CEB6E2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（3）具备工程勘察专业（岩土工程（岩土工程勘察））乙级以上（含乙级）资质；</w:t>
            </w:r>
          </w:p>
          <w:p w14:paraId="366DBA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根据有关文件精神，投标人的企业相关证书、人员资质、资格有效期到期的，均按该证书的发证机构相关行业主管部门最新文件执行（如自动顺延或推迟办理延期业务的通知），投标人必须将相关文件附在该证书后面，证明在开标日继续有效的。</w:t>
            </w:r>
          </w:p>
          <w:p w14:paraId="22F625F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3.相关人</w:t>
            </w:r>
            <w:r>
              <w:rPr>
                <w:rFonts w:hint="eastAsia" w:ascii="宋体" w:hAnsi="宋体" w:eastAsia="宋体" w:cs="宋体"/>
                <w:color w:val="auto"/>
                <w:kern w:val="0"/>
                <w:sz w:val="24"/>
                <w:szCs w:val="24"/>
                <w:highlight w:val="none"/>
              </w:rPr>
              <w:t>员要求</w:t>
            </w:r>
          </w:p>
          <w:p w14:paraId="6647A0E6">
            <w:pPr>
              <w:pStyle w:val="94"/>
              <w:keepNext w:val="0"/>
              <w:keepLines w:val="0"/>
              <w:pageBreakBefore w:val="0"/>
              <w:kinsoku/>
              <w:wordWrap/>
              <w:overflowPunct/>
              <w:topLinePunct w:val="0"/>
              <w:autoSpaceDE/>
              <w:autoSpaceDN/>
              <w:bidi w:val="0"/>
              <w:adjustRightInd/>
              <w:snapToGrid/>
              <w:spacing w:line="360" w:lineRule="auto"/>
              <w:ind w:right="48" w:rightChars="23"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3.1拟委派担任本招标项目的项目负责人（即设计负责人）须</w:t>
            </w:r>
            <w:r>
              <w:rPr>
                <w:rFonts w:hint="eastAsia" w:ascii="宋体" w:hAnsi="宋体" w:eastAsia="宋体" w:cs="宋体"/>
                <w:color w:val="auto"/>
                <w:kern w:val="0"/>
                <w:sz w:val="24"/>
                <w:szCs w:val="24"/>
                <w:highlight w:val="none"/>
                <w:lang w:eastAsia="zh-CN"/>
              </w:rPr>
              <w:t>为</w:t>
            </w:r>
            <w:r>
              <w:rPr>
                <w:rFonts w:hint="eastAsia" w:ascii="宋体" w:hAnsi="宋体" w:cs="宋体"/>
                <w:color w:val="auto"/>
                <w:kern w:val="0"/>
                <w:sz w:val="24"/>
                <w:highlight w:val="none"/>
                <w:u w:val="single"/>
              </w:rPr>
              <w:t>注册土木工程师（道路工程）</w:t>
            </w:r>
            <w:r>
              <w:rPr>
                <w:rFonts w:hint="eastAsia" w:ascii="宋体" w:hAnsi="宋体" w:eastAsia="宋体" w:cs="宋体"/>
                <w:color w:val="auto"/>
                <w:kern w:val="0"/>
                <w:sz w:val="24"/>
                <w:szCs w:val="24"/>
                <w:highlight w:val="none"/>
              </w:rPr>
              <w:t>。</w:t>
            </w:r>
          </w:p>
          <w:p w14:paraId="4632EACB">
            <w:pPr>
              <w:pStyle w:val="94"/>
              <w:keepNext w:val="0"/>
              <w:keepLines w:val="0"/>
              <w:pageBreakBefore w:val="0"/>
              <w:kinsoku/>
              <w:wordWrap/>
              <w:overflowPunct/>
              <w:topLinePunct w:val="0"/>
              <w:autoSpaceDE/>
              <w:autoSpaceDN/>
              <w:bidi w:val="0"/>
              <w:adjustRightInd/>
              <w:snapToGrid/>
              <w:spacing w:line="360" w:lineRule="auto"/>
              <w:ind w:right="48" w:rightChars="23"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3.2拟委派担任本招标项目的勘察负责人须</w:t>
            </w:r>
            <w:r>
              <w:rPr>
                <w:rFonts w:hint="eastAsia" w:ascii="宋体" w:hAnsi="宋体" w:eastAsia="宋体" w:cs="宋体"/>
                <w:color w:val="auto"/>
                <w:kern w:val="0"/>
                <w:sz w:val="24"/>
                <w:szCs w:val="24"/>
                <w:highlight w:val="none"/>
                <w:lang w:eastAsia="zh-CN"/>
              </w:rPr>
              <w:t>持有</w:t>
            </w:r>
            <w:r>
              <w:rPr>
                <w:rFonts w:hint="eastAsia" w:ascii="宋体" w:hAnsi="宋体" w:eastAsia="宋体" w:cs="宋体"/>
                <w:color w:val="auto"/>
                <w:kern w:val="0"/>
                <w:sz w:val="24"/>
                <w:szCs w:val="24"/>
                <w:highlight w:val="none"/>
                <w:u w:val="single"/>
              </w:rPr>
              <w:t>注册土木工程师（岩土）注册执业证书</w:t>
            </w:r>
            <w:r>
              <w:rPr>
                <w:rFonts w:hint="eastAsia" w:ascii="宋体" w:hAnsi="宋体" w:eastAsia="宋体" w:cs="宋体"/>
                <w:color w:val="auto"/>
                <w:kern w:val="0"/>
                <w:sz w:val="24"/>
                <w:szCs w:val="24"/>
                <w:highlight w:val="none"/>
              </w:rPr>
              <w:t>。</w:t>
            </w:r>
          </w:p>
          <w:p w14:paraId="113EF67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3.3投标人（包括组成联合体的所有成员单位）与其拟派往本项目所有人员之间必须具备合法、唯一的劳动聘用关系。拟派人员中具备注册执业资格的，其注册单位须与投标人保持一致。</w:t>
            </w:r>
          </w:p>
          <w:p w14:paraId="00AB35F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注：若投标人拟投入本工程团队人员的社保由上级事业单位统一缴纳的，必须提供上级事业单位出具的投标人在编人员社保在上级事业单位缴纳的证明文件及该人员在上级事业单位缴纳的社保证明。</w:t>
            </w:r>
          </w:p>
          <w:p w14:paraId="3D2527E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4.禁止投标条款</w:t>
            </w:r>
          </w:p>
          <w:p w14:paraId="33063B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4.1投标人不得存在下列情形之一：</w:t>
            </w:r>
          </w:p>
          <w:p w14:paraId="2341FDD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（1）为招标人不具有独立法人资格的附属机构（单位）；</w:t>
            </w:r>
          </w:p>
          <w:p w14:paraId="532DECC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（2）与招标人存在利害关系且可能影响招标公正性；</w:t>
            </w:r>
          </w:p>
          <w:p w14:paraId="77ECA2A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（3）与本招标项目的其他投标人为同一个单位负责人；</w:t>
            </w:r>
          </w:p>
          <w:p w14:paraId="7C05E08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（4）与本招标项目的其他投标人存在控股、管理关系；</w:t>
            </w:r>
          </w:p>
          <w:p w14:paraId="3303AE1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（5）为本招标项目的代建人；</w:t>
            </w:r>
          </w:p>
          <w:p w14:paraId="68AD871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（6）为本招标项目的招标代理机构；</w:t>
            </w:r>
          </w:p>
          <w:p w14:paraId="107187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（7）与本招标项目的代建人或招标代理机构同为一个法定代表人；</w:t>
            </w:r>
          </w:p>
          <w:p w14:paraId="0304E44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（8）与本招标项目的代建人或招标代理机构存在控股或参股关系；</w:t>
            </w:r>
          </w:p>
          <w:p w14:paraId="06B3783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（9）与本招标项目的代建人或招标代理机构存在相互任职或工作关系；</w:t>
            </w:r>
          </w:p>
          <w:p w14:paraId="1B1A3D5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（10）被依法暂停或者取消投标资格；</w:t>
            </w:r>
          </w:p>
          <w:p w14:paraId="6D1A16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（11）被责令停产停业、暂扣或者吊销许可证、暂扣或者吊销执照；</w:t>
            </w:r>
          </w:p>
          <w:p w14:paraId="2B2BBC2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（12）进入清算程序，或被宣告破产，或其他丧失履约能力的情形；</w:t>
            </w:r>
          </w:p>
          <w:p w14:paraId="06B6E71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（13）在最近三年内发生重大工程质量或安全问题（以相关行业主管部门的行政处罚决定或司法机关出具的有关法律文书为准）；</w:t>
            </w:r>
          </w:p>
          <w:p w14:paraId="4DC0A7D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（14）被“信用中国”网站（https://www.creditchina.gov.cn）发布的《法人和非法人组织公共信用信息报告》列为严重失信主体名单的。</w:t>
            </w:r>
          </w:p>
          <w:p w14:paraId="2618021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4.2招</w:t>
            </w:r>
            <w:r>
              <w:rPr>
                <w:rFonts w:hint="eastAsia" w:ascii="宋体" w:hAnsi="宋体" w:eastAsia="宋体" w:cs="宋体"/>
                <w:color w:val="auto"/>
                <w:sz w:val="24"/>
                <w:szCs w:val="24"/>
                <w:highlight w:val="none"/>
              </w:rPr>
              <w:t>标人拒绝以下名单中的单位参加本次投标：</w:t>
            </w:r>
          </w:p>
          <w:tbl>
            <w:tblPr>
              <w:tblStyle w:val="33"/>
              <w:tblW w:w="740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3641"/>
              <w:gridCol w:w="3349"/>
            </w:tblGrid>
            <w:tr w14:paraId="13A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12" w:type="dxa"/>
                  <w:noWrap w:val="0"/>
                  <w:vAlign w:val="center"/>
                </w:tcPr>
                <w:p w14:paraId="1AF1CDBB">
                  <w:pPr>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1" w:type="dxa"/>
                  <w:noWrap w:val="0"/>
                  <w:vAlign w:val="center"/>
                </w:tcPr>
                <w:p w14:paraId="49DF6F98">
                  <w:pPr>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349" w:type="dxa"/>
                  <w:noWrap w:val="0"/>
                  <w:vAlign w:val="center"/>
                </w:tcPr>
                <w:p w14:paraId="7E15C143">
                  <w:pPr>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052E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12" w:type="dxa"/>
                  <w:noWrap w:val="0"/>
                  <w:vAlign w:val="center"/>
                </w:tcPr>
                <w:p w14:paraId="2A6DB378">
                  <w:pPr>
                    <w:pStyle w:val="94"/>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641" w:type="dxa"/>
                  <w:noWrap w:val="0"/>
                  <w:vAlign w:val="center"/>
                </w:tcPr>
                <w:p w14:paraId="3AA47C69">
                  <w:pPr>
                    <w:pStyle w:val="94"/>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韶关市浈江区鸿通投资有限公司</w:t>
                  </w:r>
                </w:p>
              </w:tc>
              <w:tc>
                <w:tcPr>
                  <w:tcW w:w="3349" w:type="dxa"/>
                  <w:noWrap w:val="0"/>
                  <w:vAlign w:val="center"/>
                </w:tcPr>
                <w:p w14:paraId="030F42BB">
                  <w:pPr>
                    <w:pStyle w:val="94"/>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为本招标项目的业主单位</w:t>
                  </w:r>
                </w:p>
              </w:tc>
            </w:tr>
            <w:tr w14:paraId="4E25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12" w:type="dxa"/>
                  <w:noWrap w:val="0"/>
                  <w:vAlign w:val="center"/>
                </w:tcPr>
                <w:p w14:paraId="125B5D6F">
                  <w:pPr>
                    <w:pStyle w:val="94"/>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641" w:type="dxa"/>
                  <w:noWrap w:val="0"/>
                  <w:vAlign w:val="center"/>
                </w:tcPr>
                <w:p w14:paraId="7428EE94">
                  <w:pPr>
                    <w:pStyle w:val="94"/>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广东合正项目管理有限公司</w:t>
                  </w:r>
                </w:p>
              </w:tc>
              <w:tc>
                <w:tcPr>
                  <w:tcW w:w="3349" w:type="dxa"/>
                  <w:noWrap w:val="0"/>
                  <w:vAlign w:val="center"/>
                </w:tcPr>
                <w:p w14:paraId="57FC45A9">
                  <w:pPr>
                    <w:pStyle w:val="94"/>
                    <w:keepNext w:val="0"/>
                    <w:keepLines w:val="0"/>
                    <w:pageBreakBefore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bl>
          <w:p w14:paraId="3B95E1D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5．其他要求</w:t>
            </w:r>
          </w:p>
          <w:p w14:paraId="3C3D93B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w:t>
            </w:r>
            <w:r>
              <w:rPr>
                <w:rFonts w:hint="eastAsia" w:ascii="宋体" w:hAnsi="宋体" w:eastAsia="宋体" w:cs="宋体"/>
                <w:color w:val="auto"/>
                <w:sz w:val="24"/>
                <w:szCs w:val="24"/>
                <w:highlight w:val="none"/>
              </w:rPr>
              <w:t>人员）为“进粤企业和人员诚信信息登记平台”中人员。</w:t>
            </w:r>
          </w:p>
        </w:tc>
      </w:tr>
      <w:tr w14:paraId="2A1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2F70A05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18</w:t>
            </w:r>
          </w:p>
        </w:tc>
        <w:tc>
          <w:tcPr>
            <w:tcW w:w="1699" w:type="dxa"/>
            <w:shd w:val="clear" w:color="auto" w:fill="auto"/>
            <w:vAlign w:val="center"/>
          </w:tcPr>
          <w:p w14:paraId="4E6B38A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投标保证</w:t>
            </w:r>
          </w:p>
        </w:tc>
        <w:tc>
          <w:tcPr>
            <w:tcW w:w="7543" w:type="dxa"/>
            <w:shd w:val="clear" w:color="auto" w:fill="auto"/>
            <w:vAlign w:val="center"/>
          </w:tcPr>
          <w:p w14:paraId="46AA268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1．投标人须缴纳金额为人民币</w:t>
            </w:r>
            <w:r>
              <w:rPr>
                <w:rFonts w:hint="eastAsia" w:ascii="宋体" w:hAnsi="宋体" w:cs="宋体"/>
                <w:color w:val="auto"/>
                <w:kern w:val="0"/>
                <w:sz w:val="24"/>
                <w:szCs w:val="24"/>
                <w:highlight w:val="none"/>
                <w:lang w:val="en-US" w:eastAsia="zh-CN"/>
              </w:rPr>
              <w:t>壹拾万元整（¥100,000.00元）</w:t>
            </w:r>
            <w:r>
              <w:rPr>
                <w:rFonts w:hint="eastAsia" w:ascii="宋体" w:hAnsi="宋体" w:eastAsia="宋体" w:cs="宋体"/>
                <w:color w:val="auto"/>
                <w:kern w:val="0"/>
                <w:sz w:val="24"/>
                <w:szCs w:val="24"/>
                <w:highlight w:val="none"/>
                <w:lang w:val="en-US" w:eastAsia="zh-CN"/>
              </w:rPr>
              <w:t>的投标保证。（组成联合体时，由联合体牵头人提交）</w:t>
            </w:r>
          </w:p>
          <w:p w14:paraId="092956C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2．投标保证的形式包括投标保证金、投标保证担保、投标保证保险三种，由投标人自主选择。</w:t>
            </w:r>
          </w:p>
          <w:p w14:paraId="6856E21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6E33B78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2CA9440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79741F8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温馨提醒：投标人采用投标保证担保或投标保证保险的，为避免在评标过程中因有效期发生争议，建议投标人将银行保函或电子保函或电子保单有效期设置为较招标文件规定的投标有效期延长不少于20个日历天。</w:t>
            </w:r>
          </w:p>
        </w:tc>
      </w:tr>
      <w:tr w14:paraId="5D4E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07E23A7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19</w:t>
            </w:r>
          </w:p>
        </w:tc>
        <w:tc>
          <w:tcPr>
            <w:tcW w:w="1699" w:type="dxa"/>
            <w:shd w:val="clear" w:color="auto" w:fill="auto"/>
            <w:vAlign w:val="center"/>
          </w:tcPr>
          <w:p w14:paraId="4D7CD22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投标有效期</w:t>
            </w:r>
          </w:p>
        </w:tc>
        <w:tc>
          <w:tcPr>
            <w:tcW w:w="7543" w:type="dxa"/>
            <w:shd w:val="clear" w:color="auto" w:fill="auto"/>
            <w:vAlign w:val="center"/>
          </w:tcPr>
          <w:p w14:paraId="4BD8CCF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本次招标的投标有效期为 90 个日历天。</w:t>
            </w:r>
          </w:p>
        </w:tc>
      </w:tr>
      <w:tr w14:paraId="453A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13F7F2F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20</w:t>
            </w:r>
          </w:p>
        </w:tc>
        <w:tc>
          <w:tcPr>
            <w:tcW w:w="1699" w:type="dxa"/>
            <w:shd w:val="clear" w:color="auto" w:fill="auto"/>
            <w:vAlign w:val="center"/>
          </w:tcPr>
          <w:p w14:paraId="187C228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投标文件编制</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份数要求</w:t>
            </w:r>
          </w:p>
        </w:tc>
        <w:tc>
          <w:tcPr>
            <w:tcW w:w="7543" w:type="dxa"/>
            <w:shd w:val="clear" w:color="auto" w:fill="auto"/>
            <w:vAlign w:val="center"/>
          </w:tcPr>
          <w:p w14:paraId="2FB671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投标人须上传（递交）投标文件：</w:t>
            </w:r>
          </w:p>
          <w:p w14:paraId="332B834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1、电子投标文件一套：</w:t>
            </w:r>
          </w:p>
          <w:p w14:paraId="1448246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（1）商务经济标书一份；</w:t>
            </w:r>
          </w:p>
          <w:p w14:paraId="1E4808C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（2）技术标书一份；</w:t>
            </w:r>
          </w:p>
          <w:p w14:paraId="1329D7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（3）定标文件一份。</w:t>
            </w:r>
          </w:p>
          <w:p w14:paraId="2D73D7E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2、对应评审要求的分项响应文件（如有）。</w:t>
            </w:r>
          </w:p>
          <w:p w14:paraId="68A08D3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14BD811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7D57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0F84739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21</w:t>
            </w:r>
          </w:p>
        </w:tc>
        <w:tc>
          <w:tcPr>
            <w:tcW w:w="1699" w:type="dxa"/>
            <w:shd w:val="clear" w:color="auto" w:fill="auto"/>
            <w:vAlign w:val="center"/>
          </w:tcPr>
          <w:p w14:paraId="4131F0C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技术标书</w:t>
            </w:r>
          </w:p>
          <w:p w14:paraId="1092F25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评审方式</w:t>
            </w:r>
          </w:p>
        </w:tc>
        <w:tc>
          <w:tcPr>
            <w:tcW w:w="7543" w:type="dxa"/>
            <w:shd w:val="clear" w:color="auto" w:fill="auto"/>
            <w:vAlign w:val="center"/>
          </w:tcPr>
          <w:p w14:paraId="0812217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本次招标技术标书 不采用 “暗标”方式进行评审。</w:t>
            </w:r>
          </w:p>
        </w:tc>
      </w:tr>
      <w:tr w14:paraId="5D74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0DEED39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22</w:t>
            </w:r>
          </w:p>
        </w:tc>
        <w:tc>
          <w:tcPr>
            <w:tcW w:w="1699" w:type="dxa"/>
            <w:shd w:val="clear" w:color="auto" w:fill="auto"/>
            <w:vAlign w:val="center"/>
          </w:tcPr>
          <w:p w14:paraId="57F1FB7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评标委员会</w:t>
            </w:r>
          </w:p>
        </w:tc>
        <w:tc>
          <w:tcPr>
            <w:tcW w:w="7543" w:type="dxa"/>
            <w:shd w:val="clear" w:color="auto" w:fill="auto"/>
            <w:vAlign w:val="center"/>
          </w:tcPr>
          <w:p w14:paraId="1898F42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评标委员会由 5 人组成，其中招标人代表 0 人，专家 5 人。专家从广东省综合评标评审专家库--韶关市区域</w:t>
            </w:r>
            <w:r>
              <w:rPr>
                <w:rFonts w:hint="eastAsia" w:ascii="宋体" w:hAnsi="宋体" w:cs="宋体"/>
                <w:color w:val="auto"/>
                <w:kern w:val="0"/>
                <w:sz w:val="24"/>
                <w:szCs w:val="24"/>
                <w:highlight w:val="none"/>
                <w:lang w:val="en-US" w:eastAsia="zh-CN"/>
              </w:rPr>
              <w:t>及东莞市区域</w:t>
            </w:r>
            <w:r>
              <w:rPr>
                <w:rFonts w:hint="eastAsia" w:ascii="宋体" w:hAnsi="宋体" w:eastAsia="宋体" w:cs="宋体"/>
                <w:color w:val="auto"/>
                <w:kern w:val="0"/>
                <w:sz w:val="24"/>
                <w:szCs w:val="24"/>
                <w:highlight w:val="none"/>
                <w:lang w:val="en-US" w:eastAsia="zh-CN"/>
              </w:rPr>
              <w:t>中随机抽取，技术类专家 3 人，经济类专家 2人</w:t>
            </w:r>
            <w:r>
              <w:rPr>
                <w:rFonts w:hint="eastAsia" w:ascii="宋体" w:hAnsi="宋体" w:cs="宋体"/>
                <w:color w:val="auto"/>
                <w:kern w:val="0"/>
                <w:sz w:val="24"/>
                <w:szCs w:val="24"/>
                <w:highlight w:val="none"/>
                <w:lang w:val="en-US" w:eastAsia="zh-CN"/>
              </w:rPr>
              <w:t>（其中异地专家1人从广东省综合评标评审专家库-东莞市区域中随机抽取）</w:t>
            </w:r>
            <w:r>
              <w:rPr>
                <w:rFonts w:hint="eastAsia" w:ascii="宋体" w:hAnsi="宋体" w:eastAsia="宋体" w:cs="宋体"/>
                <w:color w:val="auto"/>
                <w:kern w:val="0"/>
                <w:sz w:val="24"/>
                <w:szCs w:val="24"/>
                <w:highlight w:val="none"/>
                <w:lang w:val="en-US" w:eastAsia="zh-CN"/>
              </w:rPr>
              <w:t>。</w:t>
            </w:r>
          </w:p>
        </w:tc>
      </w:tr>
      <w:tr w14:paraId="1C0E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40BB7A10">
            <w:pPr>
              <w:rPr>
                <w:rFonts w:hint="eastAsia" w:ascii="宋体" w:hAnsi="宋体" w:eastAsia="宋体" w:cs="宋体"/>
                <w:vertAlign w:val="baseline"/>
                <w:lang w:val="en-US" w:eastAsia="zh-CN"/>
              </w:rPr>
            </w:pPr>
          </w:p>
        </w:tc>
        <w:tc>
          <w:tcPr>
            <w:tcW w:w="1699" w:type="dxa"/>
            <w:shd w:val="clear" w:color="auto" w:fill="auto"/>
            <w:vAlign w:val="center"/>
          </w:tcPr>
          <w:p w14:paraId="5DB0805F">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7543" w:type="dxa"/>
            <w:shd w:val="clear" w:color="auto" w:fill="auto"/>
            <w:vAlign w:val="center"/>
          </w:tcPr>
          <w:p w14:paraId="4F9C27A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本项目定标委员会组成人员为 7 人。</w:t>
            </w:r>
          </w:p>
        </w:tc>
      </w:tr>
      <w:tr w14:paraId="0377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122ED12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w:t>
            </w:r>
          </w:p>
        </w:tc>
        <w:tc>
          <w:tcPr>
            <w:tcW w:w="1699" w:type="dxa"/>
            <w:shd w:val="clear" w:color="auto" w:fill="auto"/>
            <w:vAlign w:val="center"/>
          </w:tcPr>
          <w:p w14:paraId="0DA0B91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评标方法</w:t>
            </w:r>
          </w:p>
        </w:tc>
        <w:tc>
          <w:tcPr>
            <w:tcW w:w="7543" w:type="dxa"/>
            <w:shd w:val="clear" w:color="auto" w:fill="auto"/>
            <w:vAlign w:val="center"/>
          </w:tcPr>
          <w:p w14:paraId="087A6B9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综合评分法</w:t>
            </w:r>
          </w:p>
        </w:tc>
      </w:tr>
      <w:tr w14:paraId="0B05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02791B8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24</w:t>
            </w:r>
          </w:p>
        </w:tc>
        <w:tc>
          <w:tcPr>
            <w:tcW w:w="1699" w:type="dxa"/>
            <w:shd w:val="clear" w:color="auto" w:fill="auto"/>
            <w:vAlign w:val="center"/>
          </w:tcPr>
          <w:p w14:paraId="37FDD4B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定标办法</w:t>
            </w:r>
          </w:p>
        </w:tc>
        <w:tc>
          <w:tcPr>
            <w:tcW w:w="7543" w:type="dxa"/>
            <w:shd w:val="clear" w:color="auto" w:fill="auto"/>
            <w:vAlign w:val="center"/>
          </w:tcPr>
          <w:p w14:paraId="09A9DDA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采用评定分离的项目，应选定下列定标办法：</w:t>
            </w:r>
          </w:p>
          <w:p w14:paraId="6C2CFBC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☑票决数量法</w:t>
            </w:r>
          </w:p>
          <w:p w14:paraId="13EC1DA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□票决计分法</w:t>
            </w:r>
          </w:p>
          <w:p w14:paraId="7A58E47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□集体议事法</w:t>
            </w:r>
          </w:p>
          <w:p w14:paraId="2A4CA2F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□其他方法：</w:t>
            </w:r>
          </w:p>
        </w:tc>
      </w:tr>
      <w:tr w14:paraId="68FA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79C797A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25</w:t>
            </w:r>
          </w:p>
        </w:tc>
        <w:tc>
          <w:tcPr>
            <w:tcW w:w="1699" w:type="dxa"/>
            <w:shd w:val="clear" w:color="auto" w:fill="auto"/>
            <w:vAlign w:val="center"/>
          </w:tcPr>
          <w:p w14:paraId="0856FF8C">
            <w:pPr>
              <w:pStyle w:val="2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Style w:val="36"/>
                <w:rFonts w:hint="eastAsia" w:ascii="宋体" w:hAnsi="宋体" w:eastAsia="宋体" w:cs="宋体"/>
                <w:b w:val="0"/>
                <w:color w:val="auto"/>
                <w:sz w:val="24"/>
                <w:szCs w:val="24"/>
                <w:highlight w:val="none"/>
              </w:rPr>
            </w:pPr>
            <w:r>
              <w:rPr>
                <w:rStyle w:val="36"/>
                <w:rFonts w:hint="eastAsia" w:ascii="宋体" w:hAnsi="宋体" w:eastAsia="宋体" w:cs="宋体"/>
                <w:b w:val="0"/>
                <w:color w:val="auto"/>
                <w:sz w:val="24"/>
                <w:szCs w:val="24"/>
                <w:highlight w:val="none"/>
              </w:rPr>
              <w:t>中标通知书</w:t>
            </w:r>
          </w:p>
          <w:p w14:paraId="4E775374">
            <w:pPr>
              <w:pStyle w:val="29"/>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val="0"/>
                <w:color w:val="auto"/>
                <w:kern w:val="0"/>
                <w:sz w:val="24"/>
                <w:szCs w:val="24"/>
                <w:highlight w:val="none"/>
                <w:lang w:val="en-US" w:eastAsia="zh-CN" w:bidi="ar-SA"/>
              </w:rPr>
            </w:pPr>
            <w:r>
              <w:rPr>
                <w:rStyle w:val="36"/>
                <w:rFonts w:hint="eastAsia" w:ascii="宋体" w:hAnsi="宋体" w:eastAsia="宋体" w:cs="宋体"/>
                <w:b w:val="0"/>
                <w:color w:val="auto"/>
                <w:sz w:val="24"/>
                <w:szCs w:val="24"/>
                <w:highlight w:val="none"/>
              </w:rPr>
              <w:t>发放</w:t>
            </w:r>
          </w:p>
        </w:tc>
        <w:tc>
          <w:tcPr>
            <w:tcW w:w="7543" w:type="dxa"/>
            <w:shd w:val="clear" w:color="auto" w:fill="auto"/>
            <w:vAlign w:val="center"/>
          </w:tcPr>
          <w:p w14:paraId="63AEB7C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中标人确定后，招标人应当在7日内向中标人发出中标通知书。</w:t>
            </w:r>
          </w:p>
          <w:p w14:paraId="67F2980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招标人最迟应当在投标有效期届满30日前发出中标通知书，否则，应当按照本投标人须知的规定延长投标有效期。</w:t>
            </w:r>
          </w:p>
        </w:tc>
      </w:tr>
      <w:tr w14:paraId="6516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31DA6E0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26</w:t>
            </w:r>
          </w:p>
        </w:tc>
        <w:tc>
          <w:tcPr>
            <w:tcW w:w="1699" w:type="dxa"/>
            <w:shd w:val="clear" w:color="auto" w:fill="auto"/>
            <w:vAlign w:val="center"/>
          </w:tcPr>
          <w:p w14:paraId="1EB233E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招标代理服务费及评标专家酬劳</w:t>
            </w:r>
          </w:p>
        </w:tc>
        <w:tc>
          <w:tcPr>
            <w:tcW w:w="7543" w:type="dxa"/>
            <w:shd w:val="clear" w:color="auto" w:fill="auto"/>
            <w:vAlign w:val="center"/>
          </w:tcPr>
          <w:p w14:paraId="4F12FE2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工程的招标代理费和评标专家酬劳由中标人支付，该费用不再另行报价，由投标人在投标报价时综合考虑在内。中标人在领取中标通知书前须向招标代理机构一次性支付。（招标代理服务费以中标金额为计价基数，参照《招标代理服务收费管理暂行办法》（计价格[2002]1980号）文相关规定计算招标代理服务费。评标专家酬劳由招标代理机构在开标当日预先支付）。</w:t>
            </w:r>
          </w:p>
        </w:tc>
      </w:tr>
      <w:tr w14:paraId="6DAD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11B508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27</w:t>
            </w:r>
          </w:p>
        </w:tc>
        <w:tc>
          <w:tcPr>
            <w:tcW w:w="1699" w:type="dxa"/>
            <w:shd w:val="clear" w:color="auto" w:fill="auto"/>
            <w:vAlign w:val="center"/>
          </w:tcPr>
          <w:p w14:paraId="1BC732D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5BD59B9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联系方式</w:t>
            </w:r>
          </w:p>
        </w:tc>
        <w:tc>
          <w:tcPr>
            <w:tcW w:w="7543" w:type="dxa"/>
            <w:shd w:val="clear" w:color="auto" w:fill="auto"/>
            <w:vAlign w:val="center"/>
          </w:tcPr>
          <w:p w14:paraId="2138543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单位名称：韶关市浈江区鸿通投资有限公司</w:t>
            </w:r>
          </w:p>
          <w:p w14:paraId="4F04320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办公地址：韶关市浈江区犁市镇人民路北1号</w:t>
            </w:r>
          </w:p>
          <w:p w14:paraId="741062B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 系 人：梁工</w:t>
            </w:r>
          </w:p>
          <w:p w14:paraId="100E663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联系电话：0751-8277339</w:t>
            </w:r>
          </w:p>
        </w:tc>
      </w:tr>
      <w:tr w14:paraId="1F90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6250BFB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28</w:t>
            </w:r>
          </w:p>
        </w:tc>
        <w:tc>
          <w:tcPr>
            <w:tcW w:w="1699" w:type="dxa"/>
            <w:shd w:val="clear" w:color="auto" w:fill="auto"/>
            <w:vAlign w:val="center"/>
          </w:tcPr>
          <w:p w14:paraId="3DBAC96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w:t>
            </w:r>
          </w:p>
          <w:p w14:paraId="5EBA1A1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机构</w:t>
            </w:r>
          </w:p>
          <w:p w14:paraId="1DB5F50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联系方式</w:t>
            </w:r>
          </w:p>
        </w:tc>
        <w:tc>
          <w:tcPr>
            <w:tcW w:w="7543" w:type="dxa"/>
            <w:shd w:val="clear" w:color="auto" w:fill="auto"/>
            <w:vAlign w:val="center"/>
          </w:tcPr>
          <w:p w14:paraId="0000668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单位名称：广东合正项目管理有限公司</w:t>
            </w:r>
          </w:p>
          <w:p w14:paraId="50676D6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办公地址：韶关市武江区百旺大道42号莞韶双创中心研发办公楼五楼</w:t>
            </w:r>
          </w:p>
          <w:p w14:paraId="59ABB73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项目负责人：吴佳洋</w:t>
            </w:r>
          </w:p>
          <w:p w14:paraId="50A4827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经办人：何高练、蔡健</w:t>
            </w:r>
          </w:p>
          <w:p w14:paraId="5113015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电话：0751-8219991</w:t>
            </w:r>
          </w:p>
        </w:tc>
      </w:tr>
      <w:tr w14:paraId="34E6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4566DC7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29</w:t>
            </w:r>
          </w:p>
        </w:tc>
        <w:tc>
          <w:tcPr>
            <w:tcW w:w="1699" w:type="dxa"/>
            <w:shd w:val="clear" w:color="auto" w:fill="auto"/>
            <w:vAlign w:val="center"/>
          </w:tcPr>
          <w:p w14:paraId="056F9DEC">
            <w:pPr>
              <w:widowControl/>
              <w:spacing w:line="360" w:lineRule="auto"/>
              <w:jc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交易场所</w:t>
            </w:r>
          </w:p>
          <w:p w14:paraId="72F11E8D">
            <w:pPr>
              <w:widowControl/>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bidi="ar"/>
              </w:rPr>
              <w:t>联系方法</w:t>
            </w:r>
          </w:p>
        </w:tc>
        <w:tc>
          <w:tcPr>
            <w:tcW w:w="7543" w:type="dxa"/>
            <w:shd w:val="clear" w:color="auto" w:fill="auto"/>
            <w:vAlign w:val="center"/>
          </w:tcPr>
          <w:p w14:paraId="294654C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单位名称：韶关市公共资源交易中心</w:t>
            </w:r>
          </w:p>
          <w:p w14:paraId="106BE8E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办公地址：广东省韶关市武江区西联镇 </w:t>
            </w:r>
          </w:p>
          <w:p w14:paraId="275C343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联系人（部门）：工程交易部</w:t>
            </w:r>
          </w:p>
          <w:p w14:paraId="464C8B8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联系电话：0751-8633211</w:t>
            </w:r>
          </w:p>
        </w:tc>
      </w:tr>
      <w:tr w14:paraId="6915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auto"/>
            <w:vAlign w:val="center"/>
          </w:tcPr>
          <w:p w14:paraId="395A080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30</w:t>
            </w:r>
          </w:p>
        </w:tc>
        <w:tc>
          <w:tcPr>
            <w:tcW w:w="1699" w:type="dxa"/>
            <w:shd w:val="clear" w:color="auto" w:fill="auto"/>
            <w:vAlign w:val="center"/>
          </w:tcPr>
          <w:p w14:paraId="24ECF057">
            <w:pPr>
              <w:widowControl/>
              <w:spacing w:line="360" w:lineRule="auto"/>
              <w:jc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行政监督部门</w:t>
            </w:r>
          </w:p>
          <w:p w14:paraId="2B773220">
            <w:pPr>
              <w:widowControl/>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bidi="ar"/>
              </w:rPr>
              <w:t>联系方式</w:t>
            </w:r>
          </w:p>
        </w:tc>
        <w:tc>
          <w:tcPr>
            <w:tcW w:w="7543" w:type="dxa"/>
            <w:shd w:val="clear" w:color="auto" w:fill="auto"/>
            <w:vAlign w:val="center"/>
          </w:tcPr>
          <w:p w14:paraId="7E8D97A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单位名称：韶关市住房和城乡建设管理局</w:t>
            </w:r>
          </w:p>
          <w:p w14:paraId="1A3E6BD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办公地址：广东省韶关市武江区芙蓉东路5号</w:t>
            </w:r>
          </w:p>
          <w:p w14:paraId="1F78130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联系人（部门）：建筑业市场管理科</w:t>
            </w:r>
          </w:p>
          <w:p w14:paraId="032A0D4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联系电话：0751-8892601</w:t>
            </w:r>
          </w:p>
        </w:tc>
      </w:tr>
    </w:tbl>
    <w:p w14:paraId="2B7D2028">
      <w:pPr>
        <w:rPr>
          <w:rFonts w:hint="eastAsia" w:ascii="宋体" w:hAnsi="宋体" w:eastAsia="宋体" w:cs="宋体"/>
          <w:lang w:val="en-US" w:eastAsia="zh-CN"/>
        </w:rPr>
      </w:pPr>
    </w:p>
    <w:p w14:paraId="33EC58EF">
      <w:pPr>
        <w:pStyle w:val="31"/>
        <w:ind w:left="0" w:leftChars="0" w:firstLine="0" w:firstLineChars="0"/>
        <w:rPr>
          <w:rFonts w:hint="eastAsia" w:ascii="宋体" w:hAnsi="宋体" w:eastAsia="宋体" w:cs="宋体"/>
          <w:lang w:val="en-US" w:eastAsia="zh-CN"/>
        </w:rPr>
      </w:pPr>
    </w:p>
    <w:p w14:paraId="181C8657">
      <w:pPr>
        <w:rPr>
          <w:rFonts w:hint="eastAsia" w:ascii="宋体" w:hAnsi="宋体" w:eastAsia="宋体" w:cs="宋体"/>
          <w:lang w:val="en-US" w:eastAsia="zh-CN"/>
        </w:rPr>
      </w:pPr>
    </w:p>
    <w:p w14:paraId="19468F35">
      <w:pPr>
        <w:rPr>
          <w:rFonts w:hint="eastAsia" w:ascii="宋体" w:hAnsi="宋体" w:eastAsia="宋体" w:cs="宋体"/>
          <w:lang w:val="en-US" w:eastAsia="zh-CN"/>
        </w:rPr>
      </w:pPr>
    </w:p>
    <w:p w14:paraId="2BD60046">
      <w:pPr>
        <w:rPr>
          <w:rFonts w:hint="eastAsia" w:ascii="宋体" w:hAnsi="宋体" w:eastAsia="宋体" w:cs="宋体"/>
          <w:lang w:val="en-US" w:eastAsia="zh-CN"/>
        </w:rPr>
      </w:pPr>
    </w:p>
    <w:p w14:paraId="5530C184">
      <w:pPr>
        <w:rPr>
          <w:rFonts w:hint="eastAsia" w:ascii="宋体" w:hAnsi="宋体" w:eastAsia="宋体" w:cs="宋体"/>
          <w:lang w:val="en-US" w:eastAsia="zh-CN"/>
        </w:rPr>
      </w:pPr>
    </w:p>
    <w:p w14:paraId="752383F1">
      <w:pPr>
        <w:pStyle w:val="2"/>
        <w:rPr>
          <w:rFonts w:hint="eastAsia" w:ascii="宋体" w:hAnsi="宋体" w:eastAsia="宋体" w:cs="宋体"/>
          <w:lang w:val="en-US" w:eastAsia="zh-CN"/>
        </w:rPr>
      </w:pPr>
    </w:p>
    <w:p w14:paraId="3C776867">
      <w:pPr>
        <w:pStyle w:val="2"/>
        <w:rPr>
          <w:rFonts w:hint="eastAsia" w:ascii="宋体" w:hAnsi="宋体" w:eastAsia="宋体" w:cs="宋体"/>
          <w:lang w:val="en-US" w:eastAsia="zh-CN"/>
        </w:rPr>
      </w:pPr>
    </w:p>
    <w:p w14:paraId="75377284">
      <w:pPr>
        <w:pStyle w:val="2"/>
        <w:rPr>
          <w:rFonts w:hint="eastAsia" w:ascii="宋体" w:hAnsi="宋体" w:eastAsia="宋体" w:cs="宋体"/>
          <w:lang w:val="en-US" w:eastAsia="zh-CN"/>
        </w:rPr>
      </w:pPr>
    </w:p>
    <w:p w14:paraId="6714CEF2">
      <w:pPr>
        <w:pStyle w:val="2"/>
        <w:rPr>
          <w:rFonts w:hint="eastAsia" w:ascii="宋体" w:hAnsi="宋体" w:eastAsia="宋体" w:cs="宋体"/>
          <w:lang w:val="en-US" w:eastAsia="zh-CN"/>
        </w:rPr>
      </w:pPr>
    </w:p>
    <w:p w14:paraId="28E61705">
      <w:pPr>
        <w:rPr>
          <w:rFonts w:hint="eastAsia"/>
          <w:lang w:val="en-US" w:eastAsia="zh-CN"/>
        </w:rPr>
      </w:pPr>
    </w:p>
    <w:bookmarkEnd w:id="9"/>
    <w:p w14:paraId="7316479D">
      <w:pPr>
        <w:rPr>
          <w:rFonts w:hint="eastAsia" w:ascii="宋体" w:hAnsi="宋体" w:eastAsia="宋体" w:cs="宋体"/>
          <w:b/>
          <w:color w:val="auto"/>
          <w:kern w:val="2"/>
          <w:sz w:val="28"/>
          <w:szCs w:val="24"/>
          <w:lang w:val="en-US" w:eastAsia="zh-CN"/>
        </w:rPr>
      </w:pPr>
      <w:bookmarkStart w:id="10" w:name="_Toc19537"/>
      <w:bookmarkStart w:id="11" w:name="_Toc32054"/>
      <w:r>
        <w:rPr>
          <w:rFonts w:hint="eastAsia" w:ascii="宋体" w:hAnsi="宋体" w:eastAsia="宋体" w:cs="宋体"/>
          <w:b/>
          <w:color w:val="auto"/>
          <w:kern w:val="2"/>
          <w:sz w:val="28"/>
          <w:szCs w:val="24"/>
          <w:lang w:val="en-US" w:eastAsia="zh-CN"/>
        </w:rPr>
        <w:br w:type="page"/>
      </w:r>
    </w:p>
    <w:p w14:paraId="379FF61C">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r>
        <w:rPr>
          <w:rFonts w:hint="eastAsia" w:ascii="宋体" w:hAnsi="宋体" w:eastAsia="宋体" w:cs="宋体"/>
          <w:b/>
          <w:color w:val="auto"/>
          <w:kern w:val="2"/>
          <w:sz w:val="28"/>
          <w:szCs w:val="24"/>
          <w:lang w:val="en-US" w:eastAsia="zh-CN"/>
        </w:rPr>
        <w:t>第二节   重要事项时间地点一览表</w:t>
      </w:r>
      <w:bookmarkEnd w:id="10"/>
      <w:bookmarkEnd w:id="11"/>
    </w:p>
    <w:tbl>
      <w:tblPr>
        <w:tblStyle w:val="33"/>
        <w:tblW w:w="506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7"/>
        <w:gridCol w:w="1404"/>
        <w:gridCol w:w="7914"/>
      </w:tblGrid>
      <w:tr w14:paraId="1C9C0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1"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5FBAEEA3">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38524691">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3B0A270D">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CEE6266">
            <w:pPr>
              <w:pStyle w:val="94"/>
              <w:widowControl/>
              <w:snapToGrid w:val="0"/>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bookmarkStart w:id="281" w:name="_GoBack"/>
            <w:bookmarkEnd w:id="281"/>
          </w:p>
        </w:tc>
      </w:tr>
      <w:tr w14:paraId="74E890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4"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78C32361">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4FF3CC2A">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获取招标文件</w:t>
            </w:r>
          </w:p>
          <w:p w14:paraId="38171DA4">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61B96788">
            <w:pPr>
              <w:pStyle w:val="94"/>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4E0DD6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1"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1279D20A">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52487434">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696A11DE">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51EE432">
            <w:pPr>
              <w:pStyle w:val="94"/>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tc>
      </w:tr>
      <w:tr w14:paraId="0A002A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1"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3BA5B897">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1BBE7F15">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4CA8B917">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64CFF84">
            <w:pPr>
              <w:pStyle w:val="94"/>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分至</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24</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00</w:t>
            </w:r>
            <w:r>
              <w:rPr>
                <w:rFonts w:hint="eastAsia" w:ascii="宋体" w:hAnsi="宋体" w:eastAsia="宋体" w:cs="宋体"/>
                <w:color w:val="auto"/>
                <w:kern w:val="0"/>
                <w:sz w:val="24"/>
                <w:szCs w:val="24"/>
                <w:highlight w:val="none"/>
              </w:rPr>
              <w:t>分</w:t>
            </w:r>
          </w:p>
        </w:tc>
      </w:tr>
      <w:tr w14:paraId="060AE6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6"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7010D07E">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56BA3273">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53790529">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890ADEB">
            <w:pPr>
              <w:pStyle w:val="94"/>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投标保证金到账截止时间：</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p w14:paraId="2CD5A137">
            <w:pPr>
              <w:pStyle w:val="94"/>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投标保证担保上传截止时间：</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p w14:paraId="3F15DD28">
            <w:pPr>
              <w:pStyle w:val="94"/>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投标保证保险投保截止时间：</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7331FD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4"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5997E9D6">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2292BEAF">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32AFE6FA">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44D56F9A">
            <w:pPr>
              <w:pStyle w:val="94"/>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6CEC0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0"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4343CE57">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66B58DD8">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7EE6F5AB">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D44E198">
            <w:pPr>
              <w:pStyle w:val="94"/>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分至</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3F769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0"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0B762C53">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657C765D">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114F78DF">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递交地点</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23F50FD">
            <w:pPr>
              <w:pStyle w:val="94"/>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递交场所：韶关市公共资源交易中心</w:t>
            </w:r>
          </w:p>
          <w:p w14:paraId="379350CF">
            <w:pPr>
              <w:pStyle w:val="94"/>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地址：广东省韶关市武江区西联镇，具体房间号以当日现场通知为准</w:t>
            </w:r>
            <w:r>
              <w:rPr>
                <w:rFonts w:hint="eastAsia" w:ascii="宋体" w:hAnsi="宋体" w:eastAsia="宋体" w:cs="宋体"/>
                <w:snapToGrid w:val="0"/>
                <w:color w:val="auto"/>
                <w:kern w:val="0"/>
                <w:sz w:val="24"/>
                <w:szCs w:val="24"/>
                <w:highlight w:val="none"/>
                <w:lang w:eastAsia="zh-CN"/>
              </w:rPr>
              <w:t>。</w:t>
            </w:r>
          </w:p>
        </w:tc>
      </w:tr>
      <w:tr w14:paraId="6DF738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9"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0BC06632">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4D081AA8">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B452020">
            <w:pPr>
              <w:pStyle w:val="94"/>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09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07B22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2"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727AFCCD">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19" w:type="pct"/>
            <w:tcBorders>
              <w:top w:val="single" w:color="080000" w:sz="4" w:space="0"/>
              <w:left w:val="single" w:color="080000" w:sz="4" w:space="0"/>
              <w:bottom w:val="single" w:color="080000" w:sz="4" w:space="0"/>
              <w:right w:val="single" w:color="080000" w:sz="4" w:space="0"/>
            </w:tcBorders>
            <w:noWrap w:val="0"/>
            <w:vAlign w:val="center"/>
          </w:tcPr>
          <w:p w14:paraId="42067D2F">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6BF5A69">
            <w:pPr>
              <w:pStyle w:val="94"/>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开标场所：韶关市公共资源交易中心</w:t>
            </w:r>
          </w:p>
          <w:p w14:paraId="388D27B8">
            <w:pPr>
              <w:pStyle w:val="94"/>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地址：广东省韶关市武江区西联镇，具体房间号以当日现场通知为准</w:t>
            </w:r>
            <w:r>
              <w:rPr>
                <w:rFonts w:hint="eastAsia" w:ascii="宋体" w:hAnsi="宋体" w:eastAsia="宋体" w:cs="宋体"/>
                <w:snapToGrid w:val="0"/>
                <w:color w:val="auto"/>
                <w:kern w:val="0"/>
                <w:sz w:val="24"/>
                <w:szCs w:val="24"/>
                <w:highlight w:val="none"/>
                <w:lang w:eastAsia="zh-CN"/>
              </w:rPr>
              <w:t>。</w:t>
            </w:r>
          </w:p>
        </w:tc>
      </w:tr>
      <w:tr w14:paraId="5A7C0F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3" w:hRule="exact"/>
        </w:trPr>
        <w:tc>
          <w:tcPr>
            <w:tcW w:w="948" w:type="pct"/>
            <w:gridSpan w:val="2"/>
            <w:tcBorders>
              <w:top w:val="single" w:color="080000" w:sz="4" w:space="0"/>
              <w:left w:val="single" w:color="080000" w:sz="4" w:space="0"/>
              <w:bottom w:val="single" w:color="080000" w:sz="4" w:space="0"/>
              <w:right w:val="single" w:color="080000" w:sz="4" w:space="0"/>
            </w:tcBorders>
            <w:noWrap w:val="0"/>
            <w:vAlign w:val="center"/>
          </w:tcPr>
          <w:p w14:paraId="10AFB6B7">
            <w:pPr>
              <w:pStyle w:val="94"/>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34CDFE2">
            <w:pPr>
              <w:pStyle w:val="94"/>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4EC2684C">
      <w:pPr>
        <w:spacing w:line="360" w:lineRule="auto"/>
        <w:rPr>
          <w:rFonts w:hint="eastAsia" w:ascii="宋体" w:hAnsi="宋体" w:eastAsia="宋体" w:cs="宋体"/>
          <w:color w:val="auto"/>
          <w:sz w:val="24"/>
          <w:highlight w:val="none"/>
        </w:rPr>
      </w:pPr>
    </w:p>
    <w:p w14:paraId="041177E8">
      <w:pPr>
        <w:rPr>
          <w:rFonts w:hint="eastAsia" w:ascii="宋体" w:hAnsi="宋体" w:eastAsia="宋体" w:cs="宋体"/>
        </w:rPr>
      </w:pPr>
      <w:bookmarkStart w:id="12" w:name="_Toc10184"/>
      <w:bookmarkStart w:id="13" w:name="_Hlt69698754"/>
      <w:bookmarkStart w:id="14" w:name="_Hlt69698705"/>
    </w:p>
    <w:p w14:paraId="155E80B3">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5" w:name="_Toc29051"/>
      <w:r>
        <w:rPr>
          <w:rFonts w:hint="eastAsia" w:ascii="宋体" w:hAnsi="宋体" w:eastAsia="宋体" w:cs="宋体"/>
          <w:b/>
          <w:color w:val="auto"/>
          <w:kern w:val="2"/>
          <w:sz w:val="28"/>
          <w:szCs w:val="24"/>
          <w:lang w:val="en-US" w:eastAsia="zh-CN"/>
        </w:rPr>
        <w:t>第三节   投标人须知</w:t>
      </w:r>
      <w:bookmarkStart w:id="16" w:name="_Hlt69669159"/>
      <w:bookmarkEnd w:id="16"/>
      <w:r>
        <w:rPr>
          <w:rFonts w:hint="eastAsia" w:ascii="宋体" w:hAnsi="宋体" w:eastAsia="宋体" w:cs="宋体"/>
          <w:b/>
          <w:color w:val="auto"/>
          <w:kern w:val="2"/>
          <w:sz w:val="28"/>
          <w:szCs w:val="24"/>
          <w:lang w:val="en-US" w:eastAsia="zh-CN"/>
        </w:rPr>
        <w:t>正文</w:t>
      </w:r>
      <w:bookmarkEnd w:id="12"/>
      <w:bookmarkEnd w:id="13"/>
      <w:bookmarkEnd w:id="14"/>
      <w:bookmarkEnd w:id="15"/>
    </w:p>
    <w:p w14:paraId="28A53E44">
      <w:pPr>
        <w:pageBreakBefore w:val="0"/>
        <w:kinsoku/>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szCs w:val="24"/>
        </w:rPr>
      </w:pPr>
      <w:bookmarkStart w:id="17" w:name="_Toc21609"/>
      <w:r>
        <w:rPr>
          <w:rFonts w:hint="eastAsia" w:ascii="宋体" w:hAnsi="宋体" w:eastAsia="宋体" w:cs="宋体"/>
          <w:sz w:val="24"/>
          <w:szCs w:val="24"/>
          <w:u w:val="single"/>
          <w:lang w:val="en-US" w:eastAsia="zh-CN"/>
        </w:rPr>
        <w:t>韶关市浈江区大数据产业基础设施工程</w:t>
      </w:r>
      <w:r>
        <w:rPr>
          <w:rFonts w:hint="eastAsia" w:ascii="宋体" w:hAnsi="宋体" w:eastAsia="宋体" w:cs="宋体"/>
          <w:sz w:val="24"/>
          <w:szCs w:val="24"/>
          <w:lang w:eastAsia="zh-CN"/>
        </w:rPr>
        <w:t>经</w:t>
      </w:r>
      <w:r>
        <w:rPr>
          <w:rFonts w:hint="eastAsia" w:ascii="宋体" w:hAnsi="宋体" w:eastAsia="宋体" w:cs="宋体"/>
          <w:sz w:val="24"/>
          <w:szCs w:val="24"/>
          <w:u w:val="single"/>
          <w:lang w:eastAsia="zh-CN"/>
        </w:rPr>
        <w:t>韶关市浈江区发展和改革局</w:t>
      </w:r>
      <w:r>
        <w:rPr>
          <w:rFonts w:hint="eastAsia" w:ascii="宋体" w:hAnsi="宋体" w:eastAsia="宋体" w:cs="宋体"/>
          <w:sz w:val="24"/>
          <w:szCs w:val="24"/>
        </w:rPr>
        <w:t>以</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韶关市浈江区发展和改革局关于韶关市浈江区大数据产业基础设施工程可行性研究报告的批复</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韶浈发改投审〔2026〕27号</w:t>
      </w:r>
      <w:r>
        <w:rPr>
          <w:rFonts w:hint="eastAsia" w:ascii="宋体" w:hAnsi="宋体" w:eastAsia="宋体" w:cs="宋体"/>
          <w:sz w:val="24"/>
          <w:szCs w:val="24"/>
          <w:u w:val="single"/>
        </w:rPr>
        <w:t>）</w:t>
      </w:r>
      <w:r>
        <w:rPr>
          <w:rFonts w:hint="eastAsia" w:ascii="宋体" w:hAnsi="宋体" w:eastAsia="宋体" w:cs="宋体"/>
          <w:sz w:val="24"/>
          <w:szCs w:val="24"/>
        </w:rPr>
        <w:t>批准建设，项目代码为</w:t>
      </w:r>
      <w:r>
        <w:rPr>
          <w:rFonts w:hint="eastAsia" w:ascii="宋体" w:hAnsi="宋体" w:eastAsia="宋体" w:cs="宋体"/>
          <w:sz w:val="24"/>
          <w:szCs w:val="24"/>
          <w:u w:val="single"/>
          <w:lang w:eastAsia="zh-CN"/>
        </w:rPr>
        <w:t>2603-440204-04-01-645031</w:t>
      </w:r>
      <w:r>
        <w:rPr>
          <w:rFonts w:hint="eastAsia" w:ascii="宋体" w:hAnsi="宋体" w:eastAsia="宋体" w:cs="宋体"/>
          <w:sz w:val="24"/>
          <w:szCs w:val="24"/>
          <w:lang w:eastAsia="zh-CN"/>
        </w:rPr>
        <w:t>。本项目业主为</w:t>
      </w:r>
      <w:r>
        <w:rPr>
          <w:rFonts w:hint="eastAsia" w:ascii="宋体" w:hAnsi="宋体" w:eastAsia="宋体" w:cs="宋体"/>
          <w:sz w:val="24"/>
          <w:szCs w:val="24"/>
          <w:u w:val="single"/>
          <w:lang w:eastAsia="zh-CN"/>
        </w:rPr>
        <w:t>韶关市浈江区鸿通投资有限公司</w:t>
      </w:r>
      <w:r>
        <w:rPr>
          <w:rFonts w:hint="eastAsia" w:ascii="宋体" w:hAnsi="宋体" w:eastAsia="宋体" w:cs="宋体"/>
          <w:sz w:val="24"/>
          <w:szCs w:val="24"/>
          <w:lang w:eastAsia="zh-CN"/>
        </w:rPr>
        <w:t>，建设资金来自</w:t>
      </w:r>
      <w:r>
        <w:rPr>
          <w:rFonts w:hint="eastAsia" w:ascii="宋体" w:hAnsi="宋体" w:eastAsia="宋体" w:cs="宋体"/>
          <w:sz w:val="24"/>
          <w:szCs w:val="24"/>
          <w:u w:val="single"/>
          <w:lang w:eastAsia="zh-CN"/>
        </w:rPr>
        <w:t>由上级财政投资、地方配套和自筹安排解决。</w:t>
      </w:r>
      <w:r>
        <w:rPr>
          <w:rFonts w:hint="eastAsia" w:ascii="宋体" w:hAnsi="宋体" w:eastAsia="宋体" w:cs="宋体"/>
          <w:sz w:val="24"/>
          <w:szCs w:val="24"/>
          <w:lang w:eastAsia="zh-CN"/>
        </w:rPr>
        <w:t>出资比例为</w:t>
      </w:r>
      <w:r>
        <w:rPr>
          <w:rFonts w:hint="eastAsia" w:ascii="宋体" w:hAnsi="宋体" w:eastAsia="宋体" w:cs="宋体"/>
          <w:sz w:val="24"/>
          <w:szCs w:val="24"/>
          <w:u w:val="single"/>
          <w:lang w:eastAsia="zh-CN"/>
        </w:rPr>
        <w:t>100%</w:t>
      </w:r>
      <w:r>
        <w:rPr>
          <w:rFonts w:hint="eastAsia" w:ascii="宋体" w:hAnsi="宋体" w:eastAsia="宋体" w:cs="宋体"/>
          <w:sz w:val="24"/>
          <w:szCs w:val="24"/>
          <w:lang w:eastAsia="zh-CN"/>
        </w:rPr>
        <w:t>，招标人为</w:t>
      </w:r>
      <w:r>
        <w:rPr>
          <w:rFonts w:hint="eastAsia" w:ascii="宋体" w:hAnsi="宋体" w:eastAsia="宋体" w:cs="宋体"/>
          <w:sz w:val="24"/>
          <w:szCs w:val="24"/>
          <w:u w:val="single"/>
          <w:lang w:eastAsia="zh-CN"/>
        </w:rPr>
        <w:t>韶关市浈江区鸿通投资有限公司</w:t>
      </w:r>
      <w:r>
        <w:rPr>
          <w:rFonts w:hint="eastAsia" w:ascii="宋体" w:hAnsi="宋体" w:eastAsia="宋体" w:cs="宋体"/>
          <w:sz w:val="24"/>
          <w:szCs w:val="24"/>
          <w:lang w:eastAsia="zh-CN"/>
        </w:rPr>
        <w:t>，招标代理机构为</w:t>
      </w:r>
      <w:r>
        <w:rPr>
          <w:rFonts w:hint="eastAsia" w:ascii="宋体" w:hAnsi="宋体" w:eastAsia="宋体" w:cs="宋体"/>
          <w:sz w:val="24"/>
          <w:szCs w:val="24"/>
          <w:u w:val="single"/>
          <w:lang w:eastAsia="zh-CN"/>
        </w:rPr>
        <w:t>广东合正项目管理有限公司</w:t>
      </w:r>
      <w:r>
        <w:rPr>
          <w:rFonts w:hint="eastAsia" w:ascii="宋体" w:hAnsi="宋体" w:eastAsia="宋体" w:cs="宋体"/>
          <w:sz w:val="24"/>
          <w:szCs w:val="24"/>
          <w:lang w:eastAsia="zh-CN"/>
        </w:rPr>
        <w:t>。项目已具备招标条件，现对该项目的</w:t>
      </w:r>
      <w:r>
        <w:rPr>
          <w:rFonts w:hint="eastAsia" w:ascii="宋体" w:hAnsi="宋体" w:eastAsia="宋体" w:cs="宋体"/>
          <w:sz w:val="24"/>
          <w:szCs w:val="24"/>
          <w:u w:val="single"/>
          <w:lang w:val="en-US" w:eastAsia="zh-CN"/>
        </w:rPr>
        <w:t>勘察、</w:t>
      </w:r>
      <w:r>
        <w:rPr>
          <w:rFonts w:hint="eastAsia" w:ascii="宋体" w:hAnsi="宋体" w:eastAsia="宋体" w:cs="宋体"/>
          <w:sz w:val="24"/>
          <w:szCs w:val="24"/>
          <w:u w:val="single"/>
          <w:lang w:eastAsia="zh-CN"/>
        </w:rPr>
        <w:t>设计</w:t>
      </w:r>
      <w:r>
        <w:rPr>
          <w:rFonts w:hint="eastAsia" w:ascii="宋体" w:hAnsi="宋体" w:eastAsia="宋体" w:cs="宋体"/>
          <w:sz w:val="24"/>
          <w:szCs w:val="24"/>
          <w:lang w:eastAsia="zh-CN"/>
        </w:rPr>
        <w:t>进行公开招标。</w:t>
      </w:r>
    </w:p>
    <w:p w14:paraId="4203C568">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18" w:name="_Toc21821"/>
      <w:r>
        <w:rPr>
          <w:rFonts w:hint="eastAsia" w:ascii="宋体" w:hAnsi="宋体" w:eastAsia="宋体" w:cs="宋体"/>
          <w:b/>
          <w:bCs/>
          <w:color w:val="auto"/>
          <w:kern w:val="0"/>
          <w:sz w:val="24"/>
          <w:szCs w:val="24"/>
          <w:highlight w:val="none"/>
        </w:rPr>
        <w:t>1．项目概况、招标范围和标段划分、投标费用</w:t>
      </w:r>
      <w:bookmarkEnd w:id="17"/>
      <w:bookmarkEnd w:id="18"/>
    </w:p>
    <w:p w14:paraId="3AB8A1FA">
      <w:pPr>
        <w:pageBreakBefore w:val="0"/>
        <w:kinsoku/>
        <w:wordWrap w:val="0"/>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项目概况</w:t>
      </w:r>
    </w:p>
    <w:p w14:paraId="395DA3F3">
      <w:pPr>
        <w:pageBreakBefore w:val="0"/>
        <w:kinsoku/>
        <w:wordWrap w:val="0"/>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snapToGrid w:val="0"/>
          <w:color w:val="auto"/>
          <w:kern w:val="0"/>
          <w:sz w:val="24"/>
          <w:szCs w:val="24"/>
          <w:highlight w:val="none"/>
          <w:u w:val="single"/>
          <w:lang w:val="en-US"/>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建设地点：</w:t>
      </w:r>
      <w:r>
        <w:rPr>
          <w:rFonts w:hint="eastAsia" w:ascii="宋体" w:hAnsi="宋体" w:eastAsia="宋体" w:cs="宋体"/>
          <w:snapToGrid w:val="0"/>
          <w:color w:val="auto"/>
          <w:kern w:val="0"/>
          <w:sz w:val="24"/>
          <w:highlight w:val="none"/>
          <w:u w:val="single"/>
          <w:lang w:val="en-US" w:eastAsia="zh-CN"/>
        </w:rPr>
        <w:t>韶关市浈江区新韶镇大学路片区。</w:t>
      </w:r>
    </w:p>
    <w:p w14:paraId="5FD9D18C">
      <w:pPr>
        <w:pageBreakBefore w:val="0"/>
        <w:kinsoku/>
        <w:wordWrap w:val="0"/>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ascii="宋体" w:hAnsi="宋体" w:eastAsia="宋体" w:cs="宋体"/>
          <w:color w:val="auto"/>
          <w:sz w:val="24"/>
          <w:szCs w:val="24"/>
          <w:highlight w:val="none"/>
          <w:u w:val="single"/>
          <w:lang w:eastAsia="zh-CN"/>
        </w:rPr>
        <w:t>本次招标建设内容：包括场地平整及边坡防护、新建园区道路及配套设施。其中项目场地平整3780亩，总挖填方约998万立方米；新建7条园区道路及配套设施，道路总长度约9.56km。</w:t>
      </w:r>
    </w:p>
    <w:p w14:paraId="5DF92E12">
      <w:pPr>
        <w:keepNext w:val="0"/>
        <w:keepLines w:val="0"/>
        <w:pageBreakBefore w:val="0"/>
        <w:widowControl/>
        <w:suppressLineNumbers w:val="0"/>
        <w:kinsoku/>
        <w:overflowPunct/>
        <w:topLinePunct w:val="0"/>
        <w:autoSpaceDE/>
        <w:autoSpaceDN/>
        <w:bidi w:val="0"/>
        <w:spacing w:line="360" w:lineRule="auto"/>
        <w:ind w:right="0" w:rightChars="0" w:firstLine="482" w:firstLineChars="200"/>
        <w:jc w:val="left"/>
        <w:textAlignment w:val="auto"/>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 xml:space="preserve"> 项目总投资：</w:t>
      </w:r>
      <w:r>
        <w:rPr>
          <w:rFonts w:hint="eastAsia" w:ascii="宋体" w:hAnsi="宋体" w:eastAsia="宋体" w:cs="宋体"/>
          <w:snapToGrid w:val="0"/>
          <w:color w:val="auto"/>
          <w:kern w:val="0"/>
          <w:sz w:val="24"/>
          <w:szCs w:val="24"/>
          <w:highlight w:val="none"/>
          <w:lang w:val="en-US" w:eastAsia="zh-CN"/>
        </w:rPr>
        <w:t>项目估算总投资225420.30万元，其中：工程费158174.86万元、工程建设其他费用39165.95万元、预备费9040.49万元。</w:t>
      </w:r>
    </w:p>
    <w:p w14:paraId="3E74D27D">
      <w:pPr>
        <w:pageBreakBefore w:val="0"/>
        <w:kinsoku/>
        <w:wordWrap w:val="0"/>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 </w:t>
      </w:r>
      <w:r>
        <w:rPr>
          <w:rFonts w:hint="eastAsia" w:ascii="宋体" w:hAnsi="宋体" w:eastAsia="宋体" w:cs="宋体"/>
          <w:snapToGrid w:val="0"/>
          <w:color w:val="auto"/>
          <w:kern w:val="0"/>
          <w:sz w:val="24"/>
          <w:szCs w:val="24"/>
          <w:highlight w:val="none"/>
        </w:rPr>
        <w:t>招标范围和标段划分</w:t>
      </w:r>
    </w:p>
    <w:p w14:paraId="5142BF78">
      <w:pPr>
        <w:pageBreakBefore w:val="0"/>
        <w:kinsoku/>
        <w:wordWrap w:val="0"/>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 xml:space="preserve"> 招标范围：</w:t>
      </w:r>
    </w:p>
    <w:p w14:paraId="0C07D661">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本工程所涉及的内容包括但不限于以下（1）和（2）：</w:t>
      </w:r>
    </w:p>
    <w:p w14:paraId="2A1EC8DD">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（1）勘察部分：工程岩土勘察（包括初步勘察、详细勘察）</w:t>
      </w:r>
      <w:r>
        <w:rPr>
          <w:rFonts w:hint="eastAsia" w:ascii="宋体" w:hAnsi="宋体" w:cs="宋体"/>
          <w:snapToGrid w:val="0"/>
          <w:color w:val="auto"/>
          <w:kern w:val="0"/>
          <w:sz w:val="24"/>
          <w:szCs w:val="24"/>
          <w:highlight w:val="none"/>
          <w:lang w:eastAsia="zh-CN"/>
        </w:rPr>
        <w:t>；</w:t>
      </w:r>
    </w:p>
    <w:p w14:paraId="47A3BCD4">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（2）设计部分：确保项目顺利实施的报建、施工等所需的设计文件，所涉及的内容包括但不限于以下：</w:t>
      </w:r>
    </w:p>
    <w:p w14:paraId="21353BE2">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①设计方案（含效果图）、初步设计（含概算）；</w:t>
      </w:r>
    </w:p>
    <w:p w14:paraId="2089282F">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②施工图设计（施工图设计范围为本次招标设计范围的所有内容，施工图送审并确保审查合格）；</w:t>
      </w:r>
    </w:p>
    <w:p w14:paraId="75F42FCB">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③调整并优化设计和在工程施工期间指导和解决施工难题；</w:t>
      </w:r>
    </w:p>
    <w:p w14:paraId="1168D420">
      <w:pPr>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④完成招标人提出的与项目相关并确保项目顺利实施的其他要求。</w:t>
      </w:r>
    </w:p>
    <w:p w14:paraId="26C2BC6C">
      <w:pPr>
        <w:pageBreakBefore w:val="0"/>
        <w:kinsoku/>
        <w:wordWrap w:val="0"/>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 xml:space="preserve">1.2.2 </w:t>
      </w:r>
      <w:r>
        <w:rPr>
          <w:rFonts w:hint="eastAsia" w:ascii="宋体" w:hAnsi="宋体" w:eastAsia="宋体" w:cs="宋体"/>
          <w:snapToGrid w:val="0"/>
          <w:color w:val="auto"/>
          <w:kern w:val="0"/>
          <w:sz w:val="24"/>
          <w:szCs w:val="24"/>
          <w:highlight w:val="none"/>
        </w:rPr>
        <w:t>标段划分：本招标项目不划分标段。</w:t>
      </w:r>
    </w:p>
    <w:p w14:paraId="05FB6C9A">
      <w:pPr>
        <w:pageBreakBefore w:val="0"/>
        <w:tabs>
          <w:tab w:val="left" w:pos="7020"/>
        </w:tabs>
        <w:kinsoku/>
        <w:wordWrap w:val="0"/>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szCs w:val="24"/>
          <w:highlight w:val="none"/>
        </w:rPr>
        <w:t>1.3</w:t>
      </w:r>
      <w:r>
        <w:rPr>
          <w:rFonts w:hint="eastAsia" w:ascii="宋体" w:hAnsi="宋体" w:eastAsia="宋体" w:cs="宋体"/>
          <w:snapToGrid w:val="0"/>
          <w:color w:val="auto"/>
          <w:kern w:val="0"/>
          <w:sz w:val="24"/>
          <w:highlight w:val="none"/>
        </w:rPr>
        <w:t xml:space="preserve"> 投标费用：投标人应承担所有准备和参加投标的相关费用，不论投标结果如何，招标人均无义务和责任承担这些费用。</w:t>
      </w:r>
    </w:p>
    <w:p w14:paraId="31632BE7">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19" w:name="_Toc28649"/>
      <w:bookmarkStart w:id="20" w:name="_Toc14971"/>
      <w:r>
        <w:rPr>
          <w:rFonts w:hint="eastAsia" w:ascii="宋体" w:hAnsi="宋体" w:eastAsia="宋体" w:cs="宋体"/>
          <w:b/>
          <w:bCs/>
          <w:color w:val="auto"/>
          <w:kern w:val="0"/>
          <w:sz w:val="24"/>
          <w:szCs w:val="24"/>
          <w:highlight w:val="none"/>
        </w:rPr>
        <w:t>2．投标人资格要求</w:t>
      </w:r>
      <w:bookmarkEnd w:id="19"/>
      <w:bookmarkEnd w:id="20"/>
      <w:bookmarkStart w:id="21" w:name="_Hlt74496495"/>
      <w:bookmarkEnd w:id="21"/>
    </w:p>
    <w:p w14:paraId="076F2B30">
      <w:pPr>
        <w:pageBreakBefore w:val="0"/>
        <w:kinsoku/>
        <w:overflowPunct/>
        <w:topLinePunct w:val="0"/>
        <w:autoSpaceDE/>
        <w:autoSpaceDN/>
        <w:bidi w:val="0"/>
        <w:spacing w:line="360" w:lineRule="auto"/>
        <w:ind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2.1.</w:t>
      </w:r>
      <w:r>
        <w:rPr>
          <w:rFonts w:hint="eastAsia" w:ascii="宋体" w:hAnsi="宋体" w:eastAsia="宋体" w:cs="宋体"/>
          <w:color w:val="auto"/>
          <w:kern w:val="0"/>
          <w:sz w:val="24"/>
          <w:szCs w:val="24"/>
          <w:highlight w:val="none"/>
        </w:rPr>
        <w:t>本工程</w:t>
      </w:r>
      <w:r>
        <w:rPr>
          <w:rFonts w:hint="eastAsia" w:ascii="宋体" w:hAnsi="宋体" w:eastAsia="宋体" w:cs="宋体"/>
          <w:color w:val="auto"/>
          <w:kern w:val="0"/>
          <w:sz w:val="24"/>
          <w:szCs w:val="24"/>
          <w:highlight w:val="none"/>
          <w:u w:val="single"/>
        </w:rPr>
        <w:t xml:space="preserve"> 接受 </w:t>
      </w:r>
      <w:r>
        <w:rPr>
          <w:rFonts w:hint="eastAsia" w:ascii="宋体" w:hAnsi="宋体" w:eastAsia="宋体" w:cs="宋体"/>
          <w:color w:val="auto"/>
          <w:kern w:val="0"/>
          <w:sz w:val="24"/>
          <w:szCs w:val="24"/>
          <w:highlight w:val="none"/>
        </w:rPr>
        <w:t>联合体投标，联合体以一个投标人的身份共同投标。</w:t>
      </w:r>
    </w:p>
    <w:p w14:paraId="66568D7A">
      <w:pPr>
        <w:pStyle w:val="94"/>
        <w:pageBreakBefore w:val="0"/>
        <w:kinsoku/>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联合体成员数量不超过2个。</w:t>
      </w:r>
    </w:p>
    <w:p w14:paraId="4183F180">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kern w:val="0"/>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7FE318D">
      <w:pPr>
        <w:pageBreakBefore w:val="0"/>
        <w:kinsoku/>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1.3</w:t>
      </w:r>
      <w:r>
        <w:rPr>
          <w:rFonts w:hint="eastAsia" w:ascii="宋体" w:hAnsi="宋体" w:eastAsia="宋体" w:cs="宋体"/>
          <w:color w:val="auto"/>
          <w:kern w:val="0"/>
          <w:sz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47F2122">
      <w:pPr>
        <w:pageBreakBefore w:val="0"/>
        <w:kinsoku/>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val="en-US" w:eastAsia="zh-CN"/>
        </w:rPr>
        <w:t>2.1.4</w:t>
      </w:r>
      <w:r>
        <w:rPr>
          <w:rFonts w:hint="eastAsia" w:ascii="宋体" w:hAnsi="宋体" w:eastAsia="宋体" w:cs="宋体"/>
          <w:color w:val="auto"/>
          <w:kern w:val="0"/>
          <w:sz w:val="24"/>
          <w:szCs w:val="24"/>
          <w:highlight w:val="none"/>
        </w:rPr>
        <w:t>联合体各方不得再以自己名义单独或参加其他联合体在本招标项目中投标，否则各相关投标均无效。</w:t>
      </w:r>
    </w:p>
    <w:p w14:paraId="71ABFA68">
      <w:pPr>
        <w:pageBreakBefore w:val="0"/>
        <w:kinsoku/>
        <w:overflowPunct/>
        <w:topLinePunct w:val="0"/>
        <w:autoSpaceDE/>
        <w:autoSpaceDN/>
        <w:bidi w:val="0"/>
        <w:spacing w:line="360" w:lineRule="auto"/>
        <w:ind w:right="0" w:rightChars="0"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2.2.</w:t>
      </w:r>
      <w:r>
        <w:rPr>
          <w:rFonts w:hint="eastAsia" w:ascii="宋体" w:hAnsi="宋体" w:eastAsia="宋体" w:cs="宋体"/>
          <w:color w:val="auto"/>
          <w:kern w:val="0"/>
          <w:sz w:val="24"/>
          <w:szCs w:val="24"/>
          <w:highlight w:val="none"/>
        </w:rPr>
        <w:t>资质要求</w:t>
      </w:r>
    </w:p>
    <w:p w14:paraId="0FFE36C5">
      <w:pPr>
        <w:pStyle w:val="94"/>
        <w:pageBreakBefore w:val="0"/>
        <w:kinsoku/>
        <w:overflowPunct/>
        <w:topLinePunct w:val="0"/>
        <w:autoSpaceDE/>
        <w:autoSpaceDN/>
        <w:bidi w:val="0"/>
        <w:spacing w:line="360" w:lineRule="auto"/>
        <w:ind w:right="0" w:rightChars="0" w:firstLine="482"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2.2.1</w:t>
      </w:r>
      <w:r>
        <w:rPr>
          <w:rFonts w:hint="eastAsia" w:ascii="宋体" w:hAnsi="宋体" w:eastAsia="宋体" w:cs="宋体"/>
          <w:color w:val="auto"/>
          <w:kern w:val="0"/>
          <w:sz w:val="24"/>
          <w:szCs w:val="24"/>
          <w:highlight w:val="none"/>
          <w:lang w:val="en-US" w:eastAsia="zh-CN"/>
        </w:rPr>
        <w:t>投标人须持有市场监督管理部门（或原工商管理部门）核发的营业执照，按国家法律经营的独立法人。</w:t>
      </w:r>
    </w:p>
    <w:p w14:paraId="0C2E730E">
      <w:pPr>
        <w:pStyle w:val="94"/>
        <w:pageBreakBefore w:val="0"/>
        <w:kinsoku/>
        <w:overflowPunct/>
        <w:topLinePunct w:val="0"/>
        <w:autoSpaceDE/>
        <w:autoSpaceDN/>
        <w:bidi w:val="0"/>
        <w:spacing w:line="360" w:lineRule="auto"/>
        <w:ind w:right="0" w:rightChars="0" w:firstLine="482"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2.2.2</w:t>
      </w:r>
      <w:r>
        <w:rPr>
          <w:rFonts w:hint="eastAsia" w:ascii="宋体" w:hAnsi="宋体" w:eastAsia="宋体" w:cs="宋体"/>
          <w:color w:val="auto"/>
          <w:kern w:val="0"/>
          <w:sz w:val="24"/>
          <w:szCs w:val="24"/>
          <w:highlight w:val="none"/>
          <w:lang w:val="en-US" w:eastAsia="zh-CN" w:bidi="ar-SA"/>
        </w:rPr>
        <w:t>工程勘察、设计单位须持有建设行政主管部门核发的资质证书。</w:t>
      </w:r>
    </w:p>
    <w:p w14:paraId="5771C62F">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2"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2.2.3</w:t>
      </w:r>
      <w:r>
        <w:rPr>
          <w:rFonts w:hint="eastAsia" w:ascii="宋体" w:hAnsi="宋体" w:eastAsia="宋体" w:cs="宋体"/>
          <w:color w:val="auto"/>
          <w:kern w:val="0"/>
          <w:sz w:val="24"/>
          <w:szCs w:val="24"/>
          <w:highlight w:val="none"/>
          <w:lang w:val="en-US" w:eastAsia="zh-CN"/>
        </w:rPr>
        <w:t>参加投标的投标人可以是单一独立法人或由不超过两家独立法人组成的联合体（必须注明其中一家为牵头人；联合体成员中勘察、设计企业分别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3DD58DD6">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①设计资质必须具备以下资质之一：</w:t>
      </w:r>
    </w:p>
    <w:p w14:paraId="49D42C23">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（1）具备工程设计综合甲级资质；</w:t>
      </w:r>
    </w:p>
    <w:p w14:paraId="3C92F572">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（2）具备工程设计市政行业乙级以上(含乙级)资质；</w:t>
      </w:r>
    </w:p>
    <w:p w14:paraId="1A923D17">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（3）具备工程设计市政行业（燃气工程、轨道交通工程除外）乙级以上(含乙级)资质；</w:t>
      </w:r>
    </w:p>
    <w:p w14:paraId="1B7660FD">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（4）市政行业（道路工程）专业设计乙级以上（含乙级）资质。</w:t>
      </w:r>
    </w:p>
    <w:p w14:paraId="4498373A">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②勘察资质必须具备建设行政主管部门颁发的以下资质之一：</w:t>
      </w:r>
    </w:p>
    <w:p w14:paraId="646764A6">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（1）具备工程勘察综合类甲级资质；</w:t>
      </w:r>
    </w:p>
    <w:p w14:paraId="612E3AAF">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（2）具备工程勘察专业（岩土工程）乙级以上（含乙级）资质；</w:t>
      </w:r>
    </w:p>
    <w:p w14:paraId="67184CC3">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（3）具备工程勘察专业（岩土工程（岩土工程勘察））乙级以上（含乙级）资质；</w:t>
      </w:r>
    </w:p>
    <w:p w14:paraId="05843DA9">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2.4根据有关文件精神，投标人的企业相关证书、人员资质、资格有效期到期的，均按该证书的发证机构相关行业主管部门最新文件执行（如自动顺延或推迟办理延期业务的通知），投标人必须将相关文件附在该证书后面，证明在开标日继续有效的。</w:t>
      </w:r>
    </w:p>
    <w:p w14:paraId="45EB45B1">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.3.相关人员要求</w:t>
      </w:r>
    </w:p>
    <w:p w14:paraId="3CB2DDAD">
      <w:pPr>
        <w:pStyle w:val="94"/>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highlight w:val="none"/>
        </w:rPr>
        <w:t>3.1</w:t>
      </w:r>
      <w:r>
        <w:rPr>
          <w:rFonts w:hint="eastAsia" w:ascii="宋体" w:hAnsi="宋体" w:eastAsia="宋体" w:cs="宋体"/>
          <w:color w:val="auto"/>
          <w:kern w:val="0"/>
          <w:sz w:val="24"/>
          <w:szCs w:val="24"/>
          <w:highlight w:val="none"/>
        </w:rPr>
        <w:t>拟委派担任本招标项目的项目负责人（即设计负责人）须</w:t>
      </w:r>
      <w:r>
        <w:rPr>
          <w:rFonts w:hint="eastAsia" w:ascii="宋体" w:hAnsi="宋体" w:eastAsia="宋体" w:cs="宋体"/>
          <w:color w:val="auto"/>
          <w:kern w:val="0"/>
          <w:sz w:val="24"/>
          <w:szCs w:val="24"/>
          <w:highlight w:val="none"/>
          <w:lang w:eastAsia="zh-CN"/>
        </w:rPr>
        <w:t>为</w:t>
      </w:r>
      <w:r>
        <w:rPr>
          <w:rFonts w:hint="eastAsia" w:ascii="宋体" w:hAnsi="宋体" w:cs="宋体"/>
          <w:color w:val="auto"/>
          <w:kern w:val="0"/>
          <w:sz w:val="24"/>
          <w:highlight w:val="none"/>
        </w:rPr>
        <w:t>注册土木工程师（道路工程）</w:t>
      </w:r>
      <w:r>
        <w:rPr>
          <w:rFonts w:hint="eastAsia" w:ascii="宋体" w:hAnsi="宋体" w:eastAsia="宋体" w:cs="宋体"/>
          <w:color w:val="auto"/>
          <w:kern w:val="0"/>
          <w:sz w:val="24"/>
          <w:szCs w:val="24"/>
          <w:highlight w:val="none"/>
        </w:rPr>
        <w:t>。</w:t>
      </w:r>
    </w:p>
    <w:p w14:paraId="14213F55">
      <w:pPr>
        <w:pStyle w:val="94"/>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3.2拟委派担任本招标项目的勘察负责人须</w:t>
      </w:r>
      <w:r>
        <w:rPr>
          <w:rFonts w:hint="eastAsia" w:ascii="宋体" w:hAnsi="宋体" w:eastAsia="宋体" w:cs="宋体"/>
          <w:color w:val="auto"/>
          <w:kern w:val="0"/>
          <w:sz w:val="24"/>
          <w:szCs w:val="24"/>
          <w:highlight w:val="none"/>
          <w:lang w:eastAsia="zh-CN"/>
        </w:rPr>
        <w:t>为</w:t>
      </w:r>
      <w:r>
        <w:rPr>
          <w:rFonts w:hint="eastAsia" w:ascii="宋体" w:hAnsi="宋体" w:eastAsia="宋体" w:cs="宋体"/>
          <w:color w:val="auto"/>
          <w:kern w:val="0"/>
          <w:sz w:val="24"/>
          <w:szCs w:val="24"/>
          <w:highlight w:val="none"/>
        </w:rPr>
        <w:t>注册土木工程师（岩土）注册执业证书。</w:t>
      </w:r>
    </w:p>
    <w:p w14:paraId="49989823">
      <w:pPr>
        <w:pageBreakBefore w:val="0"/>
        <w:widowControl/>
        <w:shd w:val="clear" w:color="auto" w:fill="FFFFFF"/>
        <w:kinsoku/>
        <w:overflowPunct/>
        <w:topLinePunct w:val="0"/>
        <w:autoSpaceDE/>
        <w:autoSpaceDN/>
        <w:bidi w:val="0"/>
        <w:adjustRightInd w:val="0"/>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3.3投标人（包括组成联合体的所有成员单位）与其拟派往本项目所有人员之间必须具备合法、唯一的劳动聘用关系。拟派人员中具备注册执业资格的，其注册单位须与投标人保持一致。</w:t>
      </w:r>
    </w:p>
    <w:p w14:paraId="5B1E4C64">
      <w:pPr>
        <w:keepNext w:val="0"/>
        <w:keepLines w:val="0"/>
        <w:pageBreakBefore w:val="0"/>
        <w:widowControl/>
        <w:shd w:val="clear" w:color="auto" w:fill="FFFFFF"/>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注：若投标人拟投入本工程团队人员的社保由上级事业单位统一缴纳的，必须提供上级事业单位出具的投标人在编人员社保在上级事业单位缴纳的证明文件及该人员在上级事业单位缴纳的社保证明</w:t>
      </w:r>
      <w:r>
        <w:rPr>
          <w:rFonts w:hint="eastAsia" w:ascii="宋体" w:hAnsi="宋体" w:eastAsia="宋体" w:cs="宋体"/>
          <w:color w:val="auto"/>
          <w:kern w:val="0"/>
          <w:sz w:val="24"/>
          <w:szCs w:val="24"/>
          <w:highlight w:val="none"/>
        </w:rPr>
        <w:t>。</w:t>
      </w:r>
    </w:p>
    <w:p w14:paraId="619CB7B9">
      <w:pPr>
        <w:pStyle w:val="94"/>
        <w:pageBreakBefore w:val="0"/>
        <w:widowControl/>
        <w:kinsoku/>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2.4 禁止投标条款</w:t>
      </w:r>
    </w:p>
    <w:p w14:paraId="4D511EEC">
      <w:pPr>
        <w:pStyle w:val="94"/>
        <w:pageBreakBefore w:val="0"/>
        <w:widowControl/>
        <w:kinsoku/>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val="0"/>
          <w:bCs w:val="0"/>
          <w:color w:val="auto"/>
          <w:kern w:val="0"/>
          <w:sz w:val="24"/>
          <w:highlight w:val="none"/>
        </w:rPr>
        <w:t xml:space="preserve">2.4.1 </w:t>
      </w:r>
      <w:r>
        <w:rPr>
          <w:rFonts w:hint="eastAsia" w:ascii="宋体" w:hAnsi="宋体" w:eastAsia="宋体" w:cs="宋体"/>
          <w:color w:val="auto"/>
          <w:kern w:val="0"/>
          <w:sz w:val="24"/>
          <w:highlight w:val="none"/>
        </w:rPr>
        <w:t>投标人不得存在下列情形之一：</w:t>
      </w:r>
    </w:p>
    <w:p w14:paraId="581A1205">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14:paraId="226B5DDC">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（2）与招标人存在利害关系且可能影响招标公正性；</w:t>
      </w:r>
    </w:p>
    <w:p w14:paraId="351D7F54">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14:paraId="7A660ADD">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14:paraId="4D3B03AD">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（5）为本招标项目的代建人；</w:t>
      </w:r>
    </w:p>
    <w:p w14:paraId="59C78FC3">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（6）为本招标项目的招标代理机构；</w:t>
      </w:r>
    </w:p>
    <w:p w14:paraId="1F1CC80D">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（7）与本招标项目的代建人或招标代理机构同为一个法定代表人；</w:t>
      </w:r>
    </w:p>
    <w:p w14:paraId="2D42FD32">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（8）与本招标项目的代建人或招标代理机构存在控股或参股关系；</w:t>
      </w:r>
    </w:p>
    <w:p w14:paraId="627F3EC4">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（9）与本招标项目的代建人或招标代理机构存在相互任职或工作关系；</w:t>
      </w:r>
    </w:p>
    <w:p w14:paraId="42618AAB">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（10）被依法暂停或者取消投标资格；</w:t>
      </w:r>
    </w:p>
    <w:p w14:paraId="4AD2F013">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（11）被责令停产停业、暂扣或者吊销许可证、暂扣或者吊销执照；</w:t>
      </w:r>
    </w:p>
    <w:p w14:paraId="7F1EC6FA">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（12）进入清算程序，或被宣告破产，或其他丧失履约能力的情形；</w:t>
      </w:r>
    </w:p>
    <w:p w14:paraId="59908370">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（13）在最近三年内发生重大工程质量或安全问题（以相关行业主管部门的行政处罚决定或司法机关出具的有关法律文书为准）；</w:t>
      </w:r>
    </w:p>
    <w:p w14:paraId="0C126CDC">
      <w:pPr>
        <w:pStyle w:val="94"/>
        <w:pageBreakBefore w:val="0"/>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（14）被“信用中国”网站（https://www.creditchina.gov.cn）发布的《法人和非法人组织公共信用信息报告》列为严重失信主体名单的。</w:t>
      </w:r>
    </w:p>
    <w:p w14:paraId="74F973AB">
      <w:pPr>
        <w:pStyle w:val="94"/>
        <w:pageBreakBefore w:val="0"/>
        <w:widowControl/>
        <w:kinsoku/>
        <w:overflowPunct/>
        <w:topLinePunct w:val="0"/>
        <w:autoSpaceDE/>
        <w:autoSpaceDN/>
        <w:bidi w:val="0"/>
        <w:adjustRightInd w:val="0"/>
        <w:snapToGrid w:val="0"/>
        <w:spacing w:line="360" w:lineRule="auto"/>
        <w:ind w:right="0" w:righ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2.4.2</w:t>
      </w:r>
      <w:r>
        <w:rPr>
          <w:rFonts w:hint="eastAsia" w:ascii="宋体" w:hAnsi="宋体" w:eastAsia="宋体" w:cs="宋体"/>
          <w:color w:val="auto"/>
          <w:kern w:val="0"/>
          <w:sz w:val="24"/>
          <w:highlight w:val="none"/>
        </w:rPr>
        <w:t>招标人拒绝以下名单中的单位参加本次投标：</w:t>
      </w:r>
    </w:p>
    <w:tbl>
      <w:tblPr>
        <w:tblStyle w:val="33"/>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1"/>
        <w:gridCol w:w="4003"/>
        <w:gridCol w:w="5034"/>
      </w:tblGrid>
      <w:tr w14:paraId="626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821" w:type="dxa"/>
            <w:noWrap w:val="0"/>
            <w:tcMar>
              <w:top w:w="0" w:type="dxa"/>
              <w:left w:w="105" w:type="dxa"/>
              <w:bottom w:w="0" w:type="dxa"/>
              <w:right w:w="105" w:type="dxa"/>
            </w:tcMar>
            <w:vAlign w:val="center"/>
          </w:tcPr>
          <w:p w14:paraId="44A576EA">
            <w:pPr>
              <w:pStyle w:val="29"/>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003" w:type="dxa"/>
            <w:noWrap w:val="0"/>
            <w:tcMar>
              <w:top w:w="0" w:type="dxa"/>
              <w:left w:w="105" w:type="dxa"/>
              <w:bottom w:w="0" w:type="dxa"/>
              <w:right w:w="105" w:type="dxa"/>
            </w:tcMar>
            <w:vAlign w:val="center"/>
          </w:tcPr>
          <w:p w14:paraId="3B2BF8F2">
            <w:pPr>
              <w:pStyle w:val="29"/>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5034" w:type="dxa"/>
            <w:noWrap w:val="0"/>
            <w:tcMar>
              <w:top w:w="0" w:type="dxa"/>
              <w:left w:w="105" w:type="dxa"/>
              <w:bottom w:w="0" w:type="dxa"/>
              <w:right w:w="105" w:type="dxa"/>
            </w:tcMar>
            <w:vAlign w:val="center"/>
          </w:tcPr>
          <w:p w14:paraId="1D71626B">
            <w:pPr>
              <w:pStyle w:val="29"/>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拒绝原因</w:t>
            </w:r>
          </w:p>
        </w:tc>
      </w:tr>
      <w:tr w14:paraId="17E4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821" w:type="dxa"/>
            <w:noWrap w:val="0"/>
            <w:tcMar>
              <w:top w:w="0" w:type="dxa"/>
              <w:left w:w="105" w:type="dxa"/>
              <w:bottom w:w="0" w:type="dxa"/>
              <w:right w:w="105" w:type="dxa"/>
            </w:tcMar>
            <w:vAlign w:val="center"/>
          </w:tcPr>
          <w:p w14:paraId="0E994B39">
            <w:pPr>
              <w:pStyle w:val="29"/>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003" w:type="dxa"/>
            <w:noWrap w:val="0"/>
            <w:tcMar>
              <w:top w:w="0" w:type="dxa"/>
              <w:left w:w="105" w:type="dxa"/>
              <w:bottom w:w="0" w:type="dxa"/>
              <w:right w:w="105" w:type="dxa"/>
            </w:tcMar>
            <w:vAlign w:val="center"/>
          </w:tcPr>
          <w:p w14:paraId="6FF76DD2">
            <w:pPr>
              <w:pStyle w:val="94"/>
              <w:wordWrap w:val="0"/>
              <w:adjustRightInd w:val="0"/>
              <w:snapToGrid w:val="0"/>
              <w:jc w:val="center"/>
              <w:rPr>
                <w:rFonts w:hint="eastAsia" w:ascii="宋体" w:hAnsi="宋体" w:eastAsia="宋体" w:cs="宋体"/>
                <w:color w:val="auto"/>
                <w:sz w:val="24"/>
                <w:highlight w:val="none"/>
                <w:lang w:eastAsia="zh-CN"/>
              </w:rPr>
            </w:pPr>
            <w:r>
              <w:rPr>
                <w:rFonts w:hint="eastAsia" w:ascii="宋体" w:hAnsi="宋体" w:eastAsia="宋体" w:cs="宋体"/>
                <w:snapToGrid w:val="0"/>
                <w:color w:val="auto"/>
                <w:kern w:val="0"/>
                <w:sz w:val="24"/>
                <w:highlight w:val="none"/>
                <w:lang w:eastAsia="zh-CN"/>
              </w:rPr>
              <w:t>韶关市浈江区鸿通投资有限公司</w:t>
            </w:r>
          </w:p>
        </w:tc>
        <w:tc>
          <w:tcPr>
            <w:tcW w:w="5034" w:type="dxa"/>
            <w:noWrap w:val="0"/>
            <w:tcMar>
              <w:top w:w="0" w:type="dxa"/>
              <w:left w:w="105" w:type="dxa"/>
              <w:bottom w:w="0" w:type="dxa"/>
              <w:right w:w="105" w:type="dxa"/>
            </w:tcMar>
            <w:vAlign w:val="center"/>
          </w:tcPr>
          <w:p w14:paraId="6FB3CB3D">
            <w:pPr>
              <w:pStyle w:val="94"/>
              <w:wordWrap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为本招标项目的招标人</w:t>
            </w:r>
          </w:p>
        </w:tc>
      </w:tr>
      <w:tr w14:paraId="5882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821" w:type="dxa"/>
            <w:noWrap w:val="0"/>
            <w:tcMar>
              <w:top w:w="0" w:type="dxa"/>
              <w:left w:w="105" w:type="dxa"/>
              <w:bottom w:w="0" w:type="dxa"/>
              <w:right w:w="105" w:type="dxa"/>
            </w:tcMar>
            <w:vAlign w:val="center"/>
          </w:tcPr>
          <w:p w14:paraId="1171E06D">
            <w:pPr>
              <w:pStyle w:val="29"/>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003" w:type="dxa"/>
            <w:noWrap w:val="0"/>
            <w:tcMar>
              <w:top w:w="0" w:type="dxa"/>
              <w:left w:w="105" w:type="dxa"/>
              <w:bottom w:w="0" w:type="dxa"/>
              <w:right w:w="105" w:type="dxa"/>
            </w:tcMar>
            <w:vAlign w:val="center"/>
          </w:tcPr>
          <w:p w14:paraId="3A6A138B">
            <w:pPr>
              <w:pStyle w:val="94"/>
              <w:wordWrap w:val="0"/>
              <w:adjustRightInd w:val="0"/>
              <w:snapToGrid w:val="0"/>
              <w:jc w:val="center"/>
              <w:rPr>
                <w:rFonts w:hint="eastAsia" w:ascii="宋体" w:hAnsi="宋体" w:eastAsia="宋体" w:cs="宋体"/>
                <w:color w:val="auto"/>
                <w:sz w:val="24"/>
                <w:highlight w:val="none"/>
                <w:lang w:eastAsia="zh-CN"/>
              </w:rPr>
            </w:pPr>
            <w:r>
              <w:rPr>
                <w:rFonts w:hint="eastAsia" w:ascii="宋体" w:hAnsi="宋体" w:eastAsia="宋体" w:cs="宋体"/>
                <w:snapToGrid w:val="0"/>
                <w:color w:val="auto"/>
                <w:kern w:val="0"/>
                <w:sz w:val="24"/>
                <w:highlight w:val="none"/>
                <w:lang w:eastAsia="zh-CN"/>
              </w:rPr>
              <w:t>广东合正项目管理有限公司</w:t>
            </w:r>
          </w:p>
        </w:tc>
        <w:tc>
          <w:tcPr>
            <w:tcW w:w="5034" w:type="dxa"/>
            <w:noWrap w:val="0"/>
            <w:tcMar>
              <w:top w:w="0" w:type="dxa"/>
              <w:left w:w="105" w:type="dxa"/>
              <w:bottom w:w="0" w:type="dxa"/>
              <w:right w:w="105" w:type="dxa"/>
            </w:tcMar>
            <w:vAlign w:val="center"/>
          </w:tcPr>
          <w:p w14:paraId="7DACF006">
            <w:pPr>
              <w:pStyle w:val="94"/>
              <w:wordWrap w:val="0"/>
              <w:adjustRightInd w:val="0"/>
              <w:snapToGrid w:val="0"/>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为本招标项目的招标代理机构</w:t>
            </w:r>
          </w:p>
        </w:tc>
      </w:tr>
    </w:tbl>
    <w:p w14:paraId="35656F42">
      <w:pPr>
        <w:pStyle w:val="94"/>
        <w:pageBreakBefore w:val="0"/>
        <w:widowControl/>
        <w:kinsoku/>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2.5 </w:t>
      </w:r>
      <w:r>
        <w:rPr>
          <w:rFonts w:hint="eastAsia" w:ascii="宋体" w:hAnsi="宋体" w:eastAsia="宋体" w:cs="宋体"/>
          <w:color w:val="auto"/>
          <w:kern w:val="0"/>
          <w:sz w:val="24"/>
          <w:highlight w:val="none"/>
        </w:rPr>
        <w:t>其他要求</w:t>
      </w:r>
      <w:bookmarkStart w:id="22" w:name="_Toc28562"/>
    </w:p>
    <w:p w14:paraId="4983CA5F">
      <w:pPr>
        <w:pStyle w:val="94"/>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省外企业</w:t>
      </w:r>
      <w:r>
        <w:rPr>
          <w:rFonts w:hint="eastAsia" w:ascii="宋体" w:hAnsi="宋体" w:eastAsia="宋体" w:cs="宋体"/>
          <w:color w:val="auto"/>
          <w:kern w:val="0"/>
          <w:sz w:val="24"/>
          <w:highlight w:val="none"/>
        </w:rPr>
        <w:t>（包括组成联合体的所有成员单位）</w:t>
      </w:r>
      <w:r>
        <w:rPr>
          <w:rFonts w:hint="eastAsia" w:ascii="宋体" w:hAnsi="宋体" w:eastAsia="宋体" w:cs="宋体"/>
          <w:snapToGrid w:val="0"/>
          <w:color w:val="auto"/>
          <w:kern w:val="0"/>
          <w:sz w:val="24"/>
          <w:highlight w:val="none"/>
        </w:rPr>
        <w:t>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bookmarkEnd w:id="22"/>
    </w:p>
    <w:p w14:paraId="4E1CD8B1">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bookmarkStart w:id="23" w:name="_Toc16915"/>
      <w:bookmarkStart w:id="24" w:name="_Toc8869"/>
    </w:p>
    <w:p w14:paraId="1A759442">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3．招标文件获取</w:t>
      </w:r>
      <w:bookmarkEnd w:id="23"/>
      <w:bookmarkEnd w:id="24"/>
    </w:p>
    <w:p w14:paraId="71095B04">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18819797080/0751-8379671 伍先生，业务咨询电话：0751-8633211。</w:t>
      </w:r>
    </w:p>
    <w:p w14:paraId="68E3C58B">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只有申领了数字证书（CA）、“粤企签”或GDCA/SZCA/NETCA等符合法律法规规定的电子印章，并在交易系统中完成企业信息数据入库的投标人，方可使用建设工程交易系统进行招标文件及附件获取和电子投标。首次在韶关市参与建设工程招标投标活动的投标人，必须在平台系统上传企业相关资料办理企业入库事宜和持企业相关资料到韶关市公共资源交易中心办事大厅办理数字证书（CA）。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10873733">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27D072A">
      <w:pPr>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14:paraId="469D7B31">
      <w:pPr>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bookmarkStart w:id="25" w:name="_Toc9252"/>
      <w:r>
        <w:rPr>
          <w:rFonts w:hint="eastAsia" w:ascii="宋体" w:hAnsi="宋体" w:eastAsia="宋体" w:cs="宋体"/>
          <w:b/>
          <w:bCs/>
          <w:color w:val="auto"/>
          <w:kern w:val="0"/>
          <w:sz w:val="24"/>
          <w:szCs w:val="24"/>
          <w:highlight w:val="none"/>
        </w:rPr>
        <w:t>3.3.1</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投标人须缴纳金额为人民币</w:t>
      </w:r>
      <w:r>
        <w:rPr>
          <w:rFonts w:hint="eastAsia" w:ascii="宋体" w:hAnsi="宋体" w:eastAsia="宋体" w:cs="宋体"/>
          <w:snapToGrid w:val="0"/>
          <w:color w:val="auto"/>
          <w:kern w:val="0"/>
          <w:sz w:val="24"/>
          <w:szCs w:val="24"/>
          <w:highlight w:val="none"/>
          <w:u w:val="single"/>
          <w:lang w:val="en-US" w:eastAsia="zh-CN"/>
        </w:rPr>
        <w:t>壹拾万元整（¥100,000.00元）</w:t>
      </w:r>
      <w:r>
        <w:rPr>
          <w:rFonts w:hint="eastAsia" w:ascii="宋体" w:hAnsi="宋体" w:eastAsia="宋体" w:cs="宋体"/>
          <w:snapToGrid w:val="0"/>
          <w:color w:val="auto"/>
          <w:kern w:val="0"/>
          <w:sz w:val="24"/>
          <w:szCs w:val="24"/>
          <w:highlight w:val="none"/>
        </w:rPr>
        <w:t>的投标保证。</w:t>
      </w:r>
      <w:r>
        <w:rPr>
          <w:rFonts w:hint="eastAsia" w:ascii="宋体" w:hAnsi="宋体" w:eastAsia="宋体" w:cs="宋体"/>
          <w:color w:val="auto"/>
          <w:sz w:val="24"/>
          <w:szCs w:val="24"/>
          <w:highlight w:val="none"/>
          <w:lang w:eastAsia="zh-CN"/>
        </w:rPr>
        <w:t>（组成联合体时</w:t>
      </w:r>
      <w:r>
        <w:rPr>
          <w:rFonts w:hint="eastAsia" w:ascii="宋体" w:hAnsi="宋体" w:eastAsia="宋体" w:cs="宋体"/>
          <w:color w:val="auto"/>
          <w:sz w:val="24"/>
          <w:szCs w:val="24"/>
          <w:highlight w:val="none"/>
        </w:rPr>
        <w:t>，由联合体牵头人提交</w:t>
      </w:r>
      <w:r>
        <w:rPr>
          <w:rFonts w:hint="eastAsia" w:ascii="宋体" w:hAnsi="宋体" w:eastAsia="宋体" w:cs="宋体"/>
          <w:color w:val="auto"/>
          <w:sz w:val="24"/>
          <w:szCs w:val="24"/>
          <w:highlight w:val="none"/>
          <w:lang w:eastAsia="zh-CN"/>
        </w:rPr>
        <w:t>）</w:t>
      </w:r>
    </w:p>
    <w:p w14:paraId="69C33A73">
      <w:pPr>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3.3.2</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投标保证的形式包括投标保证金、投标保证担保、投标保证保险三种，由投标人自主选择。</w:t>
      </w:r>
    </w:p>
    <w:p w14:paraId="188D54CF">
      <w:pPr>
        <w:pStyle w:val="12"/>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 </w:t>
      </w:r>
    </w:p>
    <w:p w14:paraId="553106AC">
      <w:pPr>
        <w:pStyle w:val="12"/>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 </w:t>
      </w:r>
    </w:p>
    <w:p w14:paraId="577E3ADB">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46A28C8F">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温馨提醒：投标人采用投标保证担保或投标保证保险的，为避免在评标过程中因有效期发生争议，建议投标人将银行保函</w:t>
      </w:r>
      <w:r>
        <w:rPr>
          <w:rFonts w:hint="eastAsia" w:ascii="宋体" w:hAnsi="宋体" w:eastAsia="宋体" w:cs="宋体"/>
          <w:color w:val="auto"/>
          <w:kern w:val="0"/>
          <w:sz w:val="24"/>
          <w:szCs w:val="24"/>
          <w:highlight w:val="none"/>
        </w:rPr>
        <w:t>或电子保函</w:t>
      </w:r>
      <w:r>
        <w:rPr>
          <w:rFonts w:hint="eastAsia" w:ascii="宋体" w:hAnsi="宋体" w:eastAsia="宋体" w:cs="宋体"/>
          <w:snapToGrid w:val="0"/>
          <w:color w:val="auto"/>
          <w:kern w:val="0"/>
          <w:sz w:val="24"/>
          <w:szCs w:val="24"/>
          <w:highlight w:val="none"/>
        </w:rPr>
        <w:t>或电子保单有效期设置为较招标文件规定的投标有效期延长不少于20个日历天。</w:t>
      </w:r>
    </w:p>
    <w:p w14:paraId="779E0CB6">
      <w:pPr>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color w:val="auto"/>
          <w:kern w:val="0"/>
          <w:sz w:val="24"/>
          <w:szCs w:val="24"/>
          <w:highlight w:val="none"/>
        </w:rPr>
        <w:t>3.4</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sz w:val="24"/>
          <w:szCs w:val="24"/>
          <w:highlight w:val="none"/>
        </w:rPr>
        <w:t>若投标人因自身原因未能正确完成网上获取招标文件、电子投标、缴纳投标保证的，其投标无效。</w:t>
      </w:r>
    </w:p>
    <w:p w14:paraId="32C6479F">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bookmarkStart w:id="26" w:name="_Toc1576"/>
    </w:p>
    <w:p w14:paraId="67CE10FB">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4．工期要求</w:t>
      </w:r>
      <w:bookmarkEnd w:id="25"/>
      <w:bookmarkEnd w:id="26"/>
    </w:p>
    <w:p w14:paraId="3BF6173E">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bookmarkStart w:id="27" w:name="_Toc27354"/>
      <w:r>
        <w:rPr>
          <w:rFonts w:hint="eastAsia" w:ascii="宋体" w:hAnsi="宋体" w:eastAsia="宋体" w:cs="宋体"/>
          <w:snapToGrid w:val="0"/>
          <w:color w:val="auto"/>
          <w:kern w:val="0"/>
          <w:sz w:val="24"/>
          <w:szCs w:val="24"/>
          <w:highlight w:val="none"/>
          <w:lang w:val="en-US" w:eastAsia="zh-CN"/>
        </w:rPr>
        <w:t>招标项目勘察、设计工期：120个日历天，各阶段实施期限如下：</w:t>
      </w:r>
    </w:p>
    <w:p w14:paraId="46FBD839">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（1）勘察阶段：从中标通知书发出之日起30个日历天提交勘察成果文件等；</w:t>
      </w:r>
    </w:p>
    <w:p w14:paraId="07BCACD1">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（2）初步设计阶段：从提交勘察成果文件之日起45个日历天内提交初步设计（含概算）；</w:t>
      </w:r>
    </w:p>
    <w:p w14:paraId="3AB42F91">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（3）施工图设计阶段：从初步设计评审完成之日起30个日历天完成施工图设计；</w:t>
      </w:r>
    </w:p>
    <w:p w14:paraId="3C3C272B">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（3）施工图修编：出具施工图审查意见后15个日历天内完成施工图修编；</w:t>
      </w:r>
    </w:p>
    <w:p w14:paraId="461AD17B">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（4）施工现场配合服务：项目施工及缺陷责任期内。</w:t>
      </w:r>
    </w:p>
    <w:p w14:paraId="3194D444">
      <w:pPr>
        <w:pageBreakBefore w:val="0"/>
        <w:tabs>
          <w:tab w:val="left" w:pos="7020"/>
        </w:tabs>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注：因本项目分阶段实施，工期根据业主实际项目要求进行调整。</w:t>
      </w:r>
    </w:p>
    <w:p w14:paraId="096C36FE">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lang w:val="en-US" w:eastAsia="zh-CN"/>
        </w:rPr>
      </w:pPr>
      <w:bookmarkStart w:id="28" w:name="_Toc7308"/>
    </w:p>
    <w:p w14:paraId="424F247E">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．勘察、设计工程内容和质量标准</w:t>
      </w:r>
      <w:bookmarkEnd w:id="27"/>
      <w:bookmarkEnd w:id="28"/>
    </w:p>
    <w:p w14:paraId="55EA8472">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5.1本项目</w:t>
      </w:r>
      <w:r>
        <w:rPr>
          <w:rFonts w:hint="eastAsia" w:ascii="宋体" w:hAnsi="宋体" w:eastAsia="宋体" w:cs="宋体"/>
          <w:b/>
          <w:bCs/>
          <w:snapToGrid w:val="0"/>
          <w:color w:val="auto"/>
          <w:kern w:val="0"/>
          <w:sz w:val="24"/>
          <w:szCs w:val="24"/>
          <w:highlight w:val="none"/>
        </w:rPr>
        <w:t>建设规模和内容：</w:t>
      </w:r>
    </w:p>
    <w:p w14:paraId="7BA9AB62">
      <w:pPr>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本次招标建设内容：包括场地平整及边坡防护、新建园区道路及配套</w:t>
      </w:r>
      <w:r>
        <w:rPr>
          <w:rFonts w:hint="eastAsia" w:ascii="宋体" w:hAnsi="宋体" w:cs="宋体"/>
          <w:snapToGrid w:val="0"/>
          <w:color w:val="auto"/>
          <w:kern w:val="0"/>
          <w:sz w:val="24"/>
          <w:szCs w:val="24"/>
          <w:highlight w:val="none"/>
          <w:lang w:val="en-US" w:eastAsia="zh-CN"/>
        </w:rPr>
        <w:t>设施</w:t>
      </w:r>
      <w:r>
        <w:rPr>
          <w:rFonts w:hint="eastAsia" w:ascii="宋体" w:hAnsi="宋体" w:eastAsia="宋体" w:cs="宋体"/>
          <w:snapToGrid w:val="0"/>
          <w:color w:val="auto"/>
          <w:kern w:val="0"/>
          <w:sz w:val="24"/>
          <w:szCs w:val="24"/>
          <w:highlight w:val="none"/>
        </w:rPr>
        <w:t>工程。其中项目场地平整3780亩，总挖填方约998万立方米；新建7条园区道路及配套</w:t>
      </w:r>
      <w:r>
        <w:rPr>
          <w:rFonts w:hint="eastAsia" w:ascii="宋体" w:hAnsi="宋体" w:cs="宋体"/>
          <w:snapToGrid w:val="0"/>
          <w:color w:val="auto"/>
          <w:kern w:val="0"/>
          <w:sz w:val="24"/>
          <w:szCs w:val="24"/>
          <w:highlight w:val="none"/>
          <w:lang w:val="en-US" w:eastAsia="zh-CN"/>
        </w:rPr>
        <w:t>设施</w:t>
      </w:r>
      <w:r>
        <w:rPr>
          <w:rFonts w:hint="eastAsia" w:ascii="宋体" w:hAnsi="宋体" w:eastAsia="宋体" w:cs="宋体"/>
          <w:snapToGrid w:val="0"/>
          <w:color w:val="auto"/>
          <w:kern w:val="0"/>
          <w:sz w:val="24"/>
          <w:szCs w:val="24"/>
          <w:highlight w:val="none"/>
        </w:rPr>
        <w:t>，道路总长度约9.56km。</w:t>
      </w:r>
    </w:p>
    <w:p w14:paraId="71458514">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本次</w:t>
      </w:r>
      <w:r>
        <w:rPr>
          <w:rFonts w:hint="eastAsia" w:ascii="宋体" w:hAnsi="宋体" w:eastAsia="宋体" w:cs="宋体"/>
          <w:b/>
          <w:bCs/>
          <w:color w:val="auto"/>
          <w:sz w:val="24"/>
          <w:szCs w:val="24"/>
          <w:highlight w:val="none"/>
          <w:lang w:eastAsia="zh-CN"/>
        </w:rPr>
        <w:t>勘察</w:t>
      </w:r>
      <w:r>
        <w:rPr>
          <w:rFonts w:hint="eastAsia" w:ascii="宋体" w:hAnsi="宋体" w:eastAsia="宋体" w:cs="宋体"/>
          <w:b/>
          <w:bCs/>
          <w:color w:val="auto"/>
          <w:sz w:val="24"/>
          <w:szCs w:val="24"/>
          <w:highlight w:val="none"/>
        </w:rPr>
        <w:t>设计工程的内容及要求：</w:t>
      </w:r>
    </w:p>
    <w:p w14:paraId="296C9167">
      <w:pPr>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勘察内容：项目用地红线范围内的岩土勘察（包括初步勘察、详细勘察），达到审查合格要求的勘察报告；勘察成果必须满足施工图设计及审图合格的要求。</w:t>
      </w:r>
    </w:p>
    <w:p w14:paraId="1CEF79C6">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C00000"/>
          <w:sz w:val="24"/>
          <w:szCs w:val="24"/>
          <w:highlight w:val="none"/>
        </w:rPr>
      </w:pPr>
      <w:r>
        <w:rPr>
          <w:rFonts w:hint="eastAsia" w:ascii="宋体" w:hAnsi="宋体" w:eastAsia="宋体" w:cs="宋体"/>
          <w:b w:val="0"/>
          <w:bCs w:val="0"/>
          <w:snapToGrid w:val="0"/>
          <w:color w:val="auto"/>
          <w:kern w:val="0"/>
          <w:sz w:val="24"/>
          <w:szCs w:val="24"/>
          <w:highlight w:val="none"/>
        </w:rPr>
        <w:t>设计阶段包括</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相关报建报批所需的方案设计文件、初步设计、概算、施工图设计、效果图及施工配合等。</w:t>
      </w:r>
    </w:p>
    <w:p w14:paraId="54C4AA67">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2.1</w:t>
      </w:r>
      <w:r>
        <w:rPr>
          <w:rFonts w:hint="eastAsia" w:ascii="宋体" w:hAnsi="宋体" w:eastAsia="宋体" w:cs="宋体"/>
          <w:snapToGrid w:val="0"/>
          <w:color w:val="auto"/>
          <w:kern w:val="0"/>
          <w:sz w:val="24"/>
          <w:szCs w:val="24"/>
          <w:highlight w:val="none"/>
        </w:rPr>
        <w:t>本工程的方案设计均需经招标人确认后方可进入下一阶段设计，施工图文件必须与审批合格的报建图一致，不得随意修改。进入施工阶段后，涉及建设工程设计方案有关内容确需修改的，须配合业主单位向自然资源局申请调整，并通过审批。施工图设计必须由有资质的审图机构审查合格。</w:t>
      </w:r>
    </w:p>
    <w:p w14:paraId="51757EF3">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5.2.2</w:t>
      </w:r>
      <w:r>
        <w:rPr>
          <w:rFonts w:hint="eastAsia" w:ascii="宋体" w:hAnsi="宋体" w:eastAsia="宋体" w:cs="宋体"/>
          <w:color w:val="auto"/>
          <w:sz w:val="24"/>
          <w:szCs w:val="24"/>
          <w:highlight w:val="none"/>
        </w:rPr>
        <w:t>勘察设计承包内容：中标单位按合同约定的招标文件内容要求、法律法规及国家强制性标准要求提供完整的完善方案设计及方案深化、初勘报告和详细勘察报告、施工图设计文件及建设期间的服务等内容。</w:t>
      </w:r>
    </w:p>
    <w:p w14:paraId="6A856790">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方案设计</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套，初勘报告和详细勘察报告</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套，审定的施工图</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套，原始数据提供的所有资料电子</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5AAD8493">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2.3</w:t>
      </w:r>
      <w:r>
        <w:rPr>
          <w:rFonts w:hint="eastAsia" w:ascii="宋体" w:hAnsi="宋体" w:eastAsia="宋体" w:cs="宋体"/>
          <w:color w:val="auto"/>
          <w:sz w:val="24"/>
          <w:szCs w:val="24"/>
          <w:highlight w:val="none"/>
        </w:rPr>
        <w:t>勘察设计人要按照经批准的可研报告（修编）、规划条件等资料控制施工图设计，即限额设计。勘察设计人要无条件对设计文件出现的遗漏或错误负责修改或补充，直到满足要求。</w:t>
      </w:r>
    </w:p>
    <w:p w14:paraId="1254C9E1">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.2.4</w:t>
      </w:r>
      <w:r>
        <w:rPr>
          <w:rFonts w:hint="eastAsia" w:ascii="宋体" w:hAnsi="宋体" w:eastAsia="宋体" w:cs="宋体"/>
          <w:b/>
          <w:bCs/>
          <w:snapToGrid w:val="0"/>
          <w:color w:val="auto"/>
          <w:kern w:val="0"/>
          <w:sz w:val="24"/>
          <w:szCs w:val="24"/>
          <w:highlight w:val="none"/>
        </w:rPr>
        <w:t>勘察设计人要根据现场实际情况、按照批准的相关资料、业主要求，优化设计，控制建设成本，限额设计。勘察设计人要无条件对设计文件出现的遗漏或错误负责修改或补充，直到满足要求。</w:t>
      </w:r>
    </w:p>
    <w:p w14:paraId="06AB674F">
      <w:pPr>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施工期间若遇到工程变更、突发事件或不可遇见的事件等情况，勘察、设计人员接到建设单位或监理单位通知后应当立即（24小时内）到达施工现场，研究并及时处理问题。</w:t>
      </w:r>
    </w:p>
    <w:p w14:paraId="7CAA8153">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bookmarkStart w:id="29" w:name="_Toc11339"/>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关于勘察深度的要求：</w:t>
      </w:r>
    </w:p>
    <w:p w14:paraId="3A1A54A1">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按国家及地方现行的勘察深度要求规定。</w:t>
      </w:r>
    </w:p>
    <w:p w14:paraId="00225C0E">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初步勘察的目的与要求</w:t>
      </w:r>
    </w:p>
    <w:p w14:paraId="277ACD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初步勘察应进行详细的工程地质勘查和水文地质勘查，基本查清沿线地质、水文、气候、地震等情况。按项目要求测绘地形图。若利用既有的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0C0BCF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初步勘察应对工程范围内供电线路、通讯线路等地上、地下管线进行勘察，准确标定其坐标位置及走向。</w:t>
      </w:r>
    </w:p>
    <w:p w14:paraId="29056D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初步勘察时，应将平面控制点、必要的水准基点，准确地测放在地面上并加以保护。</w:t>
      </w:r>
    </w:p>
    <w:p w14:paraId="1236E3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细勘察时，对软土地基处理的深度，应进行详细的工程地质勘探，不得以钻探困难为理由留给施工处理（有征地拆迁困难的除外）。对施工过程中需探明的地质情况，必须按规范进行详细勘探，若采用桩基，应出具不少于一桩一孔的勘探资料。</w:t>
      </w:r>
    </w:p>
    <w:p w14:paraId="140D4A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勘察人对水文调查应深入、系统，确定合理的防洪标高。</w:t>
      </w:r>
    </w:p>
    <w:p w14:paraId="4731B3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勘察成果报告应能详细、清楚反映岩土的有关力学物理指标、必需的物理及化学性质的指标，溶洞及其分布，以避免在施工中因地质不清引起大的设计变更。</w:t>
      </w:r>
    </w:p>
    <w:p w14:paraId="26D617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勘察工作必需的水、电及设备所产生的相关费用由勘察人自行承担。</w:t>
      </w:r>
    </w:p>
    <w:p w14:paraId="4DC26F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因工程沿线的勘察工作发生青苗补偿及相关费用由勘察人自行承担。</w:t>
      </w:r>
    </w:p>
    <w:p w14:paraId="29CEA46C">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初步勘察成果编制、深度要求及文字图纸部分</w:t>
      </w:r>
    </w:p>
    <w:p w14:paraId="16B30D74">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（1）勘探人应结合本项目相关资料的要求以及《岩土工程勘察规范》等标准规范的规定，根据现场勘察作业情况、实验分析情况等，如实编制工程初步勘察报告；</w:t>
      </w:r>
    </w:p>
    <w:p w14:paraId="726EE8AC">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（2）地下水稳定水位；</w:t>
      </w:r>
    </w:p>
    <w:p w14:paraId="3B6AAA6D">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（3）勘探点平面布置图，钻孔柱状图，地质剖面图，基岩面等高线图；</w:t>
      </w:r>
    </w:p>
    <w:p w14:paraId="04CC9556">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（4）各岩、土层主要物理力学指标和土工试验成果表，满足能按承载力变形计算地基的要求数据；</w:t>
      </w:r>
    </w:p>
    <w:p w14:paraId="280D9716">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（5）水质分析报告及侵蚀性能评价；</w:t>
      </w:r>
    </w:p>
    <w:p w14:paraId="3E9B911C">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（6）地震基本烈度，场地土类型及地震液化可能性评价；</w:t>
      </w:r>
    </w:p>
    <w:p w14:paraId="6A0775A9">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（7）地基土的物理力学性质指标（容重、承载力、液限、塑限、压缩模量、变形模量、内磨擦角、内聚力等）；</w:t>
      </w:r>
    </w:p>
    <w:p w14:paraId="7EC7C255">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（8）基础结构方案建议，并提供天然地基或桩基各设计数据；</w:t>
      </w:r>
    </w:p>
    <w:p w14:paraId="558215D5">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（9）按勘察规范对拟建场地工程地质及水文地质进行评价及建议，明确设计的采用值。</w:t>
      </w:r>
    </w:p>
    <w:p w14:paraId="7EFECEBF">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详细勘察的目的与要求</w:t>
      </w:r>
    </w:p>
    <w:p w14:paraId="5D18B9E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（1）查明所有建筑物及构筑物范围内岩土层的类型、深度、分布和工程特性，分析和评价地基的稳定性、均匀性和承载力。</w:t>
      </w:r>
    </w:p>
    <w:p w14:paraId="7C3D889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（2）查明水文地质条件，评价地下水对桩基设计和施工的影响，判定水质对建筑材料的腐蚀性。</w:t>
      </w:r>
    </w:p>
    <w:p w14:paraId="1C6C8E9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（3）评价成桩可能性，论证桩的施工条件及其对环境的影响。 </w:t>
      </w:r>
    </w:p>
    <w:p w14:paraId="199C1405">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（4）查明不良地质作用的类型、分布范围，提出整治措施和建议。</w:t>
      </w:r>
    </w:p>
    <w:p w14:paraId="40C11E45">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（5）查明道路范围溶洞分布范围、位置、大小，提出整治措施和建议。</w:t>
      </w:r>
    </w:p>
    <w:p w14:paraId="4A0B7AEC">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（6）查明地下水位的变化情况，水质状况对建筑物的影响情况。</w:t>
      </w:r>
    </w:p>
    <w:p w14:paraId="0FEAE263">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（7）查明对建筑物不利的埋藏物。</w:t>
      </w:r>
    </w:p>
    <w:p w14:paraId="6E805CF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（8）判定地基土对建筑材料的腐蚀性，提出整治的措施和建议。</w:t>
      </w:r>
    </w:p>
    <w:p w14:paraId="578E9CC9">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（9）对场地和地震效应做出评价，查明有无液化地层并对液化等级作出评价。</w:t>
      </w:r>
    </w:p>
    <w:p w14:paraId="3AF1D79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（10）查明需防护山体（边坡）的岩土层的类型、深度、分布和工程特性，分析和评价地基的稳定性、均匀性和承载力，提出防护措施和建议。</w:t>
      </w:r>
    </w:p>
    <w:p w14:paraId="2353DA82">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5.3.5</w:t>
      </w:r>
      <w:r>
        <w:rPr>
          <w:rFonts w:hint="eastAsia" w:ascii="宋体" w:hAnsi="宋体" w:eastAsia="宋体" w:cs="宋体"/>
          <w:color w:val="auto"/>
          <w:sz w:val="24"/>
          <w:szCs w:val="24"/>
          <w:highlight w:val="none"/>
        </w:rPr>
        <w:t>详细勘察勘探点布置原则</w:t>
      </w:r>
    </w:p>
    <w:p w14:paraId="5034B824">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点应按《岩土工程勘察规范》合理布置，满足“查明建筑范围内岩土层的类型、深度、分布和工程特性，分析和评价地基的稳定性、均匀性和承载力”要求。建筑平面及坐标位置由招标人提供主管部门批复的电子版图纸，勘察布孔由勘查设计单位编制勘察方案，报招标人确认。</w:t>
      </w:r>
    </w:p>
    <w:p w14:paraId="27E4AEB4">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5.3.6</w:t>
      </w:r>
      <w:r>
        <w:rPr>
          <w:rFonts w:hint="eastAsia" w:ascii="宋体" w:hAnsi="宋体" w:eastAsia="宋体" w:cs="宋体"/>
          <w:color w:val="auto"/>
          <w:sz w:val="24"/>
          <w:szCs w:val="24"/>
          <w:highlight w:val="none"/>
        </w:rPr>
        <w:t>详细勘察成果编制及深度要求</w:t>
      </w:r>
    </w:p>
    <w:p w14:paraId="4128440C">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探人应结合本项目选址意见、相关资料的要求以及《岩土工程勘察规范》等标准规范的规定及招标人其他要求，根据现场勘察作业情况、实验分析情况等，如实编制工程勘察报告，并经相应资格人员校对、审查合格后方可提交给招标人，并通过审图机构审核达到合格要求。</w:t>
      </w:r>
    </w:p>
    <w:p w14:paraId="7CAE74FA">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（2）工程勘察报告应全面体现本工程勘探任务要求，全面客观评价本工程地质情况，资料完整、分析科学、数据真实无误、图表清晰、结论有据，并因地制宜地对工程设计与施工提出合理建议。</w:t>
      </w:r>
    </w:p>
    <w:p w14:paraId="620700F2">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5.3.7</w:t>
      </w:r>
      <w:r>
        <w:rPr>
          <w:rFonts w:hint="eastAsia" w:ascii="宋体" w:hAnsi="宋体" w:eastAsia="宋体" w:cs="宋体"/>
          <w:color w:val="auto"/>
          <w:sz w:val="24"/>
          <w:szCs w:val="24"/>
          <w:highlight w:val="none"/>
        </w:rPr>
        <w:t>详细勘察工程勘察报告由文字部分和图表部分组成，其中文字部分至少应包括：</w:t>
      </w:r>
    </w:p>
    <w:p w14:paraId="7BA11563">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（1）拟建工程概况、勘察目的、任务要求和依据的技术标准；</w:t>
      </w:r>
    </w:p>
    <w:p w14:paraId="1FBDFDF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（2）勘探点位布置及勘察方法情况，原土取样及实验分析情况；</w:t>
      </w:r>
    </w:p>
    <w:p w14:paraId="074E116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场地位置、地形地貌、地质构造、不良地质现象、溶洞情况、地形成层条件、水文地质条件（包括水埋藏情况、类型、水位及其变化等），各土层的分布情况以及物理特性、性质指标、强度参数、变形参数、地基承载力的建议值等。</w:t>
      </w:r>
    </w:p>
    <w:p w14:paraId="4A61F9F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（4）场地的稳定性和适宜性评价、地下水及土质对建筑物的腐蚀影响、地震基本烈度以及由于工程建设可能引起的工程地质问题及其防治措施，适宜的基础形式和有关的计算参数及施工中应注意的事项等。</w:t>
      </w:r>
    </w:p>
    <w:p w14:paraId="016722C6">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（5）对岩土利用、整治和改造的方案进行分析论证，提出建议；对工程施工和使用期间可能发生的岩土工程问题进行预测，提出监控和预防措施的建议。</w:t>
      </w:r>
    </w:p>
    <w:p w14:paraId="4F3765C8">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5.3.8</w:t>
      </w:r>
      <w:r>
        <w:rPr>
          <w:rFonts w:hint="eastAsia" w:ascii="宋体" w:hAnsi="宋体" w:eastAsia="宋体" w:cs="宋体"/>
          <w:color w:val="auto"/>
          <w:sz w:val="24"/>
          <w:szCs w:val="24"/>
          <w:highlight w:val="none"/>
        </w:rPr>
        <w:t>详细勘察工程勘察报告中的图纸部分，至少包括：</w:t>
      </w:r>
    </w:p>
    <w:p w14:paraId="6735D312">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（1）勘探点平面布置图</w:t>
      </w:r>
    </w:p>
    <w:p w14:paraId="5808195A">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（2）综合工程地质图或工程地质分区图</w:t>
      </w:r>
    </w:p>
    <w:p w14:paraId="0080012F">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（3）工程地质剖面图</w:t>
      </w:r>
    </w:p>
    <w:p w14:paraId="4516CE1D">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（4）地质柱状图或综合地质柱状图</w:t>
      </w:r>
    </w:p>
    <w:p w14:paraId="556EB586">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（5）各主要土层物理力学性质指标统计、钻探点坐标标高深度、土层试验成果等有关测试图表等。</w:t>
      </w:r>
    </w:p>
    <w:p w14:paraId="5EF524C3">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（6）地下水等水位线图（若有）</w:t>
      </w:r>
    </w:p>
    <w:p w14:paraId="5DFA617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（7）岩土工程计算简图及计算成果图表等。</w:t>
      </w:r>
    </w:p>
    <w:p w14:paraId="1266CAAA">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5.3.9</w:t>
      </w:r>
      <w:r>
        <w:rPr>
          <w:rFonts w:hint="eastAsia" w:ascii="宋体" w:hAnsi="宋体" w:eastAsia="宋体" w:cs="宋体"/>
          <w:color w:val="auto"/>
          <w:sz w:val="24"/>
          <w:szCs w:val="24"/>
          <w:highlight w:val="none"/>
        </w:rPr>
        <w:t>详细勘察任务需要时，可提交下列专题报告：</w:t>
      </w:r>
    </w:p>
    <w:p w14:paraId="32B8DB17">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（1）岩土工程测试报告；</w:t>
      </w:r>
    </w:p>
    <w:p w14:paraId="292AA229">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（2）岩土工程检验或监测报告；</w:t>
      </w:r>
    </w:p>
    <w:p w14:paraId="23A086B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（3）岩土工程事故调查与分析报告；</w:t>
      </w:r>
    </w:p>
    <w:p w14:paraId="78DCB77E">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（4）岩土利用、整治或改造方案报告；</w:t>
      </w:r>
    </w:p>
    <w:p w14:paraId="65B66ACD">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（5）有关岩土工程问题的专门技术咨询报告等。</w:t>
      </w:r>
    </w:p>
    <w:p w14:paraId="20EE6E13">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（6）工程勘察报告的文字、术语、代号、符号、数字、计量单位、标点，均应符合国家有关标准的规定。</w:t>
      </w:r>
    </w:p>
    <w:p w14:paraId="57198A2E">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5.3.10</w:t>
      </w:r>
      <w:r>
        <w:rPr>
          <w:rFonts w:hint="eastAsia" w:ascii="宋体" w:hAnsi="宋体" w:eastAsia="宋体" w:cs="宋体"/>
          <w:color w:val="auto"/>
          <w:sz w:val="24"/>
          <w:szCs w:val="24"/>
          <w:highlight w:val="none"/>
        </w:rPr>
        <w:t>关于勘察的其它要求：</w:t>
      </w:r>
    </w:p>
    <w:p w14:paraId="50CE4F38">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（1）按国家现行的勘察深度要求规定。</w:t>
      </w:r>
    </w:p>
    <w:p w14:paraId="5283D914">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（2）详细勘察时，对软土地基处理的深度，应进行详细的工程地质勘探，不得以钻探困难为理由留给施工处理（有征地拆迁困难的除外）。</w:t>
      </w:r>
    </w:p>
    <w:p w14:paraId="453AB252">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（3）勘察人对水文调查应深入、系统，确定合理的防洪标高。</w:t>
      </w:r>
    </w:p>
    <w:p w14:paraId="1D322319">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（4）勘察成果报告应能详细、清楚反映岩土的有关力学物理指标、必需的物理及化学性质的指标，以避免在施工中因地质不清引起大的设计变更。</w:t>
      </w:r>
    </w:p>
    <w:p w14:paraId="4E3B7A72">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（5）勘察工作必需的水、电及设备所产生的相关费用由勘察人自行承担。</w:t>
      </w:r>
    </w:p>
    <w:p w14:paraId="7AC480C2">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（6）因工程沿线的勘察工作发生青苗补偿及相关费用由勘察人自行承担。</w:t>
      </w:r>
    </w:p>
    <w:p w14:paraId="069BE534">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（7）勘察人勘探完毕后需及时妥善回填钻孔，避免对周边环境造成破坏和形成安全隐患。</w:t>
      </w:r>
    </w:p>
    <w:p w14:paraId="04449D22">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（8）勘察人需妥善保存各勘探孔的完整岩土芯样，以备届时施工阶段地质情况实际核对。施工过程中，若发现现场地质情况与同位置勘察点的勘察成果不符时，视为勘察人违约并承担相关责任。</w:t>
      </w:r>
    </w:p>
    <w:p w14:paraId="75D5C228">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勘察人勘探作业时，需预先探明勘探范围内的地下原有各类通信管线、燃气管道、电力电缆、供水管、排水（污）管等埋藏物分布情况，并做好相关防范保护措施，若因勘探工作造成相关设施损毁及相关费用由勘察人自行承担。</w:t>
      </w:r>
    </w:p>
    <w:p w14:paraId="7EAE1CAD">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勘察后期工作</w:t>
      </w:r>
    </w:p>
    <w:p w14:paraId="7447B484">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配合施工</w:t>
      </w:r>
    </w:p>
    <w:p w14:paraId="4181944D">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当工程进入施工阶段，勘察人必须配合施工，发包人不另支付配合施工费用，此期间工作如下：</w:t>
      </w:r>
    </w:p>
    <w:p w14:paraId="5BFD6DC1">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（1）对项目的施工单位进行工程测量、工程地质和水文地质作技术交底；</w:t>
      </w:r>
    </w:p>
    <w:p w14:paraId="6B6D1DAD">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（2）现场交桩；</w:t>
      </w:r>
    </w:p>
    <w:p w14:paraId="2998A723">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（3）配合设计人进行变更设计和补充设计所需要的勘察工作；</w:t>
      </w:r>
    </w:p>
    <w:p w14:paraId="46BDD04E">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（4）勘察人应参与建设工程质量事故的处理工作，并对因勘察原因造成的质量事故，提出相应的技术处理方案。</w:t>
      </w:r>
    </w:p>
    <w:p w14:paraId="449FE60B">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val="0"/>
          <w:bCs w:val="0"/>
          <w:snapToGrid w:val="0"/>
          <w:color w:val="auto"/>
          <w:kern w:val="0"/>
          <w:sz w:val="24"/>
          <w:szCs w:val="24"/>
          <w:highlight w:val="none"/>
        </w:rPr>
        <w:t>勘察工作技术总结</w:t>
      </w:r>
    </w:p>
    <w:p w14:paraId="44385150">
      <w:pPr>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3CDCEBC2">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 xml:space="preserve">5.5 </w:t>
      </w:r>
      <w:r>
        <w:rPr>
          <w:rFonts w:hint="eastAsia" w:ascii="宋体" w:hAnsi="宋体" w:eastAsia="宋体" w:cs="宋体"/>
          <w:b/>
          <w:color w:val="auto"/>
          <w:sz w:val="24"/>
          <w:szCs w:val="24"/>
          <w:highlight w:val="none"/>
        </w:rPr>
        <w:t>关于设计深度的要求</w:t>
      </w:r>
    </w:p>
    <w:p w14:paraId="29EB8CDA">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 xml:space="preserve">5.5.1 </w:t>
      </w:r>
      <w:r>
        <w:rPr>
          <w:rFonts w:hint="eastAsia" w:ascii="宋体" w:hAnsi="宋体" w:eastAsia="宋体" w:cs="宋体"/>
          <w:color w:val="auto"/>
          <w:sz w:val="24"/>
          <w:szCs w:val="24"/>
          <w:highlight w:val="none"/>
        </w:rPr>
        <w:t>按国家及地方现行的勘察设计文件深度规定等有关技术标准、设计规范（标准）要求；按绿色建筑设计标准进行绿色建筑设计。</w:t>
      </w:r>
    </w:p>
    <w:p w14:paraId="62CAC433">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5.5.2</w:t>
      </w:r>
      <w:r>
        <w:rPr>
          <w:rFonts w:hint="eastAsia" w:ascii="宋体" w:hAnsi="宋体" w:eastAsia="宋体" w:cs="宋体"/>
          <w:color w:val="auto"/>
          <w:sz w:val="24"/>
          <w:szCs w:val="24"/>
          <w:highlight w:val="none"/>
        </w:rPr>
        <w:t>各专业设计应同步进行，涉及单位应指定总体设计人统筹布局，做好各项设施的协调和衔接、位置预留，不得留待施工中临时变更。</w:t>
      </w:r>
    </w:p>
    <w:p w14:paraId="5553D8D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.3 对技术复杂或造价、规模较大的主要分项工程应作方案比较。</w:t>
      </w:r>
    </w:p>
    <w:p w14:paraId="7974AD28">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.4.设计文件的深度，应当满足主要设备材料订货、征地拆迁及编制施工图设计文件的需要。</w:t>
      </w:r>
    </w:p>
    <w:p w14:paraId="1279EFC4">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.5.施工图设计文件的深度，应当满足编制施工招标文件及设备材料采购，非标准设备制作和施工的需要，并注明建设工程合理使用年限。</w:t>
      </w:r>
    </w:p>
    <w:p w14:paraId="1118B8B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.6 相关的配套外部接口方案均需取得政府主管部门或规划部门认可。</w:t>
      </w:r>
    </w:p>
    <w:p w14:paraId="5EA7C51F">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.7 施工图设计文件应考虑交通维护、临时施工便道、基坑支护、对周边建筑物的影响等因素，并提供相应的设计方案及计算书（可另册装订），以指导现场施工及过程评审。</w:t>
      </w:r>
    </w:p>
    <w:p w14:paraId="7E08A21E">
      <w:pPr>
        <w:pageBreakBefore w:val="0"/>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color w:val="auto"/>
          <w:sz w:val="24"/>
          <w:szCs w:val="24"/>
          <w:highlight w:val="none"/>
        </w:rPr>
        <w:t xml:space="preserve"> 施工图设计完成并经有关单位审查后，进入施工、监理招标及施工阶段，设计单位必须按投标文件的承诺至少派1名参与并熟悉本项目勘察设计、有现场处理经验的设计代表驻现场以配合施工、监理招标及施工，建设管理单位不另外支付配合施工费用。</w:t>
      </w:r>
    </w:p>
    <w:p w14:paraId="0566E138">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5.6.1</w:t>
      </w:r>
      <w:r>
        <w:rPr>
          <w:rFonts w:hint="eastAsia" w:ascii="宋体" w:hAnsi="宋体" w:eastAsia="宋体" w:cs="宋体"/>
          <w:color w:val="auto"/>
          <w:sz w:val="24"/>
          <w:szCs w:val="24"/>
          <w:highlight w:val="none"/>
        </w:rPr>
        <w:t xml:space="preserve"> 设计单位配合施工、监理招标及施工的工作内容如下：</w:t>
      </w:r>
    </w:p>
    <w:p w14:paraId="245AD6B4">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施工图设计（技术）交底；</w:t>
      </w:r>
    </w:p>
    <w:p w14:paraId="07FD82F8">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配合勘察单位现场交桩；</w:t>
      </w:r>
    </w:p>
    <w:p w14:paraId="736A2200">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变更设计和所有补充设计；</w:t>
      </w:r>
    </w:p>
    <w:p w14:paraId="42E55ED4">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会签设计变更审批表；</w:t>
      </w:r>
    </w:p>
    <w:p w14:paraId="65A5A084">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参加处理施工中发生的工程质量和安全事故；</w:t>
      </w:r>
    </w:p>
    <w:p w14:paraId="2323AD37">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参加隐蔽工程及工程竣工验收；</w:t>
      </w:r>
    </w:p>
    <w:p w14:paraId="068E22F0">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解决与设计有关的施工问题；</w:t>
      </w:r>
    </w:p>
    <w:p w14:paraId="4E2A6C33">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配合质量检测；</w:t>
      </w:r>
    </w:p>
    <w:p w14:paraId="5FEC6207">
      <w:pPr>
        <w:pageBreakBefore w:val="0"/>
        <w:numPr>
          <w:ilvl w:val="0"/>
          <w:numId w:val="1"/>
        </w:numPr>
        <w:tabs>
          <w:tab w:val="left" w:pos="0"/>
          <w:tab w:val="left" w:pos="108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参加审查施工单位的施工组织设计和专项施工方案；</w:t>
      </w:r>
    </w:p>
    <w:p w14:paraId="36B1A348">
      <w:pPr>
        <w:pageBreakBefore w:val="0"/>
        <w:numPr>
          <w:ilvl w:val="0"/>
          <w:numId w:val="1"/>
        </w:numPr>
        <w:tabs>
          <w:tab w:val="left" w:pos="0"/>
          <w:tab w:val="left" w:pos="1080"/>
          <w:tab w:val="left" w:pos="132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参加本项目建设有关会议；</w:t>
      </w:r>
    </w:p>
    <w:p w14:paraId="3670189F">
      <w:pPr>
        <w:pageBreakBefore w:val="0"/>
        <w:numPr>
          <w:ilvl w:val="0"/>
          <w:numId w:val="1"/>
        </w:numPr>
        <w:tabs>
          <w:tab w:val="left" w:pos="0"/>
          <w:tab w:val="left" w:pos="1080"/>
          <w:tab w:val="left" w:pos="132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在施工、监理招标期间配合建设及相关单位解释及完善施工图相关内容；</w:t>
      </w:r>
    </w:p>
    <w:p w14:paraId="1EEFE93F">
      <w:pPr>
        <w:pageBreakBefore w:val="0"/>
        <w:numPr>
          <w:ilvl w:val="0"/>
          <w:numId w:val="1"/>
        </w:numPr>
        <w:tabs>
          <w:tab w:val="left" w:pos="0"/>
          <w:tab w:val="left" w:pos="1080"/>
          <w:tab w:val="left" w:pos="1320"/>
        </w:tabs>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配合施工单位完成竣工图绘制，并按档案馆要求，完成必要的签字盖章。</w:t>
      </w:r>
    </w:p>
    <w:p w14:paraId="77FCB61B">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5.6.2</w:t>
      </w:r>
      <w:r>
        <w:rPr>
          <w:rFonts w:hint="eastAsia" w:ascii="宋体" w:hAnsi="宋体" w:eastAsia="宋体" w:cs="宋体"/>
          <w:color w:val="auto"/>
          <w:sz w:val="24"/>
          <w:szCs w:val="24"/>
          <w:highlight w:val="none"/>
        </w:rPr>
        <w:t>设计工作技术总结</w:t>
      </w:r>
    </w:p>
    <w:p w14:paraId="3088E8D2">
      <w:pPr>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0D694668">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5.7</w:t>
      </w:r>
      <w:r>
        <w:rPr>
          <w:rFonts w:hint="eastAsia" w:ascii="宋体" w:hAnsi="宋体" w:eastAsia="宋体" w:cs="宋体"/>
          <w:b/>
          <w:bCs/>
          <w:color w:val="auto"/>
          <w:sz w:val="24"/>
          <w:szCs w:val="24"/>
          <w:highlight w:val="none"/>
        </w:rPr>
        <w:t>限额设计要求</w:t>
      </w:r>
    </w:p>
    <w:p w14:paraId="104E9987">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5.7.</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初步设计概算中的建安工程费不得超过投资估算中的建安工程费，施工图预算中的建安工程费不得超过初步设计概算中的建安工程费，在保证设计质量的前提下，</w:t>
      </w:r>
      <w:r>
        <w:rPr>
          <w:rFonts w:hint="eastAsia" w:ascii="宋体" w:hAnsi="宋体" w:eastAsia="宋体" w:cs="宋体"/>
          <w:bCs/>
          <w:color w:val="auto"/>
          <w:sz w:val="24"/>
          <w:szCs w:val="24"/>
          <w:highlight w:val="none"/>
          <w:lang w:eastAsia="zh-CN"/>
        </w:rPr>
        <w:t>设计单位</w:t>
      </w:r>
      <w:r>
        <w:rPr>
          <w:rFonts w:hint="eastAsia" w:ascii="宋体" w:hAnsi="宋体" w:eastAsia="宋体" w:cs="宋体"/>
          <w:bCs/>
          <w:color w:val="auto"/>
          <w:sz w:val="24"/>
          <w:szCs w:val="24"/>
          <w:highlight w:val="none"/>
        </w:rPr>
        <w:t>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int="eastAsia" w:ascii="宋体" w:hAnsi="宋体" w:eastAsia="宋体" w:cs="宋体"/>
          <w:color w:val="auto"/>
          <w:sz w:val="24"/>
          <w:szCs w:val="24"/>
          <w:highlight w:val="none"/>
        </w:rPr>
        <w:t>。</w:t>
      </w:r>
    </w:p>
    <w:p w14:paraId="14E4862A">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5.7.</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设计须</w:t>
      </w:r>
      <w:r>
        <w:rPr>
          <w:rFonts w:hint="eastAsia" w:ascii="宋体" w:hAnsi="宋体" w:eastAsia="宋体" w:cs="宋体"/>
          <w:color w:val="auto"/>
          <w:sz w:val="24"/>
          <w:szCs w:val="24"/>
          <w:highlight w:val="none"/>
        </w:rPr>
        <w:t>符合限额设计要求。若</w:t>
      </w:r>
      <w:r>
        <w:rPr>
          <w:rFonts w:hint="eastAsia" w:ascii="宋体" w:hAnsi="宋体" w:eastAsia="宋体" w:cs="宋体"/>
          <w:color w:val="auto"/>
          <w:sz w:val="24"/>
          <w:szCs w:val="24"/>
          <w:highlight w:val="none"/>
          <w:lang w:eastAsia="zh-CN"/>
        </w:rPr>
        <w:t>发包人委托的</w:t>
      </w:r>
      <w:r>
        <w:rPr>
          <w:rFonts w:hint="eastAsia" w:ascii="宋体" w:hAnsi="宋体" w:eastAsia="宋体" w:cs="宋体"/>
          <w:color w:val="auto"/>
          <w:sz w:val="24"/>
          <w:szCs w:val="24"/>
          <w:highlight w:val="none"/>
        </w:rPr>
        <w:t>造价咨询单位按施工图编制的建安工程费高于规定时，承包人必须无条件对施工图进行修改，直至满足限额设计要求。由此造成造价咨询单位重复编制施工图预算的费用、施工图设计重复审查的费用和其他费用由承包人承担，结算时在设计费中扣除。</w:t>
      </w:r>
    </w:p>
    <w:p w14:paraId="6B82A490">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5.7.3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设计时需要考虑与周边地块的开发相结合及相关规划方案的要求进行设计。</w:t>
      </w:r>
    </w:p>
    <w:p w14:paraId="1456220D">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5.7.4</w:t>
      </w:r>
      <w:r>
        <w:rPr>
          <w:rFonts w:hint="eastAsia" w:ascii="宋体" w:hAnsi="宋体" w:eastAsia="宋体" w:cs="宋体"/>
          <w:color w:val="auto"/>
          <w:sz w:val="24"/>
          <w:szCs w:val="24"/>
          <w:highlight w:val="none"/>
        </w:rPr>
        <w:t xml:space="preserve"> 凡参加本次招标的投标人被视为已充分认识和理解了任何与本项目有关的影响事项和困难等情况。</w:t>
      </w:r>
    </w:p>
    <w:p w14:paraId="7F412BD4">
      <w:pPr>
        <w:pageBreakBefore w:val="0"/>
        <w:kinsoku/>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snapToGrid w:val="0"/>
          <w:color w:val="auto"/>
          <w:kern w:val="0"/>
          <w:sz w:val="24"/>
          <w:szCs w:val="24"/>
          <w:highlight w:val="none"/>
          <w:lang w:val="en-US" w:eastAsia="zh-CN"/>
        </w:rPr>
        <w:t>5.7.5</w:t>
      </w:r>
      <w:r>
        <w:rPr>
          <w:rFonts w:hint="eastAsia" w:ascii="宋体" w:hAnsi="宋体" w:eastAsia="宋体" w:cs="宋体"/>
          <w:b/>
          <w:bCs/>
          <w:snapToGrid w:val="0"/>
          <w:color w:val="auto"/>
          <w:kern w:val="0"/>
          <w:sz w:val="24"/>
          <w:szCs w:val="24"/>
          <w:highlight w:val="none"/>
        </w:rPr>
        <w:t xml:space="preserve"> 同时招标人在实施过程中可根据实际情况对工程规模、任务内容和要求等进行合理、适当的调整。</w:t>
      </w:r>
      <w:r>
        <w:rPr>
          <w:rFonts w:hint="eastAsia" w:ascii="宋体" w:hAnsi="宋体" w:eastAsia="宋体" w:cs="宋体"/>
          <w:b/>
          <w:color w:val="auto"/>
          <w:sz w:val="24"/>
          <w:szCs w:val="24"/>
          <w:highlight w:val="none"/>
          <w:u w:val="single"/>
        </w:rPr>
        <w:t>（注：上述招标内容具体参见可行性研究报告，同时招标人在实施过程中可根据实际情况对工程规模、任务内容等进行合理、适当调整。）</w:t>
      </w:r>
    </w:p>
    <w:p w14:paraId="1141FC12">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bookmarkStart w:id="30" w:name="_Toc6084"/>
    </w:p>
    <w:p w14:paraId="551E593A">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6．现场踏勘</w:t>
      </w:r>
      <w:bookmarkEnd w:id="29"/>
      <w:bookmarkEnd w:id="30"/>
    </w:p>
    <w:p w14:paraId="4F6F51C5">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7589F6C0">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在现场踏勘过程中，投标人应确保自身安全，投标人如果发生人身伤亡、财物或其他损失，法律法规有规定的按有关规定处理，没有规定的由投标人自行负责。</w:t>
      </w:r>
    </w:p>
    <w:p w14:paraId="76039CB0">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现场踏勘期间的交通、食宿由投标人自行安排，费用自理。</w:t>
      </w:r>
    </w:p>
    <w:p w14:paraId="1F0B533B">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bookmarkStart w:id="31" w:name="_Toc17134"/>
      <w:bookmarkStart w:id="32" w:name="_Toc10080"/>
    </w:p>
    <w:p w14:paraId="7BAD567B">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7．招标文件的提问和答疑</w:t>
      </w:r>
      <w:bookmarkEnd w:id="31"/>
      <w:bookmarkEnd w:id="32"/>
      <w:bookmarkStart w:id="33" w:name="_Hlt74496410"/>
      <w:bookmarkEnd w:id="33"/>
    </w:p>
    <w:p w14:paraId="09DAD94E">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r>
        <w:rPr>
          <w:rFonts w:hint="eastAsia" w:ascii="宋体" w:hAnsi="宋体" w:eastAsia="宋体" w:cs="宋体"/>
          <w:snapToGrid w:val="0"/>
          <w:color w:val="auto"/>
          <w:kern w:val="0"/>
          <w:sz w:val="24"/>
          <w:szCs w:val="24"/>
          <w:highlight w:val="none"/>
          <w:lang w:bidi="ar"/>
        </w:rPr>
        <w:t>。</w:t>
      </w:r>
    </w:p>
    <w:p w14:paraId="5480A275">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7.2 </w:t>
      </w:r>
      <w:r>
        <w:rPr>
          <w:rFonts w:hint="eastAsia" w:ascii="宋体" w:hAnsi="宋体" w:eastAsia="宋体" w:cs="宋体"/>
          <w:snapToGrid w:val="0"/>
          <w:color w:val="auto"/>
          <w:kern w:val="0"/>
          <w:sz w:val="24"/>
          <w:szCs w:val="24"/>
          <w:highlight w:val="none"/>
        </w:rPr>
        <w:t>若由于投标人自身原因未及时获得答疑书（或补充通知），由此发生的任何责任由投标人自行承担。</w:t>
      </w:r>
    </w:p>
    <w:p w14:paraId="0B542AD4">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答疑书（或补充通知）对招标文件的修改或补充内容作为招标文件的组成部分，具有约束作用。招标文件的澄清、修改、补充等内容均以答疑书（或补充通知）中明确的内容为准</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snapToGrid w:val="0"/>
          <w:color w:val="auto"/>
          <w:kern w:val="0"/>
          <w:sz w:val="24"/>
          <w:szCs w:val="24"/>
          <w:highlight w:val="none"/>
        </w:rPr>
        <w:t>当招标文件、招标文件的澄清、修改、补充等文件在同一内容的表述上不一致时，以最后发出的答疑书（或补充通知）为准。</w:t>
      </w:r>
    </w:p>
    <w:p w14:paraId="167FEE2E">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7.4 </w:t>
      </w:r>
      <w:r>
        <w:rPr>
          <w:rFonts w:hint="eastAsia" w:ascii="宋体" w:hAnsi="宋体" w:eastAsia="宋体" w:cs="宋体"/>
          <w:snapToGrid w:val="0"/>
          <w:color w:val="auto"/>
          <w:kern w:val="0"/>
          <w:sz w:val="24"/>
          <w:szCs w:val="24"/>
          <w:highlight w:val="none"/>
        </w:rPr>
        <w:t>投标人在规定的时间内未对招标文件提出澄清或疑问的，招标人将视其为无异议。对招标文件中描述有歧意或前后不一致的地方，评标委员会有权进行评判，但对同一条款的评判应适用于每个投标人。</w:t>
      </w:r>
    </w:p>
    <w:p w14:paraId="3932324D">
      <w:pPr>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napToGrid w:val="0"/>
          <w:color w:val="auto"/>
          <w:sz w:val="24"/>
          <w:highlight w:val="none"/>
        </w:rPr>
      </w:pPr>
      <w:r>
        <w:rPr>
          <w:rFonts w:hint="eastAsia" w:ascii="宋体" w:hAnsi="宋体" w:eastAsia="宋体" w:cs="宋体"/>
          <w:b/>
          <w:bCs/>
          <w:snapToGrid w:val="0"/>
          <w:color w:val="auto"/>
          <w:kern w:val="0"/>
          <w:sz w:val="24"/>
          <w:szCs w:val="24"/>
          <w:highlight w:val="none"/>
        </w:rPr>
        <w:t xml:space="preserve">7.5 </w:t>
      </w:r>
      <w:r>
        <w:rPr>
          <w:rFonts w:hint="eastAsia" w:ascii="宋体" w:hAnsi="宋体" w:eastAsia="宋体" w:cs="宋体"/>
          <w:snapToGrid w:val="0"/>
          <w:color w:val="auto"/>
          <w:kern w:val="0"/>
          <w:sz w:val="24"/>
          <w:szCs w:val="24"/>
          <w:highlight w:val="none"/>
        </w:rPr>
        <w:t>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bookmarkStart w:id="34" w:name="_Hlt69699188"/>
      <w:bookmarkEnd w:id="34"/>
      <w:bookmarkStart w:id="35" w:name="_Hlt92513711"/>
      <w:bookmarkEnd w:id="35"/>
      <w:bookmarkStart w:id="36" w:name="_Hlt92513715"/>
      <w:bookmarkEnd w:id="36"/>
      <w:bookmarkStart w:id="37" w:name="_Toc23312"/>
    </w:p>
    <w:p w14:paraId="011FF704">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bookmarkStart w:id="38" w:name="_Toc32628"/>
    </w:p>
    <w:p w14:paraId="4722B5F7">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8．</w:t>
      </w:r>
      <w:bookmarkEnd w:id="37"/>
      <w:r>
        <w:rPr>
          <w:rFonts w:hint="eastAsia" w:ascii="宋体" w:hAnsi="宋体" w:eastAsia="宋体" w:cs="宋体"/>
          <w:b/>
          <w:bCs/>
          <w:color w:val="auto"/>
          <w:kern w:val="0"/>
          <w:sz w:val="24"/>
          <w:szCs w:val="24"/>
          <w:highlight w:val="none"/>
        </w:rPr>
        <w:t>最高投标限价的确定</w:t>
      </w:r>
      <w:bookmarkEnd w:id="38"/>
    </w:p>
    <w:p w14:paraId="7B62B40D">
      <w:pPr>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snapToGrid w:val="0"/>
          <w:color w:val="auto"/>
          <w:kern w:val="0"/>
          <w:sz w:val="24"/>
          <w:szCs w:val="32"/>
          <w:highlight w:val="none"/>
          <w:lang w:val="en-US" w:eastAsia="zh-CN"/>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snapToGrid w:val="0"/>
          <w:color w:val="auto"/>
          <w:kern w:val="0"/>
          <w:sz w:val="24"/>
          <w:szCs w:val="24"/>
          <w:highlight w:val="none"/>
        </w:rPr>
        <w:t xml:space="preserve"> 经</w:t>
      </w:r>
      <w:r>
        <w:rPr>
          <w:rFonts w:hint="eastAsia" w:ascii="宋体" w:hAnsi="宋体" w:eastAsia="宋体" w:cs="宋体"/>
          <w:snapToGrid w:val="0"/>
          <w:color w:val="auto"/>
          <w:kern w:val="0"/>
          <w:sz w:val="24"/>
          <w:szCs w:val="24"/>
          <w:highlight w:val="none"/>
          <w:lang w:val="en-US" w:eastAsia="zh-CN"/>
        </w:rPr>
        <w:t>招标人</w:t>
      </w:r>
      <w:r>
        <w:rPr>
          <w:rFonts w:hint="eastAsia" w:ascii="宋体" w:hAnsi="宋体" w:eastAsia="宋体" w:cs="宋体"/>
          <w:snapToGrid w:val="0"/>
          <w:color w:val="auto"/>
          <w:kern w:val="0"/>
          <w:sz w:val="24"/>
          <w:szCs w:val="24"/>
          <w:highlight w:val="none"/>
        </w:rPr>
        <w:t>研究确定，本次</w:t>
      </w:r>
      <w:r>
        <w:rPr>
          <w:rFonts w:hint="eastAsia" w:ascii="宋体" w:hAnsi="宋体" w:eastAsia="宋体" w:cs="宋体"/>
          <w:snapToGrid w:val="0"/>
          <w:color w:val="auto"/>
          <w:kern w:val="0"/>
          <w:sz w:val="24"/>
          <w:szCs w:val="24"/>
          <w:highlight w:val="none"/>
          <w:lang w:val="en-US" w:eastAsia="zh-CN"/>
        </w:rPr>
        <w:t>勘察设计费</w:t>
      </w:r>
      <w:r>
        <w:rPr>
          <w:rFonts w:hint="eastAsia" w:ascii="宋体" w:hAnsi="宋体" w:eastAsia="宋体" w:cs="宋体"/>
          <w:snapToGrid w:val="0"/>
          <w:color w:val="auto"/>
          <w:kern w:val="0"/>
          <w:sz w:val="24"/>
          <w:szCs w:val="24"/>
          <w:highlight w:val="none"/>
        </w:rPr>
        <w:t>招标最高投标限价为：</w:t>
      </w:r>
      <w:r>
        <w:rPr>
          <w:rFonts w:hint="eastAsia" w:ascii="宋体" w:hAnsi="宋体" w:cs="宋体"/>
          <w:snapToGrid w:val="0"/>
          <w:color w:val="auto"/>
          <w:kern w:val="0"/>
          <w:sz w:val="24"/>
          <w:szCs w:val="24"/>
          <w:highlight w:val="none"/>
          <w:u w:val="single"/>
          <w:lang w:val="en-US" w:eastAsia="zh-CN"/>
        </w:rPr>
        <w:t>壹仟零捌拾伍万陆仟柒佰陆拾元玖角捌分</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10,856,760.98</w:t>
      </w:r>
      <w:r>
        <w:rPr>
          <w:rFonts w:hint="eastAsia" w:ascii="宋体" w:hAnsi="宋体" w:eastAsia="宋体" w:cs="宋体"/>
          <w:snapToGrid w:val="0"/>
          <w:color w:val="auto"/>
          <w:kern w:val="0"/>
          <w:sz w:val="24"/>
          <w:szCs w:val="24"/>
          <w:highlight w:val="none"/>
          <w:u w:val="single"/>
        </w:rPr>
        <w:t>元）</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32"/>
          <w:highlight w:val="none"/>
        </w:rPr>
        <w:t>具体详见下表：</w:t>
      </w:r>
    </w:p>
    <w:tbl>
      <w:tblPr>
        <w:tblStyle w:val="33"/>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812"/>
        <w:gridCol w:w="1133"/>
        <w:gridCol w:w="1750"/>
        <w:gridCol w:w="1834"/>
        <w:gridCol w:w="3352"/>
      </w:tblGrid>
      <w:tr w14:paraId="5CC3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36" w:type="dxa"/>
            <w:noWrap w:val="0"/>
            <w:vAlign w:val="center"/>
          </w:tcPr>
          <w:p w14:paraId="22D375C1">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812" w:type="dxa"/>
            <w:noWrap w:val="0"/>
            <w:vAlign w:val="center"/>
          </w:tcPr>
          <w:p w14:paraId="00D47E19">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项目名称</w:t>
            </w:r>
          </w:p>
        </w:tc>
        <w:tc>
          <w:tcPr>
            <w:tcW w:w="1133" w:type="dxa"/>
            <w:noWrap w:val="0"/>
            <w:vAlign w:val="center"/>
          </w:tcPr>
          <w:p w14:paraId="749A986C">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报价基数</w:t>
            </w:r>
          </w:p>
          <w:p w14:paraId="17649FAD">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（米/元）</w:t>
            </w:r>
          </w:p>
        </w:tc>
        <w:tc>
          <w:tcPr>
            <w:tcW w:w="1750" w:type="dxa"/>
            <w:noWrap w:val="0"/>
            <w:vAlign w:val="center"/>
          </w:tcPr>
          <w:p w14:paraId="6E1D7C83">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综合单价上限/报价费率上限</w:t>
            </w:r>
          </w:p>
        </w:tc>
        <w:tc>
          <w:tcPr>
            <w:tcW w:w="1834" w:type="dxa"/>
            <w:noWrap w:val="0"/>
            <w:vAlign w:val="center"/>
          </w:tcPr>
          <w:p w14:paraId="3B521172">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最高投标限价（元）</w:t>
            </w:r>
          </w:p>
        </w:tc>
        <w:tc>
          <w:tcPr>
            <w:tcW w:w="3352" w:type="dxa"/>
            <w:shd w:val="clear" w:color="auto" w:fill="auto"/>
            <w:noWrap w:val="0"/>
            <w:vAlign w:val="center"/>
          </w:tcPr>
          <w:p w14:paraId="389CC8F2">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42F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36" w:type="dxa"/>
            <w:noWrap w:val="0"/>
            <w:vAlign w:val="center"/>
          </w:tcPr>
          <w:p w14:paraId="5DAB8CDE">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812" w:type="dxa"/>
            <w:noWrap w:val="0"/>
            <w:vAlign w:val="center"/>
          </w:tcPr>
          <w:p w14:paraId="2E2C35B6">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勘察费</w:t>
            </w:r>
          </w:p>
        </w:tc>
        <w:tc>
          <w:tcPr>
            <w:tcW w:w="1133" w:type="dxa"/>
            <w:noWrap w:val="0"/>
            <w:vAlign w:val="center"/>
          </w:tcPr>
          <w:p w14:paraId="48E70FEC">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000米</w:t>
            </w:r>
          </w:p>
        </w:tc>
        <w:tc>
          <w:tcPr>
            <w:tcW w:w="1750" w:type="dxa"/>
            <w:noWrap w:val="0"/>
            <w:vAlign w:val="center"/>
          </w:tcPr>
          <w:p w14:paraId="30FB2B20">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120</w:t>
            </w:r>
            <w:r>
              <w:rPr>
                <w:rFonts w:hint="eastAsia" w:ascii="宋体" w:hAnsi="宋体" w:eastAsia="宋体" w:cs="宋体"/>
                <w:b w:val="0"/>
                <w:bCs w:val="0"/>
                <w:color w:val="auto"/>
                <w:kern w:val="2"/>
                <w:sz w:val="21"/>
                <w:szCs w:val="21"/>
                <w:highlight w:val="none"/>
                <w:lang w:val="en-US" w:eastAsia="zh-CN" w:bidi="ar-SA"/>
              </w:rPr>
              <w:t>元/米</w:t>
            </w:r>
          </w:p>
        </w:tc>
        <w:tc>
          <w:tcPr>
            <w:tcW w:w="1834" w:type="dxa"/>
            <w:noWrap w:val="0"/>
            <w:vAlign w:val="center"/>
          </w:tcPr>
          <w:p w14:paraId="6147437E">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960000.00</w:t>
            </w:r>
          </w:p>
        </w:tc>
        <w:tc>
          <w:tcPr>
            <w:tcW w:w="3352" w:type="dxa"/>
            <w:shd w:val="clear" w:color="auto" w:fill="auto"/>
            <w:noWrap w:val="0"/>
            <w:vAlign w:val="center"/>
          </w:tcPr>
          <w:p w14:paraId="218E5792">
            <w:pPr>
              <w:pStyle w:val="8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投标人报综合单价和总价，勘察综合单价≤</w:t>
            </w:r>
            <w:r>
              <w:rPr>
                <w:rFonts w:hint="eastAsia" w:hAnsi="宋体" w:cs="宋体"/>
                <w:b w:val="0"/>
                <w:bCs w:val="0"/>
                <w:color w:val="auto"/>
                <w:kern w:val="2"/>
                <w:sz w:val="21"/>
                <w:szCs w:val="21"/>
                <w:highlight w:val="none"/>
                <w:lang w:val="en-US" w:eastAsia="zh-CN" w:bidi="ar-SA"/>
              </w:rPr>
              <w:t>120</w:t>
            </w:r>
            <w:r>
              <w:rPr>
                <w:rFonts w:hint="eastAsia" w:ascii="宋体" w:hAnsi="宋体" w:eastAsia="宋体" w:cs="宋体"/>
                <w:b w:val="0"/>
                <w:bCs w:val="0"/>
                <w:color w:val="auto"/>
                <w:kern w:val="2"/>
                <w:sz w:val="21"/>
                <w:szCs w:val="21"/>
                <w:highlight w:val="none"/>
                <w:lang w:val="en-US" w:eastAsia="zh-CN" w:bidi="ar-SA"/>
              </w:rPr>
              <w:t>元/米，勘察费最高投标限价以暂定得工程量</w:t>
            </w:r>
            <w:r>
              <w:rPr>
                <w:rFonts w:hint="eastAsia"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000米为基数计取，在勘察费最高投标限价范围内按实际工程量进行结算。</w:t>
            </w:r>
          </w:p>
        </w:tc>
      </w:tr>
      <w:tr w14:paraId="0F06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36" w:type="dxa"/>
            <w:noWrap w:val="0"/>
            <w:vAlign w:val="center"/>
          </w:tcPr>
          <w:p w14:paraId="5796110B">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2</w:t>
            </w:r>
          </w:p>
        </w:tc>
        <w:tc>
          <w:tcPr>
            <w:tcW w:w="1812" w:type="dxa"/>
            <w:noWrap w:val="0"/>
            <w:vAlign w:val="center"/>
          </w:tcPr>
          <w:p w14:paraId="1C126915">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设计费</w:t>
            </w:r>
          </w:p>
        </w:tc>
        <w:tc>
          <w:tcPr>
            <w:tcW w:w="1133" w:type="dxa"/>
            <w:noWrap w:val="0"/>
            <w:vAlign w:val="center"/>
          </w:tcPr>
          <w:p w14:paraId="22E3FB87">
            <w:pPr>
              <w:pStyle w:val="80"/>
              <w:pageBreakBefore w:val="0"/>
              <w:widowControl w:val="0"/>
              <w:kinsoku/>
              <w:wordWrap/>
              <w:overflowPunct/>
              <w:topLinePunct w:val="0"/>
              <w:bidi w:val="0"/>
              <w:snapToGrid/>
              <w:spacing w:line="240" w:lineRule="auto"/>
              <w:jc w:val="center"/>
              <w:textAlignment w:val="auto"/>
              <w:rPr>
                <w:rFonts w:hint="default" w:hAnsi="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w:t>
            </w:r>
          </w:p>
        </w:tc>
        <w:tc>
          <w:tcPr>
            <w:tcW w:w="1750" w:type="dxa"/>
            <w:noWrap w:val="0"/>
            <w:vAlign w:val="center"/>
          </w:tcPr>
          <w:p w14:paraId="32D35586">
            <w:pPr>
              <w:pStyle w:val="80"/>
              <w:pageBreakBefore w:val="0"/>
              <w:widowControl w:val="0"/>
              <w:kinsoku/>
              <w:wordWrap/>
              <w:overflowPunct/>
              <w:topLinePunct w:val="0"/>
              <w:bidi w:val="0"/>
              <w:snapToGrid/>
              <w:spacing w:line="240" w:lineRule="auto"/>
              <w:jc w:val="center"/>
              <w:textAlignment w:val="auto"/>
              <w:rPr>
                <w:rFonts w:hint="default" w:hAnsi="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w:t>
            </w:r>
          </w:p>
        </w:tc>
        <w:tc>
          <w:tcPr>
            <w:tcW w:w="1834" w:type="dxa"/>
            <w:noWrap w:val="0"/>
            <w:vAlign w:val="center"/>
          </w:tcPr>
          <w:p w14:paraId="130B02F3">
            <w:pPr>
              <w:pStyle w:val="80"/>
              <w:pageBreakBefore w:val="0"/>
              <w:widowControl w:val="0"/>
              <w:kinsoku/>
              <w:wordWrap/>
              <w:overflowPunct/>
              <w:topLinePunct w:val="0"/>
              <w:bidi w:val="0"/>
              <w:snapToGrid/>
              <w:spacing w:line="240" w:lineRule="auto"/>
              <w:jc w:val="center"/>
              <w:textAlignment w:val="auto"/>
              <w:rPr>
                <w:rFonts w:hint="default" w:hAnsi="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9896760.98</w:t>
            </w:r>
          </w:p>
        </w:tc>
        <w:tc>
          <w:tcPr>
            <w:tcW w:w="3352" w:type="dxa"/>
            <w:vMerge w:val="restart"/>
            <w:shd w:val="clear" w:color="auto" w:fill="auto"/>
            <w:noWrap w:val="0"/>
            <w:vAlign w:val="center"/>
          </w:tcPr>
          <w:p w14:paraId="7BA8B649">
            <w:pPr>
              <w:pStyle w:val="8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投标人报价费率和总价，设计报价费率=设计费投标报价/暂定建安工程费。结算时按已审定的建安工程费预算价为计费基数计算。</w:t>
            </w:r>
          </w:p>
        </w:tc>
      </w:tr>
      <w:tr w14:paraId="7924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36" w:type="dxa"/>
            <w:noWrap w:val="0"/>
            <w:vAlign w:val="center"/>
          </w:tcPr>
          <w:p w14:paraId="2DBD3708">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hAnsi="宋体" w:cs="宋体"/>
                <w:b w:val="0"/>
                <w:bCs w:val="0"/>
                <w:color w:val="auto"/>
                <w:kern w:val="2"/>
                <w:sz w:val="21"/>
                <w:szCs w:val="21"/>
                <w:highlight w:val="none"/>
                <w:lang w:val="en-US" w:eastAsia="zh-CN" w:bidi="ar-SA"/>
              </w:rPr>
              <w:t>.1</w:t>
            </w:r>
          </w:p>
        </w:tc>
        <w:tc>
          <w:tcPr>
            <w:tcW w:w="1812" w:type="dxa"/>
            <w:noWrap w:val="0"/>
            <w:vAlign w:val="center"/>
          </w:tcPr>
          <w:p w14:paraId="38D592ED">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rPr>
              <w:t>场地平整、边坡支护、地基处理及临时排水工程</w:t>
            </w:r>
          </w:p>
        </w:tc>
        <w:tc>
          <w:tcPr>
            <w:tcW w:w="1133" w:type="dxa"/>
            <w:noWrap w:val="0"/>
            <w:vAlign w:val="center"/>
          </w:tcPr>
          <w:p w14:paraId="3332EA0A">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393941500.00</w:t>
            </w:r>
          </w:p>
        </w:tc>
        <w:tc>
          <w:tcPr>
            <w:tcW w:w="1750" w:type="dxa"/>
            <w:noWrap w:val="0"/>
            <w:vAlign w:val="center"/>
          </w:tcPr>
          <w:p w14:paraId="00BE554D">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hAnsi="宋体" w:cs="宋体"/>
                <w:b w:val="0"/>
                <w:bCs w:val="0"/>
                <w:color w:val="auto"/>
                <w:kern w:val="2"/>
                <w:sz w:val="21"/>
                <w:szCs w:val="21"/>
                <w:highlight w:val="none"/>
                <w:lang w:val="en-US" w:eastAsia="zh-CN" w:bidi="ar-SA"/>
              </w:rPr>
              <w:t>0.448</w:t>
            </w:r>
            <w:r>
              <w:rPr>
                <w:rFonts w:hint="eastAsia" w:ascii="宋体" w:hAnsi="宋体" w:eastAsia="宋体" w:cs="宋体"/>
                <w:b w:val="0"/>
                <w:bCs w:val="0"/>
                <w:color w:val="auto"/>
                <w:kern w:val="2"/>
                <w:sz w:val="21"/>
                <w:szCs w:val="21"/>
                <w:highlight w:val="none"/>
                <w:lang w:val="en-US" w:eastAsia="zh-CN" w:bidi="ar-SA"/>
              </w:rPr>
              <w:t>%</w:t>
            </w:r>
          </w:p>
        </w:tc>
        <w:tc>
          <w:tcPr>
            <w:tcW w:w="1834" w:type="dxa"/>
            <w:noWrap w:val="0"/>
            <w:vAlign w:val="center"/>
          </w:tcPr>
          <w:p w14:paraId="69C1E312">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1766710.54</w:t>
            </w:r>
          </w:p>
        </w:tc>
        <w:tc>
          <w:tcPr>
            <w:tcW w:w="3352" w:type="dxa"/>
            <w:vMerge w:val="continue"/>
            <w:shd w:val="clear" w:color="auto" w:fill="auto"/>
            <w:noWrap w:val="0"/>
            <w:vAlign w:val="center"/>
          </w:tcPr>
          <w:p w14:paraId="7C0039CA">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p>
        </w:tc>
      </w:tr>
      <w:tr w14:paraId="0157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36" w:type="dxa"/>
            <w:noWrap w:val="0"/>
            <w:vAlign w:val="center"/>
          </w:tcPr>
          <w:p w14:paraId="7BCA2FEC">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2.2</w:t>
            </w:r>
          </w:p>
        </w:tc>
        <w:tc>
          <w:tcPr>
            <w:tcW w:w="1812" w:type="dxa"/>
            <w:noWrap w:val="0"/>
            <w:vAlign w:val="center"/>
          </w:tcPr>
          <w:p w14:paraId="7D312BCF">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道路及配套</w:t>
            </w:r>
            <w:r>
              <w:rPr>
                <w:rFonts w:hint="eastAsia" w:hAnsi="宋体" w:cs="宋体"/>
                <w:b w:val="0"/>
                <w:bCs w:val="0"/>
                <w:color w:val="auto"/>
                <w:kern w:val="2"/>
                <w:sz w:val="21"/>
                <w:szCs w:val="21"/>
                <w:highlight w:val="none"/>
                <w:lang w:val="en-US" w:eastAsia="zh-CN" w:bidi="ar-SA"/>
              </w:rPr>
              <w:t>设施</w:t>
            </w:r>
            <w:r>
              <w:rPr>
                <w:rFonts w:hint="eastAsia" w:ascii="宋体" w:hAnsi="宋体" w:eastAsia="宋体" w:cs="宋体"/>
                <w:b w:val="0"/>
                <w:bCs w:val="0"/>
                <w:color w:val="auto"/>
                <w:kern w:val="2"/>
                <w:sz w:val="21"/>
                <w:szCs w:val="21"/>
                <w:highlight w:val="none"/>
                <w:lang w:val="en-US" w:eastAsia="zh-CN" w:bidi="ar-SA"/>
              </w:rPr>
              <w:t>工程</w:t>
            </w:r>
          </w:p>
        </w:tc>
        <w:tc>
          <w:tcPr>
            <w:tcW w:w="1133" w:type="dxa"/>
            <w:noWrap w:val="0"/>
            <w:vAlign w:val="center"/>
          </w:tcPr>
          <w:p w14:paraId="31D18641">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530532700.00</w:t>
            </w:r>
          </w:p>
        </w:tc>
        <w:tc>
          <w:tcPr>
            <w:tcW w:w="1750" w:type="dxa"/>
            <w:noWrap w:val="0"/>
            <w:vAlign w:val="center"/>
          </w:tcPr>
          <w:p w14:paraId="1333FCEA">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kern w:val="2"/>
                <w:sz w:val="21"/>
                <w:szCs w:val="21"/>
                <w:highlight w:val="none"/>
                <w:lang w:val="en-US" w:eastAsia="zh-CN" w:bidi="ar-SA"/>
              </w:rPr>
              <w:t>1.532</w:t>
            </w:r>
            <w:r>
              <w:rPr>
                <w:rFonts w:hint="eastAsia" w:ascii="宋体" w:hAnsi="宋体" w:eastAsia="宋体" w:cs="宋体"/>
                <w:b w:val="0"/>
                <w:bCs w:val="0"/>
                <w:color w:val="auto"/>
                <w:kern w:val="2"/>
                <w:sz w:val="21"/>
                <w:szCs w:val="21"/>
                <w:highlight w:val="none"/>
                <w:lang w:val="en-US" w:eastAsia="zh-CN" w:bidi="ar-SA"/>
              </w:rPr>
              <w:t>%</w:t>
            </w:r>
          </w:p>
        </w:tc>
        <w:tc>
          <w:tcPr>
            <w:tcW w:w="1834" w:type="dxa"/>
            <w:noWrap w:val="0"/>
            <w:vAlign w:val="center"/>
          </w:tcPr>
          <w:p w14:paraId="2EDC3DAF">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8130050.44</w:t>
            </w:r>
          </w:p>
        </w:tc>
        <w:tc>
          <w:tcPr>
            <w:tcW w:w="3352" w:type="dxa"/>
            <w:vMerge w:val="continue"/>
            <w:shd w:val="clear" w:color="auto" w:fill="auto"/>
            <w:noWrap w:val="0"/>
            <w:vAlign w:val="center"/>
          </w:tcPr>
          <w:p w14:paraId="5179AF8C">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p>
        </w:tc>
      </w:tr>
      <w:tr w14:paraId="517F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231" w:type="dxa"/>
            <w:gridSpan w:val="4"/>
            <w:noWrap w:val="0"/>
            <w:vAlign w:val="center"/>
          </w:tcPr>
          <w:p w14:paraId="7857038A">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合计</w:t>
            </w:r>
            <w:r>
              <w:rPr>
                <w:rFonts w:hint="eastAsia" w:hAnsi="宋体"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（元）</w:t>
            </w:r>
          </w:p>
        </w:tc>
        <w:tc>
          <w:tcPr>
            <w:tcW w:w="1834" w:type="dxa"/>
            <w:noWrap w:val="0"/>
            <w:vAlign w:val="center"/>
          </w:tcPr>
          <w:p w14:paraId="4DF13A38">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10856760.98</w:t>
            </w:r>
          </w:p>
        </w:tc>
        <w:tc>
          <w:tcPr>
            <w:tcW w:w="3352" w:type="dxa"/>
            <w:shd w:val="clear" w:color="auto" w:fill="auto"/>
            <w:noWrap w:val="0"/>
            <w:vAlign w:val="center"/>
          </w:tcPr>
          <w:p w14:paraId="6E98CEC6">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p>
        </w:tc>
      </w:tr>
    </w:tbl>
    <w:p w14:paraId="4927B1A8">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p w14:paraId="0AFF7DF2">
      <w:pPr>
        <w:pStyle w:val="12"/>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1、各单项或合计投标报价超过最高投标限价为无效报价。</w:t>
      </w:r>
    </w:p>
    <w:p w14:paraId="32184007">
      <w:pPr>
        <w:pStyle w:val="12"/>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2、各单项或合计投标报价均按“四舍五入”原则精确到两位小数；报价费率按“四舍五入”原则精确到三位小数。</w:t>
      </w:r>
    </w:p>
    <w:p w14:paraId="04CB3C52">
      <w:pPr>
        <w:pStyle w:val="12"/>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3、以上投标报价均为含税报价（增值税）。</w:t>
      </w:r>
    </w:p>
    <w:p w14:paraId="54CAEA0B">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39" w:name="_Toc626"/>
      <w:bookmarkStart w:id="40" w:name="_Toc30645"/>
    </w:p>
    <w:p w14:paraId="45E7E84D">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9．投标报价</w:t>
      </w:r>
      <w:bookmarkStart w:id="41" w:name="_Hlt74498519"/>
      <w:bookmarkEnd w:id="41"/>
      <w:r>
        <w:rPr>
          <w:rFonts w:hint="eastAsia" w:ascii="宋体" w:hAnsi="宋体" w:eastAsia="宋体" w:cs="宋体"/>
          <w:b/>
          <w:bCs/>
          <w:color w:val="auto"/>
          <w:kern w:val="0"/>
          <w:sz w:val="24"/>
          <w:szCs w:val="24"/>
          <w:highlight w:val="none"/>
        </w:rPr>
        <w:t>的约定</w:t>
      </w:r>
      <w:bookmarkEnd w:id="39"/>
      <w:bookmarkEnd w:id="40"/>
    </w:p>
    <w:p w14:paraId="1BA0D33B">
      <w:pPr>
        <w:pStyle w:val="80"/>
        <w:pageBreakBefore w:val="0"/>
        <w:widowControl w:val="0"/>
        <w:kinsoku/>
        <w:wordWrap/>
        <w:overflowPunct/>
        <w:topLinePunct w:val="0"/>
        <w:autoSpaceDE/>
        <w:autoSpaceDN/>
        <w:bidi w:val="0"/>
        <w:snapToGrid/>
        <w:spacing w:line="360" w:lineRule="auto"/>
        <w:ind w:left="0" w:leftChars="0" w:firstLine="482" w:firstLineChars="200"/>
        <w:textAlignment w:val="auto"/>
        <w:rPr>
          <w:rFonts w:hint="eastAsia" w:ascii="宋体" w:hAnsi="宋体" w:eastAsia="宋体" w:cs="宋体"/>
          <w:color w:val="auto"/>
          <w:kern w:val="2"/>
          <w:sz w:val="24"/>
          <w:szCs w:val="24"/>
          <w:highlight w:val="none"/>
          <w:lang w:val="en-US" w:eastAsia="zh-CN" w:bidi="ar-SA"/>
        </w:rPr>
      </w:pPr>
      <w:bookmarkStart w:id="42" w:name="_Toc18198"/>
      <w:r>
        <w:rPr>
          <w:rFonts w:hint="eastAsia" w:ascii="宋体" w:hAnsi="宋体" w:eastAsia="宋体" w:cs="宋体"/>
          <w:b/>
          <w:bCs/>
          <w:color w:val="auto"/>
          <w:kern w:val="2"/>
          <w:sz w:val="24"/>
          <w:szCs w:val="24"/>
          <w:highlight w:val="none"/>
          <w:lang w:val="en-US" w:eastAsia="zh-CN" w:bidi="ar-SA"/>
        </w:rPr>
        <w:t>9.1</w:t>
      </w:r>
      <w:r>
        <w:rPr>
          <w:rFonts w:hint="eastAsia" w:ascii="宋体" w:hAnsi="宋体" w:eastAsia="宋体" w:cs="宋体"/>
          <w:color w:val="auto"/>
          <w:kern w:val="2"/>
          <w:sz w:val="24"/>
          <w:szCs w:val="24"/>
          <w:highlight w:val="none"/>
          <w:lang w:val="en-US" w:eastAsia="zh-CN" w:bidi="ar-SA"/>
        </w:rPr>
        <w:t xml:space="preserve"> 投标人以勘察费、设计费的合计总价进行投标报价。勘察费报价、设计费报价及其合价均不得超出最高投标限价规定的相应限价。</w:t>
      </w:r>
    </w:p>
    <w:p w14:paraId="108F3F6E">
      <w:pPr>
        <w:pStyle w:val="80"/>
        <w:pageBreakBefore w:val="0"/>
        <w:widowControl w:val="0"/>
        <w:kinsoku/>
        <w:wordWrap/>
        <w:overflowPunct/>
        <w:topLinePunct w:val="0"/>
        <w:autoSpaceDE/>
        <w:autoSpaceDN/>
        <w:bidi w:val="0"/>
        <w:snapToGrid/>
        <w:spacing w:line="360" w:lineRule="auto"/>
        <w:ind w:left="0" w:leftChars="0" w:firstLine="482" w:firstLineChars="200"/>
        <w:textAlignment w:val="auto"/>
        <w:rPr>
          <w:rFonts w:hint="eastAsia" w:ascii="宋体" w:hAnsi="宋体" w:eastAsia="宋体" w:cs="宋体"/>
          <w:color w:val="C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9.2</w:t>
      </w:r>
      <w:r>
        <w:rPr>
          <w:rFonts w:hint="eastAsia" w:ascii="宋体" w:hAnsi="宋体" w:eastAsia="宋体" w:cs="宋体"/>
          <w:color w:val="auto"/>
          <w:kern w:val="2"/>
          <w:sz w:val="24"/>
          <w:szCs w:val="24"/>
          <w:highlight w:val="none"/>
          <w:lang w:val="en-US" w:eastAsia="zh-CN" w:bidi="ar-SA"/>
        </w:rPr>
        <w:t xml:space="preserve"> 勘察费投标报价：投标人在最高投标限价范围内自行报价. </w:t>
      </w:r>
      <w:r>
        <w:rPr>
          <w:rFonts w:hint="eastAsia" w:ascii="宋体" w:hAnsi="宋体" w:eastAsia="宋体" w:cs="宋体"/>
          <w:b w:val="0"/>
          <w:bCs w:val="0"/>
          <w:color w:val="auto"/>
          <w:sz w:val="24"/>
          <w:szCs w:val="24"/>
          <w:lang w:val="en-US" w:eastAsia="zh-CN"/>
        </w:rPr>
        <w:t>投标人报综合单价和总价，勘察综合单价≤</w:t>
      </w:r>
      <w:r>
        <w:rPr>
          <w:rFonts w:hint="eastAsia" w:ascii="宋体" w:hAnsi="宋体" w:eastAsia="宋体" w:cs="宋体"/>
          <w:b w:val="0"/>
          <w:bCs w:val="0"/>
          <w:color w:val="auto"/>
          <w:kern w:val="2"/>
          <w:sz w:val="24"/>
          <w:szCs w:val="24"/>
          <w:highlight w:val="none"/>
          <w:lang w:val="en-US" w:eastAsia="zh-CN" w:bidi="ar-SA"/>
        </w:rPr>
        <w:t>1</w:t>
      </w:r>
      <w:r>
        <w:rPr>
          <w:rFonts w:hint="eastAsia"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0元/米，勘察费最高投标限价以暂定得工程量8000米为基数计取，在勘察费最高投标限价范围内按实际工程量进行结算。</w:t>
      </w:r>
    </w:p>
    <w:p w14:paraId="4D1DF28D">
      <w:pPr>
        <w:pageBreakBefore w:val="0"/>
        <w:kinsoku/>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费已包括所有事务工作收费、技术工作收费、税金和完成合同约定的所有与工程测量有关的全部费用，同时中标人应考虑施工场地不同土、石质类别比例、水上勘察作业所需的措施等满足本项目设计要求所需完成的勘察工作量及措施，并承担风险。工程测量是招标范围中勘察部分的内容，其任务包含勘察部分的所有相关工程测量，工程测量费用已包含在勘察费中。</w:t>
      </w:r>
    </w:p>
    <w:p w14:paraId="2F6CB94E">
      <w:pPr>
        <w:pageBreakBefore w:val="0"/>
        <w:kinsoku/>
        <w:overflowPunct/>
        <w:topLinePunct w:val="0"/>
        <w:autoSpaceDE/>
        <w:autoSpaceDN/>
        <w:bidi w:val="0"/>
        <w:snapToGrid/>
        <w:spacing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.3 </w:t>
      </w:r>
      <w:r>
        <w:rPr>
          <w:rFonts w:hint="eastAsia" w:ascii="宋体" w:hAnsi="宋体" w:eastAsia="宋体" w:cs="宋体"/>
          <w:color w:val="auto"/>
          <w:sz w:val="24"/>
          <w:szCs w:val="24"/>
          <w:highlight w:val="none"/>
        </w:rPr>
        <w:t>设计费投标报价：在最高投标限价范围内，投标人自行报价。</w:t>
      </w:r>
      <w:r>
        <w:rPr>
          <w:rFonts w:hint="eastAsia" w:ascii="宋体" w:hAnsi="宋体" w:eastAsia="宋体" w:cs="宋体"/>
          <w:snapToGrid w:val="0"/>
          <w:color w:val="auto"/>
          <w:kern w:val="0"/>
          <w:sz w:val="24"/>
          <w:szCs w:val="24"/>
          <w:highlight w:val="none"/>
        </w:rPr>
        <w:t>设计费投标费率=设计费投标报价/建安工程费暂定价，其中</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场地平整、边坡支护、地基处理及临时排水工程</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建安工程费暂定价按</w:t>
      </w:r>
      <w:r>
        <w:rPr>
          <w:rFonts w:hint="eastAsia" w:ascii="宋体" w:hAnsi="宋体" w:eastAsia="宋体" w:cs="宋体"/>
          <w:color w:val="auto"/>
          <w:kern w:val="2"/>
          <w:sz w:val="24"/>
          <w:szCs w:val="24"/>
          <w:highlight w:val="none"/>
          <w:lang w:val="en-US" w:eastAsia="zh-CN" w:bidi="ar-SA"/>
        </w:rPr>
        <w:t>39394.15万元</w:t>
      </w:r>
      <w:r>
        <w:rPr>
          <w:rFonts w:hint="eastAsia" w:ascii="宋体" w:hAnsi="宋体" w:eastAsia="宋体" w:cs="宋体"/>
          <w:snapToGrid w:val="0"/>
          <w:color w:val="auto"/>
          <w:kern w:val="0"/>
          <w:sz w:val="24"/>
          <w:szCs w:val="24"/>
          <w:highlight w:val="none"/>
        </w:rPr>
        <w:t>计</w:t>
      </w:r>
      <w:r>
        <w:rPr>
          <w:rFonts w:hint="eastAsia" w:ascii="宋体" w:hAnsi="宋体" w:eastAsia="宋体" w:cs="宋体"/>
          <w:snapToGrid w:val="0"/>
          <w:color w:val="auto"/>
          <w:kern w:val="0"/>
          <w:sz w:val="24"/>
          <w:szCs w:val="24"/>
          <w:highlight w:val="none"/>
          <w:lang w:eastAsia="zh-CN"/>
        </w:rPr>
        <w:t>算；“道路及配套</w:t>
      </w:r>
      <w:r>
        <w:rPr>
          <w:rFonts w:hint="eastAsia" w:ascii="宋体" w:hAnsi="宋体" w:eastAsia="宋体" w:cs="宋体"/>
          <w:snapToGrid w:val="0"/>
          <w:color w:val="auto"/>
          <w:kern w:val="0"/>
          <w:sz w:val="24"/>
          <w:szCs w:val="24"/>
          <w:highlight w:val="none"/>
          <w:lang w:val="en-US" w:eastAsia="zh-CN"/>
        </w:rPr>
        <w:t>设施</w:t>
      </w:r>
      <w:r>
        <w:rPr>
          <w:rFonts w:hint="eastAsia" w:ascii="宋体" w:hAnsi="宋体" w:eastAsia="宋体" w:cs="宋体"/>
          <w:snapToGrid w:val="0"/>
          <w:color w:val="auto"/>
          <w:kern w:val="0"/>
          <w:sz w:val="24"/>
          <w:szCs w:val="24"/>
          <w:highlight w:val="none"/>
          <w:lang w:eastAsia="zh-CN"/>
        </w:rPr>
        <w:t>工程”</w:t>
      </w:r>
      <w:r>
        <w:rPr>
          <w:rFonts w:hint="eastAsia" w:ascii="宋体" w:hAnsi="宋体" w:eastAsia="宋体" w:cs="宋体"/>
          <w:snapToGrid w:val="0"/>
          <w:color w:val="auto"/>
          <w:kern w:val="0"/>
          <w:sz w:val="24"/>
          <w:szCs w:val="24"/>
          <w:highlight w:val="none"/>
        </w:rPr>
        <w:t>建安工程费暂定价按</w:t>
      </w:r>
      <w:r>
        <w:rPr>
          <w:rFonts w:hint="eastAsia" w:ascii="宋体" w:hAnsi="宋体" w:eastAsia="宋体" w:cs="宋体"/>
          <w:color w:val="auto"/>
          <w:kern w:val="2"/>
          <w:sz w:val="24"/>
          <w:szCs w:val="24"/>
          <w:highlight w:val="none"/>
          <w:lang w:val="en-US" w:eastAsia="zh-CN" w:bidi="ar-SA"/>
        </w:rPr>
        <w:t>53053.27万元计算</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sz w:val="24"/>
          <w:szCs w:val="24"/>
          <w:highlight w:val="none"/>
        </w:rPr>
        <w:t>合同价等于中标价，结算价不能超过合同价。设计费的报价应包含各个不同专业的设计费用、进行优化设计或修改设计所增加的设计费用。设计费已包含初步设计概算编制费，不再另行支付概算编制费用。</w:t>
      </w:r>
    </w:p>
    <w:p w14:paraId="6BD3A842">
      <w:pPr>
        <w:pageBreakBefore w:val="0"/>
        <w:kinsoku/>
        <w:overflowPunct/>
        <w:topLinePunct w:val="0"/>
        <w:autoSpaceDE/>
        <w:autoSpaceDN/>
        <w:bidi w:val="0"/>
        <w:snapToGrid/>
        <w:spacing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勘察设计成果必须按要求满足勘察设计规定的深度。所报的勘察费、设计费应包含投标人自投标之日起至工程验收合格所需的费用。若勘察设计深度不够，导致设计更改、工程量增加、费用增加的，由中标单位以勘察费、设计费为限承担责任。</w:t>
      </w:r>
    </w:p>
    <w:p w14:paraId="7839CCA6">
      <w:pPr>
        <w:pageBreakBefore w:val="0"/>
        <w:kinsoku/>
        <w:overflowPunct/>
        <w:topLinePunct w:val="0"/>
        <w:autoSpaceDE/>
        <w:autoSpaceDN/>
        <w:bidi w:val="0"/>
        <w:snapToGrid/>
        <w:spacing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.5 </w:t>
      </w:r>
      <w:r>
        <w:rPr>
          <w:rFonts w:hint="eastAsia" w:ascii="宋体" w:hAnsi="宋体" w:eastAsia="宋体" w:cs="宋体"/>
          <w:color w:val="auto"/>
          <w:sz w:val="24"/>
          <w:szCs w:val="24"/>
          <w:highlight w:val="none"/>
        </w:rPr>
        <w:t>投标报价时应充分考虑</w:t>
      </w:r>
      <w:r>
        <w:rPr>
          <w:rFonts w:hint="eastAsia" w:ascii="宋体" w:hAnsi="宋体" w:eastAsia="宋体" w:cs="宋体"/>
          <w:color w:val="auto"/>
          <w:sz w:val="24"/>
          <w:szCs w:val="24"/>
          <w:highlight w:val="none"/>
          <w:lang w:val="zh-CN"/>
        </w:rPr>
        <w:t>“合同条款”</w:t>
      </w:r>
      <w:r>
        <w:rPr>
          <w:rFonts w:hint="eastAsia" w:ascii="宋体" w:hAnsi="宋体" w:eastAsia="宋体" w:cs="宋体"/>
          <w:color w:val="auto"/>
          <w:sz w:val="24"/>
          <w:szCs w:val="24"/>
          <w:highlight w:val="none"/>
        </w:rPr>
        <w:t>及“中标人须知”中所列条款的要求及风险。</w:t>
      </w:r>
    </w:p>
    <w:p w14:paraId="7C42A1A6">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43" w:name="_Toc14329"/>
      <w:r>
        <w:rPr>
          <w:rFonts w:hint="eastAsia" w:ascii="宋体" w:hAnsi="宋体" w:eastAsia="宋体" w:cs="宋体"/>
          <w:b/>
          <w:bCs/>
          <w:color w:val="auto"/>
          <w:kern w:val="0"/>
          <w:sz w:val="24"/>
          <w:szCs w:val="24"/>
          <w:highlight w:val="none"/>
        </w:rPr>
        <w:t>10．投标文件的编制</w:t>
      </w:r>
      <w:bookmarkStart w:id="44" w:name="_Hlt69208262"/>
      <w:bookmarkEnd w:id="44"/>
      <w:bookmarkStart w:id="45" w:name="_Hlt69332370"/>
      <w:bookmarkEnd w:id="45"/>
      <w:r>
        <w:rPr>
          <w:rFonts w:hint="eastAsia" w:ascii="宋体" w:hAnsi="宋体" w:eastAsia="宋体" w:cs="宋体"/>
          <w:b/>
          <w:bCs/>
          <w:color w:val="auto"/>
          <w:kern w:val="0"/>
          <w:sz w:val="24"/>
          <w:szCs w:val="24"/>
          <w:highlight w:val="none"/>
        </w:rPr>
        <w:t>要求</w:t>
      </w:r>
      <w:bookmarkEnd w:id="42"/>
      <w:bookmarkEnd w:id="43"/>
      <w:bookmarkStart w:id="46" w:name="_Hlt74497202"/>
      <w:bookmarkEnd w:id="46"/>
      <w:bookmarkStart w:id="47" w:name="_Hlt78768224"/>
      <w:bookmarkEnd w:id="47"/>
      <w:bookmarkStart w:id="48" w:name="_Hlt74495594"/>
      <w:bookmarkEnd w:id="48"/>
    </w:p>
    <w:p w14:paraId="0A816759">
      <w:pPr>
        <w:pageBreakBefore w:val="0"/>
        <w:kinsoku/>
        <w:overflowPunct/>
        <w:topLinePunct w:val="0"/>
        <w:autoSpaceDE/>
        <w:autoSpaceDN/>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bookmarkStart w:id="49" w:name="_Toc11185"/>
      <w:bookmarkStart w:id="50" w:name="_Toc257031159"/>
      <w:bookmarkStart w:id="51" w:name="_Toc274313880"/>
      <w:r>
        <w:rPr>
          <w:rFonts w:hint="eastAsia" w:ascii="宋体" w:hAnsi="宋体" w:eastAsia="宋体" w:cs="宋体"/>
          <w:b/>
          <w:bCs/>
          <w:color w:val="auto"/>
          <w:sz w:val="24"/>
          <w:szCs w:val="24"/>
          <w:highlight w:val="none"/>
          <w:lang w:val="en-US" w:eastAsia="zh-CN"/>
        </w:rPr>
        <w:t xml:space="preserve">10.1 </w:t>
      </w:r>
      <w:r>
        <w:rPr>
          <w:rFonts w:hint="eastAsia" w:ascii="宋体" w:hAnsi="宋体" w:eastAsia="宋体" w:cs="宋体"/>
          <w:b w:val="0"/>
          <w:bCs w:val="0"/>
          <w:color w:val="auto"/>
          <w:sz w:val="24"/>
          <w:szCs w:val="24"/>
          <w:highlight w:val="none"/>
          <w:lang w:val="en-US" w:eastAsia="zh-CN"/>
        </w:rPr>
        <w:t>一般要求</w:t>
      </w:r>
      <w:bookmarkEnd w:id="49"/>
    </w:p>
    <w:p w14:paraId="28D7C5AE">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投标文件应按第五章投标文件格式规定的内容，投标人提交的投标文件应当使用招标文件所提供的投标文件全部格式。</w:t>
      </w:r>
    </w:p>
    <w:p w14:paraId="65FA7059">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10.1.1</w:t>
      </w:r>
      <w:r>
        <w:rPr>
          <w:rFonts w:hint="eastAsia" w:ascii="宋体" w:hAnsi="宋体" w:eastAsia="宋体" w:cs="宋体"/>
          <w:snapToGrid w:val="0"/>
          <w:color w:val="auto"/>
          <w:kern w:val="0"/>
          <w:sz w:val="24"/>
          <w:szCs w:val="24"/>
          <w:highlight w:val="none"/>
        </w:rPr>
        <w:t xml:space="preserve"> 投标人必须响应招标文件，并在充分理解招标文件的基础上编制投标文件。因投标文件不符合招标文件的要求而造成的损失和后果，由投标人自行承担。</w:t>
      </w:r>
      <w:bookmarkStart w:id="52" w:name="_Hlt74496890"/>
      <w:bookmarkEnd w:id="52"/>
    </w:p>
    <w:p w14:paraId="724B1BAC">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投标文件包括</w:t>
      </w:r>
      <w:r>
        <w:rPr>
          <w:rFonts w:hint="eastAsia" w:ascii="宋体" w:hAnsi="宋体" w:eastAsia="宋体" w:cs="宋体"/>
          <w:b/>
          <w:bCs/>
          <w:color w:val="auto"/>
          <w:sz w:val="24"/>
          <w:szCs w:val="24"/>
          <w:highlight w:val="none"/>
          <w:lang w:eastAsia="zh-CN"/>
        </w:rPr>
        <w:t>商务经济标书</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标书</w:t>
      </w:r>
      <w:r>
        <w:rPr>
          <w:rFonts w:hint="eastAsia" w:ascii="宋体" w:hAnsi="宋体" w:eastAsia="宋体" w:cs="宋体"/>
          <w:b/>
          <w:bCs/>
          <w:color w:val="auto"/>
          <w:sz w:val="24"/>
          <w:szCs w:val="24"/>
          <w:highlight w:val="none"/>
          <w:lang w:val="en-US" w:eastAsia="zh-CN"/>
        </w:rPr>
        <w:t>、定标文件三</w:t>
      </w:r>
      <w:r>
        <w:rPr>
          <w:rFonts w:hint="eastAsia" w:ascii="宋体" w:hAnsi="宋体" w:eastAsia="宋体" w:cs="宋体"/>
          <w:color w:val="auto"/>
          <w:sz w:val="24"/>
          <w:szCs w:val="24"/>
          <w:highlight w:val="none"/>
        </w:rPr>
        <w:t>个分册。</w:t>
      </w:r>
      <w:r>
        <w:rPr>
          <w:rFonts w:hint="eastAsia" w:ascii="宋体" w:hAnsi="宋体" w:eastAsia="宋体" w:cs="宋体"/>
          <w:b/>
          <w:bCs/>
          <w:snapToGrid w:val="0"/>
          <w:color w:val="auto"/>
          <w:kern w:val="0"/>
          <w:sz w:val="24"/>
          <w:szCs w:val="24"/>
          <w:highlight w:val="none"/>
        </w:rPr>
        <w:t>投标文件全部采用电子文档</w:t>
      </w:r>
      <w:r>
        <w:rPr>
          <w:rFonts w:hint="eastAsia" w:ascii="宋体" w:hAnsi="宋体" w:eastAsia="宋体" w:cs="宋体"/>
          <w:color w:val="auto"/>
          <w:sz w:val="24"/>
          <w:szCs w:val="24"/>
          <w:highlight w:val="none"/>
        </w:rPr>
        <w:t>（中标人自中标通知书发出之日起五个工作日内再提供正本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份的纸质版投标文件给招标人存档）</w:t>
      </w:r>
      <w:r>
        <w:rPr>
          <w:rFonts w:hint="eastAsia" w:ascii="宋体" w:hAnsi="宋体" w:eastAsia="宋体" w:cs="宋体"/>
          <w:b/>
          <w:bCs/>
          <w:snapToGrid w:val="0"/>
          <w:color w:val="auto"/>
          <w:kern w:val="0"/>
          <w:sz w:val="24"/>
          <w:szCs w:val="24"/>
          <w:highlight w:val="none"/>
        </w:rPr>
        <w:t>，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中的【服务指南】。</w:t>
      </w:r>
    </w:p>
    <w:p w14:paraId="35283CC2">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10.1.3</w:t>
      </w:r>
      <w:r>
        <w:rPr>
          <w:rFonts w:hint="eastAsia" w:ascii="宋体" w:hAnsi="宋体" w:eastAsia="宋体" w:cs="宋体"/>
          <w:snapToGrid w:val="0"/>
          <w:color w:val="auto"/>
          <w:kern w:val="0"/>
          <w:sz w:val="24"/>
          <w:szCs w:val="24"/>
          <w:highlight w:val="none"/>
        </w:rPr>
        <w:t xml:space="preserve"> 投标文件需按以下要求签字、盖章：</w:t>
      </w:r>
    </w:p>
    <w:p w14:paraId="6CCB4067">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电子投标文件：</w:t>
      </w:r>
    </w:p>
    <w:p w14:paraId="61F617D7">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10.1.3.1 </w:t>
      </w:r>
      <w:r>
        <w:rPr>
          <w:rFonts w:hint="eastAsia" w:ascii="宋体" w:hAnsi="宋体" w:eastAsia="宋体" w:cs="宋体"/>
          <w:snapToGrid w:val="0"/>
          <w:color w:val="auto"/>
          <w:kern w:val="0"/>
          <w:sz w:val="24"/>
          <w:szCs w:val="24"/>
          <w:highlight w:val="none"/>
        </w:rPr>
        <w:t>投标文件封面、组成内容中凡注明“签字”处由要求的人员签字或电子签章；凡注明“签字或盖章”处由要求的人员签字或盖其私章（</w:t>
      </w:r>
      <w:r>
        <w:rPr>
          <w:rFonts w:hint="eastAsia" w:ascii="宋体" w:hAnsi="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rPr>
        <w:t>电子印章）；凡注明“签字并盖执业印章”处由要求的人员签字并盖其执业印章。</w:t>
      </w:r>
    </w:p>
    <w:p w14:paraId="60F738A4">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10.1.3.2 </w:t>
      </w:r>
      <w:r>
        <w:rPr>
          <w:rFonts w:hint="eastAsia" w:ascii="宋体" w:hAnsi="宋体" w:eastAsia="宋体" w:cs="宋体"/>
          <w:snapToGrid w:val="0"/>
          <w:color w:val="auto"/>
          <w:kern w:val="0"/>
          <w:sz w:val="24"/>
          <w:szCs w:val="24"/>
          <w:highlight w:val="none"/>
        </w:rPr>
        <w:t>投标文件封套、封面、组成内容中凡要求录入投标人名称且注明“盖单位章”处盖单位法人公章（</w:t>
      </w:r>
      <w:r>
        <w:rPr>
          <w:rFonts w:hint="eastAsia" w:ascii="宋体" w:hAnsi="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rPr>
        <w:t>电子印章）</w:t>
      </w:r>
    </w:p>
    <w:p w14:paraId="768C40DA">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10.1.3.3 </w:t>
      </w:r>
      <w:r>
        <w:rPr>
          <w:rFonts w:hint="eastAsia" w:ascii="宋体" w:hAnsi="宋体" w:eastAsia="宋体" w:cs="宋体"/>
          <w:snapToGrid w:val="0"/>
          <w:color w:val="auto"/>
          <w:kern w:val="0"/>
          <w:sz w:val="24"/>
          <w:szCs w:val="24"/>
          <w:highlight w:val="none"/>
        </w:rPr>
        <w:t>投标文件的签字均为签字人本人亲笔署名或签章（</w:t>
      </w:r>
      <w:r>
        <w:rPr>
          <w:rFonts w:hint="eastAsia" w:ascii="宋体" w:hAnsi="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rPr>
        <w:t>电子印章），其余部分的彩色扫描件无须另行签字、盖章。</w:t>
      </w:r>
    </w:p>
    <w:p w14:paraId="509856EF">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10.1.3.4 </w:t>
      </w:r>
      <w:r>
        <w:rPr>
          <w:rFonts w:hint="eastAsia" w:ascii="宋体" w:hAnsi="宋体" w:eastAsia="宋体" w:cs="宋体"/>
          <w:snapToGrid w:val="0"/>
          <w:color w:val="auto"/>
          <w:kern w:val="0"/>
          <w:sz w:val="24"/>
          <w:szCs w:val="24"/>
          <w:highlight w:val="none"/>
        </w:rPr>
        <w:t>联合体投标的，除《联合体协议书》外，由联合体牵头人按以上要求签字（电子印章）、盖章（电子印章）即可。</w:t>
      </w:r>
    </w:p>
    <w:p w14:paraId="4D852E62">
      <w:pPr>
        <w:pageBreakBefore w:val="0"/>
        <w:kinsoku/>
        <w:overflowPunct/>
        <w:topLinePunct w:val="0"/>
        <w:autoSpaceDE/>
        <w:autoSpaceDN/>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bookmarkStart w:id="53" w:name="_Toc32152"/>
      <w:r>
        <w:rPr>
          <w:rFonts w:hint="eastAsia" w:ascii="宋体" w:hAnsi="宋体" w:eastAsia="宋体" w:cs="宋体"/>
          <w:b/>
          <w:bCs/>
          <w:color w:val="auto"/>
          <w:sz w:val="24"/>
          <w:szCs w:val="24"/>
          <w:highlight w:val="none"/>
          <w:lang w:val="en-US" w:eastAsia="zh-CN"/>
        </w:rPr>
        <w:t>10.2 商务经济标书的编制要求</w:t>
      </w:r>
      <w:bookmarkEnd w:id="50"/>
      <w:bookmarkEnd w:id="51"/>
      <w:bookmarkEnd w:id="53"/>
    </w:p>
    <w:p w14:paraId="15EE3327">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lang w:eastAsia="zh-CN"/>
        </w:rPr>
        <w:t>商务经济标书</w:t>
      </w:r>
      <w:r>
        <w:rPr>
          <w:rFonts w:hint="eastAsia" w:ascii="宋体" w:hAnsi="宋体" w:eastAsia="宋体" w:cs="宋体"/>
          <w:snapToGrid w:val="0"/>
          <w:color w:val="auto"/>
          <w:kern w:val="0"/>
          <w:sz w:val="24"/>
          <w:szCs w:val="24"/>
          <w:highlight w:val="none"/>
        </w:rPr>
        <w:t>包括但不限于以下内容：</w:t>
      </w:r>
    </w:p>
    <w:p w14:paraId="07EFD394">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（1）封面（格式一）；</w:t>
      </w:r>
    </w:p>
    <w:p w14:paraId="74D04624">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（2）目录；</w:t>
      </w:r>
    </w:p>
    <w:p w14:paraId="3957EE9F">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（3）《投标函》（格式二）；</w:t>
      </w:r>
    </w:p>
    <w:p w14:paraId="220FD5B5">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rPr>
        <w:t>工程项目报价表</w:t>
      </w:r>
      <w:r>
        <w:rPr>
          <w:rFonts w:hint="eastAsia" w:ascii="宋体" w:hAnsi="宋体" w:eastAsia="宋体" w:cs="宋体"/>
          <w:snapToGrid w:val="0"/>
          <w:color w:val="auto"/>
          <w:kern w:val="0"/>
          <w:sz w:val="24"/>
          <w:szCs w:val="24"/>
          <w:highlight w:val="none"/>
        </w:rPr>
        <w:t>》（格式三）</w:t>
      </w:r>
    </w:p>
    <w:p w14:paraId="213800DE">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（5）《各项承诺一览表》（格式四）；</w:t>
      </w:r>
    </w:p>
    <w:p w14:paraId="7EE6DA90">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（6）《授权委托书》（格式五）；</w:t>
      </w:r>
    </w:p>
    <w:p w14:paraId="19DC5C24">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（7）《法定代表人身份证明》（格式六）；</w:t>
      </w:r>
    </w:p>
    <w:p w14:paraId="33E4A2AC">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（8）《联合体协议书》（格式七）及所附资料；</w:t>
      </w:r>
    </w:p>
    <w:p w14:paraId="409F42EA">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投标保证缴纳证明（投标人采用投标保证金的，附建设工程交易系统《缴纳投标保证金通知书》页面截图和银行转账单扫描件；采用投标保证担保的，附银行保函彩色扫描件；采用投标保证保险的，附电子保单和</w:t>
      </w:r>
      <w:r>
        <w:rPr>
          <w:rFonts w:hint="eastAsia" w:ascii="宋体" w:hAnsi="宋体" w:eastAsia="宋体" w:cs="宋体"/>
          <w:b/>
          <w:bCs/>
          <w:snapToGrid w:val="0"/>
          <w:color w:val="auto"/>
          <w:kern w:val="0"/>
          <w:sz w:val="24"/>
          <w:szCs w:val="24"/>
          <w:highlight w:val="none"/>
        </w:rPr>
        <w:t>《韶关市公共资源交易一体化平台保证金缴纳信息》页面截图）；</w:t>
      </w:r>
    </w:p>
    <w:p w14:paraId="7B4D79C1">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（10）《投标人基本情况表》（格式八）及所附资料；</w:t>
      </w:r>
    </w:p>
    <w:p w14:paraId="685F9EE2">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r>
        <w:rPr>
          <w:rFonts w:hint="eastAsia" w:ascii="宋体" w:hAnsi="宋体" w:eastAsia="宋体" w:cs="宋体"/>
          <w:color w:val="auto"/>
          <w:sz w:val="24"/>
          <w:szCs w:val="24"/>
          <w:highlight w:val="none"/>
          <w:lang w:eastAsia="zh-CN"/>
        </w:rPr>
        <w:t>设计/勘察负责人简历表</w:t>
      </w:r>
      <w:r>
        <w:rPr>
          <w:rFonts w:hint="eastAsia" w:ascii="宋体" w:hAnsi="宋体" w:eastAsia="宋体" w:cs="宋体"/>
          <w:snapToGrid w:val="0"/>
          <w:color w:val="auto"/>
          <w:kern w:val="0"/>
          <w:sz w:val="24"/>
          <w:szCs w:val="24"/>
          <w:highlight w:val="none"/>
        </w:rPr>
        <w:t>》（格式九）及所附资料；</w:t>
      </w:r>
    </w:p>
    <w:p w14:paraId="1BFC228A">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r>
        <w:rPr>
          <w:rFonts w:hint="eastAsia" w:ascii="宋体" w:hAnsi="宋体" w:eastAsia="宋体" w:cs="宋体"/>
          <w:color w:val="auto"/>
          <w:sz w:val="24"/>
          <w:szCs w:val="24"/>
          <w:highlight w:val="none"/>
        </w:rPr>
        <w:t>本项目拟投入的人员基本情况表</w:t>
      </w:r>
      <w:r>
        <w:rPr>
          <w:rFonts w:hint="eastAsia" w:ascii="宋体" w:hAnsi="宋体" w:eastAsia="宋体" w:cs="宋体"/>
          <w:snapToGrid w:val="0"/>
          <w:color w:val="auto"/>
          <w:kern w:val="0"/>
          <w:sz w:val="24"/>
          <w:szCs w:val="24"/>
          <w:highlight w:val="none"/>
        </w:rPr>
        <w:t>》（格式十）</w:t>
      </w:r>
      <w:r>
        <w:rPr>
          <w:rFonts w:hint="eastAsia" w:ascii="宋体" w:hAnsi="宋体" w:eastAsia="宋体" w:cs="宋体"/>
          <w:color w:val="auto"/>
          <w:sz w:val="24"/>
          <w:szCs w:val="24"/>
          <w:highlight w:val="none"/>
        </w:rPr>
        <w:t>及所附资料</w:t>
      </w:r>
      <w:r>
        <w:rPr>
          <w:rFonts w:hint="eastAsia" w:ascii="宋体" w:hAnsi="宋体" w:eastAsia="宋体" w:cs="宋体"/>
          <w:snapToGrid w:val="0"/>
          <w:color w:val="auto"/>
          <w:kern w:val="0"/>
          <w:sz w:val="24"/>
          <w:szCs w:val="24"/>
          <w:highlight w:val="none"/>
        </w:rPr>
        <w:t>；</w:t>
      </w:r>
    </w:p>
    <w:p w14:paraId="00B0BD90">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（13）本节第</w:t>
      </w:r>
      <w:r>
        <w:rPr>
          <w:rFonts w:hint="eastAsia" w:ascii="宋体" w:hAnsi="宋体" w:eastAsia="宋体" w:cs="宋体"/>
          <w:b/>
          <w:bCs/>
          <w:snapToGrid w:val="0"/>
          <w:color w:val="auto"/>
          <w:kern w:val="0"/>
          <w:sz w:val="24"/>
          <w:szCs w:val="24"/>
          <w:highlight w:val="none"/>
        </w:rPr>
        <w:t>15.5.1</w:t>
      </w:r>
      <w:r>
        <w:rPr>
          <w:rFonts w:hint="eastAsia" w:ascii="宋体" w:hAnsi="宋体" w:eastAsia="宋体" w:cs="宋体"/>
          <w:snapToGrid w:val="0"/>
          <w:color w:val="auto"/>
          <w:kern w:val="0"/>
          <w:sz w:val="24"/>
          <w:szCs w:val="24"/>
          <w:highlight w:val="none"/>
        </w:rPr>
        <w:t>目“评标方法”要求提供的评审资料；</w:t>
      </w:r>
    </w:p>
    <w:p w14:paraId="14E4B4C4">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69CF6C98">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 xml:space="preserve"> 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目中所列出的</w:t>
      </w:r>
      <w:r>
        <w:rPr>
          <w:rFonts w:hint="eastAsia" w:ascii="宋体" w:hAnsi="宋体" w:eastAsia="宋体" w:cs="宋体"/>
          <w:snapToGrid w:val="0"/>
          <w:color w:val="auto"/>
          <w:kern w:val="0"/>
          <w:sz w:val="24"/>
          <w:szCs w:val="24"/>
          <w:highlight w:val="none"/>
          <w:lang w:eastAsia="zh-CN"/>
        </w:rPr>
        <w:t>商务经济标书</w:t>
      </w:r>
      <w:r>
        <w:rPr>
          <w:rFonts w:hint="eastAsia" w:ascii="宋体" w:hAnsi="宋体" w:eastAsia="宋体" w:cs="宋体"/>
          <w:snapToGrid w:val="0"/>
          <w:color w:val="auto"/>
          <w:kern w:val="0"/>
          <w:sz w:val="24"/>
          <w:szCs w:val="24"/>
          <w:highlight w:val="none"/>
        </w:rPr>
        <w:t>组成内容中，第（1）至第（12）项所有投标人均应提供，</w:t>
      </w:r>
      <w:r>
        <w:rPr>
          <w:rFonts w:hint="eastAsia" w:ascii="宋体" w:hAnsi="宋体" w:eastAsia="宋体" w:cs="宋体"/>
          <w:b/>
          <w:bCs/>
          <w:snapToGrid w:val="0"/>
          <w:color w:val="auto"/>
          <w:kern w:val="0"/>
          <w:sz w:val="24"/>
          <w:szCs w:val="24"/>
          <w:highlight w:val="none"/>
        </w:rPr>
        <w:t>但非联合体投标的，无需提供第（8）项内容。</w:t>
      </w:r>
    </w:p>
    <w:p w14:paraId="34D40888">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eastAsia="zh-CN"/>
        </w:rPr>
        <w:t>商务经济标书</w:t>
      </w:r>
      <w:r>
        <w:rPr>
          <w:rFonts w:hint="eastAsia" w:ascii="宋体" w:hAnsi="宋体" w:eastAsia="宋体" w:cs="宋体"/>
          <w:snapToGrid w:val="0"/>
          <w:color w:val="auto"/>
          <w:kern w:val="0"/>
          <w:sz w:val="24"/>
          <w:szCs w:val="24"/>
          <w:highlight w:val="none"/>
        </w:rPr>
        <w:t>的组成内容按本节第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22E15062">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10.2.4</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lang w:eastAsia="zh-CN"/>
        </w:rPr>
        <w:t>商务经济标书</w:t>
      </w:r>
      <w:r>
        <w:rPr>
          <w:rFonts w:hint="eastAsia" w:ascii="宋体" w:hAnsi="宋体" w:eastAsia="宋体" w:cs="宋体"/>
          <w:snapToGrid w:val="0"/>
          <w:color w:val="auto"/>
          <w:kern w:val="0"/>
          <w:sz w:val="24"/>
          <w:szCs w:val="24"/>
          <w:highlight w:val="none"/>
        </w:rPr>
        <w:t>应尽量避免手工涂改、行间插字或删除。如果出现上述情况，改动之处应加盖单位章确认或由投标人的法定代表人或其委托代理人签字确认。</w:t>
      </w:r>
    </w:p>
    <w:p w14:paraId="4BEBEAF1">
      <w:pPr>
        <w:pageBreakBefore w:val="0"/>
        <w:kinsoku/>
        <w:overflowPunct/>
        <w:topLinePunct w:val="0"/>
        <w:autoSpaceDE/>
        <w:autoSpaceDN/>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bookmarkStart w:id="54" w:name="_Toc274313881"/>
      <w:bookmarkStart w:id="55" w:name="_Toc24810"/>
      <w:r>
        <w:rPr>
          <w:rFonts w:hint="eastAsia" w:ascii="宋体" w:hAnsi="宋体" w:eastAsia="宋体" w:cs="宋体"/>
          <w:b/>
          <w:bCs/>
          <w:color w:val="auto"/>
          <w:sz w:val="24"/>
          <w:szCs w:val="24"/>
          <w:highlight w:val="none"/>
          <w:lang w:val="en-US" w:eastAsia="zh-CN"/>
        </w:rPr>
        <w:t>10.3</w:t>
      </w:r>
      <w:bookmarkStart w:id="56" w:name="_Hlt69670035"/>
      <w:bookmarkEnd w:id="56"/>
      <w:r>
        <w:rPr>
          <w:rFonts w:hint="eastAsia" w:ascii="宋体" w:hAnsi="宋体" w:eastAsia="宋体" w:cs="宋体"/>
          <w:b/>
          <w:bCs/>
          <w:color w:val="auto"/>
          <w:sz w:val="24"/>
          <w:szCs w:val="24"/>
          <w:highlight w:val="none"/>
          <w:lang w:val="en-US" w:eastAsia="zh-CN"/>
        </w:rPr>
        <w:t xml:space="preserve"> 技术标书的编制要求</w:t>
      </w:r>
      <w:bookmarkEnd w:id="54"/>
      <w:bookmarkEnd w:id="55"/>
    </w:p>
    <w:p w14:paraId="14E64E23">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10.3.1</w:t>
      </w:r>
      <w:r>
        <w:rPr>
          <w:rFonts w:hint="eastAsia" w:ascii="宋体" w:hAnsi="宋体" w:eastAsia="宋体" w:cs="宋体"/>
          <w:snapToGrid w:val="0"/>
          <w:color w:val="auto"/>
          <w:kern w:val="0"/>
          <w:sz w:val="24"/>
          <w:szCs w:val="24"/>
          <w:highlight w:val="none"/>
        </w:rPr>
        <w:t xml:space="preserve"> 技术标书包括但不限于以下内容：</w:t>
      </w:r>
    </w:p>
    <w:p w14:paraId="572559C4">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（1）封面（格式一）；</w:t>
      </w:r>
    </w:p>
    <w:p w14:paraId="1C880445">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（2）目录；</w:t>
      </w:r>
      <w:bookmarkStart w:id="57" w:name="_Hlt69699579"/>
      <w:bookmarkEnd w:id="57"/>
    </w:p>
    <w:p w14:paraId="47BFF9DA">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（3）本节第</w:t>
      </w:r>
      <w:r>
        <w:rPr>
          <w:rFonts w:hint="eastAsia" w:ascii="宋体" w:hAnsi="宋体" w:eastAsia="宋体" w:cs="宋体"/>
          <w:b/>
          <w:bCs/>
          <w:snapToGrid w:val="0"/>
          <w:color w:val="auto"/>
          <w:kern w:val="0"/>
          <w:sz w:val="24"/>
          <w:szCs w:val="24"/>
          <w:highlight w:val="none"/>
        </w:rPr>
        <w:t>15.5.1</w:t>
      </w:r>
      <w:r>
        <w:rPr>
          <w:rFonts w:hint="eastAsia" w:ascii="宋体" w:hAnsi="宋体" w:eastAsia="宋体" w:cs="宋体"/>
          <w:snapToGrid w:val="0"/>
          <w:color w:val="auto"/>
          <w:kern w:val="0"/>
          <w:sz w:val="24"/>
          <w:szCs w:val="24"/>
          <w:highlight w:val="none"/>
        </w:rPr>
        <w:t>目“评标方法《综合评分表》”</w:t>
      </w:r>
      <w:r>
        <w:rPr>
          <w:rFonts w:hint="eastAsia" w:ascii="宋体" w:hAnsi="宋体" w:eastAsia="宋体" w:cs="宋体"/>
          <w:color w:val="auto"/>
          <w:sz w:val="24"/>
          <w:szCs w:val="24"/>
          <w:highlight w:val="none"/>
        </w:rPr>
        <w:t>的</w:t>
      </w:r>
      <w:r>
        <w:rPr>
          <w:rFonts w:hint="eastAsia" w:ascii="宋体" w:hAnsi="宋体" w:eastAsia="宋体" w:cs="宋体"/>
          <w:snapToGrid w:val="0"/>
          <w:color w:val="auto"/>
          <w:kern w:val="0"/>
          <w:sz w:val="24"/>
          <w:szCs w:val="24"/>
          <w:highlight w:val="none"/>
        </w:rPr>
        <w:t>要求提供的评审资料。</w:t>
      </w:r>
    </w:p>
    <w:p w14:paraId="5263086F">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）投标人认为有必要补充的其他资料。</w:t>
      </w:r>
    </w:p>
    <w:p w14:paraId="0CA63482">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 xml:space="preserve"> 本节第</w:t>
      </w:r>
      <w:r>
        <w:rPr>
          <w:rFonts w:hint="eastAsia" w:ascii="宋体" w:hAnsi="宋体" w:eastAsia="宋体" w:cs="宋体"/>
          <w:b/>
          <w:bCs/>
          <w:snapToGrid w:val="0"/>
          <w:color w:val="auto"/>
          <w:kern w:val="0"/>
          <w:sz w:val="24"/>
          <w:szCs w:val="24"/>
          <w:highlight w:val="none"/>
        </w:rPr>
        <w:t>10.3.1</w:t>
      </w:r>
      <w:r>
        <w:rPr>
          <w:rFonts w:hint="eastAsia" w:ascii="宋体" w:hAnsi="宋体" w:eastAsia="宋体" w:cs="宋体"/>
          <w:snapToGrid w:val="0"/>
          <w:color w:val="auto"/>
          <w:kern w:val="0"/>
          <w:sz w:val="24"/>
          <w:szCs w:val="24"/>
          <w:highlight w:val="none"/>
        </w:rPr>
        <w:t>目中所列出的技术标书组成内容中，第（1）至第（</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）项所有投标人均应提供</w:t>
      </w:r>
      <w:bookmarkStart w:id="58" w:name="_Hlt145127239"/>
      <w:bookmarkEnd w:id="58"/>
      <w:r>
        <w:rPr>
          <w:rFonts w:hint="eastAsia" w:ascii="宋体" w:hAnsi="宋体" w:eastAsia="宋体" w:cs="宋体"/>
          <w:snapToGrid w:val="0"/>
          <w:color w:val="auto"/>
          <w:kern w:val="0"/>
          <w:sz w:val="24"/>
          <w:szCs w:val="24"/>
          <w:highlight w:val="none"/>
        </w:rPr>
        <w:t>。</w:t>
      </w:r>
    </w:p>
    <w:p w14:paraId="53CF271D">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10.3.3</w:t>
      </w:r>
      <w:r>
        <w:rPr>
          <w:rFonts w:hint="eastAsia" w:ascii="宋体" w:hAnsi="宋体" w:eastAsia="宋体" w:cs="宋体"/>
          <w:snapToGrid w:val="0"/>
          <w:color w:val="auto"/>
          <w:kern w:val="0"/>
          <w:sz w:val="24"/>
          <w:szCs w:val="24"/>
          <w:highlight w:val="none"/>
        </w:rPr>
        <w:t xml:space="preserve"> 技术标书的组成内容按本节第</w:t>
      </w:r>
      <w:r>
        <w:rPr>
          <w:rFonts w:hint="eastAsia" w:ascii="宋体" w:hAnsi="宋体" w:eastAsia="宋体" w:cs="宋体"/>
          <w:b/>
          <w:bCs/>
          <w:snapToGrid w:val="0"/>
          <w:color w:val="auto"/>
          <w:kern w:val="0"/>
          <w:sz w:val="24"/>
          <w:szCs w:val="24"/>
          <w:highlight w:val="none"/>
        </w:rPr>
        <w:t>10.3.1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2CC13D42">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10.3.4</w:t>
      </w:r>
      <w:r>
        <w:rPr>
          <w:rFonts w:hint="eastAsia" w:ascii="宋体" w:hAnsi="宋体" w:eastAsia="宋体" w:cs="宋体"/>
          <w:snapToGrid w:val="0"/>
          <w:color w:val="auto"/>
          <w:kern w:val="0"/>
          <w:sz w:val="24"/>
          <w:szCs w:val="24"/>
          <w:highlight w:val="none"/>
        </w:rPr>
        <w:t xml:space="preserve"> 技术标书应尽量避免手工涂改、行间插字或删除。如果出现上述情况，改动之处应加盖单位章确认或由投标人的法定代表人或其委托代理人签字确认。</w:t>
      </w:r>
    </w:p>
    <w:p w14:paraId="269C4F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highlight w:val="none"/>
          <w:lang w:val="en-US" w:eastAsia="zh-CN"/>
        </w:rPr>
      </w:pPr>
      <w:bookmarkStart w:id="59" w:name="_Toc25423"/>
      <w:r>
        <w:rPr>
          <w:rFonts w:hint="eastAsia" w:ascii="宋体" w:hAnsi="宋体" w:eastAsia="宋体" w:cs="宋体"/>
          <w:b/>
          <w:bCs w:val="0"/>
          <w:snapToGrid w:val="0"/>
          <w:color w:val="auto"/>
          <w:kern w:val="0"/>
          <w:sz w:val="24"/>
          <w:szCs w:val="24"/>
          <w:highlight w:val="none"/>
          <w:lang w:val="en-US" w:eastAsia="zh-CN"/>
        </w:rPr>
        <w:t>10.4</w:t>
      </w:r>
      <w:r>
        <w:rPr>
          <w:rFonts w:hint="eastAsia" w:ascii="宋体" w:hAnsi="宋体" w:eastAsia="宋体" w:cs="宋体"/>
          <w:b/>
          <w:bCs w:val="0"/>
          <w:color w:val="auto"/>
          <w:sz w:val="24"/>
          <w:szCs w:val="24"/>
          <w:highlight w:val="none"/>
          <w:lang w:val="en-US" w:eastAsia="zh-CN"/>
        </w:rPr>
        <w:t>定标文件的编制要求</w:t>
      </w:r>
    </w:p>
    <w:p w14:paraId="7E435A00">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10.4.1 </w:t>
      </w:r>
      <w:r>
        <w:rPr>
          <w:rFonts w:hint="eastAsia" w:ascii="宋体" w:hAnsi="宋体" w:eastAsia="宋体" w:cs="宋体"/>
          <w:snapToGrid w:val="0"/>
          <w:color w:val="auto"/>
          <w:kern w:val="0"/>
          <w:sz w:val="24"/>
          <w:szCs w:val="24"/>
          <w:highlight w:val="none"/>
          <w:lang w:val="en-US" w:eastAsia="zh-CN"/>
        </w:rPr>
        <w:t>定标文件包括但不限于以下内容：</w:t>
      </w:r>
    </w:p>
    <w:p w14:paraId="5EF65722">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（1）封面（格式一）；</w:t>
      </w:r>
    </w:p>
    <w:p w14:paraId="39B6FA75">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0D0B136B">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（3）定标因素评审资料（格式十一）。</w:t>
      </w:r>
    </w:p>
    <w:p w14:paraId="5B7BEE92">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10.4.2 </w:t>
      </w:r>
      <w:r>
        <w:rPr>
          <w:rFonts w:hint="eastAsia" w:ascii="宋体" w:hAnsi="宋体" w:eastAsia="宋体" w:cs="宋体"/>
          <w:b w:val="0"/>
          <w:bCs w:val="0"/>
          <w:snapToGrid w:val="0"/>
          <w:color w:val="auto"/>
          <w:kern w:val="0"/>
          <w:sz w:val="24"/>
          <w:szCs w:val="24"/>
          <w:highlight w:val="none"/>
          <w:lang w:val="en-US" w:eastAsia="zh-CN"/>
        </w:rPr>
        <w:t>本节第10.4.1目中所列出的组成内容中，</w:t>
      </w:r>
      <w:r>
        <w:rPr>
          <w:rFonts w:hint="eastAsia" w:ascii="宋体" w:hAnsi="宋体" w:cs="宋体"/>
          <w:b w:val="0"/>
          <w:bCs w:val="0"/>
          <w:snapToGrid w:val="0"/>
          <w:color w:val="auto"/>
          <w:kern w:val="0"/>
          <w:sz w:val="24"/>
          <w:szCs w:val="24"/>
          <w:highlight w:val="none"/>
          <w:lang w:val="en-US" w:eastAsia="zh-CN"/>
        </w:rPr>
        <w:t>第（1）至</w:t>
      </w:r>
      <w:r>
        <w:rPr>
          <w:rFonts w:hint="eastAsia" w:ascii="宋体" w:hAnsi="宋体" w:eastAsia="宋体" w:cs="宋体"/>
          <w:b w:val="0"/>
          <w:bCs w:val="0"/>
          <w:snapToGrid w:val="0"/>
          <w:color w:val="auto"/>
          <w:kern w:val="0"/>
          <w:sz w:val="24"/>
          <w:szCs w:val="24"/>
          <w:highlight w:val="none"/>
          <w:lang w:val="en-US" w:eastAsia="zh-CN"/>
        </w:rPr>
        <w:t>第（2）项所有投标人均应提供。</w:t>
      </w:r>
    </w:p>
    <w:p w14:paraId="108254E9">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60" w:name="_Toc31569"/>
      <w:r>
        <w:rPr>
          <w:rFonts w:hint="eastAsia" w:ascii="宋体" w:hAnsi="宋体" w:eastAsia="宋体" w:cs="宋体"/>
          <w:b/>
          <w:bCs/>
          <w:color w:val="auto"/>
          <w:kern w:val="0"/>
          <w:sz w:val="24"/>
          <w:szCs w:val="24"/>
          <w:highlight w:val="none"/>
        </w:rPr>
        <w:t>11．</w:t>
      </w:r>
      <w:bookmarkEnd w:id="59"/>
      <w:r>
        <w:rPr>
          <w:rFonts w:hint="eastAsia" w:ascii="宋体" w:hAnsi="宋体" w:eastAsia="宋体" w:cs="宋体"/>
          <w:b/>
          <w:bCs/>
          <w:color w:val="auto"/>
          <w:kern w:val="0"/>
          <w:sz w:val="24"/>
          <w:szCs w:val="24"/>
          <w:highlight w:val="none"/>
        </w:rPr>
        <w:t>电子投标</w:t>
      </w:r>
      <w:bookmarkEnd w:id="60"/>
    </w:p>
    <w:p w14:paraId="11C5D91D">
      <w:pPr>
        <w:pStyle w:val="14"/>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bookmarkStart w:id="61" w:name="_Hlt66200498"/>
      <w:bookmarkEnd w:id="61"/>
      <w:bookmarkStart w:id="62" w:name="_Hlt66511038"/>
      <w:bookmarkEnd w:id="62"/>
      <w:bookmarkStart w:id="63" w:name="_Toc28866"/>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在交易平台上传加盖了电子印章的投标文件、录入相关信息及标书页码信息，并提交投标标书</w:t>
      </w:r>
      <w:r>
        <w:rPr>
          <w:rFonts w:hint="eastAsia" w:ascii="宋体" w:hAnsi="宋体" w:eastAsia="宋体" w:cs="宋体"/>
          <w:b/>
          <w:bCs/>
          <w:snapToGrid w:val="0"/>
          <w:color w:val="auto"/>
          <w:kern w:val="0"/>
          <w:sz w:val="24"/>
          <w:szCs w:val="24"/>
          <w:highlight w:val="none"/>
        </w:rPr>
        <w:t>（页码起始从封面开始）</w:t>
      </w:r>
      <w:r>
        <w:rPr>
          <w:rFonts w:hint="eastAsia" w:ascii="宋体" w:hAnsi="宋体" w:eastAsia="宋体" w:cs="宋体"/>
          <w:snapToGrid w:val="0"/>
          <w:color w:val="auto"/>
          <w:kern w:val="0"/>
          <w:sz w:val="24"/>
          <w:szCs w:val="24"/>
          <w:highlight w:val="none"/>
        </w:rPr>
        <w:t>。提交标书为已加密投标文件。具体操作详见全国公共资源交易平台（广东省·韶关市）（https://ygp.gdzwfw.gov.cn/ggzy-portal/#/440200/index）。</w:t>
      </w:r>
    </w:p>
    <w:p w14:paraId="1CBA8977">
      <w:pPr>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评标采用全流程电子化进行招标投标（投标人应根据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52295C7">
      <w:pPr>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投标文件完成上传后，投标人应使用CA数字证书对投标文件进行文件加密，形成加密的投标文件并提交标书。</w:t>
      </w:r>
    </w:p>
    <w:p w14:paraId="31F70D0F">
      <w:pPr>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11.2</w:t>
      </w:r>
      <w:r>
        <w:rPr>
          <w:rFonts w:hint="eastAsia" w:ascii="宋体" w:hAnsi="宋体" w:eastAsia="宋体" w:cs="宋体"/>
          <w:snapToGrid w:val="0"/>
          <w:color w:val="auto"/>
          <w:kern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DFAABCA">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电子投标及投标解密失败及突发情况的补救方案</w:t>
      </w:r>
    </w:p>
    <w:p w14:paraId="55CFA68E">
      <w:pPr>
        <w:pStyle w:val="14"/>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11.3.1</w:t>
      </w:r>
      <w:r>
        <w:rPr>
          <w:rFonts w:hint="eastAsia" w:ascii="宋体" w:hAnsi="宋体" w:eastAsia="宋体" w:cs="宋体"/>
          <w:snapToGrid w:val="0"/>
          <w:color w:val="auto"/>
          <w:kern w:val="0"/>
          <w:sz w:val="24"/>
          <w:szCs w:val="24"/>
          <w:highlight w:val="none"/>
        </w:rPr>
        <w:t>按照交易平台关于全流程电子化项目的相关指南进行操作。详见：全国公共资源交易平台（广东省·韶关市）（https://ygp.gdzwfw.gov.cn/ggzy-portal/#/440200/index）中的【服务指南】。</w:t>
      </w:r>
    </w:p>
    <w:p w14:paraId="02121CB5">
      <w:pPr>
        <w:pageBreakBefore w:val="0"/>
        <w:kinsoku/>
        <w:overflowPunct/>
        <w:topLinePunct w:val="0"/>
        <w:autoSpaceDE/>
        <w:autoSpaceDN/>
        <w:bidi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11.3.2</w:t>
      </w:r>
      <w:r>
        <w:rPr>
          <w:rFonts w:hint="eastAsia" w:ascii="宋体" w:hAnsi="宋体" w:eastAsia="宋体" w:cs="宋体"/>
          <w:snapToGrid w:val="0"/>
          <w:color w:val="auto"/>
          <w:kern w:val="0"/>
          <w:sz w:val="24"/>
          <w:szCs w:val="24"/>
          <w:highlight w:val="none"/>
        </w:rPr>
        <w:t>补救方案</w:t>
      </w:r>
    </w:p>
    <w:p w14:paraId="72438906">
      <w:pPr>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（1）投标文件解密失败的补救方案：</w:t>
      </w:r>
    </w:p>
    <w:p w14:paraId="13407F03">
      <w:pPr>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在规定时间内，因投标人之外原因(指网络瘫痪、服务器损坏、交易系统故障短期无法恢复)等导致的电子投标文件解密失败，投标人应在规定的时限内按要求成功上传未加密的备用投标文件（投标人重传时间为30分钟，30分钟未重传系统会判断投标无效）继续开标程序。</w:t>
      </w:r>
      <w:r>
        <w:rPr>
          <w:rFonts w:hint="eastAsia" w:ascii="宋体" w:hAnsi="宋体" w:eastAsia="宋体" w:cs="宋体"/>
          <w:b/>
          <w:bCs/>
          <w:color w:val="auto"/>
          <w:sz w:val="24"/>
          <w:szCs w:val="24"/>
          <w:highlight w:val="none"/>
        </w:rPr>
        <w:t>电子投标文件解密失败且未在规定的时限内按要求成功上传未加密的备用投标文件的，视为无效投标。</w:t>
      </w:r>
    </w:p>
    <w:p w14:paraId="6417F37A">
      <w:pPr>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（2）评标时突发情况的补救方案</w:t>
      </w:r>
    </w:p>
    <w:p w14:paraId="5383194C">
      <w:pPr>
        <w:pageBreakBefore w:val="0"/>
        <w:kinsoku/>
        <w:overflowPunct/>
        <w:topLinePunct w:val="0"/>
        <w:autoSpaceDE/>
        <w:autoSpaceDN/>
        <w:bidi w:val="0"/>
        <w:spacing w:line="360" w:lineRule="auto"/>
        <w:ind w:left="0" w:leftChars="0" w:firstLine="480"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6CB7959">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64" w:name="_Toc26419"/>
      <w:r>
        <w:rPr>
          <w:rFonts w:hint="eastAsia" w:ascii="宋体" w:hAnsi="宋体" w:eastAsia="宋体" w:cs="宋体"/>
          <w:b/>
          <w:bCs/>
          <w:color w:val="auto"/>
          <w:kern w:val="0"/>
          <w:sz w:val="24"/>
          <w:szCs w:val="24"/>
          <w:highlight w:val="none"/>
        </w:rPr>
        <w:t>12．投标文件的递交</w:t>
      </w:r>
      <w:bookmarkEnd w:id="63"/>
      <w:bookmarkEnd w:id="64"/>
    </w:p>
    <w:p w14:paraId="4915CC8A">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 xml:space="preserve"> 在投标文件提交截止时间前，投标人通过韶关市公共资源交易一体化平台提交已加密投标文件。逾期提交的电子投标文件，韶关市公共资源交易一体化平台将予以拒收。</w:t>
      </w:r>
    </w:p>
    <w:p w14:paraId="53C4D1DD">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12.1.1</w:t>
      </w:r>
      <w:r>
        <w:rPr>
          <w:rFonts w:hint="eastAsia" w:ascii="宋体" w:hAnsi="宋体" w:eastAsia="宋体" w:cs="宋体"/>
          <w:snapToGrid w:val="0"/>
          <w:color w:val="auto"/>
          <w:kern w:val="0"/>
          <w:sz w:val="24"/>
          <w:szCs w:val="24"/>
          <w:highlight w:val="none"/>
        </w:rPr>
        <w:t xml:space="preserve"> 提交时间：见本章第二节“重要事项时间地点一览表”。</w:t>
      </w:r>
    </w:p>
    <w:p w14:paraId="64C1AE9C">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12.1.2</w:t>
      </w:r>
      <w:r>
        <w:rPr>
          <w:rFonts w:hint="eastAsia" w:ascii="宋体" w:hAnsi="宋体" w:eastAsia="宋体" w:cs="宋体"/>
          <w:snapToGrid w:val="0"/>
          <w:color w:val="auto"/>
          <w:kern w:val="0"/>
          <w:sz w:val="24"/>
          <w:szCs w:val="24"/>
          <w:highlight w:val="none"/>
        </w:rPr>
        <w:t xml:space="preserve"> 投标人无</w:t>
      </w:r>
      <w:r>
        <w:rPr>
          <w:rFonts w:hint="eastAsia" w:ascii="宋体" w:hAnsi="宋体" w:eastAsia="宋体" w:cs="宋体"/>
          <w:snapToGrid w:val="0"/>
          <w:color w:val="auto"/>
          <w:kern w:val="0"/>
          <w:sz w:val="24"/>
          <w:szCs w:val="24"/>
          <w:highlight w:val="none"/>
          <w:lang w:eastAsia="zh-CN"/>
        </w:rPr>
        <w:t>需</w:t>
      </w:r>
      <w:r>
        <w:rPr>
          <w:rFonts w:hint="eastAsia" w:ascii="宋体" w:hAnsi="宋体" w:eastAsia="宋体" w:cs="宋体"/>
          <w:snapToGrid w:val="0"/>
          <w:color w:val="auto"/>
          <w:kern w:val="0"/>
          <w:sz w:val="24"/>
          <w:szCs w:val="24"/>
          <w:highlight w:val="none"/>
        </w:rPr>
        <w:t>进行现场签到。</w:t>
      </w:r>
    </w:p>
    <w:p w14:paraId="049CA8A5">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递交时间和地点：见本章第二节“重要事项时间地点一览表”。</w:t>
      </w:r>
    </w:p>
    <w:p w14:paraId="39B0D17D">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12.3</w:t>
      </w:r>
      <w:r>
        <w:rPr>
          <w:rFonts w:hint="eastAsia" w:ascii="宋体" w:hAnsi="宋体" w:eastAsia="宋体" w:cs="宋体"/>
          <w:snapToGrid w:val="0"/>
          <w:color w:val="auto"/>
          <w:kern w:val="0"/>
          <w:sz w:val="24"/>
          <w:szCs w:val="24"/>
          <w:highlight w:val="none"/>
        </w:rPr>
        <w:t xml:space="preserve"> 投标人代表到达现场后，应出示以下身份证明材料：</w:t>
      </w:r>
    </w:p>
    <w:p w14:paraId="742E1164">
      <w:pPr>
        <w:pageBreakBefore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（1）本人有效的第二代居民身份证；</w:t>
      </w:r>
    </w:p>
    <w:p w14:paraId="7769CA4A">
      <w:pPr>
        <w:pageBreakBefore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（2）法定代表人到场的，出示《法定代表人身份证明》（格式</w:t>
      </w:r>
      <w:r>
        <w:rPr>
          <w:rFonts w:hint="eastAsia" w:ascii="宋体" w:hAnsi="宋体" w:eastAsia="宋体" w:cs="宋体"/>
          <w:snapToGrid w:val="0"/>
          <w:color w:val="auto"/>
          <w:kern w:val="0"/>
          <w:sz w:val="24"/>
          <w:szCs w:val="24"/>
          <w:highlight w:val="none"/>
          <w:lang w:val="en-US" w:eastAsia="zh-CN"/>
        </w:rPr>
        <w:t>六</w:t>
      </w:r>
      <w:r>
        <w:rPr>
          <w:rFonts w:hint="eastAsia" w:ascii="宋体" w:hAnsi="宋体" w:eastAsia="宋体" w:cs="宋体"/>
          <w:snapToGrid w:val="0"/>
          <w:color w:val="auto"/>
          <w:kern w:val="0"/>
          <w:sz w:val="24"/>
          <w:szCs w:val="24"/>
          <w:highlight w:val="none"/>
        </w:rPr>
        <w:t>）；委托代理人到场的，应同时出示《授权委托书》（格式</w:t>
      </w:r>
      <w:r>
        <w:rPr>
          <w:rFonts w:hint="eastAsia" w:ascii="宋体" w:hAnsi="宋体" w:eastAsia="宋体" w:cs="宋体"/>
          <w:snapToGrid w:val="0"/>
          <w:color w:val="auto"/>
          <w:kern w:val="0"/>
          <w:sz w:val="24"/>
          <w:szCs w:val="24"/>
          <w:highlight w:val="none"/>
          <w:lang w:val="en-US" w:eastAsia="zh-CN"/>
        </w:rPr>
        <w:t>五</w:t>
      </w:r>
      <w:r>
        <w:rPr>
          <w:rFonts w:hint="eastAsia" w:ascii="宋体" w:hAnsi="宋体" w:eastAsia="宋体" w:cs="宋体"/>
          <w:snapToGrid w:val="0"/>
          <w:color w:val="auto"/>
          <w:kern w:val="0"/>
          <w:sz w:val="24"/>
          <w:szCs w:val="24"/>
          <w:highlight w:val="none"/>
        </w:rPr>
        <w:t>）和《法定代表人身份证明》。</w:t>
      </w:r>
    </w:p>
    <w:p w14:paraId="7832D3A2">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12.4</w:t>
      </w:r>
      <w:r>
        <w:rPr>
          <w:rFonts w:hint="eastAsia" w:ascii="宋体" w:hAnsi="宋体" w:eastAsia="宋体" w:cs="宋体"/>
          <w:snapToGrid w:val="0"/>
          <w:color w:val="auto"/>
          <w:kern w:val="0"/>
          <w:sz w:val="24"/>
          <w:szCs w:val="24"/>
          <w:highlight w:val="none"/>
        </w:rPr>
        <w:t xml:space="preserve"> 联合体投标的，由联合体牵头人按以上要求递交相关资料。</w:t>
      </w:r>
    </w:p>
    <w:p w14:paraId="24F2CE21">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出现下述情形之一，属于未成功提交投标文件，按无效投标处理：</w:t>
      </w:r>
    </w:p>
    <w:p w14:paraId="7B4C39D1">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（1）至提交投标文件截止时，投标文件未完整上传或未提交投标。</w:t>
      </w:r>
    </w:p>
    <w:p w14:paraId="4B39B612">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（2）投标文件未按投标格式中注明需签字盖章的要求加盖电子印章，或电子印章不完整。</w:t>
      </w:r>
    </w:p>
    <w:p w14:paraId="0CC77E0B">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（3）非投标人原因导致电子投标文件解密失败且未在规定的时限内按要求成功上传未加密的备用投标文件的。</w:t>
      </w:r>
      <w:bookmarkStart w:id="65" w:name="_Toc32121"/>
    </w:p>
    <w:p w14:paraId="5CEE9B26">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66" w:name="_Toc7360"/>
      <w:r>
        <w:rPr>
          <w:rFonts w:hint="eastAsia" w:ascii="宋体" w:hAnsi="宋体" w:eastAsia="宋体" w:cs="宋体"/>
          <w:b/>
          <w:bCs/>
          <w:color w:val="auto"/>
          <w:kern w:val="0"/>
          <w:sz w:val="24"/>
          <w:szCs w:val="24"/>
          <w:highlight w:val="none"/>
        </w:rPr>
        <w:t>13．投标有效期</w:t>
      </w:r>
      <w:bookmarkEnd w:id="65"/>
      <w:bookmarkEnd w:id="66"/>
    </w:p>
    <w:p w14:paraId="13BF840B">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本次招标投标有效期为</w:t>
      </w:r>
      <w:r>
        <w:rPr>
          <w:rFonts w:hint="eastAsia" w:ascii="宋体" w:hAnsi="宋体" w:eastAsia="宋体" w:cs="宋体"/>
          <w:snapToGrid w:val="0"/>
          <w:color w:val="auto"/>
          <w:kern w:val="0"/>
          <w:sz w:val="24"/>
          <w:szCs w:val="24"/>
          <w:highlight w:val="none"/>
          <w:u w:val="single"/>
        </w:rPr>
        <w:t>90</w:t>
      </w:r>
      <w:r>
        <w:rPr>
          <w:rFonts w:hint="eastAsia" w:ascii="宋体" w:hAnsi="宋体" w:eastAsia="宋体" w:cs="宋体"/>
          <w:snapToGrid w:val="0"/>
          <w:color w:val="auto"/>
          <w:kern w:val="0"/>
          <w:sz w:val="24"/>
          <w:szCs w:val="24"/>
          <w:highlight w:val="none"/>
        </w:rPr>
        <w:t>个日历天，投标有效期从提交投标文件的截止之日起计算。在此期间，投标人不得撤销或修改其投标文件，否则其投标保证不予退还。</w:t>
      </w:r>
      <w:bookmarkStart w:id="67" w:name="_Toc8020"/>
    </w:p>
    <w:p w14:paraId="592A7A49">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68" w:name="_Toc32690"/>
      <w:r>
        <w:rPr>
          <w:rFonts w:hint="eastAsia" w:ascii="宋体" w:hAnsi="宋体" w:eastAsia="宋体" w:cs="宋体"/>
          <w:b/>
          <w:bCs/>
          <w:color w:val="auto"/>
          <w:kern w:val="0"/>
          <w:sz w:val="24"/>
          <w:szCs w:val="24"/>
          <w:highlight w:val="none"/>
        </w:rPr>
        <w:t>14．</w:t>
      </w:r>
      <w:bookmarkEnd w:id="67"/>
      <w:r>
        <w:rPr>
          <w:rFonts w:hint="eastAsia" w:ascii="宋体" w:hAnsi="宋体" w:eastAsia="宋体" w:cs="宋体"/>
          <w:b/>
          <w:bCs/>
          <w:color w:val="auto"/>
          <w:kern w:val="0"/>
          <w:sz w:val="24"/>
          <w:szCs w:val="24"/>
          <w:highlight w:val="none"/>
        </w:rPr>
        <w:t>开标规定</w:t>
      </w:r>
      <w:bookmarkEnd w:id="68"/>
    </w:p>
    <w:p w14:paraId="1E70E9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color w:val="auto"/>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51CF0FF4">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03BBD75D">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5D4C8DCB">
      <w:pPr>
        <w:pageBreakBefore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14.1.3 </w:t>
      </w:r>
      <w:r>
        <w:rPr>
          <w:rFonts w:hint="eastAsia" w:ascii="宋体" w:hAnsi="宋体" w:eastAsia="宋体" w:cs="宋体"/>
          <w:b/>
          <w:bCs/>
          <w:color w:val="auto"/>
          <w:sz w:val="24"/>
          <w:szCs w:val="24"/>
          <w:highlight w:val="none"/>
        </w:rPr>
        <w:t>实行全流程电子化招标投标的项目，投标人无须进行现场签到，可登录交易平台观看开标实况、提出异议或进行澄清、确认等操作，具体按招标文件和系统操作手册为准。</w:t>
      </w:r>
    </w:p>
    <w:p w14:paraId="00F173E1">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14.2</w:t>
      </w:r>
      <w:r>
        <w:rPr>
          <w:rFonts w:hint="eastAsia" w:ascii="宋体" w:hAnsi="宋体" w:eastAsia="宋体" w:cs="宋体"/>
          <w:snapToGrid w:val="0"/>
          <w:color w:val="auto"/>
          <w:kern w:val="0"/>
          <w:sz w:val="24"/>
          <w:szCs w:val="24"/>
          <w:highlight w:val="none"/>
        </w:rPr>
        <w:t xml:space="preserve"> 开标程序</w:t>
      </w:r>
    </w:p>
    <w:p w14:paraId="45D2C180">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（1）主持人（招标人代表或招标人授权的招标代理机构人员）宣读开标纪律。</w:t>
      </w:r>
    </w:p>
    <w:p w14:paraId="585B3335">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（2）主持人宣布唱标人、记录人、见证人、监督人等有关人员姓名。</w:t>
      </w:r>
    </w:p>
    <w:p w14:paraId="6F754C34">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（3）招标代理机构在交易场所工作人员的见证下，对投标人的电子投标信息进行解密，交易平台系统自动生成《投标保证缴纳情况表》和《开标一览表》。</w:t>
      </w:r>
    </w:p>
    <w:p w14:paraId="3012CB4F">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08B20330">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5E5290F">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（5）唱标人检查《开标一览表》中各投标人的投标总价、质量标准、工期是否符合招标文件规定。若不符合规定，招标代理机构应将有关情形在《开标一览表》“备注”栏中注明。</w:t>
      </w:r>
    </w:p>
    <w:p w14:paraId="76025172">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eastAsia="宋体" w:cs="宋体"/>
          <w:color w:val="auto"/>
          <w:sz w:val="24"/>
          <w:szCs w:val="24"/>
          <w:highlight w:val="none"/>
        </w:rPr>
        <w:t>招标人代表、唱标人、记录人等有关人员在《投标保证缴纳情况表》以及《开标一览表》上签字确认。</w:t>
      </w:r>
    </w:p>
    <w:p w14:paraId="0424EEF7">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（7）主持人宣布有关注意事项后，宣布开标结束。</w:t>
      </w:r>
    </w:p>
    <w:p w14:paraId="0739736D">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14.3</w:t>
      </w:r>
      <w:r>
        <w:rPr>
          <w:rFonts w:hint="eastAsia" w:ascii="宋体" w:hAnsi="宋体" w:eastAsia="宋体" w:cs="宋体"/>
          <w:snapToGrid w:val="0"/>
          <w:color w:val="auto"/>
          <w:kern w:val="0"/>
          <w:sz w:val="24"/>
          <w:szCs w:val="24"/>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22BA795F">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14.4</w:t>
      </w:r>
      <w:r>
        <w:rPr>
          <w:rFonts w:hint="eastAsia" w:ascii="宋体" w:hAnsi="宋体" w:eastAsia="宋体" w:cs="宋体"/>
          <w:snapToGrid w:val="0"/>
          <w:color w:val="auto"/>
          <w:kern w:val="0"/>
          <w:sz w:val="24"/>
          <w:szCs w:val="24"/>
          <w:highlight w:val="none"/>
        </w:rPr>
        <w:t xml:space="preserve"> </w:t>
      </w:r>
      <w:bookmarkStart w:id="69" w:name="_Hlt127093805"/>
      <w:bookmarkEnd w:id="69"/>
      <w:r>
        <w:rPr>
          <w:rFonts w:hint="eastAsia" w:ascii="宋体" w:hAnsi="宋体" w:eastAsia="宋体" w:cs="宋体"/>
          <w:snapToGrid w:val="0"/>
          <w:color w:val="auto"/>
          <w:kern w:val="0"/>
          <w:sz w:val="24"/>
          <w:szCs w:val="24"/>
          <w:highlight w:val="none"/>
        </w:rPr>
        <w:t>招标代理机构将《开标一览表》以及其他有关资料移交评标委员会。</w:t>
      </w:r>
      <w:bookmarkStart w:id="70" w:name="_Toc27699"/>
    </w:p>
    <w:p w14:paraId="4FECCD65">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71" w:name="_Toc15996"/>
      <w:r>
        <w:rPr>
          <w:rFonts w:hint="eastAsia" w:ascii="宋体" w:hAnsi="宋体" w:eastAsia="宋体" w:cs="宋体"/>
          <w:b/>
          <w:bCs/>
          <w:color w:val="auto"/>
          <w:kern w:val="0"/>
          <w:sz w:val="24"/>
          <w:szCs w:val="24"/>
          <w:highlight w:val="none"/>
        </w:rPr>
        <w:t>15．</w:t>
      </w:r>
      <w:bookmarkEnd w:id="70"/>
      <w:r>
        <w:rPr>
          <w:rFonts w:hint="eastAsia" w:ascii="宋体" w:hAnsi="宋体" w:eastAsia="宋体" w:cs="宋体"/>
          <w:b/>
          <w:bCs/>
          <w:color w:val="auto"/>
          <w:kern w:val="0"/>
          <w:sz w:val="24"/>
          <w:szCs w:val="24"/>
          <w:highlight w:val="none"/>
        </w:rPr>
        <w:t>评标</w:t>
      </w:r>
      <w:r>
        <w:rPr>
          <w:rFonts w:hint="eastAsia" w:ascii="宋体" w:hAnsi="宋体" w:eastAsia="宋体" w:cs="宋体"/>
          <w:b/>
          <w:bCs/>
          <w:color w:val="auto"/>
          <w:kern w:val="0"/>
          <w:sz w:val="24"/>
          <w:szCs w:val="24"/>
          <w:highlight w:val="none"/>
          <w:lang w:eastAsia="zh-CN"/>
        </w:rPr>
        <w:t>规定</w:t>
      </w:r>
      <w:bookmarkEnd w:id="71"/>
    </w:p>
    <w:p w14:paraId="664DB21B">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bookmarkStart w:id="72" w:name="_Toc3829"/>
      <w:r>
        <w:rPr>
          <w:rFonts w:hint="eastAsia" w:ascii="宋体" w:hAnsi="宋体" w:eastAsia="宋体" w:cs="宋体"/>
          <w:b/>
          <w:bCs/>
          <w:snapToGrid w:val="0"/>
          <w:color w:val="auto"/>
          <w:kern w:val="0"/>
          <w:sz w:val="24"/>
          <w:szCs w:val="24"/>
          <w:highlight w:val="none"/>
        </w:rPr>
        <w:t xml:space="preserve">15.1 </w:t>
      </w:r>
      <w:r>
        <w:rPr>
          <w:rFonts w:hint="eastAsia" w:ascii="宋体" w:hAnsi="宋体" w:eastAsia="宋体" w:cs="宋体"/>
          <w:snapToGrid w:val="0"/>
          <w:color w:val="auto"/>
          <w:kern w:val="0"/>
          <w:sz w:val="24"/>
          <w:szCs w:val="24"/>
          <w:highlight w:val="none"/>
        </w:rPr>
        <w:t>评标委员会</w:t>
      </w:r>
      <w:bookmarkEnd w:id="72"/>
    </w:p>
    <w:p w14:paraId="7E7A8C17">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15.1.1</w:t>
      </w:r>
      <w:r>
        <w:rPr>
          <w:rFonts w:hint="eastAsia" w:ascii="宋体" w:hAnsi="宋体" w:eastAsia="宋体" w:cs="宋体"/>
          <w:snapToGrid w:val="0"/>
          <w:color w:val="auto"/>
          <w:kern w:val="0"/>
          <w:sz w:val="24"/>
          <w:szCs w:val="24"/>
          <w:highlight w:val="none"/>
        </w:rPr>
        <w:t xml:space="preserve">  评标委员会由 5 人组成，其中招标人代表 0 人，专家 5 人。专家从广东省综合评标评审专家库--韶关市区域及东莞市区域中随机抽取，技术类专家 3 人，经济类专家 2人（其中异地专家1人从广东省综合评标评审专家库-东莞市区域中随机抽取）评标委员会设负责人，由评标委员会成员推举产生。评标委员会负责人与评标委员会的其他成员有同等的表决权。</w:t>
      </w:r>
    </w:p>
    <w:p w14:paraId="04A49E2E">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15.1.2 </w:t>
      </w:r>
      <w:r>
        <w:rPr>
          <w:rFonts w:hint="eastAsia" w:ascii="宋体" w:hAnsi="宋体" w:eastAsia="宋体" w:cs="宋体"/>
          <w:snapToGrid w:val="0"/>
          <w:color w:val="auto"/>
          <w:kern w:val="0"/>
          <w:sz w:val="24"/>
          <w:szCs w:val="24"/>
          <w:highlight w:val="none"/>
          <w:lang w:eastAsia="zh-CN"/>
        </w:rPr>
        <w:t>评标专家</w:t>
      </w:r>
      <w:r>
        <w:rPr>
          <w:rFonts w:hint="eastAsia" w:ascii="宋体" w:hAnsi="宋体" w:eastAsia="宋体" w:cs="宋体"/>
          <w:snapToGrid w:val="0"/>
          <w:color w:val="auto"/>
          <w:kern w:val="0"/>
          <w:sz w:val="24"/>
          <w:szCs w:val="24"/>
          <w:highlight w:val="none"/>
        </w:rPr>
        <w:t>应按时参加评标活动，自觉遵守工作纪律和服从现场管理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采用远程异地评标方式评标的</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主场、副场各自负责本场所</w:t>
      </w:r>
      <w:r>
        <w:rPr>
          <w:rFonts w:hint="eastAsia" w:ascii="宋体" w:hAnsi="宋体" w:eastAsia="宋体" w:cs="宋体"/>
          <w:snapToGrid w:val="0"/>
          <w:color w:val="auto"/>
          <w:kern w:val="0"/>
          <w:sz w:val="24"/>
          <w:szCs w:val="24"/>
          <w:highlight w:val="none"/>
          <w:lang w:eastAsia="zh-CN"/>
        </w:rPr>
        <w:t>评标委员会</w:t>
      </w:r>
      <w:r>
        <w:rPr>
          <w:rFonts w:hint="eastAsia" w:ascii="宋体" w:hAnsi="宋体" w:eastAsia="宋体" w:cs="宋体"/>
          <w:snapToGrid w:val="0"/>
          <w:color w:val="auto"/>
          <w:kern w:val="0"/>
          <w:sz w:val="24"/>
          <w:szCs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szCs w:val="24"/>
          <w:highlight w:val="none"/>
          <w:lang w:eastAsia="zh-CN"/>
        </w:rPr>
        <w:t>评标委员会</w:t>
      </w:r>
      <w:r>
        <w:rPr>
          <w:rFonts w:hint="eastAsia" w:ascii="宋体" w:hAnsi="宋体" w:eastAsia="宋体" w:cs="宋体"/>
          <w:snapToGrid w:val="0"/>
          <w:color w:val="auto"/>
          <w:kern w:val="0"/>
          <w:sz w:val="24"/>
          <w:szCs w:val="24"/>
          <w:highlight w:val="none"/>
        </w:rPr>
        <w:t>成员推举产生</w:t>
      </w:r>
      <w:r>
        <w:rPr>
          <w:rFonts w:hint="eastAsia" w:ascii="宋体" w:hAnsi="宋体" w:eastAsia="宋体" w:cs="宋体"/>
          <w:snapToGrid w:val="0"/>
          <w:color w:val="auto"/>
          <w:kern w:val="0"/>
          <w:sz w:val="24"/>
          <w:szCs w:val="24"/>
          <w:highlight w:val="none"/>
          <w:lang w:eastAsia="zh-CN"/>
        </w:rPr>
        <w:t>的评标委员会组长</w:t>
      </w:r>
      <w:r>
        <w:rPr>
          <w:rFonts w:hint="eastAsia" w:ascii="宋体" w:hAnsi="宋体" w:eastAsia="宋体" w:cs="宋体"/>
          <w:snapToGrid w:val="0"/>
          <w:color w:val="auto"/>
          <w:kern w:val="0"/>
          <w:sz w:val="24"/>
          <w:szCs w:val="24"/>
          <w:highlight w:val="none"/>
        </w:rPr>
        <w:t>组织</w:t>
      </w:r>
      <w:r>
        <w:rPr>
          <w:rFonts w:hint="eastAsia" w:ascii="宋体" w:hAnsi="宋体" w:eastAsia="宋体" w:cs="宋体"/>
          <w:snapToGrid w:val="0"/>
          <w:color w:val="auto"/>
          <w:kern w:val="0"/>
          <w:sz w:val="24"/>
          <w:szCs w:val="24"/>
          <w:highlight w:val="none"/>
          <w:lang w:eastAsia="zh-CN"/>
        </w:rPr>
        <w:t>各</w:t>
      </w:r>
      <w:r>
        <w:rPr>
          <w:rFonts w:hint="eastAsia" w:ascii="宋体" w:hAnsi="宋体" w:eastAsia="宋体" w:cs="宋体"/>
          <w:snapToGrid w:val="0"/>
          <w:color w:val="auto"/>
          <w:kern w:val="0"/>
          <w:sz w:val="24"/>
          <w:szCs w:val="24"/>
          <w:highlight w:val="none"/>
        </w:rPr>
        <w:t>成员协商讨论。在评标过程中需要进行讨论或者通过实名投票方式表决意见的，应当通过视频会议系统进行，并做好相关记录。</w:t>
      </w:r>
    </w:p>
    <w:p w14:paraId="5E574563">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15.1.3</w:t>
      </w:r>
      <w:r>
        <w:rPr>
          <w:rFonts w:hint="eastAsia" w:ascii="宋体" w:hAnsi="宋体" w:eastAsia="宋体" w:cs="宋体"/>
          <w:color w:val="auto"/>
          <w:sz w:val="24"/>
          <w:szCs w:val="24"/>
          <w:highlight w:val="none"/>
          <w:lang w:eastAsia="zh-CN"/>
        </w:rPr>
        <w:t>评标委员会应</w:t>
      </w:r>
      <w:r>
        <w:rPr>
          <w:rFonts w:hint="eastAsia" w:ascii="宋体" w:hAnsi="宋体" w:eastAsia="宋体" w:cs="宋体"/>
          <w:color w:val="auto"/>
          <w:sz w:val="24"/>
          <w:szCs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szCs w:val="24"/>
          <w:highlight w:val="none"/>
          <w:lang w:eastAsia="zh-CN"/>
        </w:rPr>
        <w:t>并且</w:t>
      </w:r>
      <w:r>
        <w:rPr>
          <w:rFonts w:hint="eastAsia" w:ascii="宋体" w:hAnsi="宋体" w:eastAsia="宋体" w:cs="宋体"/>
          <w:color w:val="auto"/>
          <w:sz w:val="24"/>
          <w:szCs w:val="24"/>
          <w:highlight w:val="none"/>
        </w:rPr>
        <w:t>自觉接受有关行政部门监督，协助配合有关异议和投诉处理。采用远程异地评标方式评标的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主场、副场评标专家在评标过程中具有同等权利和义务</w:t>
      </w:r>
    </w:p>
    <w:p w14:paraId="19B08119">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应切实履行评标职责，对同一个问题不一致的，按程序要求记录。</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实行少数服从多数的原则，以记名投票方式表决，评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结果经</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全体成员过半数通过有效。</w:t>
      </w:r>
    </w:p>
    <w:p w14:paraId="2DE0EBDF">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15.1.5</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成员将个人意见强加给他人，影响正常评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秩序和妨碍评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结论的公正性。对评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结果有不同意见的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成员应当以书面形式说明其不同意见和理由，</w:t>
      </w:r>
      <w:r>
        <w:rPr>
          <w:rFonts w:hint="eastAsia" w:ascii="宋体" w:hAnsi="宋体" w:eastAsia="宋体" w:cs="宋体"/>
          <w:color w:val="auto"/>
          <w:sz w:val="24"/>
          <w:szCs w:val="24"/>
          <w:highlight w:val="none"/>
          <w:lang w:eastAsia="zh-CN"/>
        </w:rPr>
        <w:t>资格后审报告（</w:t>
      </w:r>
      <w:r>
        <w:rPr>
          <w:rFonts w:hint="eastAsia" w:ascii="宋体" w:hAnsi="宋体" w:eastAsia="宋体" w:cs="宋体"/>
          <w:color w:val="auto"/>
          <w:sz w:val="24"/>
          <w:szCs w:val="24"/>
          <w:highlight w:val="none"/>
        </w:rPr>
        <w:t>评标报告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应当注明该不同意见。</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成员拒绝在</w:t>
      </w:r>
      <w:r>
        <w:rPr>
          <w:rFonts w:hint="eastAsia" w:ascii="宋体" w:hAnsi="宋体" w:eastAsia="宋体" w:cs="宋体"/>
          <w:color w:val="auto"/>
          <w:sz w:val="24"/>
          <w:szCs w:val="24"/>
          <w:highlight w:val="none"/>
          <w:lang w:eastAsia="zh-CN"/>
        </w:rPr>
        <w:t>资格后审报告（</w:t>
      </w:r>
      <w:r>
        <w:rPr>
          <w:rFonts w:hint="eastAsia" w:ascii="宋体" w:hAnsi="宋体" w:eastAsia="宋体" w:cs="宋体"/>
          <w:color w:val="auto"/>
          <w:sz w:val="24"/>
          <w:szCs w:val="24"/>
          <w:highlight w:val="none"/>
        </w:rPr>
        <w:t>评标报告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上签字又不书面说明其不同意见和理由的，视为同意评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结果。</w:t>
      </w:r>
    </w:p>
    <w:p w14:paraId="05BF92CD">
      <w:pPr>
        <w:pageBreakBefore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15.2</w:t>
      </w:r>
      <w:r>
        <w:rPr>
          <w:rFonts w:hint="eastAsia" w:ascii="宋体" w:hAnsi="宋体" w:eastAsia="宋体" w:cs="宋体"/>
          <w:b/>
          <w:color w:val="auto"/>
          <w:sz w:val="24"/>
          <w:szCs w:val="24"/>
          <w:highlight w:val="none"/>
        </w:rPr>
        <w:t>评标过程的回避</w:t>
      </w:r>
    </w:p>
    <w:p w14:paraId="0E88025B">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15.2.1</w:t>
      </w:r>
      <w:r>
        <w:rPr>
          <w:rFonts w:hint="eastAsia" w:ascii="宋体" w:hAnsi="宋体" w:eastAsia="宋体" w:cs="宋体"/>
          <w:snapToGrid w:val="0"/>
          <w:color w:val="auto"/>
          <w:kern w:val="0"/>
          <w:sz w:val="24"/>
          <w:szCs w:val="24"/>
          <w:highlight w:val="none"/>
        </w:rPr>
        <w:t>评标委员会专家参加评标活动时实行主动回避制度。有下列情形之一的，应当主动提出回避，不得担任该招标项目的评标委员会成员。</w:t>
      </w:r>
    </w:p>
    <w:p w14:paraId="20A3677D">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19385261">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5B2A3F4D">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794496BB">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706D8955">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15.2.2</w:t>
      </w:r>
      <w:r>
        <w:rPr>
          <w:rFonts w:hint="eastAsia" w:ascii="宋体" w:hAnsi="宋体" w:eastAsia="宋体" w:cs="宋体"/>
          <w:b w:val="0"/>
          <w:bCs w:val="0"/>
          <w:color w:val="auto"/>
          <w:sz w:val="24"/>
          <w:szCs w:val="24"/>
          <w:highlight w:val="none"/>
          <w:lang w:eastAsia="zh-CN"/>
        </w:rPr>
        <w:t>评标委员会</w:t>
      </w:r>
      <w:r>
        <w:rPr>
          <w:rFonts w:hint="eastAsia" w:ascii="宋体" w:hAnsi="宋体" w:eastAsia="宋体" w:cs="宋体"/>
          <w:color w:val="auto"/>
          <w:sz w:val="24"/>
          <w:szCs w:val="24"/>
          <w:highlight w:val="none"/>
        </w:rPr>
        <w:t>专家不主动提出回避的，一经发现，应立即终止其评标活动，已完成评标活动的，其评标结果无效。</w:t>
      </w:r>
    </w:p>
    <w:p w14:paraId="572BEC32">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15.2.3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有下列情形之一的，经招标人与公共资源交易中心审核确认后，</w:t>
      </w:r>
      <w:r>
        <w:rPr>
          <w:rFonts w:hint="eastAsia" w:ascii="宋体" w:hAnsi="宋体" w:eastAsia="宋体" w:cs="宋体"/>
          <w:b w:val="0"/>
          <w:bCs w:val="0"/>
          <w:color w:val="auto"/>
          <w:sz w:val="24"/>
          <w:szCs w:val="24"/>
          <w:highlight w:val="none"/>
          <w:lang w:eastAsia="zh-CN"/>
        </w:rPr>
        <w:t>评标委员会</w:t>
      </w:r>
      <w:r>
        <w:rPr>
          <w:rFonts w:hint="eastAsia" w:ascii="宋体" w:hAnsi="宋体" w:eastAsia="宋体" w:cs="宋体"/>
          <w:color w:val="auto"/>
          <w:kern w:val="0"/>
          <w:sz w:val="24"/>
          <w:szCs w:val="24"/>
          <w:highlight w:val="none"/>
        </w:rPr>
        <w:t>专家应按规定重新抽取。</w:t>
      </w:r>
    </w:p>
    <w:p w14:paraId="666A603F">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（1）已抽取的评标专家与评标的项目有利害关系，可能会妨碍公正评审；</w:t>
      </w:r>
    </w:p>
    <w:p w14:paraId="7C09F6E1">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（2）由于原评标专家的违规行为，评标无效，评标活动需重新组织；</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（3）已抽取的评标专家未能参加评标活动或未能按时完成评标任务。</w:t>
      </w:r>
    </w:p>
    <w:p w14:paraId="253E7936">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15.3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color w:val="auto"/>
          <w:sz w:val="24"/>
          <w:szCs w:val="24"/>
          <w:highlight w:val="none"/>
        </w:rPr>
        <w:t>评标过程的保密</w:t>
      </w:r>
    </w:p>
    <w:p w14:paraId="4811A055">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15.3.1</w:t>
      </w:r>
      <w:r>
        <w:rPr>
          <w:rFonts w:hint="eastAsia" w:ascii="宋体" w:hAnsi="宋体" w:eastAsia="宋体" w:cs="宋体"/>
          <w:color w:val="auto"/>
          <w:kern w:val="0"/>
          <w:sz w:val="24"/>
          <w:szCs w:val="24"/>
          <w:highlight w:val="none"/>
        </w:rPr>
        <w:t xml:space="preserve"> 开标后，直至授予中标人合同为止，凡属于对投标人文件的审查、澄清、评价和比较有关的资料及与中标候选人的推荐情况，与评标有关的其他任何情况均应严格保密。</w:t>
      </w:r>
    </w:p>
    <w:p w14:paraId="2914CA3C">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15.3.2</w:t>
      </w:r>
      <w:r>
        <w:rPr>
          <w:rFonts w:hint="eastAsia" w:ascii="宋体" w:hAnsi="宋体" w:eastAsia="宋体" w:cs="宋体"/>
          <w:color w:val="auto"/>
          <w:kern w:val="0"/>
          <w:sz w:val="24"/>
          <w:szCs w:val="24"/>
          <w:highlight w:val="none"/>
        </w:rPr>
        <w:t xml:space="preserve"> 在投标文件的评审和比较、中标候选人推荐以及授予合同的过程中，投标人向招标人和评标委员会施加影响的任何行为，都将会导致其投标被拒绝。</w:t>
      </w:r>
    </w:p>
    <w:p w14:paraId="08BDCFA4">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15.3.3</w:t>
      </w:r>
      <w:r>
        <w:rPr>
          <w:rFonts w:hint="eastAsia" w:ascii="宋体" w:hAnsi="宋体" w:eastAsia="宋体" w:cs="宋体"/>
          <w:color w:val="auto"/>
          <w:kern w:val="0"/>
          <w:sz w:val="24"/>
          <w:szCs w:val="24"/>
          <w:highlight w:val="none"/>
        </w:rPr>
        <w:t>中标人确定后，招标人不对未中标人就评标过程以及未能中标原因作出任何解释。未中标人不得向评标委员会组成人员或其他有关人员索问评标过程的情况和材料。</w:t>
      </w:r>
    </w:p>
    <w:p w14:paraId="41859AE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15.4</w:t>
      </w:r>
      <w:r>
        <w:rPr>
          <w:rFonts w:hint="eastAsia" w:ascii="宋体" w:hAnsi="宋体" w:eastAsia="宋体" w:cs="宋体"/>
          <w:b/>
          <w:color w:val="auto"/>
          <w:sz w:val="24"/>
          <w:szCs w:val="24"/>
          <w:highlight w:val="none"/>
          <w:lang w:eastAsia="zh-CN"/>
        </w:rPr>
        <w:t>评标结果公示</w:t>
      </w:r>
    </w:p>
    <w:p w14:paraId="06853CA1">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评标委员会按照</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评审综合总得分</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高</w:t>
      </w:r>
      <w:r>
        <w:rPr>
          <w:rFonts w:hint="eastAsia" w:ascii="宋体" w:hAnsi="宋体" w:eastAsia="宋体" w:cs="宋体"/>
          <w:color w:val="auto"/>
          <w:sz w:val="24"/>
          <w:szCs w:val="24"/>
          <w:highlight w:val="none"/>
          <w:lang w:eastAsia="zh-CN"/>
        </w:rPr>
        <w:t>到</w:t>
      </w:r>
      <w:r>
        <w:rPr>
          <w:rFonts w:hint="eastAsia" w:ascii="宋体" w:hAnsi="宋体" w:eastAsia="宋体" w:cs="宋体"/>
          <w:color w:val="auto"/>
          <w:sz w:val="24"/>
          <w:szCs w:val="24"/>
          <w:highlight w:val="none"/>
        </w:rPr>
        <w:t>低的</w:t>
      </w:r>
      <w:r>
        <w:rPr>
          <w:rFonts w:hint="eastAsia" w:ascii="宋体" w:hAnsi="宋体" w:eastAsia="宋体" w:cs="宋体"/>
          <w:color w:val="auto"/>
          <w:sz w:val="24"/>
          <w:szCs w:val="24"/>
          <w:highlight w:val="none"/>
          <w:lang w:eastAsia="zh-CN"/>
        </w:rPr>
        <w:t>原则</w:t>
      </w:r>
      <w:r>
        <w:rPr>
          <w:rFonts w:hint="eastAsia" w:ascii="宋体" w:hAnsi="宋体" w:eastAsia="宋体" w:cs="宋体"/>
          <w:color w:val="auto"/>
          <w:sz w:val="24"/>
          <w:szCs w:val="24"/>
          <w:highlight w:val="none"/>
        </w:rPr>
        <w:t>,向招标人推荐</w:t>
      </w:r>
      <w:r>
        <w:rPr>
          <w:rFonts w:hint="eastAsia" w:ascii="宋体" w:hAnsi="宋体" w:eastAsia="宋体" w:cs="宋体"/>
          <w:color w:val="auto"/>
          <w:sz w:val="24"/>
          <w:szCs w:val="24"/>
          <w:highlight w:val="none"/>
          <w:lang w:val="en-US" w:eastAsia="zh-CN"/>
        </w:rPr>
        <w:t>已明确的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标明</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评标委员会推荐定标候选人后，</w:t>
      </w:r>
      <w:r>
        <w:rPr>
          <w:rFonts w:hint="eastAsia" w:ascii="宋体" w:hAnsi="宋体" w:eastAsia="宋体" w:cs="宋体"/>
          <w:color w:val="auto"/>
          <w:sz w:val="24"/>
          <w:szCs w:val="24"/>
          <w:highlight w:val="none"/>
        </w:rPr>
        <w:t>招标人应</w:t>
      </w:r>
      <w:r>
        <w:rPr>
          <w:rFonts w:hint="eastAsia" w:ascii="宋体" w:hAnsi="宋体" w:eastAsia="宋体" w:cs="宋体"/>
          <w:color w:val="auto"/>
          <w:sz w:val="24"/>
          <w:szCs w:val="24"/>
          <w:highlight w:val="none"/>
          <w:lang w:eastAsia="zh-CN"/>
        </w:rPr>
        <w:t>于评标会结束后</w:t>
      </w:r>
      <w:r>
        <w:rPr>
          <w:rFonts w:hint="eastAsia" w:ascii="宋体" w:hAnsi="宋体" w:eastAsia="宋体" w:cs="宋体"/>
          <w:color w:val="auto"/>
          <w:sz w:val="24"/>
          <w:szCs w:val="24"/>
          <w:highlight w:val="none"/>
          <w:lang w:val="en-US" w:eastAsia="zh-CN"/>
        </w:rPr>
        <w:t>3日内将</w:t>
      </w: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标候选</w:t>
      </w:r>
      <w:r>
        <w:rPr>
          <w:rFonts w:hint="eastAsia" w:ascii="宋体" w:hAnsi="宋体" w:eastAsia="宋体" w:cs="宋体"/>
          <w:color w:val="auto"/>
          <w:sz w:val="24"/>
          <w:szCs w:val="24"/>
          <w:highlight w:val="none"/>
          <w:lang w:eastAsia="zh-CN"/>
        </w:rPr>
        <w:t>人和评标情况</w:t>
      </w:r>
      <w:r>
        <w:rPr>
          <w:rFonts w:hint="eastAsia" w:ascii="宋体" w:hAnsi="宋体" w:eastAsia="宋体" w:cs="宋体"/>
          <w:color w:val="auto"/>
          <w:sz w:val="24"/>
          <w:szCs w:val="24"/>
          <w:highlight w:val="none"/>
          <w:lang w:val="en-US" w:eastAsia="zh-CN"/>
        </w:rPr>
        <w:t>在广东省招标投标监管网和</w:t>
      </w:r>
      <w:r>
        <w:rPr>
          <w:rFonts w:hint="eastAsia" w:ascii="宋体" w:hAnsi="宋体" w:eastAsia="宋体" w:cs="宋体"/>
          <w:color w:val="auto"/>
          <w:sz w:val="24"/>
          <w:szCs w:val="24"/>
          <w:highlight w:val="none"/>
        </w:rPr>
        <w:t>韶关市公共资源交易中心</w:t>
      </w:r>
      <w:r>
        <w:rPr>
          <w:rFonts w:hint="eastAsia" w:ascii="宋体" w:hAnsi="宋体" w:eastAsia="宋体" w:cs="宋体"/>
          <w:color w:val="auto"/>
          <w:sz w:val="24"/>
          <w:szCs w:val="24"/>
          <w:highlight w:val="none"/>
          <w:lang w:eastAsia="zh-CN"/>
        </w:rPr>
        <w:t>建设工程交易系统</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公示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27E508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15.5定标结果</w:t>
      </w:r>
      <w:r>
        <w:rPr>
          <w:rFonts w:hint="eastAsia" w:ascii="宋体" w:hAnsi="宋体" w:eastAsia="宋体" w:cs="宋体"/>
          <w:b/>
          <w:color w:val="auto"/>
          <w:sz w:val="24"/>
          <w:szCs w:val="24"/>
          <w:highlight w:val="none"/>
        </w:rPr>
        <w:t>公示</w:t>
      </w:r>
    </w:p>
    <w:p w14:paraId="1535B588">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3D1F6B46">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rPr>
      </w:pPr>
      <w:bookmarkStart w:id="73" w:name="_Toc13287"/>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rPr>
        <w:t>．中标确认</w:t>
      </w:r>
      <w:bookmarkEnd w:id="73"/>
    </w:p>
    <w:p w14:paraId="1E57D808">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16.1.</w:t>
      </w:r>
      <w:r>
        <w:rPr>
          <w:rFonts w:hint="eastAsia" w:ascii="宋体" w:hAnsi="宋体" w:eastAsia="宋体" w:cs="宋体"/>
          <w:b/>
          <w:color w:val="auto"/>
          <w:sz w:val="24"/>
          <w:szCs w:val="24"/>
          <w:highlight w:val="none"/>
        </w:rPr>
        <w:t>中标人确定</w:t>
      </w:r>
    </w:p>
    <w:p w14:paraId="406488EE">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.1 中标人确定。</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标结果公示期满无异议的，招标人确认</w:t>
      </w:r>
      <w:r>
        <w:rPr>
          <w:rFonts w:hint="eastAsia" w:ascii="宋体" w:hAnsi="宋体" w:eastAsia="宋体" w:cs="宋体"/>
          <w:strike w:val="0"/>
          <w:dstrike w:val="0"/>
          <w:color w:val="auto"/>
          <w:sz w:val="24"/>
          <w:szCs w:val="24"/>
          <w:highlight w:val="none"/>
        </w:rPr>
        <w:t>排名第一的</w:t>
      </w:r>
      <w:r>
        <w:rPr>
          <w:rFonts w:hint="eastAsia" w:ascii="宋体" w:hAnsi="宋体" w:eastAsia="宋体" w:cs="宋体"/>
          <w:color w:val="auto"/>
          <w:sz w:val="24"/>
          <w:szCs w:val="24"/>
          <w:highlight w:val="none"/>
        </w:rPr>
        <w:t>中标候选人为中标人，中标人的投标报价即为中标价。</w:t>
      </w:r>
    </w:p>
    <w:p w14:paraId="5EACCF51">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.2 中标人确定后，招标人应当</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rPr>
        <w:t>7日</w:t>
      </w:r>
      <w:r>
        <w:rPr>
          <w:rFonts w:hint="eastAsia" w:ascii="宋体" w:hAnsi="宋体" w:eastAsia="宋体" w:cs="宋体"/>
          <w:color w:val="auto"/>
          <w:sz w:val="24"/>
          <w:szCs w:val="24"/>
          <w:highlight w:val="none"/>
          <w:u w:val="none"/>
        </w:rPr>
        <w:t>内</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none"/>
          <w:lang w:eastAsia="zh-CN"/>
        </w:rPr>
        <w:t>线</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u w:val="none"/>
        </w:rPr>
        <w:t>加盖招标人单位</w:t>
      </w:r>
      <w:r>
        <w:rPr>
          <w:rFonts w:hint="eastAsia" w:ascii="宋体" w:hAnsi="宋体" w:eastAsia="宋体" w:cs="宋体"/>
          <w:color w:val="auto"/>
          <w:sz w:val="24"/>
          <w:szCs w:val="24"/>
          <w:highlight w:val="none"/>
          <w:u w:val="none"/>
          <w:lang w:eastAsia="zh-CN"/>
        </w:rPr>
        <w:t>电子签</w:t>
      </w:r>
      <w:r>
        <w:rPr>
          <w:rFonts w:hint="eastAsia" w:ascii="宋体" w:hAnsi="宋体" w:eastAsia="宋体" w:cs="宋体"/>
          <w:color w:val="auto"/>
          <w:sz w:val="24"/>
          <w:szCs w:val="24"/>
          <w:highlight w:val="none"/>
          <w:u w:val="none"/>
        </w:rPr>
        <w:t>章的中标通知书</w:t>
      </w:r>
      <w:r>
        <w:rPr>
          <w:rFonts w:hint="eastAsia" w:ascii="宋体" w:hAnsi="宋体" w:eastAsia="宋体" w:cs="宋体"/>
          <w:color w:val="auto"/>
          <w:sz w:val="24"/>
          <w:szCs w:val="24"/>
          <w:highlight w:val="none"/>
          <w:u w:val="none"/>
          <w:lang w:eastAsia="zh-CN"/>
        </w:rPr>
        <w:t>并</w:t>
      </w:r>
      <w:r>
        <w:rPr>
          <w:rFonts w:hint="eastAsia" w:ascii="宋体" w:hAnsi="宋体" w:eastAsia="宋体" w:cs="宋体"/>
          <w:color w:val="auto"/>
          <w:sz w:val="24"/>
          <w:szCs w:val="24"/>
          <w:highlight w:val="none"/>
          <w:u w:val="none"/>
        </w:rPr>
        <w:t>发放到中标人及各相关单位</w:t>
      </w:r>
      <w:r>
        <w:rPr>
          <w:rFonts w:hint="eastAsia" w:ascii="宋体" w:hAnsi="宋体" w:eastAsia="宋体" w:cs="宋体"/>
          <w:color w:val="auto"/>
          <w:sz w:val="24"/>
          <w:szCs w:val="24"/>
          <w:highlight w:val="none"/>
        </w:rPr>
        <w:t>。招标人最迟应当在投标有效期届满30日前发出中标通知书，否则，应当按照本投标人须知投标有效期的规定延长投标有效期。</w:t>
      </w:r>
    </w:p>
    <w:p w14:paraId="7F7382ED">
      <w:pPr>
        <w:pStyle w:val="218"/>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u w:val="none"/>
          <w:lang w:val="en-US" w:eastAsia="zh-CN"/>
        </w:rPr>
        <w:t>16.1</w:t>
      </w:r>
      <w:r>
        <w:rPr>
          <w:rFonts w:hint="eastAsia" w:ascii="宋体" w:hAnsi="宋体" w:eastAsia="宋体" w:cs="宋体"/>
          <w:color w:val="auto"/>
          <w:kern w:val="2"/>
          <w:sz w:val="24"/>
          <w:szCs w:val="24"/>
          <w:highlight w:val="none"/>
          <w:u w:val="none"/>
        </w:rPr>
        <w:t>.3</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color w:val="auto"/>
          <w:sz w:val="24"/>
          <w:szCs w:val="24"/>
          <w:highlight w:val="none"/>
          <w:u w:val="none"/>
        </w:rPr>
        <w:t>招标人应当</w:t>
      </w:r>
      <w:r>
        <w:rPr>
          <w:rFonts w:hint="eastAsia" w:ascii="宋体" w:hAnsi="宋体" w:eastAsia="宋体" w:cs="宋体"/>
          <w:i w:val="0"/>
          <w:color w:val="auto"/>
          <w:kern w:val="0"/>
          <w:sz w:val="24"/>
          <w:szCs w:val="24"/>
          <w:highlight w:val="none"/>
          <w:u w:val="none"/>
          <w:lang w:val="en-US" w:eastAsia="zh-CN" w:bidi="ar"/>
        </w:rPr>
        <w:t>自中标通知书发出之日起15日内</w:t>
      </w:r>
      <w:r>
        <w:rPr>
          <w:rFonts w:hint="eastAsia" w:ascii="宋体" w:hAnsi="宋体" w:eastAsia="宋体" w:cs="宋体"/>
          <w:color w:val="auto"/>
          <w:spacing w:val="0"/>
          <w:sz w:val="24"/>
          <w:szCs w:val="24"/>
          <w:highlight w:val="none"/>
          <w:u w:val="none"/>
          <w:lang w:eastAsia="zh-CN"/>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pacing w:val="0"/>
          <w:sz w:val="24"/>
          <w:szCs w:val="24"/>
          <w:highlight w:val="none"/>
          <w:u w:val="none"/>
          <w:lang w:eastAsia="zh-CN"/>
        </w:rPr>
        <w:t>发布中标结果公示。</w:t>
      </w:r>
      <w:r>
        <w:rPr>
          <w:rFonts w:hint="eastAsia" w:ascii="宋体" w:hAnsi="宋体" w:eastAsia="宋体" w:cs="宋体"/>
          <w:color w:val="auto"/>
          <w:kern w:val="2"/>
          <w:sz w:val="24"/>
          <w:szCs w:val="24"/>
          <w:highlight w:val="none"/>
          <w:u w:val="none"/>
        </w:rPr>
        <w:t xml:space="preserve"> </w:t>
      </w:r>
      <w:r>
        <w:rPr>
          <w:rFonts w:hint="eastAsia" w:ascii="宋体" w:hAnsi="宋体" w:eastAsia="宋体" w:cs="宋体"/>
          <w:color w:val="auto"/>
          <w:sz w:val="24"/>
          <w:szCs w:val="24"/>
          <w:highlight w:val="none"/>
          <w:u w:val="none"/>
        </w:rPr>
        <w:t>招标人应当自确定中标人之日起15日内，</w:t>
      </w:r>
      <w:r>
        <w:rPr>
          <w:rFonts w:hint="eastAsia" w:ascii="宋体" w:hAnsi="宋体" w:eastAsia="宋体" w:cs="宋体"/>
          <w:color w:val="auto"/>
          <w:sz w:val="24"/>
          <w:szCs w:val="24"/>
          <w:highlight w:val="none"/>
          <w:u w:val="none"/>
          <w:lang w:eastAsia="zh-CN"/>
        </w:rPr>
        <w:t>在线</w:t>
      </w:r>
      <w:r>
        <w:rPr>
          <w:rFonts w:hint="eastAsia" w:ascii="宋体" w:hAnsi="宋体" w:eastAsia="宋体" w:cs="宋体"/>
          <w:color w:val="auto"/>
          <w:sz w:val="24"/>
          <w:szCs w:val="24"/>
          <w:highlight w:val="none"/>
          <w:u w:val="none"/>
        </w:rPr>
        <w:t>向有关</w:t>
      </w:r>
      <w:r>
        <w:rPr>
          <w:rFonts w:hint="eastAsia" w:ascii="宋体" w:hAnsi="宋体" w:eastAsia="宋体" w:cs="宋体"/>
          <w:color w:val="auto"/>
          <w:sz w:val="24"/>
          <w:szCs w:val="24"/>
          <w:highlight w:val="none"/>
          <w:u w:val="none"/>
          <w:lang w:eastAsia="zh-CN"/>
        </w:rPr>
        <w:t>招标管理</w:t>
      </w:r>
      <w:r>
        <w:rPr>
          <w:rFonts w:hint="eastAsia" w:ascii="宋体" w:hAnsi="宋体" w:eastAsia="宋体" w:cs="宋体"/>
          <w:color w:val="auto"/>
          <w:sz w:val="24"/>
          <w:szCs w:val="24"/>
          <w:highlight w:val="none"/>
          <w:u w:val="none"/>
        </w:rPr>
        <w:t>部门提交招标投标情况的书面报告。</w:t>
      </w:r>
    </w:p>
    <w:p w14:paraId="7910E8B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16.2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3C20182">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5576AA7B">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16.2.2在定标候选人和中标候选人公示期间有关评标结果的异议成立的，招标人原则上应当组织原评标委员会和原定标委员会对有关的问题予以纠正，问题纠正后再公示定标候选人和中标候选人。</w:t>
      </w:r>
    </w:p>
    <w:p w14:paraId="2F654439">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01E56C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bookmarkStart w:id="74" w:name="_Toc236550039"/>
      <w:r>
        <w:rPr>
          <w:rFonts w:hint="eastAsia" w:ascii="宋体" w:hAnsi="宋体" w:eastAsia="宋体" w:cs="宋体"/>
          <w:b/>
          <w:bCs/>
          <w:color w:val="auto"/>
          <w:sz w:val="24"/>
          <w:szCs w:val="24"/>
          <w:highlight w:val="none"/>
          <w:lang w:val="en-US" w:eastAsia="zh-CN"/>
        </w:rPr>
        <w:t>16.3废除授标</w:t>
      </w:r>
      <w:bookmarkEnd w:id="74"/>
      <w:r>
        <w:rPr>
          <w:rFonts w:hint="eastAsia" w:ascii="宋体" w:hAnsi="宋体" w:eastAsia="宋体" w:cs="宋体"/>
          <w:b/>
          <w:bCs/>
          <w:color w:val="auto"/>
          <w:sz w:val="24"/>
          <w:szCs w:val="24"/>
          <w:highlight w:val="none"/>
          <w:lang w:val="en-US" w:eastAsia="zh-CN"/>
        </w:rPr>
        <w:t>及授标</w:t>
      </w:r>
    </w:p>
    <w:p w14:paraId="562F6B2C">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评定标完成后，中标候选人有下列情形之一的，招标人应按规定取消中标候选人资格或废除授标</w:t>
      </w:r>
      <w:r>
        <w:rPr>
          <w:rFonts w:hint="eastAsia" w:ascii="宋体" w:hAnsi="宋体" w:eastAsia="宋体" w:cs="宋体"/>
          <w:color w:val="auto"/>
          <w:sz w:val="24"/>
          <w:szCs w:val="24"/>
          <w:highlight w:val="none"/>
        </w:rPr>
        <w:t>：</w:t>
      </w:r>
    </w:p>
    <w:p w14:paraId="65B126E4">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（1）以他人名义投标或者以其他方式弄虚作假骗取中标的；</w:t>
      </w:r>
    </w:p>
    <w:p w14:paraId="48C91AC3">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（2）与其他投标人串通投标或以行贿的手段谋取中标的；</w:t>
      </w:r>
    </w:p>
    <w:p w14:paraId="2F21570A">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）不是从本投标企业基本账户</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或以虚假方式提交投标保证金保函（保单）</w:t>
      </w:r>
      <w:r>
        <w:rPr>
          <w:rFonts w:hint="eastAsia" w:ascii="宋体" w:hAnsi="宋体" w:eastAsia="宋体" w:cs="宋体"/>
          <w:color w:val="auto"/>
          <w:sz w:val="24"/>
          <w:szCs w:val="24"/>
          <w:highlight w:val="none"/>
        </w:rPr>
        <w:t>的；</w:t>
      </w:r>
    </w:p>
    <w:p w14:paraId="189C5B29">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于投标有效期终止之前撤回投标文件，或者排名第一的中标候选人放弃中标资格的；</w:t>
      </w:r>
    </w:p>
    <w:p w14:paraId="636FAD47">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）因中标人过错而未能按照规定与招标人签订</w:t>
      </w:r>
      <w:r>
        <w:rPr>
          <w:rFonts w:hint="eastAsia" w:ascii="宋体" w:hAnsi="宋体" w:eastAsia="宋体" w:cs="宋体"/>
          <w:color w:val="auto"/>
          <w:sz w:val="24"/>
          <w:szCs w:val="24"/>
          <w:highlight w:val="none"/>
          <w:lang w:eastAsia="zh-CN"/>
        </w:rPr>
        <w:t>工程总</w:t>
      </w:r>
      <w:r>
        <w:rPr>
          <w:rFonts w:hint="eastAsia" w:ascii="宋体" w:hAnsi="宋体" w:eastAsia="宋体" w:cs="宋体"/>
          <w:color w:val="auto"/>
          <w:sz w:val="24"/>
          <w:szCs w:val="24"/>
          <w:highlight w:val="none"/>
        </w:rPr>
        <w:t>承包合同或中标人因不可抗力提出不能履行合同的；</w:t>
      </w:r>
    </w:p>
    <w:p w14:paraId="147660E1">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）因中标人过错而未能按照招标文件要求向招标人提交履约</w:t>
      </w:r>
      <w:r>
        <w:rPr>
          <w:rFonts w:hint="eastAsia" w:ascii="宋体" w:hAnsi="宋体" w:eastAsia="宋体" w:cs="宋体"/>
          <w:color w:val="auto"/>
          <w:sz w:val="24"/>
          <w:szCs w:val="24"/>
          <w:highlight w:val="none"/>
          <w:lang w:eastAsia="zh-CN"/>
        </w:rPr>
        <w:t>担</w:t>
      </w:r>
      <w:r>
        <w:rPr>
          <w:rFonts w:hint="eastAsia" w:ascii="宋体" w:hAnsi="宋体" w:eastAsia="宋体" w:cs="宋体"/>
          <w:color w:val="auto"/>
          <w:sz w:val="24"/>
          <w:szCs w:val="24"/>
          <w:highlight w:val="none"/>
        </w:rPr>
        <w:t>保的；</w:t>
      </w:r>
    </w:p>
    <w:p w14:paraId="350BC496">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en-US" w:eastAsia="zh-CN"/>
        </w:rPr>
        <w:t>中标单位拟派的项目负责人从投标截止时间起在其他建设工程担任项目负责人；</w:t>
      </w:r>
    </w:p>
    <w:p w14:paraId="78C4E45B">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中标人被有关部门查实存在影响中标结果的违法行为，不符合中标条件的</w:t>
      </w:r>
      <w:r>
        <w:rPr>
          <w:rFonts w:hint="eastAsia" w:ascii="宋体" w:hAnsi="宋体" w:eastAsia="宋体" w:cs="宋体"/>
          <w:color w:val="auto"/>
          <w:sz w:val="24"/>
          <w:szCs w:val="24"/>
          <w:highlight w:val="none"/>
          <w:lang w:val="en-US" w:eastAsia="zh-CN"/>
        </w:rPr>
        <w:t>；</w:t>
      </w:r>
    </w:p>
    <w:p w14:paraId="1B8DEF82">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人在参加本项目投标时有本企业投标承诺书所列被依法限制或暂停承揽业务</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停业的处罚的；</w:t>
      </w:r>
    </w:p>
    <w:p w14:paraId="53071D06">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）招标文件明确规定可以废除授标的其他情形。</w:t>
      </w:r>
    </w:p>
    <w:p w14:paraId="17207DEB">
      <w:pPr>
        <w:pStyle w:val="21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480" w:firstLineChars="200"/>
        <w:jc w:val="both"/>
        <w:textAlignment w:val="auto"/>
        <w:outlineLvl w:val="9"/>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 xml:space="preserve">.2 </w:t>
      </w:r>
      <w:r>
        <w:rPr>
          <w:rFonts w:hint="eastAsia" w:ascii="宋体" w:hAnsi="宋体" w:eastAsia="宋体" w:cs="宋体"/>
          <w:b w:val="0"/>
          <w:bCs w:val="0"/>
          <w:strike w:val="0"/>
          <w:dstrike w:val="0"/>
          <w:color w:val="auto"/>
          <w:spacing w:val="0"/>
          <w:sz w:val="24"/>
          <w:szCs w:val="24"/>
          <w:highlight w:val="none"/>
        </w:rPr>
        <w:t>排名第一的</w:t>
      </w:r>
      <w:r>
        <w:rPr>
          <w:rFonts w:hint="eastAsia" w:ascii="宋体" w:hAnsi="宋体" w:eastAsia="宋体" w:cs="宋体"/>
          <w:b w:val="0"/>
          <w:bCs w:val="0"/>
          <w:color w:val="auto"/>
          <w:spacing w:val="0"/>
          <w:sz w:val="24"/>
          <w:szCs w:val="24"/>
          <w:highlight w:val="none"/>
        </w:rPr>
        <w:t>中标候选人</w:t>
      </w:r>
      <w:r>
        <w:rPr>
          <w:rFonts w:hint="eastAsia" w:ascii="宋体" w:hAnsi="宋体" w:eastAsia="宋体" w:cs="宋体"/>
          <w:color w:val="auto"/>
          <w:sz w:val="24"/>
          <w:szCs w:val="24"/>
          <w:highlight w:val="none"/>
          <w:lang w:eastAsia="zh-CN"/>
        </w:rPr>
        <w:t>被</w:t>
      </w:r>
      <w:r>
        <w:rPr>
          <w:rFonts w:hint="eastAsia" w:ascii="宋体" w:hAnsi="宋体" w:eastAsia="宋体" w:cs="宋体"/>
          <w:color w:val="auto"/>
          <w:sz w:val="24"/>
          <w:szCs w:val="24"/>
          <w:highlight w:val="none"/>
        </w:rPr>
        <w:t>取消中标候选人资格或废除授标</w:t>
      </w:r>
      <w:r>
        <w:rPr>
          <w:rFonts w:hint="eastAsia" w:ascii="宋体" w:hAnsi="宋体" w:eastAsia="宋体" w:cs="宋体"/>
          <w:b w:val="0"/>
          <w:bCs w:val="0"/>
          <w:color w:val="auto"/>
          <w:spacing w:val="0"/>
          <w:sz w:val="24"/>
          <w:szCs w:val="24"/>
          <w:highlight w:val="none"/>
        </w:rPr>
        <w:t>，</w:t>
      </w:r>
      <w:r>
        <w:rPr>
          <w:rFonts w:hint="eastAsia" w:ascii="宋体" w:hAnsi="宋体" w:eastAsia="宋体" w:cs="宋体"/>
          <w:b w:val="0"/>
          <w:bCs w:val="0"/>
          <w:color w:val="auto"/>
          <w:spacing w:val="0"/>
          <w:sz w:val="24"/>
          <w:szCs w:val="24"/>
          <w:highlight w:val="none"/>
          <w:u w:val="none"/>
        </w:rPr>
        <w:t>招标人可以按照</w:t>
      </w:r>
      <w:r>
        <w:rPr>
          <w:rFonts w:hint="eastAsia" w:ascii="宋体" w:hAnsi="宋体" w:eastAsia="宋体" w:cs="宋体"/>
          <w:b w:val="0"/>
          <w:bCs w:val="0"/>
          <w:color w:val="auto"/>
          <w:spacing w:val="0"/>
          <w:sz w:val="24"/>
          <w:szCs w:val="24"/>
          <w:highlight w:val="none"/>
          <w:u w:val="none"/>
          <w:lang w:eastAsia="zh-CN"/>
        </w:rPr>
        <w:t>定标委员会</w:t>
      </w:r>
      <w:r>
        <w:rPr>
          <w:rFonts w:hint="eastAsia" w:ascii="宋体" w:hAnsi="宋体" w:eastAsia="宋体" w:cs="宋体"/>
          <w:b w:val="0"/>
          <w:bCs w:val="0"/>
          <w:color w:val="auto"/>
          <w:spacing w:val="0"/>
          <w:sz w:val="24"/>
          <w:szCs w:val="24"/>
          <w:highlight w:val="none"/>
          <w:u w:val="none"/>
        </w:rPr>
        <w:t>提出的中标候选人名单排序</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依次确定其他中标候选人为中标人，</w:t>
      </w:r>
      <w:r>
        <w:rPr>
          <w:rFonts w:hint="eastAsia" w:ascii="宋体" w:hAnsi="宋体" w:eastAsia="宋体" w:cs="宋体"/>
          <w:b w:val="0"/>
          <w:bCs w:val="0"/>
          <w:color w:val="auto"/>
          <w:spacing w:val="0"/>
          <w:sz w:val="24"/>
          <w:szCs w:val="24"/>
          <w:highlight w:val="none"/>
          <w:u w:val="none"/>
          <w:lang w:eastAsia="zh-CN"/>
        </w:rPr>
        <w:t>并</w:t>
      </w:r>
      <w:r>
        <w:rPr>
          <w:rFonts w:hint="eastAsia" w:ascii="宋体" w:hAnsi="宋体" w:eastAsia="宋体" w:cs="宋体"/>
          <w:color w:val="auto"/>
          <w:sz w:val="24"/>
          <w:szCs w:val="24"/>
          <w:highlight w:val="none"/>
        </w:rPr>
        <w:t>按规定实行中标结果公示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u w:val="none"/>
        </w:rPr>
        <w:t>也可以</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重新组织招标</w:t>
      </w:r>
      <w:r>
        <w:rPr>
          <w:rFonts w:hint="eastAsia" w:ascii="宋体" w:hAnsi="宋体" w:eastAsia="宋体" w:cs="宋体"/>
          <w:color w:val="auto"/>
          <w:sz w:val="24"/>
          <w:szCs w:val="24"/>
          <w:highlight w:val="none"/>
        </w:rPr>
        <w:t>或报原项目审批</w:t>
      </w:r>
      <w:r>
        <w:rPr>
          <w:rFonts w:hint="eastAsia" w:ascii="宋体" w:hAnsi="宋体" w:eastAsia="宋体" w:cs="宋体"/>
          <w:color w:val="auto"/>
          <w:sz w:val="24"/>
          <w:szCs w:val="24"/>
          <w:highlight w:val="none"/>
          <w:lang w:eastAsia="zh-CN"/>
        </w:rPr>
        <w:t>、核准</w:t>
      </w:r>
      <w:r>
        <w:rPr>
          <w:rFonts w:hint="eastAsia" w:ascii="宋体" w:hAnsi="宋体" w:eastAsia="宋体" w:cs="宋体"/>
          <w:color w:val="auto"/>
          <w:sz w:val="24"/>
          <w:szCs w:val="24"/>
          <w:highlight w:val="none"/>
        </w:rPr>
        <w:t>部门重新</w:t>
      </w:r>
      <w:r>
        <w:rPr>
          <w:rFonts w:hint="eastAsia" w:ascii="宋体" w:hAnsi="宋体" w:eastAsia="宋体" w:cs="宋体"/>
          <w:color w:val="auto"/>
          <w:sz w:val="24"/>
          <w:szCs w:val="24"/>
          <w:highlight w:val="none"/>
          <w:lang w:eastAsia="zh-CN"/>
        </w:rPr>
        <w:t>审批、</w:t>
      </w:r>
      <w:r>
        <w:rPr>
          <w:rFonts w:hint="eastAsia" w:ascii="宋体" w:hAnsi="宋体" w:eastAsia="宋体" w:cs="宋体"/>
          <w:color w:val="auto"/>
          <w:sz w:val="24"/>
          <w:szCs w:val="24"/>
          <w:highlight w:val="none"/>
        </w:rPr>
        <w:t>核准招标方式。</w:t>
      </w:r>
    </w:p>
    <w:p w14:paraId="7C7B7E5D">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招标人有下列情形之一的，应依法承担相应的责任：</w:t>
      </w:r>
    </w:p>
    <w:p w14:paraId="5622B208">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（1）无正当理由不发出中标通知书的</w:t>
      </w:r>
      <w:r>
        <w:rPr>
          <w:rFonts w:hint="eastAsia" w:ascii="宋体" w:hAnsi="宋体" w:eastAsia="宋体" w:cs="宋体"/>
          <w:color w:val="auto"/>
          <w:sz w:val="24"/>
          <w:szCs w:val="24"/>
          <w:highlight w:val="none"/>
          <w:lang w:eastAsia="zh-CN"/>
        </w:rPr>
        <w:t>；</w:t>
      </w:r>
    </w:p>
    <w:p w14:paraId="6F443CD7">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（2）招标人不按照规定确定中标人的；</w:t>
      </w:r>
    </w:p>
    <w:p w14:paraId="01410CE0">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（3）中标通知书发出后无正当理由改变中标结果的；</w:t>
      </w:r>
    </w:p>
    <w:p w14:paraId="6CAC1EF1">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（4）无正当理由不与中标人签订</w:t>
      </w:r>
      <w:r>
        <w:rPr>
          <w:rFonts w:hint="eastAsia" w:ascii="宋体" w:hAnsi="宋体" w:eastAsia="宋体" w:cs="宋体"/>
          <w:color w:val="auto"/>
          <w:sz w:val="24"/>
          <w:szCs w:val="24"/>
          <w:highlight w:val="none"/>
          <w:lang w:eastAsia="zh-CN"/>
        </w:rPr>
        <w:t>工程总</w:t>
      </w:r>
      <w:r>
        <w:rPr>
          <w:rFonts w:hint="eastAsia" w:ascii="宋体" w:hAnsi="宋体" w:eastAsia="宋体" w:cs="宋体"/>
          <w:color w:val="auto"/>
          <w:sz w:val="24"/>
          <w:szCs w:val="24"/>
          <w:highlight w:val="none"/>
        </w:rPr>
        <w:t>承包合同的；</w:t>
      </w:r>
    </w:p>
    <w:p w14:paraId="483C455C">
      <w:pPr>
        <w:keepNext w:val="0"/>
        <w:keepLines w:val="0"/>
        <w:pageBreakBefore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（5）在签订</w:t>
      </w:r>
      <w:r>
        <w:rPr>
          <w:rFonts w:hint="eastAsia" w:ascii="宋体" w:hAnsi="宋体" w:eastAsia="宋体" w:cs="宋体"/>
          <w:color w:val="auto"/>
          <w:sz w:val="24"/>
          <w:szCs w:val="24"/>
          <w:highlight w:val="none"/>
          <w:lang w:eastAsia="zh-CN"/>
        </w:rPr>
        <w:t>工程总</w:t>
      </w:r>
      <w:r>
        <w:rPr>
          <w:rFonts w:hint="eastAsia" w:ascii="宋体" w:hAnsi="宋体" w:eastAsia="宋体" w:cs="宋体"/>
          <w:color w:val="auto"/>
          <w:sz w:val="24"/>
          <w:szCs w:val="24"/>
          <w:highlight w:val="none"/>
        </w:rPr>
        <w:t>承包合同时向中标人提出附加条件或者更改合同实质性内容的。</w:t>
      </w:r>
    </w:p>
    <w:p w14:paraId="62C8A4ED">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lang w:val="en-US" w:eastAsia="zh-CN"/>
        </w:rPr>
      </w:pPr>
      <w:bookmarkStart w:id="75" w:name="_Toc17469"/>
      <w:r>
        <w:rPr>
          <w:rFonts w:hint="eastAsia" w:ascii="宋体" w:hAnsi="宋体" w:eastAsia="宋体" w:cs="宋体"/>
          <w:b/>
          <w:bCs/>
          <w:color w:val="auto"/>
          <w:kern w:val="0"/>
          <w:sz w:val="24"/>
          <w:szCs w:val="24"/>
          <w:highlight w:val="none"/>
          <w:lang w:val="en-US" w:eastAsia="zh-CN"/>
        </w:rPr>
        <w:t>17．电子管理规定</w:t>
      </w:r>
      <w:bookmarkEnd w:id="75"/>
    </w:p>
    <w:p w14:paraId="4219581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17.1</w:t>
      </w:r>
      <w:r>
        <w:rPr>
          <w:rFonts w:hint="eastAsia" w:ascii="宋体" w:hAnsi="宋体" w:eastAsia="宋体" w:cs="宋体"/>
          <w:b/>
          <w:color w:val="auto"/>
          <w:kern w:val="0"/>
          <w:sz w:val="24"/>
          <w:szCs w:val="24"/>
          <w:highlight w:val="none"/>
        </w:rPr>
        <w:t>.应急管理</w:t>
      </w:r>
    </w:p>
    <w:p w14:paraId="2E9948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17.1</w:t>
      </w:r>
      <w:r>
        <w:rPr>
          <w:rFonts w:hint="eastAsia" w:ascii="宋体" w:hAnsi="宋体" w:eastAsia="宋体" w:cs="宋体"/>
          <w:color w:val="auto"/>
          <w:kern w:val="0"/>
          <w:sz w:val="24"/>
          <w:szCs w:val="24"/>
          <w:highlight w:val="none"/>
        </w:rPr>
        <w:t>.1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14:paraId="4EFBB8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（1）因国际互联网中断、停电、网络入侵、不可抗力等非可控因素导致系统不能正常运行；</w:t>
      </w:r>
    </w:p>
    <w:p w14:paraId="532B23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（2）因系统服务器发生故障而无法访问系统或无法使用系统</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因电子招标投标系统软件或网络数据库出现错误不能进行正常操作；</w:t>
      </w:r>
    </w:p>
    <w:p w14:paraId="270EAA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）电子招</w:t>
      </w:r>
      <w:r>
        <w:rPr>
          <w:rFonts w:hint="eastAsia" w:ascii="宋体" w:hAnsi="宋体" w:eastAsia="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投标系统发现有安全漏洞，有潜在的泄密危险；</w:t>
      </w:r>
      <w:r>
        <w:rPr>
          <w:rFonts w:hint="eastAsia" w:ascii="宋体" w:hAnsi="宋体" w:eastAsia="宋体"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计算机病毒造成影响；</w:t>
      </w:r>
    </w:p>
    <w:p w14:paraId="4E4ECE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）其他无法保证电子招标投标过程公平、公正和信息安全的意外情况；</w:t>
      </w:r>
    </w:p>
    <w:p w14:paraId="66E1E8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）相关行政监督部门</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司法、纪检监察等机关依法要求中止或终止电子招标投标活动；</w:t>
      </w:r>
    </w:p>
    <w:p w14:paraId="28C945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）法律法规规定的其他情形。</w:t>
      </w:r>
    </w:p>
    <w:p w14:paraId="75931B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对于另行安排时间开标、评标（定标）的项目，有关业绩、奖项等评审资料仍以原截标时间为准，开标时，招标人（招标代理机构）须出具书面说明，提请评委注意有关评标业绩仍以原截标时间为准。</w:t>
      </w:r>
    </w:p>
    <w:p w14:paraId="0A2A259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17.1</w:t>
      </w:r>
      <w:r>
        <w:rPr>
          <w:rFonts w:hint="eastAsia" w:ascii="宋体" w:hAnsi="宋体" w:eastAsia="宋体" w:cs="宋体"/>
          <w:color w:val="auto"/>
          <w:kern w:val="0"/>
          <w:sz w:val="24"/>
          <w:szCs w:val="24"/>
          <w:highlight w:val="none"/>
        </w:rPr>
        <w:t>.2评审或评标过程中如遇系统故障等突发事件，评标</w:t>
      </w:r>
      <w:r>
        <w:rPr>
          <w:rFonts w:hint="eastAsia" w:ascii="宋体" w:hAnsi="宋体" w:eastAsia="宋体" w:cs="宋体"/>
          <w:color w:val="auto"/>
          <w:kern w:val="0"/>
          <w:sz w:val="24"/>
          <w:szCs w:val="24"/>
          <w:highlight w:val="none"/>
          <w:lang w:eastAsia="zh-CN"/>
        </w:rPr>
        <w:t>定标</w:t>
      </w:r>
      <w:r>
        <w:rPr>
          <w:rFonts w:hint="eastAsia" w:ascii="宋体" w:hAnsi="宋体" w:eastAsia="宋体" w:cs="宋体"/>
          <w:color w:val="auto"/>
          <w:kern w:val="0"/>
          <w:sz w:val="24"/>
          <w:szCs w:val="24"/>
          <w:highlight w:val="none"/>
        </w:rPr>
        <w:t>专家应及时与现场工作人员沟通解决。</w:t>
      </w:r>
    </w:p>
    <w:p w14:paraId="18E7676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14:paraId="235A833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AD13A6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14:paraId="680AC93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电子招标投标中止、终止或结束后，招标人（招标代理机构）应将电子招标投标活动的记录下载打印成纸质文档存档。</w:t>
      </w:r>
    </w:p>
    <w:p w14:paraId="0756EAD3">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lang w:val="en-US" w:eastAsia="zh-CN"/>
        </w:rPr>
      </w:pPr>
      <w:bookmarkStart w:id="76" w:name="_Toc28586"/>
      <w:r>
        <w:rPr>
          <w:rFonts w:hint="eastAsia" w:ascii="宋体" w:hAnsi="宋体" w:eastAsia="宋体" w:cs="宋体"/>
          <w:b/>
          <w:bCs/>
          <w:color w:val="auto"/>
          <w:kern w:val="0"/>
          <w:sz w:val="24"/>
          <w:szCs w:val="24"/>
          <w:highlight w:val="none"/>
          <w:lang w:val="en-US" w:eastAsia="zh-CN"/>
        </w:rPr>
        <w:t>18．相关规定</w:t>
      </w:r>
      <w:bookmarkEnd w:id="76"/>
    </w:p>
    <w:p w14:paraId="74C3339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18.1</w:t>
      </w:r>
      <w:r>
        <w:rPr>
          <w:rFonts w:hint="eastAsia" w:ascii="宋体" w:hAnsi="宋体" w:eastAsia="宋体" w:cs="宋体"/>
          <w:color w:val="auto"/>
          <w:kern w:val="0"/>
          <w:sz w:val="24"/>
          <w:szCs w:val="24"/>
          <w:highlight w:val="none"/>
        </w:rPr>
        <w:t>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14:paraId="6960FDF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投标人在电子招标投标活动中实施下列行为之一，所产生的后果由投标人自行承担。</w:t>
      </w:r>
    </w:p>
    <w:p w14:paraId="3D1E09A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（1）投标人的数字证书和密码被他人冒用、盗用；</w:t>
      </w:r>
    </w:p>
    <w:p w14:paraId="34F87BF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（2）使用他人数字证书或把数字证书借给他人使用的，依法按以他人名义投标处理；有围标串标行为的，依法按串通投标处理；</w:t>
      </w:r>
    </w:p>
    <w:p w14:paraId="6062387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（3）因投标人计算机系统遭遇网络堵塞、病毒入侵、硬件故障等导致不能正常登录网上招标投标系统参与投标；</w:t>
      </w:r>
    </w:p>
    <w:p w14:paraId="3AD555E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（4）经</w:t>
      </w:r>
      <w:r>
        <w:rPr>
          <w:rFonts w:hint="eastAsia" w:ascii="宋体" w:hAnsi="宋体" w:eastAsia="宋体" w:cs="宋体"/>
          <w:color w:val="auto"/>
          <w:kern w:val="0"/>
          <w:sz w:val="24"/>
          <w:szCs w:val="24"/>
          <w:highlight w:val="none"/>
          <w:lang w:eastAsia="zh-CN"/>
        </w:rPr>
        <w:t>电子招标投标</w:t>
      </w:r>
      <w:r>
        <w:rPr>
          <w:rFonts w:hint="eastAsia" w:ascii="宋体" w:hAnsi="宋体" w:eastAsia="宋体" w:cs="宋体"/>
          <w:color w:val="auto"/>
          <w:kern w:val="0"/>
          <w:sz w:val="24"/>
          <w:szCs w:val="24"/>
          <w:highlight w:val="none"/>
        </w:rPr>
        <w:t>系统检测到投标人</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sz w:val="24"/>
          <w:szCs w:val="24"/>
          <w:highlight w:val="none"/>
        </w:rPr>
        <w:t>投标文件编制及上传存在</w:t>
      </w:r>
      <w:r>
        <w:rPr>
          <w:rFonts w:hint="eastAsia" w:ascii="宋体" w:hAnsi="宋体" w:eastAsia="宋体" w:cs="宋体"/>
          <w:color w:val="auto"/>
          <w:sz w:val="24"/>
          <w:szCs w:val="24"/>
          <w:highlight w:val="none"/>
          <w:lang w:eastAsia="zh-CN"/>
        </w:rPr>
        <w:t>有与不同投标人</w:t>
      </w:r>
      <w:r>
        <w:rPr>
          <w:rFonts w:hint="eastAsia" w:ascii="宋体" w:hAnsi="宋体" w:eastAsia="宋体" w:cs="宋体"/>
          <w:color w:val="auto"/>
          <w:sz w:val="24"/>
          <w:szCs w:val="24"/>
          <w:highlight w:val="none"/>
        </w:rPr>
        <w:t>同一网卡地址、硬盘序列号、软件序列号或投标文件异常一致（通过</w:t>
      </w:r>
      <w:r>
        <w:rPr>
          <w:rFonts w:hint="eastAsia" w:ascii="宋体" w:hAnsi="宋体" w:eastAsia="宋体" w:cs="宋体"/>
          <w:color w:val="auto"/>
          <w:sz w:val="24"/>
          <w:szCs w:val="24"/>
          <w:highlight w:val="none"/>
          <w:lang w:eastAsia="zh-CN"/>
        </w:rPr>
        <w:t>公共资源</w:t>
      </w:r>
      <w:r>
        <w:rPr>
          <w:rFonts w:hint="eastAsia" w:ascii="宋体" w:hAnsi="宋体" w:eastAsia="宋体" w:cs="宋体"/>
          <w:color w:val="auto"/>
          <w:sz w:val="24"/>
          <w:szCs w:val="24"/>
          <w:highlight w:val="none"/>
        </w:rPr>
        <w:t>交易中心计算机编制或上传的除外）</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情形</w:t>
      </w:r>
      <w:r>
        <w:rPr>
          <w:rFonts w:hint="eastAsia" w:ascii="宋体" w:hAnsi="宋体" w:eastAsia="宋体" w:cs="宋体"/>
          <w:color w:val="auto"/>
          <w:kern w:val="0"/>
          <w:sz w:val="24"/>
          <w:szCs w:val="24"/>
          <w:highlight w:val="none"/>
        </w:rPr>
        <w:t>，视为串通投标行为，其投标无效，并依法处理。</w:t>
      </w:r>
    </w:p>
    <w:p w14:paraId="30257E6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电子招标</w:t>
      </w:r>
      <w:r>
        <w:rPr>
          <w:rFonts w:hint="eastAsia" w:ascii="宋体" w:hAnsi="宋体" w:eastAsia="宋体" w:cs="宋体"/>
          <w:color w:val="auto"/>
          <w:sz w:val="24"/>
          <w:szCs w:val="24"/>
          <w:highlight w:val="none"/>
        </w:rPr>
        <w:t>投标活动的各类注册人员和相关从业人员，应当在</w:t>
      </w:r>
      <w:r>
        <w:rPr>
          <w:rFonts w:hint="eastAsia" w:ascii="宋体" w:hAnsi="宋体" w:eastAsia="宋体" w:cs="宋体"/>
          <w:color w:val="auto"/>
          <w:kern w:val="0"/>
          <w:sz w:val="24"/>
          <w:szCs w:val="24"/>
          <w:highlight w:val="none"/>
          <w:lang w:val="en-US" w:eastAsia="zh-CN"/>
        </w:rPr>
        <w:t>投标系统</w:t>
      </w:r>
      <w:r>
        <w:rPr>
          <w:rFonts w:hint="eastAsia" w:ascii="宋体" w:hAnsi="宋体" w:eastAsia="宋体" w:cs="宋体"/>
          <w:color w:val="auto"/>
          <w:sz w:val="24"/>
          <w:szCs w:val="24"/>
          <w:highlight w:val="none"/>
        </w:rPr>
        <w:t>中选取。</w:t>
      </w:r>
      <w:r>
        <w:rPr>
          <w:rFonts w:hint="eastAsia" w:ascii="宋体" w:hAnsi="宋体" w:eastAsia="宋体" w:cs="宋体"/>
          <w:color w:val="auto"/>
          <w:kern w:val="0"/>
          <w:sz w:val="24"/>
          <w:szCs w:val="24"/>
          <w:highlight w:val="none"/>
        </w:rPr>
        <w:t xml:space="preserve"> 参加投标之前，投标人应</w:t>
      </w:r>
      <w:r>
        <w:rPr>
          <w:rFonts w:hint="eastAsia" w:ascii="宋体" w:hAnsi="宋体" w:eastAsia="宋体" w:cs="宋体"/>
          <w:color w:val="auto"/>
          <w:kern w:val="0"/>
          <w:sz w:val="24"/>
          <w:szCs w:val="24"/>
          <w:highlight w:val="none"/>
          <w:lang w:eastAsia="zh-CN"/>
        </w:rPr>
        <w:t>确保</w:t>
      </w:r>
      <w:r>
        <w:rPr>
          <w:rFonts w:hint="eastAsia" w:ascii="宋体" w:hAnsi="宋体" w:eastAsia="宋体" w:cs="宋体"/>
          <w:color w:val="auto"/>
          <w:kern w:val="0"/>
          <w:sz w:val="24"/>
          <w:szCs w:val="24"/>
          <w:highlight w:val="none"/>
        </w:rPr>
        <w:t>拟派</w:t>
      </w:r>
      <w:r>
        <w:rPr>
          <w:rFonts w:hint="eastAsia" w:ascii="宋体" w:hAnsi="宋体" w:eastAsia="宋体" w:cs="宋体"/>
          <w:color w:val="auto"/>
          <w:kern w:val="0"/>
          <w:sz w:val="24"/>
          <w:szCs w:val="24"/>
          <w:highlight w:val="none"/>
          <w:lang w:eastAsia="zh-CN"/>
        </w:rPr>
        <w:t>参加</w:t>
      </w:r>
      <w:r>
        <w:rPr>
          <w:rFonts w:hint="eastAsia"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lang w:eastAsia="zh-CN"/>
        </w:rPr>
        <w:t>人员</w:t>
      </w:r>
      <w:r>
        <w:rPr>
          <w:rFonts w:hint="eastAsia" w:ascii="宋体" w:hAnsi="宋体" w:eastAsia="宋体" w:cs="宋体"/>
          <w:color w:val="auto"/>
          <w:kern w:val="0"/>
          <w:sz w:val="24"/>
          <w:szCs w:val="24"/>
          <w:highlight w:val="none"/>
        </w:rPr>
        <w:t>信息与</w:t>
      </w:r>
      <w:r>
        <w:rPr>
          <w:rFonts w:hint="eastAsia" w:ascii="宋体" w:hAnsi="宋体" w:eastAsia="宋体" w:cs="宋体"/>
          <w:color w:val="auto"/>
          <w:kern w:val="0"/>
          <w:sz w:val="24"/>
          <w:szCs w:val="24"/>
          <w:highlight w:val="none"/>
          <w:lang w:val="en-US" w:eastAsia="zh-CN"/>
        </w:rPr>
        <w:t>投标系统</w:t>
      </w:r>
      <w:r>
        <w:rPr>
          <w:rFonts w:hint="eastAsia" w:ascii="宋体" w:hAnsi="宋体" w:eastAsia="宋体" w:cs="宋体"/>
          <w:color w:val="auto"/>
          <w:sz w:val="24"/>
          <w:szCs w:val="24"/>
          <w:highlight w:val="none"/>
        </w:rPr>
        <w:t>人员</w:t>
      </w:r>
      <w:r>
        <w:rPr>
          <w:rFonts w:hint="eastAsia" w:ascii="宋体" w:hAnsi="宋体" w:eastAsia="宋体" w:cs="宋体"/>
          <w:b w:val="0"/>
          <w:bCs w:val="0"/>
          <w:color w:val="auto"/>
          <w:sz w:val="24"/>
          <w:szCs w:val="24"/>
          <w:highlight w:val="none"/>
        </w:rPr>
        <w:t>信息</w:t>
      </w:r>
      <w:r>
        <w:rPr>
          <w:rFonts w:hint="eastAsia" w:ascii="宋体" w:hAnsi="宋体" w:eastAsia="宋体" w:cs="宋体"/>
          <w:color w:val="auto"/>
          <w:kern w:val="0"/>
          <w:sz w:val="24"/>
          <w:szCs w:val="24"/>
          <w:highlight w:val="none"/>
        </w:rPr>
        <w:t>一致，以免造成投标不成功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因其可能引起的一切后果由投标人自行承担。</w:t>
      </w:r>
    </w:p>
    <w:p w14:paraId="47706D6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sz w:val="24"/>
          <w:szCs w:val="24"/>
          <w:highlight w:val="none"/>
        </w:rPr>
        <w:t xml:space="preserve">4 </w:t>
      </w:r>
      <w:r>
        <w:rPr>
          <w:rFonts w:hint="eastAsia" w:ascii="宋体" w:hAnsi="宋体" w:eastAsia="宋体" w:cs="宋体"/>
          <w:color w:val="auto"/>
          <w:kern w:val="0"/>
          <w:sz w:val="24"/>
          <w:szCs w:val="24"/>
          <w:highlight w:val="none"/>
        </w:rPr>
        <w:t>拟派</w:t>
      </w:r>
      <w:r>
        <w:rPr>
          <w:rFonts w:hint="eastAsia" w:ascii="宋体" w:hAnsi="宋体" w:eastAsia="宋体" w:cs="宋体"/>
          <w:color w:val="auto"/>
          <w:kern w:val="0"/>
          <w:sz w:val="24"/>
          <w:szCs w:val="24"/>
          <w:highlight w:val="none"/>
          <w:lang w:eastAsia="zh-CN"/>
        </w:rPr>
        <w:t>参加</w:t>
      </w:r>
      <w:r>
        <w:rPr>
          <w:rFonts w:hint="eastAsia" w:ascii="宋体" w:hAnsi="宋体" w:eastAsia="宋体" w:cs="宋体"/>
          <w:color w:val="auto"/>
          <w:kern w:val="0"/>
          <w:sz w:val="24"/>
          <w:szCs w:val="24"/>
          <w:highlight w:val="none"/>
        </w:rPr>
        <w:t>投标</w:t>
      </w:r>
      <w:r>
        <w:rPr>
          <w:rFonts w:hint="eastAsia" w:ascii="宋体" w:hAnsi="宋体" w:eastAsia="宋体" w:cs="宋体"/>
          <w:color w:val="auto"/>
          <w:sz w:val="24"/>
          <w:szCs w:val="24"/>
          <w:highlight w:val="none"/>
        </w:rPr>
        <w:t>担任</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项目负责人的建造师，在施工报建时，由核发施工许可证的主管部门对其进行锁定。工程项目已通过竣工验收并提供竣工验收报告，</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可向</w:t>
      </w:r>
      <w:r>
        <w:rPr>
          <w:rFonts w:hint="eastAsia" w:ascii="宋体" w:hAnsi="宋体" w:eastAsia="宋体" w:cs="宋体"/>
          <w:color w:val="auto"/>
          <w:sz w:val="24"/>
          <w:szCs w:val="24"/>
          <w:highlight w:val="none"/>
          <w:lang w:eastAsia="zh-CN"/>
        </w:rPr>
        <w:t>原</w:t>
      </w:r>
      <w:r>
        <w:rPr>
          <w:rFonts w:hint="eastAsia" w:ascii="宋体" w:hAnsi="宋体" w:eastAsia="宋体" w:cs="宋体"/>
          <w:color w:val="auto"/>
          <w:sz w:val="24"/>
          <w:szCs w:val="24"/>
          <w:highlight w:val="none"/>
        </w:rPr>
        <w:t>核发施工许可证的主管部门申请解锁</w:t>
      </w:r>
      <w:r>
        <w:rPr>
          <w:rFonts w:hint="eastAsia" w:ascii="宋体" w:hAnsi="宋体" w:eastAsia="宋体" w:cs="宋体"/>
          <w:color w:val="auto"/>
          <w:sz w:val="24"/>
          <w:szCs w:val="24"/>
          <w:highlight w:val="none"/>
          <w:lang w:eastAsia="zh-CN"/>
        </w:rPr>
        <w:t>原已</w:t>
      </w:r>
      <w:r>
        <w:rPr>
          <w:rFonts w:hint="eastAsia" w:ascii="宋体" w:hAnsi="宋体" w:eastAsia="宋体" w:cs="宋体"/>
          <w:color w:val="auto"/>
          <w:sz w:val="24"/>
          <w:szCs w:val="24"/>
          <w:highlight w:val="none"/>
        </w:rPr>
        <w:t>锁定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建造师</w:t>
      </w:r>
      <w:r>
        <w:rPr>
          <w:rFonts w:hint="eastAsia" w:ascii="宋体" w:hAnsi="宋体" w:eastAsia="宋体" w:cs="宋体"/>
          <w:color w:val="auto"/>
          <w:sz w:val="24"/>
          <w:szCs w:val="24"/>
          <w:highlight w:val="none"/>
          <w:lang w:eastAsia="zh-CN"/>
        </w:rPr>
        <w:t>。</w:t>
      </w:r>
    </w:p>
    <w:p w14:paraId="1B93933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电子评标的项目，</w:t>
      </w:r>
      <w:r>
        <w:rPr>
          <w:rFonts w:hint="eastAsia" w:ascii="宋体" w:hAnsi="宋体" w:eastAsia="宋体" w:cs="宋体"/>
          <w:color w:val="auto"/>
          <w:kern w:val="0"/>
          <w:sz w:val="24"/>
          <w:szCs w:val="24"/>
          <w:highlight w:val="none"/>
          <w:lang w:eastAsia="zh-CN"/>
        </w:rPr>
        <w:t>投标时，</w:t>
      </w:r>
      <w:r>
        <w:rPr>
          <w:rFonts w:hint="eastAsia" w:ascii="宋体" w:hAnsi="宋体" w:eastAsia="宋体" w:cs="宋体"/>
          <w:color w:val="auto"/>
          <w:kern w:val="0"/>
          <w:sz w:val="24"/>
          <w:szCs w:val="24"/>
          <w:highlight w:val="none"/>
        </w:rPr>
        <w:t>投标文件一律不接受纸质文件，投标人须递交具备法律效力的电子投标文件。</w:t>
      </w:r>
    </w:p>
    <w:p w14:paraId="08D387C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经数字证书签章签名上传的招标资料或投标资料具有法律效力。招标人（招标代理机构）、潜在投标人应当对其上传资料的真实性、完整性和准确性负责。</w:t>
      </w:r>
    </w:p>
    <w:p w14:paraId="0C192D4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rPr>
        <w:t>评标（定标）工作完成后，电子招标投标系统将电子辅助评标（定标）过程产生的数据和记录自动存档，并进行数据的汇总、统计，供有关部门查询、监督。</w:t>
      </w:r>
    </w:p>
    <w:p w14:paraId="367893E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8电子辅助评标（定标）的档案，除纪检监察机关、行政监督部门或者司法机关依法进行核查外，其他任何单位或个人不得擅自查阅档案资料。</w:t>
      </w:r>
    </w:p>
    <w:p w14:paraId="65B75130">
      <w:pPr>
        <w:pStyle w:val="6"/>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ind w:left="0" w:leftChars="0" w:firstLine="482" w:firstLineChars="200"/>
        <w:jc w:val="left"/>
        <w:textAlignment w:val="auto"/>
        <w:outlineLvl w:val="2"/>
        <w:rPr>
          <w:rFonts w:hint="eastAsia" w:ascii="宋体" w:hAnsi="宋体" w:eastAsia="宋体" w:cs="宋体"/>
          <w:b/>
          <w:bCs/>
          <w:color w:val="auto"/>
          <w:kern w:val="0"/>
          <w:sz w:val="24"/>
          <w:szCs w:val="24"/>
          <w:highlight w:val="none"/>
          <w:lang w:val="en-US" w:eastAsia="zh-CN"/>
        </w:rPr>
      </w:pPr>
      <w:bookmarkStart w:id="77" w:name="_Toc3462"/>
      <w:r>
        <w:rPr>
          <w:rFonts w:hint="eastAsia" w:ascii="宋体" w:hAnsi="宋体" w:eastAsia="宋体" w:cs="宋体"/>
          <w:b/>
          <w:bCs/>
          <w:color w:val="auto"/>
          <w:kern w:val="0"/>
          <w:sz w:val="24"/>
          <w:szCs w:val="24"/>
          <w:highlight w:val="none"/>
          <w:lang w:val="en-US" w:eastAsia="zh-CN"/>
        </w:rPr>
        <w:t>19．其他</w:t>
      </w:r>
      <w:bookmarkEnd w:id="77"/>
    </w:p>
    <w:p w14:paraId="5949D171">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19.1.放弃中标的处理</w:t>
      </w:r>
    </w:p>
    <w:p w14:paraId="0FF4F2CB">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19.1.1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1CF04CB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19.1.2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20D74BF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19.1.3 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25B82220">
      <w:pPr>
        <w:pageBreakBefore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szCs w:val="24"/>
          <w:highlight w:val="none"/>
          <w:lang w:val="en-US" w:eastAsia="zh-CN"/>
        </w:rPr>
        <w:t>19.1.4.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2890F9C9">
      <w:pPr>
        <w:rPr>
          <w:rFonts w:hint="eastAsia" w:ascii="宋体" w:hAnsi="宋体" w:eastAsia="宋体" w:cs="宋体"/>
        </w:rPr>
      </w:pPr>
      <w:bookmarkStart w:id="78" w:name="_Toc26755"/>
    </w:p>
    <w:p w14:paraId="74CCB249">
      <w:pPr>
        <w:rPr>
          <w:rFonts w:hint="eastAsia" w:ascii="宋体" w:hAnsi="宋体" w:eastAsia="宋体" w:cs="宋体"/>
          <w:color w:val="auto"/>
          <w:highlight w:val="none"/>
        </w:rPr>
      </w:pPr>
    </w:p>
    <w:p w14:paraId="1EFCB8D4">
      <w:pPr>
        <w:rPr>
          <w:rFonts w:hint="eastAsia" w:ascii="宋体" w:hAnsi="宋体" w:eastAsia="宋体" w:cs="宋体"/>
          <w:color w:val="auto"/>
          <w:highlight w:val="none"/>
        </w:rPr>
      </w:pPr>
    </w:p>
    <w:p w14:paraId="35F79079">
      <w:pPr>
        <w:rPr>
          <w:rFonts w:hint="eastAsia" w:ascii="宋体" w:hAnsi="宋体" w:eastAsia="宋体" w:cs="宋体"/>
          <w:color w:val="auto"/>
          <w:highlight w:val="none"/>
        </w:rPr>
      </w:pPr>
    </w:p>
    <w:p w14:paraId="13C69477">
      <w:pPr>
        <w:rPr>
          <w:rFonts w:hint="eastAsia" w:ascii="宋体" w:hAnsi="宋体" w:eastAsia="宋体" w:cs="宋体"/>
          <w:color w:val="auto"/>
          <w:highlight w:val="none"/>
        </w:rPr>
      </w:pPr>
    </w:p>
    <w:p w14:paraId="0C5C666D">
      <w:pPr>
        <w:rPr>
          <w:rFonts w:hint="eastAsia" w:ascii="宋体" w:hAnsi="宋体" w:eastAsia="宋体" w:cs="宋体"/>
          <w:color w:val="auto"/>
          <w:highlight w:val="none"/>
        </w:rPr>
      </w:pPr>
    </w:p>
    <w:p w14:paraId="614CA95A">
      <w:pPr>
        <w:rPr>
          <w:rFonts w:hint="eastAsia" w:ascii="宋体" w:hAnsi="宋体" w:eastAsia="宋体" w:cs="宋体"/>
          <w:color w:val="auto"/>
          <w:highlight w:val="none"/>
        </w:rPr>
      </w:pPr>
    </w:p>
    <w:p w14:paraId="30DB7CC1">
      <w:pPr>
        <w:rPr>
          <w:rFonts w:hint="eastAsia" w:ascii="宋体" w:hAnsi="宋体" w:eastAsia="宋体" w:cs="宋体"/>
          <w:color w:val="auto"/>
          <w:highlight w:val="none"/>
        </w:rPr>
      </w:pPr>
    </w:p>
    <w:p w14:paraId="1F64259E">
      <w:pPr>
        <w:rPr>
          <w:rFonts w:hint="eastAsia" w:ascii="宋体" w:hAnsi="宋体" w:eastAsia="宋体" w:cs="宋体"/>
          <w:b/>
          <w:color w:val="auto"/>
          <w:kern w:val="2"/>
          <w:sz w:val="28"/>
          <w:szCs w:val="24"/>
          <w:lang w:val="en-US" w:eastAsia="zh-CN"/>
        </w:rPr>
      </w:pPr>
      <w:bookmarkStart w:id="79" w:name="_Toc29495"/>
      <w:r>
        <w:rPr>
          <w:rFonts w:hint="eastAsia" w:ascii="宋体" w:hAnsi="宋体" w:eastAsia="宋体" w:cs="宋体"/>
          <w:b/>
          <w:color w:val="auto"/>
          <w:kern w:val="2"/>
          <w:sz w:val="28"/>
          <w:szCs w:val="24"/>
          <w:lang w:val="en-US" w:eastAsia="zh-CN"/>
        </w:rPr>
        <w:br w:type="page"/>
      </w:r>
    </w:p>
    <w:p w14:paraId="76F201E4">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r>
        <w:rPr>
          <w:rFonts w:hint="eastAsia" w:ascii="宋体" w:hAnsi="宋体" w:eastAsia="宋体" w:cs="宋体"/>
          <w:b/>
          <w:color w:val="auto"/>
          <w:kern w:val="2"/>
          <w:sz w:val="28"/>
          <w:szCs w:val="24"/>
          <w:lang w:val="en-US" w:eastAsia="zh-CN"/>
        </w:rPr>
        <w:t>第四节   评标定标办法</w:t>
      </w:r>
      <w:bookmarkEnd w:id="79"/>
    </w:p>
    <w:p w14:paraId="39EEE8F9">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rPr>
      </w:pPr>
      <w:bookmarkStart w:id="80" w:name="_Toc25930"/>
      <w:r>
        <w:rPr>
          <w:rFonts w:hint="eastAsia" w:ascii="宋体" w:hAnsi="宋体" w:eastAsia="宋体" w:cs="宋体"/>
          <w:b/>
          <w:bCs/>
          <w:color w:val="auto"/>
          <w:kern w:val="0"/>
          <w:sz w:val="24"/>
          <w:szCs w:val="24"/>
          <w:highlight w:val="none"/>
        </w:rPr>
        <w:t>一、评标</w:t>
      </w:r>
      <w:r>
        <w:rPr>
          <w:rFonts w:hint="eastAsia" w:ascii="宋体" w:hAnsi="宋体" w:eastAsia="宋体" w:cs="宋体"/>
          <w:b/>
          <w:bCs/>
          <w:color w:val="auto"/>
          <w:kern w:val="0"/>
          <w:sz w:val="24"/>
          <w:szCs w:val="24"/>
          <w:highlight w:val="none"/>
          <w:lang w:eastAsia="zh-CN"/>
        </w:rPr>
        <w:t>定标</w:t>
      </w:r>
      <w:r>
        <w:rPr>
          <w:rFonts w:hint="eastAsia" w:ascii="宋体" w:hAnsi="宋体" w:eastAsia="宋体" w:cs="宋体"/>
          <w:b/>
          <w:bCs/>
          <w:color w:val="auto"/>
          <w:kern w:val="0"/>
          <w:sz w:val="24"/>
          <w:szCs w:val="24"/>
          <w:highlight w:val="none"/>
        </w:rPr>
        <w:t>原则</w:t>
      </w:r>
      <w:bookmarkEnd w:id="80"/>
    </w:p>
    <w:p w14:paraId="344C302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工作应依据《中华人民共和国招标投标法》及广东省、</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有关招标投标法规和规定，</w:t>
      </w:r>
      <w:r>
        <w:rPr>
          <w:rFonts w:hint="eastAsia" w:ascii="宋体" w:hAnsi="宋体" w:eastAsia="宋体" w:cs="宋体"/>
          <w:color w:val="auto"/>
          <w:sz w:val="24"/>
          <w:szCs w:val="24"/>
          <w:highlight w:val="none"/>
          <w:lang w:eastAsia="zh-CN"/>
        </w:rPr>
        <w:t>遵循“公平、公正、科学、择优”的原则</w:t>
      </w:r>
      <w:r>
        <w:rPr>
          <w:rFonts w:hint="eastAsia" w:ascii="宋体" w:hAnsi="宋体" w:eastAsia="宋体" w:cs="宋体"/>
          <w:color w:val="auto"/>
          <w:sz w:val="24"/>
          <w:szCs w:val="24"/>
          <w:highlight w:val="none"/>
        </w:rPr>
        <w:t>进行。</w:t>
      </w:r>
    </w:p>
    <w:p w14:paraId="1E542C0E">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eastAsia="zh-CN"/>
        </w:rPr>
      </w:pPr>
      <w:bookmarkStart w:id="81" w:name="_Toc17102"/>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定标</w:t>
      </w:r>
      <w:r>
        <w:rPr>
          <w:rFonts w:hint="eastAsia" w:ascii="宋体" w:hAnsi="宋体" w:eastAsia="宋体" w:cs="宋体"/>
          <w:b/>
          <w:bCs/>
          <w:color w:val="auto"/>
          <w:kern w:val="0"/>
          <w:sz w:val="24"/>
          <w:szCs w:val="24"/>
          <w:highlight w:val="none"/>
          <w:lang w:eastAsia="zh-CN"/>
        </w:rPr>
        <w:t>规则</w:t>
      </w:r>
      <w:bookmarkEnd w:id="81"/>
    </w:p>
    <w:p w14:paraId="75BAFEA7">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标委员会应当根据招标文件规定的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w:t>
      </w:r>
      <w:r>
        <w:rPr>
          <w:rFonts w:hint="eastAsia" w:ascii="宋体" w:hAnsi="宋体" w:eastAsia="宋体" w:cs="宋体"/>
          <w:b w:val="0"/>
          <w:i w:val="0"/>
          <w:snapToGrid/>
          <w:color w:val="auto"/>
          <w:sz w:val="24"/>
          <w:szCs w:val="24"/>
          <w:highlight w:val="none"/>
          <w:u w:val="none"/>
          <w:shd w:val="clear" w:color="auto" w:fill="FFFFFF"/>
          <w:lang w:eastAsia="zh-CN"/>
        </w:rPr>
        <w:t>对定标候选人</w:t>
      </w:r>
      <w:r>
        <w:rPr>
          <w:rFonts w:hint="eastAsia" w:ascii="宋体" w:hAnsi="宋体" w:eastAsia="宋体" w:cs="宋体"/>
          <w:color w:val="auto"/>
          <w:sz w:val="24"/>
          <w:szCs w:val="24"/>
          <w:highlight w:val="none"/>
        </w:rPr>
        <w:t>进行系统地评审和比较。招标文件中没有规定的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不得作为</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标的依据。</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独立完成对</w:t>
      </w:r>
      <w:r>
        <w:rPr>
          <w:rFonts w:hint="eastAsia" w:ascii="宋体" w:hAnsi="宋体" w:eastAsia="宋体" w:cs="宋体"/>
          <w:b w:val="0"/>
          <w:i w:val="0"/>
          <w:snapToGrid/>
          <w:color w:val="auto"/>
          <w:sz w:val="24"/>
          <w:szCs w:val="24"/>
          <w:highlight w:val="none"/>
          <w:u w:val="none"/>
          <w:shd w:val="clear" w:color="auto" w:fill="FFFFFF"/>
          <w:lang w:eastAsia="zh-CN"/>
        </w:rPr>
        <w:t>定标候选人</w:t>
      </w:r>
      <w:r>
        <w:rPr>
          <w:rFonts w:hint="eastAsia" w:ascii="宋体" w:hAnsi="宋体" w:eastAsia="宋体" w:cs="宋体"/>
          <w:color w:val="auto"/>
          <w:sz w:val="24"/>
          <w:szCs w:val="24"/>
          <w:highlight w:val="none"/>
        </w:rPr>
        <w:t>的评审，并对</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对各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标结果进行汇总。</w:t>
      </w:r>
    </w:p>
    <w:bookmarkEnd w:id="78"/>
    <w:p w14:paraId="19A19714">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eastAsia="zh-CN"/>
        </w:rPr>
      </w:pPr>
      <w:bookmarkStart w:id="82" w:name="_Toc30580"/>
      <w:r>
        <w:rPr>
          <w:rFonts w:hint="eastAsia" w:ascii="宋体" w:hAnsi="宋体" w:eastAsia="宋体" w:cs="宋体"/>
          <w:b/>
          <w:bCs/>
          <w:color w:val="auto"/>
          <w:kern w:val="0"/>
          <w:sz w:val="24"/>
          <w:szCs w:val="24"/>
          <w:highlight w:val="none"/>
          <w:lang w:eastAsia="zh-CN"/>
        </w:rPr>
        <w:t>三、评标细则</w:t>
      </w:r>
      <w:bookmarkEnd w:id="82"/>
    </w:p>
    <w:p w14:paraId="0947F50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根据有关法律、法规的相关规定，结合本招标项目资金来源和规模特点，本次招标采用</w:t>
      </w:r>
      <w:r>
        <w:rPr>
          <w:rFonts w:hint="eastAsia" w:ascii="宋体" w:hAnsi="宋体" w:eastAsia="宋体" w:cs="宋体"/>
          <w:b/>
          <w:bCs/>
          <w:snapToGrid w:val="0"/>
          <w:color w:val="auto"/>
          <w:kern w:val="0"/>
          <w:sz w:val="24"/>
          <w:highlight w:val="none"/>
          <w:u w:val="single"/>
          <w:lang w:eastAsia="zh-CN"/>
        </w:rPr>
        <w:t>综合评分法</w:t>
      </w:r>
      <w:r>
        <w:rPr>
          <w:rFonts w:hint="eastAsia" w:ascii="宋体" w:hAnsi="宋体" w:eastAsia="宋体" w:cs="宋体"/>
          <w:snapToGrid w:val="0"/>
          <w:color w:val="auto"/>
          <w:kern w:val="0"/>
          <w:sz w:val="24"/>
          <w:highlight w:val="none"/>
        </w:rPr>
        <w:t>进行评标。</w:t>
      </w:r>
    </w:p>
    <w:p w14:paraId="4B57C3F6">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b/>
          <w:bCs/>
          <w:color w:val="auto"/>
          <w:sz w:val="24"/>
          <w:szCs w:val="24"/>
          <w:highlight w:val="none"/>
          <w:lang w:eastAsia="zh-CN"/>
        </w:rPr>
      </w:pPr>
      <w:bookmarkStart w:id="83" w:name="_Toc15501"/>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）评审范围</w:t>
      </w:r>
      <w:bookmarkEnd w:id="83"/>
    </w:p>
    <w:p w14:paraId="60C8A757">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评标委员会应对所有投标人的投标文件进行评审。</w:t>
      </w:r>
    </w:p>
    <w:p w14:paraId="77CD9703">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b/>
          <w:bCs/>
          <w:color w:val="auto"/>
          <w:sz w:val="24"/>
          <w:szCs w:val="24"/>
          <w:highlight w:val="none"/>
        </w:rPr>
      </w:pPr>
      <w:bookmarkStart w:id="84" w:name="_Toc20456"/>
      <w:bookmarkStart w:id="85" w:name="_Toc17846"/>
      <w:bookmarkStart w:id="86" w:name="_Toc27584"/>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初步评审阶段</w:t>
      </w:r>
      <w:bookmarkEnd w:id="84"/>
      <w:bookmarkEnd w:id="85"/>
    </w:p>
    <w:bookmarkEnd w:id="86"/>
    <w:p w14:paraId="2E54F764">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初步评审阶段分为资格评审、形式评审和响应性评审三个环节。</w:t>
      </w:r>
    </w:p>
    <w:p w14:paraId="7FFA50B9">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在初步评审阶段任何环节，有效投标人数量不足3个时，评标委员会可以否决全部投标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未否决全部投标的，评标委员会应当在评标报告中阐明理由，但评标委员会在进行详细评审时仍有权否决全部投标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评标委员会未在详细评审时否决全部投标的，应当在评标报告中阐明理由并推荐定标候选人。</w:t>
      </w:r>
    </w:p>
    <w:p w14:paraId="70CEB90C">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资格评审环节</w:t>
      </w:r>
    </w:p>
    <w:p w14:paraId="34F431E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资格评审事项包括：</w:t>
      </w:r>
    </w:p>
    <w:p w14:paraId="225C7B6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（1）投标人是否符合本章第三节</w:t>
      </w:r>
      <w:r>
        <w:rPr>
          <w:rFonts w:hint="eastAsia" w:ascii="宋体" w:hAnsi="宋体" w:eastAsia="宋体" w:cs="宋体"/>
          <w:b/>
          <w:bCs/>
          <w:snapToGrid w:val="0"/>
          <w:color w:val="auto"/>
          <w:kern w:val="0"/>
          <w:sz w:val="24"/>
          <w:szCs w:val="24"/>
          <w:highlight w:val="none"/>
        </w:rPr>
        <w:t>第2.4条</w:t>
      </w:r>
      <w:r>
        <w:rPr>
          <w:rFonts w:hint="eastAsia" w:ascii="宋体" w:hAnsi="宋体" w:eastAsia="宋体" w:cs="宋体"/>
          <w:snapToGrid w:val="0"/>
          <w:color w:val="auto"/>
          <w:kern w:val="0"/>
          <w:sz w:val="24"/>
          <w:szCs w:val="24"/>
          <w:highlight w:val="none"/>
        </w:rPr>
        <w:t>“禁止投标条款”规定。</w:t>
      </w:r>
    </w:p>
    <w:p w14:paraId="4AEBDCF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（2）投标人名称是否与营业执照、资质证书一致。</w:t>
      </w:r>
    </w:p>
    <w:p w14:paraId="0687596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（3）投标人的资质是否符合招标文件规定；其营业执照、资质证书是否合法、有效、准确。</w:t>
      </w:r>
    </w:p>
    <w:p w14:paraId="0860199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lang w:eastAsia="zh-CN"/>
        </w:rPr>
        <w:t>设计/勘察负责人简历表</w:t>
      </w:r>
      <w:r>
        <w:rPr>
          <w:rFonts w:hint="eastAsia" w:ascii="宋体" w:hAnsi="宋体" w:eastAsia="宋体" w:cs="宋体"/>
          <w:snapToGrid w:val="0"/>
          <w:color w:val="auto"/>
          <w:kern w:val="0"/>
          <w:sz w:val="24"/>
          <w:szCs w:val="24"/>
          <w:highlight w:val="none"/>
        </w:rPr>
        <w:t>》中</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是否与《开标一览表》一致。</w:t>
      </w:r>
    </w:p>
    <w:p w14:paraId="189C85E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color w:val="auto"/>
          <w:sz w:val="24"/>
          <w:szCs w:val="24"/>
          <w:highlight w:val="none"/>
        </w:rPr>
        <w:t>拟派项目负责人（设计负责人）</w:t>
      </w:r>
      <w:r>
        <w:rPr>
          <w:rFonts w:hint="eastAsia" w:ascii="宋体" w:hAnsi="宋体" w:cs="宋体"/>
          <w:color w:val="auto"/>
          <w:sz w:val="24"/>
          <w:szCs w:val="24"/>
          <w:highlight w:val="none"/>
          <w:lang w:eastAsia="zh-CN"/>
        </w:rPr>
        <w:t>、勘察负责人</w:t>
      </w:r>
      <w:r>
        <w:rPr>
          <w:rFonts w:hint="eastAsia" w:ascii="宋体" w:hAnsi="宋体" w:eastAsia="宋体" w:cs="宋体"/>
          <w:snapToGrid w:val="0"/>
          <w:color w:val="auto"/>
          <w:kern w:val="0"/>
          <w:sz w:val="24"/>
          <w:szCs w:val="24"/>
          <w:highlight w:val="none"/>
        </w:rPr>
        <w:t>的条件是否符合招标文件规定；</w:t>
      </w:r>
      <w:r>
        <w:rPr>
          <w:rFonts w:hint="eastAsia" w:ascii="宋体" w:hAnsi="宋体" w:eastAsia="宋体" w:cs="宋体"/>
          <w:color w:val="auto"/>
          <w:sz w:val="24"/>
          <w:szCs w:val="24"/>
          <w:highlight w:val="none"/>
        </w:rPr>
        <w:t>拟派项目负责人（设计负责人）</w:t>
      </w:r>
      <w:r>
        <w:rPr>
          <w:rFonts w:hint="eastAsia" w:ascii="宋体" w:hAnsi="宋体" w:cs="宋体"/>
          <w:color w:val="auto"/>
          <w:sz w:val="24"/>
          <w:szCs w:val="24"/>
          <w:highlight w:val="none"/>
          <w:lang w:eastAsia="zh-CN"/>
        </w:rPr>
        <w:t>、勘察负责人</w:t>
      </w:r>
      <w:r>
        <w:rPr>
          <w:rFonts w:hint="eastAsia" w:ascii="宋体" w:hAnsi="宋体" w:eastAsia="宋体" w:cs="宋体"/>
          <w:snapToGrid w:val="0"/>
          <w:color w:val="auto"/>
          <w:kern w:val="0"/>
          <w:sz w:val="24"/>
          <w:szCs w:val="24"/>
          <w:highlight w:val="none"/>
        </w:rPr>
        <w:t>的各类证书、证件、证明是否合法、有效、准确。</w:t>
      </w:r>
    </w:p>
    <w:p w14:paraId="3B9D16D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829FEF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szCs w:val="24"/>
          <w:highlight w:val="none"/>
        </w:rPr>
        <w:t>（7）投标人为外省建筑企业的，是否按规定在“进粤企业和人员诚信信息登记平台”录入企业及其拟派人员有关信息并通过数据规范检查。</w:t>
      </w:r>
    </w:p>
    <w:p w14:paraId="59A90624">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形式评审环节</w:t>
      </w:r>
    </w:p>
    <w:p w14:paraId="4A3B47A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形式评审事项包括：</w:t>
      </w:r>
    </w:p>
    <w:p w14:paraId="03D9B946">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（1）各分册是否按招标文件规定加盖电子印章。</w:t>
      </w:r>
    </w:p>
    <w:p w14:paraId="6AFD2D94">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（2）本节第10.2.2目、第10.3.2目中规定的“所有投标人均应提供”的组成内容（包括该组成内容的所附资料）是否完整、齐全。</w:t>
      </w:r>
    </w:p>
    <w:p w14:paraId="47B4F59A">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rPr>
        <w:t>响应性评审环节</w:t>
      </w:r>
    </w:p>
    <w:p w14:paraId="0D3EC4E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响应性评审事项包括：</w:t>
      </w:r>
    </w:p>
    <w:p w14:paraId="19C95407">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（1）投标有效期、质量标准、工期等是否响应招标文件实质性要求；是否擅自修改、遗漏《投标函》《各项承诺一览表》的实质性内容。</w:t>
      </w:r>
    </w:p>
    <w:p w14:paraId="45AD3865">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（2）出现两个或两个以上投标总价的（同一个投标总价大、小写不一致的除外）；投标总价超出最高投标总价限价的；勘察费及设计费是否超出对应的最高投标限价。</w:t>
      </w:r>
    </w:p>
    <w:p w14:paraId="69A59D46">
      <w:pPr>
        <w:wordWrap w:val="0"/>
        <w:adjustRightInd w:val="0"/>
        <w:snapToGrid w:val="0"/>
        <w:spacing w:line="360" w:lineRule="auto"/>
        <w:ind w:firstLine="562"/>
        <w:rPr>
          <w:rFonts w:hint="eastAsia" w:ascii="宋体" w:hAnsi="宋体" w:eastAsia="宋体" w:cs="宋体"/>
          <w:b w:val="0"/>
          <w:bCs w:val="0"/>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b w:val="0"/>
          <w:bCs w:val="0"/>
          <w:snapToGrid w:val="0"/>
          <w:color w:val="auto"/>
          <w:kern w:val="0"/>
          <w:sz w:val="24"/>
          <w:highlight w:val="none"/>
        </w:rPr>
        <w:t>否决投标说明</w:t>
      </w:r>
    </w:p>
    <w:p w14:paraId="7A5E549F">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初步评审阶段各个环节否决投标的全部条件，在本章第</w:t>
      </w:r>
      <w:r>
        <w:rPr>
          <w:rFonts w:hint="eastAsia" w:ascii="宋体" w:hAnsi="宋体" w:eastAsia="宋体" w:cs="宋体"/>
          <w:snapToGrid w:val="0"/>
          <w:color w:val="auto"/>
          <w:kern w:val="0"/>
          <w:sz w:val="24"/>
          <w:highlight w:val="none"/>
          <w:lang w:val="en-US" w:eastAsia="zh-CN"/>
        </w:rPr>
        <w:t>五</w:t>
      </w:r>
      <w:r>
        <w:rPr>
          <w:rFonts w:hint="eastAsia" w:ascii="宋体" w:hAnsi="宋体" w:eastAsia="宋体" w:cs="宋体"/>
          <w:snapToGrid w:val="0"/>
          <w:color w:val="auto"/>
          <w:kern w:val="0"/>
          <w:sz w:val="24"/>
          <w:highlight w:val="none"/>
        </w:rPr>
        <w:t>节“否决投标条件”第</w:t>
      </w:r>
      <w:r>
        <w:rPr>
          <w:rFonts w:hint="eastAsia" w:ascii="宋体" w:hAnsi="宋体" w:eastAsia="宋体" w:cs="宋体"/>
          <w:b/>
          <w:bCs/>
          <w:snapToGrid w:val="0"/>
          <w:color w:val="auto"/>
          <w:kern w:val="0"/>
          <w:sz w:val="24"/>
          <w:highlight w:val="none"/>
        </w:rPr>
        <w:t>1</w:t>
      </w:r>
      <w:r>
        <w:rPr>
          <w:rFonts w:hint="eastAsia" w:ascii="宋体" w:hAnsi="宋体" w:eastAsia="宋体" w:cs="宋体"/>
          <w:snapToGrid w:val="0"/>
          <w:color w:val="auto"/>
          <w:kern w:val="0"/>
          <w:sz w:val="24"/>
          <w:highlight w:val="none"/>
        </w:rPr>
        <w:t>条至第</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3E5612A5">
      <w:pPr>
        <w:wordWrap w:val="0"/>
        <w:adjustRightInd w:val="0"/>
        <w:snapToGrid w:val="0"/>
        <w:spacing w:line="360" w:lineRule="auto"/>
        <w:ind w:firstLine="482" w:firstLineChars="200"/>
        <w:rPr>
          <w:rFonts w:hint="eastAsia" w:ascii="宋体" w:hAnsi="宋体" w:eastAsia="宋体" w:cs="宋体"/>
          <w:b/>
          <w:bCs/>
          <w:snapToGrid w:val="0"/>
          <w:color w:val="auto"/>
          <w:kern w:val="0"/>
          <w:sz w:val="24"/>
          <w:highlight w:val="none"/>
          <w:lang w:val="en-US" w:eastAsia="zh-CN"/>
        </w:rPr>
      </w:pPr>
      <w:bookmarkStart w:id="87" w:name="_Toc13281"/>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b w:val="0"/>
          <w:bCs w:val="0"/>
          <w:snapToGrid w:val="0"/>
          <w:color w:val="auto"/>
          <w:kern w:val="0"/>
          <w:sz w:val="24"/>
          <w:highlight w:val="none"/>
          <w:lang w:val="en-US" w:eastAsia="zh-CN"/>
        </w:rPr>
        <w:t>详细评审</w:t>
      </w:r>
      <w:bookmarkStart w:id="88" w:name="_Hlt121629839"/>
      <w:r>
        <w:rPr>
          <w:rFonts w:hint="eastAsia" w:ascii="宋体" w:hAnsi="宋体" w:eastAsia="宋体" w:cs="宋体"/>
          <w:b w:val="0"/>
          <w:bCs w:val="0"/>
          <w:snapToGrid w:val="0"/>
          <w:color w:val="auto"/>
          <w:kern w:val="0"/>
          <w:sz w:val="24"/>
          <w:highlight w:val="none"/>
          <w:lang w:val="en-US" w:eastAsia="zh-CN"/>
        </w:rPr>
        <w:t>阶段</w:t>
      </w:r>
      <w:bookmarkEnd w:id="87"/>
    </w:p>
    <w:p w14:paraId="50C91373">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b/>
          <w:bCs/>
          <w:snapToGrid w:val="0"/>
          <w:color w:val="auto"/>
          <w:kern w:val="0"/>
          <w:sz w:val="24"/>
          <w:highlight w:val="none"/>
        </w:rPr>
        <w:t>1</w:t>
      </w:r>
      <w:r>
        <w:rPr>
          <w:rFonts w:hint="eastAsia" w:ascii="宋体" w:hAnsi="宋体" w:eastAsia="宋体" w:cs="宋体"/>
          <w:bCs/>
          <w:snapToGrid w:val="0"/>
          <w:color w:val="auto"/>
          <w:kern w:val="0"/>
          <w:sz w:val="24"/>
          <w:highlight w:val="none"/>
        </w:rPr>
        <w:t xml:space="preserve"> “</w:t>
      </w:r>
      <w:r>
        <w:rPr>
          <w:rFonts w:hint="eastAsia" w:ascii="宋体" w:hAnsi="宋体" w:eastAsia="宋体" w:cs="宋体"/>
          <w:bCs/>
          <w:snapToGrid w:val="0"/>
          <w:color w:val="auto"/>
          <w:kern w:val="0"/>
          <w:sz w:val="24"/>
          <w:highlight w:val="none"/>
          <w:lang w:eastAsia="zh-CN"/>
        </w:rPr>
        <w:t>综合评分法</w:t>
      </w:r>
      <w:r>
        <w:rPr>
          <w:rFonts w:hint="eastAsia" w:ascii="宋体" w:hAnsi="宋体" w:eastAsia="宋体" w:cs="宋体"/>
          <w:bCs/>
          <w:snapToGrid w:val="0"/>
          <w:color w:val="auto"/>
          <w:kern w:val="0"/>
          <w:sz w:val="24"/>
          <w:highlight w:val="none"/>
        </w:rPr>
        <w:t>”评审程序</w:t>
      </w:r>
    </w:p>
    <w:p w14:paraId="6898DEF9">
      <w:pPr>
        <w:wordWrap w:val="0"/>
        <w:adjustRightIn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eastAsia="宋体" w:cs="宋体"/>
          <w:snapToGrid w:val="0"/>
          <w:color w:val="auto"/>
          <w:kern w:val="0"/>
          <w:sz w:val="24"/>
          <w:szCs w:val="24"/>
          <w:highlight w:val="none"/>
          <w:u w:val="single"/>
          <w:lang w:val="en-US" w:eastAsia="zh-CN"/>
        </w:rPr>
        <w:t>60</w:t>
      </w:r>
      <w:r>
        <w:rPr>
          <w:rFonts w:hint="eastAsia" w:ascii="宋体" w:hAnsi="宋体" w:eastAsia="宋体" w:cs="宋体"/>
          <w:snapToGrid w:val="0"/>
          <w:color w:val="auto"/>
          <w:kern w:val="0"/>
          <w:sz w:val="24"/>
          <w:szCs w:val="24"/>
          <w:highlight w:val="none"/>
        </w:rPr>
        <w:t>分，技术部分满分为</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分，投标报价部分满分为</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4DFEF078">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除特别注明外，综合得分以及商务得分、技术得分、投标报价得分的中间过程计算值和最终值，均按“四舍五入”原则精确到两位小数。</w:t>
      </w:r>
    </w:p>
    <w:p w14:paraId="5114FE07">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（1）商务得分M</w:t>
      </w:r>
      <w:r>
        <w:rPr>
          <w:rFonts w:hint="eastAsia" w:ascii="宋体" w:hAnsi="宋体" w:eastAsia="宋体" w:cs="宋体"/>
          <w:snapToGrid w:val="0"/>
          <w:color w:val="auto"/>
          <w:kern w:val="0"/>
          <w:sz w:val="24"/>
          <w:highlight w:val="none"/>
          <w:vertAlign w:val="subscript"/>
        </w:rPr>
        <w:t>1</w:t>
      </w:r>
    </w:p>
    <w:p w14:paraId="3048C3D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w:t>
      </w:r>
    </w:p>
    <w:p w14:paraId="6157DB4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（2）技术得分M</w:t>
      </w:r>
      <w:r>
        <w:rPr>
          <w:rFonts w:hint="eastAsia" w:ascii="宋体" w:hAnsi="宋体" w:eastAsia="宋体" w:cs="宋体"/>
          <w:snapToGrid w:val="0"/>
          <w:color w:val="auto"/>
          <w:kern w:val="0"/>
          <w:sz w:val="24"/>
          <w:highlight w:val="none"/>
          <w:vertAlign w:val="subscript"/>
        </w:rPr>
        <w:t>2</w:t>
      </w:r>
    </w:p>
    <w:p w14:paraId="5A01E4C3">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w:t>
      </w:r>
    </w:p>
    <w:p w14:paraId="470A5F44">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（3）投标报价得分M</w:t>
      </w:r>
      <w:r>
        <w:rPr>
          <w:rFonts w:hint="eastAsia" w:ascii="宋体" w:hAnsi="宋体" w:eastAsia="宋体" w:cs="宋体"/>
          <w:snapToGrid w:val="0"/>
          <w:color w:val="auto"/>
          <w:kern w:val="0"/>
          <w:sz w:val="24"/>
          <w:highlight w:val="none"/>
          <w:vertAlign w:val="subscript"/>
        </w:rPr>
        <w:t>3</w:t>
      </w:r>
    </w:p>
    <w:p w14:paraId="2D8722D9">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a</w:t>
      </w:r>
      <w:r>
        <w:rPr>
          <w:rFonts w:hint="eastAsia" w:ascii="宋体" w:hAnsi="宋体" w:eastAsia="宋体" w:cs="宋体"/>
          <w:snapToGrid w:val="0"/>
          <w:color w:val="auto"/>
          <w:kern w:val="0"/>
          <w:sz w:val="24"/>
          <w:highlight w:val="none"/>
        </w:rPr>
        <w:t>．评标委员会按照《综合评分表》投标报价部分指定的方法计算评标基准价D。</w:t>
      </w:r>
    </w:p>
    <w:p w14:paraId="259138DC">
      <w:pPr>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b</w:t>
      </w:r>
      <w:r>
        <w:rPr>
          <w:rFonts w:hint="eastAsia" w:ascii="宋体" w:hAnsi="宋体" w:eastAsia="宋体" w:cs="宋体"/>
          <w:snapToGrid w:val="0"/>
          <w:color w:val="auto"/>
          <w:kern w:val="0"/>
          <w:sz w:val="24"/>
          <w:highlight w:val="none"/>
        </w:rPr>
        <w:t>．采用内插法计算某投标人的投标报价得分M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，即当投标人的投标总价等于评标基准价时得</w:t>
      </w:r>
      <w:r>
        <w:rPr>
          <w:rFonts w:hint="eastAsia" w:ascii="宋体" w:hAnsi="宋体" w:eastAsia="宋体" w:cs="宋体"/>
          <w:snapToGrid w:val="0"/>
          <w:color w:val="auto"/>
          <w:kern w:val="0"/>
          <w:sz w:val="24"/>
          <w:highlight w:val="none"/>
          <w:lang w:val="en-US" w:eastAsia="zh-CN"/>
        </w:rPr>
        <w:t>30</w:t>
      </w:r>
      <w:r>
        <w:rPr>
          <w:rFonts w:hint="eastAsia" w:ascii="宋体" w:hAnsi="宋体" w:eastAsia="宋体" w:cs="宋体"/>
          <w:snapToGrid w:val="0"/>
          <w:color w:val="auto"/>
          <w:kern w:val="0"/>
          <w:sz w:val="24"/>
          <w:highlight w:val="none"/>
        </w:rPr>
        <w:t>分，每高于评标基准价一个百分点扣</w:t>
      </w:r>
      <w:r>
        <w:rPr>
          <w:rFonts w:hint="eastAsia" w:ascii="宋体" w:hAnsi="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分，每低于评标基准价一个百分点扣</w:t>
      </w:r>
      <w:r>
        <w:rPr>
          <w:rFonts w:hint="eastAsia" w:ascii="宋体" w:hAnsi="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分，扣完为止。公式如下：</w:t>
      </w:r>
    </w:p>
    <w:p w14:paraId="0FE8D050">
      <w:pPr>
        <w:wordWrap w:val="0"/>
        <w:adjustRightInd w:val="0"/>
        <w:snapToGrid w:val="0"/>
        <w:spacing w:line="360" w:lineRule="auto"/>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30</w:t>
      </w:r>
      <w:r>
        <w:rPr>
          <w:rFonts w:hint="eastAsia" w:ascii="宋体" w:hAnsi="宋体" w:eastAsia="宋体" w:cs="宋体"/>
          <w:snapToGrid w:val="0"/>
          <w:color w:val="auto"/>
          <w:kern w:val="0"/>
          <w:sz w:val="24"/>
          <w:highlight w:val="none"/>
        </w:rPr>
        <w:t>－（| Di－D | ÷D）×100×E</w:t>
      </w:r>
    </w:p>
    <w:p w14:paraId="032DF18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式中：D为评标基准价；Di为某投标人的投标总价；E为扣分因子，当Di＞D时，E＝</w:t>
      </w:r>
      <w:r>
        <w:rPr>
          <w:rFonts w:hint="eastAsia" w:ascii="宋体" w:hAnsi="宋体" w:eastAsia="宋体" w:cs="宋体"/>
          <w:snapToGrid w:val="0"/>
          <w:color w:val="auto"/>
          <w:kern w:val="0"/>
          <w:sz w:val="24"/>
          <w:highlight w:val="none"/>
          <w:lang w:val="en-US" w:eastAsia="zh-CN"/>
        </w:rPr>
        <w:t>0.</w:t>
      </w:r>
      <w:r>
        <w:rPr>
          <w:rFonts w:hint="eastAsia" w:ascii="宋体" w:hAnsi="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；当Di＜D时，E＝</w:t>
      </w:r>
      <w:r>
        <w:rPr>
          <w:rFonts w:hint="eastAsia" w:ascii="宋体" w:hAnsi="宋体" w:eastAsia="宋体" w:cs="宋体"/>
          <w:snapToGrid w:val="0"/>
          <w:color w:val="auto"/>
          <w:kern w:val="0"/>
          <w:sz w:val="24"/>
          <w:highlight w:val="none"/>
          <w:lang w:val="en-US" w:eastAsia="zh-CN"/>
        </w:rPr>
        <w:t>0.</w:t>
      </w:r>
      <w:r>
        <w:rPr>
          <w:rFonts w:hint="eastAsia" w:ascii="宋体" w:hAnsi="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w:t>
      </w:r>
    </w:p>
    <w:p w14:paraId="3BCE7596">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（3）综合得分M</w:t>
      </w:r>
    </w:p>
    <w:p w14:paraId="4BD26652">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综合得分满分100分，公式如下：</w:t>
      </w:r>
    </w:p>
    <w:p w14:paraId="3909BF6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综合得分M＝ 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p>
    <w:p w14:paraId="271709DD">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式中：M</w:t>
      </w:r>
      <w:r>
        <w:rPr>
          <w:rFonts w:hint="eastAsia" w:ascii="宋体" w:hAnsi="宋体" w:eastAsia="宋体" w:cs="宋体"/>
          <w:color w:val="auto"/>
          <w:sz w:val="24"/>
          <w:szCs w:val="24"/>
          <w:highlight w:val="none"/>
        </w:rPr>
        <w:t>为综合得分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color w:val="auto"/>
          <w:sz w:val="24"/>
          <w:szCs w:val="24"/>
          <w:highlight w:val="none"/>
        </w:rPr>
        <w:t>为商务得分，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color w:val="auto"/>
          <w:sz w:val="24"/>
          <w:szCs w:val="24"/>
          <w:highlight w:val="none"/>
        </w:rPr>
        <w:t>为技术得分，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为投标报价得分。</w:t>
      </w:r>
    </w:p>
    <w:p w14:paraId="4EAD58A3">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根据招标文件规定的评分细则，对招标文件中的各评审因素进行评审、比较、打分，将得分前5名不排序（按企业统一社会信用代码后4位由大到小排位）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b/>
          <w:bCs/>
          <w:color w:val="auto"/>
          <w:sz w:val="24"/>
          <w:szCs w:val="24"/>
          <w:highlight w:val="none"/>
          <w:lang w:eastAsia="zh-CN"/>
        </w:rPr>
        <w:t>前</w:t>
      </w:r>
      <w:r>
        <w:rPr>
          <w:rFonts w:hint="eastAsia" w:ascii="宋体" w:hAnsi="宋体" w:eastAsia="宋体" w:cs="宋体"/>
          <w:b/>
          <w:bCs/>
          <w:color w:val="auto"/>
          <w:sz w:val="24"/>
          <w:szCs w:val="24"/>
          <w:highlight w:val="none"/>
        </w:rPr>
        <w:t>。</w:t>
      </w:r>
    </w:p>
    <w:p w14:paraId="43E99877">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定标候选人得分只作为评标委员会的推荐依据，不作为定标委员会对中标候选人排序的依据。</w:t>
      </w:r>
      <w:r>
        <w:rPr>
          <w:rFonts w:hint="eastAsia" w:ascii="宋体" w:hAnsi="宋体" w:eastAsia="宋体" w:cs="宋体"/>
          <w:b/>
          <w:bCs/>
          <w:color w:val="auto"/>
          <w:sz w:val="24"/>
          <w:szCs w:val="24"/>
          <w:highlight w:val="none"/>
          <w:lang w:val="en-US" w:eastAsia="zh-CN"/>
        </w:rPr>
        <w:t>当有效投标人数量不足5名时，所有通过评审的有效投标人均应作为定标候选人。</w:t>
      </w:r>
    </w:p>
    <w:p w14:paraId="35F33E32">
      <w:pPr>
        <w:rPr>
          <w:rFonts w:hint="eastAsia" w:ascii="宋体" w:hAnsi="宋体" w:eastAsia="宋体" w:cs="宋体"/>
          <w:lang w:val="en-US" w:eastAsia="zh-CN"/>
        </w:rPr>
      </w:pPr>
    </w:p>
    <w:p w14:paraId="6C1E7CF8">
      <w:pPr>
        <w:rPr>
          <w:rFonts w:hint="eastAsia" w:ascii="宋体" w:hAnsi="宋体" w:eastAsia="宋体" w:cs="宋体"/>
          <w:lang w:val="en-US" w:eastAsia="zh-CN"/>
        </w:rPr>
      </w:pPr>
    </w:p>
    <w:p w14:paraId="3C3F0CD4">
      <w:pPr>
        <w:rPr>
          <w:rFonts w:hint="eastAsia" w:ascii="宋体" w:hAnsi="宋体" w:eastAsia="宋体" w:cs="宋体"/>
          <w:lang w:val="en-US" w:eastAsia="zh-CN"/>
        </w:rPr>
      </w:pPr>
    </w:p>
    <w:p w14:paraId="11F2571E">
      <w:pPr>
        <w:rPr>
          <w:rFonts w:hint="eastAsia" w:ascii="宋体" w:hAnsi="宋体" w:eastAsia="宋体" w:cs="宋体"/>
          <w:b/>
          <w:bCs/>
          <w:snapToGrid w:val="0"/>
          <w:color w:val="auto"/>
          <w:kern w:val="0"/>
          <w:sz w:val="30"/>
          <w:szCs w:val="30"/>
          <w:highlight w:val="none"/>
          <w:lang w:val="en-US" w:eastAsia="zh-CN"/>
        </w:rPr>
      </w:pPr>
      <w:r>
        <w:rPr>
          <w:rFonts w:hint="eastAsia" w:ascii="宋体" w:hAnsi="宋体" w:eastAsia="宋体" w:cs="宋体"/>
          <w:b/>
          <w:bCs/>
          <w:snapToGrid w:val="0"/>
          <w:color w:val="auto"/>
          <w:kern w:val="0"/>
          <w:sz w:val="24"/>
          <w:highlight w:val="none"/>
          <w:lang w:val="en-US" w:eastAsia="zh-CN"/>
        </w:rPr>
        <w:t xml:space="preserve">                                    </w:t>
      </w:r>
      <w:r>
        <w:rPr>
          <w:rFonts w:hint="eastAsia" w:ascii="宋体" w:hAnsi="宋体" w:eastAsia="宋体" w:cs="宋体"/>
          <w:b/>
          <w:bCs/>
          <w:snapToGrid w:val="0"/>
          <w:color w:val="auto"/>
          <w:kern w:val="0"/>
          <w:sz w:val="30"/>
          <w:szCs w:val="30"/>
          <w:highlight w:val="none"/>
        </w:rPr>
        <w:t>综合评分表</w:t>
      </w:r>
    </w:p>
    <w:tbl>
      <w:tblPr>
        <w:tblStyle w:val="33"/>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07"/>
        <w:gridCol w:w="3562"/>
        <w:gridCol w:w="3834"/>
      </w:tblGrid>
      <w:tr w14:paraId="7125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13" w:type="dxa"/>
            <w:gridSpan w:val="4"/>
            <w:noWrap w:val="0"/>
            <w:vAlign w:val="center"/>
          </w:tcPr>
          <w:p w14:paraId="7D08C858">
            <w:pPr>
              <w:keepNext w:val="0"/>
              <w:keepLines w:val="0"/>
              <w:pageBreakBefore w:val="0"/>
              <w:widowControl w:val="0"/>
              <w:kinsoku/>
              <w:overflowPunct/>
              <w:topLinePunct w:val="0"/>
              <w:autoSpaceDN/>
              <w:bidi w:val="0"/>
              <w:spacing w:line="460" w:lineRule="exact"/>
              <w:textAlignment w:val="auto"/>
              <w:rPr>
                <w:rFonts w:hint="eastAsia" w:ascii="宋体" w:hAnsi="宋体" w:eastAsia="宋体" w:cs="宋体"/>
                <w:b/>
                <w:bCs/>
                <w:color w:val="000000"/>
                <w:spacing w:val="10"/>
                <w:sz w:val="24"/>
                <w:szCs w:val="24"/>
              </w:rPr>
            </w:pPr>
            <w:r>
              <w:rPr>
                <w:rFonts w:hint="eastAsia" w:ascii="宋体" w:hAnsi="宋体" w:eastAsia="宋体" w:cs="宋体"/>
                <w:b/>
                <w:bCs/>
                <w:color w:val="000000"/>
                <w:spacing w:val="10"/>
                <w:sz w:val="24"/>
                <w:szCs w:val="24"/>
              </w:rPr>
              <w:br w:type="page"/>
            </w:r>
            <w:r>
              <w:rPr>
                <w:rFonts w:hint="eastAsia" w:ascii="宋体" w:hAnsi="宋体" w:eastAsia="宋体" w:cs="宋体"/>
                <w:b/>
                <w:bCs/>
                <w:color w:val="000000"/>
                <w:kern w:val="0"/>
                <w:sz w:val="24"/>
                <w:szCs w:val="24"/>
              </w:rPr>
              <w:t>商务部分M1，满分：</w:t>
            </w:r>
            <w:r>
              <w:rPr>
                <w:rFonts w:hint="eastAsia" w:ascii="宋体" w:hAnsi="宋体" w:eastAsia="宋体" w:cs="宋体"/>
                <w:b/>
                <w:bCs/>
                <w:color w:val="000000"/>
                <w:kern w:val="0"/>
                <w:sz w:val="24"/>
                <w:szCs w:val="24"/>
                <w:u w:val="single"/>
                <w:lang w:val="en-US" w:eastAsia="zh-CN"/>
              </w:rPr>
              <w:t>60</w:t>
            </w:r>
            <w:r>
              <w:rPr>
                <w:rFonts w:hint="eastAsia" w:ascii="宋体" w:hAnsi="宋体" w:eastAsia="宋体" w:cs="宋体"/>
                <w:b/>
                <w:bCs/>
                <w:color w:val="000000"/>
                <w:kern w:val="0"/>
                <w:sz w:val="24"/>
                <w:szCs w:val="24"/>
              </w:rPr>
              <w:t>分。</w:t>
            </w:r>
          </w:p>
        </w:tc>
      </w:tr>
      <w:tr w14:paraId="2729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noWrap w:val="0"/>
            <w:vAlign w:val="center"/>
          </w:tcPr>
          <w:p w14:paraId="1BCAE807">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color w:val="000000"/>
                <w:kern w:val="0"/>
                <w:sz w:val="24"/>
                <w:szCs w:val="24"/>
              </w:rPr>
              <w:t>评分因素</w:t>
            </w:r>
          </w:p>
        </w:tc>
        <w:tc>
          <w:tcPr>
            <w:tcW w:w="3562" w:type="dxa"/>
            <w:noWrap w:val="0"/>
            <w:vAlign w:val="center"/>
          </w:tcPr>
          <w:p w14:paraId="0B04EBFF">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color w:val="000000"/>
                <w:kern w:val="0"/>
                <w:sz w:val="24"/>
                <w:szCs w:val="24"/>
              </w:rPr>
              <w:t>评分标准</w:t>
            </w:r>
          </w:p>
        </w:tc>
        <w:tc>
          <w:tcPr>
            <w:tcW w:w="3834" w:type="dxa"/>
            <w:noWrap w:val="0"/>
            <w:vAlign w:val="center"/>
          </w:tcPr>
          <w:p w14:paraId="4BC8A691">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color w:val="000000"/>
                <w:kern w:val="0"/>
                <w:sz w:val="24"/>
                <w:szCs w:val="24"/>
              </w:rPr>
              <w:t>备注</w:t>
            </w:r>
          </w:p>
        </w:tc>
      </w:tr>
      <w:tr w14:paraId="5A4E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10" w:type="dxa"/>
            <w:vMerge w:val="restart"/>
            <w:noWrap w:val="0"/>
            <w:vAlign w:val="center"/>
          </w:tcPr>
          <w:p w14:paraId="5310CC9B">
            <w:pPr>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设计企业（</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分）</w:t>
            </w:r>
          </w:p>
        </w:tc>
        <w:tc>
          <w:tcPr>
            <w:tcW w:w="1107" w:type="dxa"/>
            <w:shd w:val="clear" w:color="auto" w:fill="auto"/>
            <w:noWrap w:val="0"/>
            <w:vAlign w:val="center"/>
          </w:tcPr>
          <w:p w14:paraId="6132EA24">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企业奖项</w:t>
            </w:r>
          </w:p>
          <w:p w14:paraId="71B0BA66">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562" w:type="dxa"/>
            <w:shd w:val="clear" w:color="auto" w:fill="auto"/>
            <w:noWrap w:val="0"/>
            <w:vAlign w:val="center"/>
          </w:tcPr>
          <w:p w14:paraId="393AF9B1">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p>
          <w:p w14:paraId="19ED578F">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企业近5年来（</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lang w:val="en-US" w:eastAsia="zh-CN"/>
              </w:rPr>
              <w:t>至今）</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u w:val="single"/>
              </w:rPr>
              <w:t>工程类设计奖</w:t>
            </w:r>
            <w:r>
              <w:rPr>
                <w:rFonts w:hint="eastAsia" w:ascii="宋体" w:hAnsi="宋体" w:eastAsia="宋体" w:cs="宋体"/>
                <w:color w:val="auto"/>
                <w:sz w:val="24"/>
                <w:szCs w:val="24"/>
                <w:highlight w:val="none"/>
                <w:lang w:val="en-US" w:eastAsia="zh-CN"/>
              </w:rPr>
              <w:t>情况：</w:t>
            </w:r>
          </w:p>
          <w:p w14:paraId="7898481F">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1.获得国家级奖项的，</w:t>
            </w:r>
            <w:r>
              <w:rPr>
                <w:rFonts w:hint="eastAsia" w:ascii="宋体" w:hAnsi="宋体" w:eastAsia="宋体" w:cs="宋体"/>
                <w:color w:val="auto"/>
                <w:sz w:val="24"/>
                <w:szCs w:val="24"/>
                <w:highlight w:val="none"/>
                <w:lang w:eastAsia="zh-CN"/>
              </w:rPr>
              <w:t>每项得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757DF8C4">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获得省级奖项的，</w:t>
            </w:r>
            <w:r>
              <w:rPr>
                <w:rFonts w:hint="eastAsia" w:ascii="宋体" w:hAnsi="宋体" w:eastAsia="宋体" w:cs="宋体"/>
                <w:color w:val="auto"/>
                <w:sz w:val="24"/>
                <w:szCs w:val="24"/>
                <w:highlight w:val="none"/>
                <w:lang w:eastAsia="zh-CN"/>
              </w:rPr>
              <w:t>每项得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p w14:paraId="0005CA32">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.获得地市级奖项的，</w:t>
            </w:r>
            <w:r>
              <w:rPr>
                <w:rFonts w:hint="eastAsia" w:ascii="宋体" w:hAnsi="宋体" w:eastAsia="宋体" w:cs="宋体"/>
                <w:color w:val="auto"/>
                <w:sz w:val="24"/>
                <w:szCs w:val="24"/>
                <w:highlight w:val="none"/>
                <w:lang w:eastAsia="zh-CN"/>
              </w:rPr>
              <w:t>每项得</w:t>
            </w:r>
            <w:r>
              <w:rPr>
                <w:rFonts w:hint="eastAsia" w:ascii="宋体" w:hAnsi="宋体" w:eastAsia="宋体" w:cs="宋体"/>
                <w:color w:val="auto"/>
                <w:sz w:val="24"/>
                <w:szCs w:val="24"/>
                <w:highlight w:val="none"/>
                <w:lang w:val="en-US" w:eastAsia="zh-CN"/>
              </w:rPr>
              <w:t>2</w:t>
            </w:r>
          </w:p>
          <w:p w14:paraId="4DD6E657">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w:t>
            </w:r>
          </w:p>
          <w:p w14:paraId="66C9A37E">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4.以上奖项均未获得的，不予计分。</w:t>
            </w:r>
          </w:p>
          <w:p w14:paraId="20C585AF">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834" w:type="dxa"/>
            <w:shd w:val="clear" w:color="auto" w:fill="auto"/>
            <w:noWrap w:val="0"/>
            <w:vAlign w:val="center"/>
          </w:tcPr>
          <w:p w14:paraId="0120E541">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1.允许投标人提交多个业绩，但同一业绩只按最高级别奖项计分一次。</w:t>
            </w:r>
          </w:p>
          <w:p w14:paraId="7D4B6D8A">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2.需附有关奖项证明彩色扫描件。</w:t>
            </w:r>
          </w:p>
          <w:p w14:paraId="7A3DE716">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041C4A7C">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val="en-US" w:eastAsia="zh-CN"/>
              </w:rPr>
              <w:t>①国家级奖项：</w:t>
            </w:r>
            <w:r>
              <w:rPr>
                <w:rFonts w:hint="eastAsia" w:ascii="宋体" w:hAnsi="宋体" w:eastAsia="宋体" w:cs="宋体"/>
                <w:snapToGrid w:val="0"/>
                <w:color w:val="auto"/>
                <w:kern w:val="0"/>
                <w:sz w:val="24"/>
                <w:szCs w:val="24"/>
                <w:highlight w:val="none"/>
                <w:u w:val="single"/>
                <w:lang w:val="en-US" w:eastAsia="zh-CN"/>
              </w:rPr>
              <w:t>国务院、住建部、中国勘察设计协会或工程勘察设计行业协会、中国建筑业协会；</w:t>
            </w:r>
          </w:p>
          <w:p w14:paraId="03CAD7F9">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lang w:val="en-US" w:eastAsia="zh-CN"/>
              </w:rPr>
              <w:t>②省级奖项：</w:t>
            </w:r>
            <w:r>
              <w:rPr>
                <w:rFonts w:hint="eastAsia" w:ascii="宋体" w:hAnsi="宋体" w:eastAsia="宋体" w:cs="宋体"/>
                <w:snapToGrid w:val="0"/>
                <w:color w:val="auto"/>
                <w:kern w:val="0"/>
                <w:sz w:val="24"/>
                <w:szCs w:val="24"/>
                <w:highlight w:val="none"/>
                <w:u w:val="single"/>
                <w:lang w:val="en-US" w:eastAsia="zh-CN"/>
              </w:rPr>
              <w:t>省级人民政府、省级住建部门、省级勘察设计协会或工程勘察设计行业协会、省级建筑业协会；</w:t>
            </w:r>
          </w:p>
          <w:p w14:paraId="305568C7">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w:t>
            </w:r>
            <w:r>
              <w:rPr>
                <w:rFonts w:hint="eastAsia" w:ascii="宋体" w:hAnsi="宋体" w:eastAsia="宋体" w:cs="宋体"/>
                <w:snapToGrid w:val="0"/>
                <w:color w:val="auto"/>
                <w:kern w:val="0"/>
                <w:sz w:val="24"/>
                <w:szCs w:val="24"/>
                <w:highlight w:val="none"/>
                <w:u w:val="single"/>
                <w:lang w:val="en-US" w:eastAsia="zh-CN"/>
              </w:rPr>
              <w:t>地市级人民政府、地市级住建部门、地市级勘察设计协会或工程勘察设计行业协会、地市级建筑业协会。</w:t>
            </w:r>
          </w:p>
          <w:p w14:paraId="3B1B4A7D">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4.获奖时间以奖项证明的落款日期为准。</w:t>
            </w:r>
          </w:p>
          <w:p w14:paraId="6D3826D5">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5.任一奖项有以下情形之一的，该奖项视为无效，不予计分：</w:t>
            </w:r>
          </w:p>
          <w:p w14:paraId="440BC146">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14:paraId="024BAC5C">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②颁发机构不符合要求的；</w:t>
            </w:r>
          </w:p>
          <w:p w14:paraId="33A8E7F5">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③获奖时间不符合要求的。</w:t>
            </w:r>
          </w:p>
          <w:p w14:paraId="32F5A532">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rPr>
              <w:t>说明：以上所称“要求”均指本表评分标准及备注的要求，下同。</w:t>
            </w:r>
          </w:p>
        </w:tc>
      </w:tr>
      <w:tr w14:paraId="636D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810" w:type="dxa"/>
            <w:vMerge w:val="continue"/>
            <w:noWrap w:val="0"/>
            <w:vAlign w:val="center"/>
          </w:tcPr>
          <w:p w14:paraId="510E2559">
            <w:pPr>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color w:val="000000"/>
                <w:kern w:val="0"/>
                <w:sz w:val="24"/>
                <w:szCs w:val="24"/>
              </w:rPr>
            </w:pPr>
          </w:p>
        </w:tc>
        <w:tc>
          <w:tcPr>
            <w:tcW w:w="1107" w:type="dxa"/>
            <w:shd w:val="clear" w:color="auto" w:fill="auto"/>
            <w:noWrap w:val="0"/>
            <w:vAlign w:val="center"/>
          </w:tcPr>
          <w:p w14:paraId="5B62F3CF">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69E1D532">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562" w:type="dxa"/>
            <w:shd w:val="clear" w:color="auto" w:fill="auto"/>
            <w:noWrap w:val="0"/>
            <w:vAlign w:val="center"/>
          </w:tcPr>
          <w:p w14:paraId="4900FA2C">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企业近 5 年来（</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年1月1日</w:t>
            </w:r>
            <w:r>
              <w:rPr>
                <w:rFonts w:hint="eastAsia" w:ascii="宋体" w:hAnsi="宋体" w:eastAsia="宋体" w:cs="宋体"/>
                <w:color w:val="auto"/>
                <w:sz w:val="24"/>
                <w:szCs w:val="24"/>
                <w:highlight w:val="none"/>
                <w:lang w:val="en-US" w:eastAsia="zh-CN"/>
              </w:rPr>
              <w:t>至今）业绩情况：</w:t>
            </w:r>
          </w:p>
          <w:p w14:paraId="655C6DA8">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承接过类似</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项目的，</w:t>
            </w:r>
            <w:r>
              <w:rPr>
                <w:rFonts w:hint="eastAsia" w:ascii="宋体" w:hAnsi="宋体" w:eastAsia="宋体" w:cs="宋体"/>
                <w:color w:val="auto"/>
                <w:sz w:val="24"/>
                <w:szCs w:val="24"/>
                <w:highlight w:val="none"/>
                <w:lang w:val="zh-CN" w:eastAsia="zh-CN"/>
              </w:rPr>
              <w:t>每</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val="zh-CN" w:eastAsia="zh-CN"/>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w:t>
            </w:r>
          </w:p>
          <w:p w14:paraId="31032219">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未承接过类似</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val="zh-CN" w:eastAsia="zh-CN"/>
              </w:rPr>
              <w:t>项目的，不予计分；</w:t>
            </w:r>
          </w:p>
          <w:p w14:paraId="7B77D7D7">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本项最高得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分。</w:t>
            </w:r>
          </w:p>
        </w:tc>
        <w:tc>
          <w:tcPr>
            <w:tcW w:w="3834" w:type="dxa"/>
            <w:shd w:val="clear" w:color="auto" w:fill="auto"/>
            <w:noWrap w:val="0"/>
            <w:vAlign w:val="center"/>
          </w:tcPr>
          <w:p w14:paraId="63F0B1FA">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1.类似项目指：市政</w:t>
            </w:r>
            <w:r>
              <w:rPr>
                <w:rFonts w:hint="eastAsia" w:ascii="宋体" w:hAnsi="宋体" w:eastAsia="宋体" w:cs="宋体"/>
                <w:snapToGrid w:val="0"/>
                <w:color w:val="auto"/>
                <w:kern w:val="0"/>
                <w:sz w:val="24"/>
                <w:szCs w:val="24"/>
                <w:highlight w:val="none"/>
              </w:rPr>
              <w:t>类工程设计项目（含设计，勘察设计，勘察设计施工总承包项目）</w:t>
            </w:r>
            <w:r>
              <w:rPr>
                <w:rFonts w:hint="eastAsia" w:ascii="宋体" w:hAnsi="宋体" w:eastAsia="宋体" w:cs="宋体"/>
                <w:snapToGrid w:val="0"/>
                <w:color w:val="auto"/>
                <w:kern w:val="0"/>
                <w:sz w:val="24"/>
                <w:szCs w:val="24"/>
                <w:highlight w:val="none"/>
                <w:lang w:val="en-US" w:eastAsia="zh-CN"/>
              </w:rPr>
              <w:t>。</w:t>
            </w:r>
          </w:p>
          <w:p w14:paraId="59E46E06">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2.需附有关业绩合同协议书彩色扫描件。</w:t>
            </w:r>
          </w:p>
          <w:p w14:paraId="762362EB">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3.业绩时间以合同协议书日期为准。</w:t>
            </w:r>
          </w:p>
          <w:p w14:paraId="764BFBBD">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4.任一业绩有以下情形之一的，该业绩视为无效，不予计分：</w:t>
            </w:r>
          </w:p>
          <w:p w14:paraId="58F50410">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①业绩不属于类似工程的；</w:t>
            </w:r>
          </w:p>
          <w:p w14:paraId="23BE833B">
            <w:pPr>
              <w:pStyle w:val="3"/>
              <w:wordWrap w:val="0"/>
              <w:adjustRightInd w:val="0"/>
              <w:snapToGrid w:val="0"/>
              <w:spacing w:after="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②</w:t>
            </w:r>
            <w:r>
              <w:rPr>
                <w:rFonts w:hint="eastAsia" w:ascii="宋体" w:hAnsi="宋体" w:eastAsia="宋体" w:cs="宋体"/>
                <w:snapToGrid w:val="0"/>
                <w:color w:val="auto"/>
                <w:kern w:val="0"/>
                <w:sz w:val="24"/>
                <w:szCs w:val="24"/>
                <w:highlight w:val="none"/>
                <w:lang w:val="en-US" w:eastAsia="zh-CN"/>
              </w:rPr>
              <w:t>业绩时间不符合要求的。</w:t>
            </w:r>
          </w:p>
        </w:tc>
      </w:tr>
      <w:tr w14:paraId="7BFB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810" w:type="dxa"/>
            <w:vMerge w:val="continue"/>
            <w:noWrap w:val="0"/>
            <w:vAlign w:val="center"/>
          </w:tcPr>
          <w:p w14:paraId="2B724D1E">
            <w:pPr>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snapToGrid w:val="0"/>
                <w:color w:val="000000"/>
                <w:kern w:val="0"/>
                <w:sz w:val="24"/>
                <w:szCs w:val="24"/>
              </w:rPr>
            </w:pPr>
          </w:p>
        </w:tc>
        <w:tc>
          <w:tcPr>
            <w:tcW w:w="1107" w:type="dxa"/>
            <w:shd w:val="clear" w:color="auto" w:fill="auto"/>
            <w:noWrap w:val="0"/>
            <w:vAlign w:val="center"/>
          </w:tcPr>
          <w:p w14:paraId="0461BE49">
            <w:pPr>
              <w:keepNext w:val="0"/>
              <w:keepLines w:val="0"/>
              <w:pageBreakBefore w:val="0"/>
              <w:kinsoku/>
              <w:overflowPunct/>
              <w:topLinePunct w:val="0"/>
              <w:autoSpaceDN/>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设计负责人</w:t>
            </w:r>
            <w:r>
              <w:rPr>
                <w:rFonts w:hint="eastAsia" w:ascii="宋体" w:hAnsi="宋体" w:eastAsia="宋体" w:cs="宋体"/>
                <w:snapToGrid w:val="0"/>
                <w:color w:val="auto"/>
                <w:kern w:val="0"/>
                <w:sz w:val="24"/>
                <w:szCs w:val="24"/>
                <w:highlight w:val="none"/>
              </w:rPr>
              <w:t>综合素质（</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w:t>
            </w:r>
          </w:p>
        </w:tc>
        <w:tc>
          <w:tcPr>
            <w:tcW w:w="3562" w:type="dxa"/>
            <w:shd w:val="clear" w:color="auto" w:fill="auto"/>
            <w:noWrap w:val="0"/>
            <w:vAlign w:val="center"/>
          </w:tcPr>
          <w:p w14:paraId="674E8988">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具有市政类专业高级工程师及以上职称证书</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14:paraId="330698DE">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具有市政类专业中级工程师职称证书</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p>
          <w:p w14:paraId="6B0A5AFC">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tc>
        <w:tc>
          <w:tcPr>
            <w:tcW w:w="3834" w:type="dxa"/>
            <w:shd w:val="clear" w:color="auto" w:fill="auto"/>
            <w:noWrap w:val="0"/>
            <w:vAlign w:val="top"/>
          </w:tcPr>
          <w:p w14:paraId="73B55330">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1.需附职称证彩色扫描件（</w:t>
            </w:r>
            <w:r>
              <w:rPr>
                <w:rFonts w:hint="eastAsia" w:ascii="宋体" w:hAnsi="宋体" w:eastAsia="宋体" w:cs="宋体"/>
                <w:color w:val="auto"/>
                <w:sz w:val="24"/>
                <w:szCs w:val="24"/>
                <w:highlight w:val="none"/>
                <w:lang w:val="en-US" w:eastAsia="zh-CN"/>
              </w:rPr>
              <w:t>或电子职称证</w:t>
            </w:r>
            <w:r>
              <w:rPr>
                <w:rFonts w:hint="eastAsia" w:ascii="宋体" w:hAnsi="宋体" w:eastAsia="宋体" w:cs="宋体"/>
                <w:snapToGrid w:val="0"/>
                <w:color w:val="auto"/>
                <w:kern w:val="0"/>
                <w:sz w:val="24"/>
                <w:szCs w:val="24"/>
                <w:highlight w:val="none"/>
                <w:lang w:val="en-US" w:eastAsia="zh-CN"/>
              </w:rPr>
              <w:t>）；</w:t>
            </w:r>
          </w:p>
          <w:p w14:paraId="7C7C8985">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提供近3个月（其中必须有2026年</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月）的社保证明（非独立法人分支机构出具社保，予以认可）彩色扫描件；为退休返聘人员无法提供社保证明的，提供退休证(附返聘证明）彩色扫描件</w:t>
            </w:r>
            <w:r>
              <w:rPr>
                <w:rFonts w:hint="eastAsia" w:ascii="宋体" w:hAnsi="宋体" w:eastAsia="宋体" w:cs="宋体"/>
                <w:snapToGrid w:val="0"/>
                <w:color w:val="auto"/>
                <w:kern w:val="0"/>
                <w:sz w:val="24"/>
                <w:szCs w:val="24"/>
                <w:highlight w:val="none"/>
                <w:lang w:val="en-US" w:eastAsia="zh-CN"/>
              </w:rPr>
              <w:t>。</w:t>
            </w:r>
          </w:p>
        </w:tc>
      </w:tr>
      <w:tr w14:paraId="2E2A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0" w:type="dxa"/>
            <w:vMerge w:val="continue"/>
            <w:noWrap w:val="0"/>
            <w:vAlign w:val="center"/>
          </w:tcPr>
          <w:p w14:paraId="7CC7EA86">
            <w:pPr>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color w:val="000000"/>
                <w:sz w:val="24"/>
                <w:szCs w:val="24"/>
              </w:rPr>
            </w:pPr>
          </w:p>
        </w:tc>
        <w:tc>
          <w:tcPr>
            <w:tcW w:w="1107" w:type="dxa"/>
            <w:shd w:val="clear" w:color="auto" w:fill="auto"/>
            <w:noWrap w:val="0"/>
            <w:vAlign w:val="center"/>
          </w:tcPr>
          <w:p w14:paraId="5EF95734">
            <w:pPr>
              <w:pStyle w:val="3"/>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rPr>
              <w:t>其他人员综合素质</w:t>
            </w:r>
          </w:p>
          <w:p w14:paraId="5697EE95">
            <w:pPr>
              <w:pStyle w:val="3"/>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（10分）</w:t>
            </w:r>
          </w:p>
        </w:tc>
        <w:tc>
          <w:tcPr>
            <w:tcW w:w="3562" w:type="dxa"/>
            <w:shd w:val="clear" w:color="auto" w:fill="auto"/>
            <w:noWrap w:val="0"/>
            <w:vAlign w:val="center"/>
          </w:tcPr>
          <w:p w14:paraId="73D97C5D">
            <w:pPr>
              <w:pStyle w:val="3"/>
              <w:keepNext w:val="0"/>
              <w:keepLines w:val="0"/>
              <w:pageBreakBefore w:val="0"/>
              <w:numPr>
                <w:ilvl w:val="0"/>
                <w:numId w:val="2"/>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拟投入本项目各专业负责人</w:t>
            </w:r>
            <w:r>
              <w:rPr>
                <w:rFonts w:hint="eastAsia" w:ascii="宋体" w:hAnsi="宋体" w:eastAsia="宋体" w:cs="宋体"/>
                <w:color w:val="auto"/>
                <w:sz w:val="24"/>
                <w:szCs w:val="24"/>
                <w:highlight w:val="none"/>
                <w:lang w:val="en-US" w:eastAsia="zh-CN"/>
              </w:rPr>
              <w:t>：</w:t>
            </w:r>
          </w:p>
          <w:p w14:paraId="609950FF">
            <w:pPr>
              <w:pStyle w:val="3"/>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①具有市政路桥</w:t>
            </w:r>
            <w:r>
              <w:rPr>
                <w:rFonts w:hint="eastAsia" w:ascii="宋体" w:hAnsi="宋体" w:eastAsia="宋体" w:cs="宋体"/>
                <w:color w:val="auto"/>
                <w:sz w:val="24"/>
                <w:szCs w:val="24"/>
                <w:highlight w:val="none"/>
                <w:lang w:val="en-US" w:eastAsia="zh-CN"/>
              </w:rPr>
              <w:t>类专业</w:t>
            </w:r>
            <w:r>
              <w:rPr>
                <w:rFonts w:hint="eastAsia" w:ascii="宋体" w:hAnsi="宋体" w:eastAsia="宋体" w:cs="宋体"/>
                <w:color w:val="auto"/>
                <w:sz w:val="24"/>
                <w:szCs w:val="24"/>
                <w:highlight w:val="none"/>
              </w:rPr>
              <w:t>高级</w:t>
            </w:r>
            <w:r>
              <w:rPr>
                <w:rFonts w:hint="eastAsia" w:ascii="宋体" w:hAnsi="宋体" w:eastAsia="宋体" w:cs="宋体"/>
                <w:color w:val="auto"/>
                <w:sz w:val="24"/>
                <w:szCs w:val="24"/>
                <w:highlight w:val="none"/>
                <w:lang w:val="en-US" w:eastAsia="zh-CN"/>
              </w:rPr>
              <w:t>工程师或以上</w:t>
            </w:r>
            <w:r>
              <w:rPr>
                <w:rFonts w:hint="eastAsia" w:ascii="宋体" w:hAnsi="宋体" w:eastAsia="宋体" w:cs="宋体"/>
                <w:color w:val="auto"/>
                <w:sz w:val="24"/>
                <w:szCs w:val="24"/>
                <w:highlight w:val="none"/>
              </w:rPr>
              <w:t>职称证书或市政路桥</w:t>
            </w:r>
            <w:r>
              <w:rPr>
                <w:rFonts w:hint="eastAsia" w:ascii="宋体" w:hAnsi="宋体" w:eastAsia="宋体" w:cs="宋体"/>
                <w:color w:val="auto"/>
                <w:sz w:val="24"/>
                <w:szCs w:val="24"/>
                <w:highlight w:val="none"/>
                <w:lang w:val="en-US" w:eastAsia="zh-CN"/>
              </w:rPr>
              <w:t>类专业</w:t>
            </w:r>
            <w:r>
              <w:rPr>
                <w:rFonts w:hint="eastAsia" w:ascii="宋体" w:hAnsi="宋体" w:eastAsia="宋体" w:cs="宋体"/>
                <w:color w:val="auto"/>
                <w:sz w:val="24"/>
                <w:szCs w:val="24"/>
                <w:highlight w:val="none"/>
              </w:rPr>
              <w:t>注册证书的，得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p w14:paraId="279409BC">
            <w:pPr>
              <w:pStyle w:val="3"/>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②具有给排水专业高级</w:t>
            </w:r>
            <w:r>
              <w:rPr>
                <w:rFonts w:hint="eastAsia" w:ascii="宋体" w:hAnsi="宋体" w:eastAsia="宋体" w:cs="宋体"/>
                <w:color w:val="auto"/>
                <w:sz w:val="24"/>
                <w:szCs w:val="24"/>
                <w:highlight w:val="none"/>
                <w:lang w:val="en-US" w:eastAsia="zh-CN"/>
              </w:rPr>
              <w:t>工程师或以上</w:t>
            </w:r>
            <w:r>
              <w:rPr>
                <w:rFonts w:hint="eastAsia" w:ascii="宋体" w:hAnsi="宋体" w:eastAsia="宋体" w:cs="宋体"/>
                <w:color w:val="auto"/>
                <w:sz w:val="24"/>
                <w:szCs w:val="24"/>
                <w:highlight w:val="none"/>
              </w:rPr>
              <w:t>技术职称证书或给排水专业注册证书的，得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1AD2C4D">
            <w:pPr>
              <w:pStyle w:val="3"/>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具</w:t>
            </w:r>
            <w:r>
              <w:rPr>
                <w:rFonts w:hint="eastAsia" w:ascii="宋体" w:hAnsi="宋体" w:eastAsia="宋体" w:cs="宋体"/>
                <w:color w:val="auto"/>
                <w:sz w:val="24"/>
                <w:szCs w:val="24"/>
                <w:highlight w:val="none"/>
              </w:rPr>
              <w:t>有造价</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高级</w:t>
            </w:r>
            <w:r>
              <w:rPr>
                <w:rFonts w:hint="eastAsia" w:ascii="宋体" w:hAnsi="宋体" w:eastAsia="宋体" w:cs="宋体"/>
                <w:color w:val="auto"/>
                <w:sz w:val="24"/>
                <w:szCs w:val="24"/>
                <w:highlight w:val="none"/>
                <w:lang w:val="en-US" w:eastAsia="zh-CN"/>
              </w:rPr>
              <w:t>工程师或以上</w:t>
            </w:r>
            <w:r>
              <w:rPr>
                <w:rFonts w:hint="eastAsia" w:ascii="宋体" w:hAnsi="宋体" w:eastAsia="宋体" w:cs="宋体"/>
                <w:color w:val="auto"/>
                <w:sz w:val="24"/>
                <w:szCs w:val="24"/>
                <w:highlight w:val="none"/>
              </w:rPr>
              <w:t>技术职称证书或造价专业注册证书的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47AB5C7">
            <w:pPr>
              <w:pStyle w:val="3"/>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④具</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电气专业</w:t>
            </w:r>
            <w:r>
              <w:rPr>
                <w:rFonts w:hint="eastAsia" w:ascii="宋体" w:hAnsi="宋体" w:eastAsia="宋体" w:cs="宋体"/>
                <w:color w:val="auto"/>
                <w:sz w:val="24"/>
                <w:szCs w:val="24"/>
                <w:highlight w:val="none"/>
              </w:rPr>
              <w:t>高级</w:t>
            </w:r>
            <w:r>
              <w:rPr>
                <w:rFonts w:hint="eastAsia" w:ascii="宋体" w:hAnsi="宋体" w:eastAsia="宋体" w:cs="宋体"/>
                <w:color w:val="auto"/>
                <w:sz w:val="24"/>
                <w:szCs w:val="24"/>
                <w:highlight w:val="none"/>
                <w:lang w:val="en-US" w:eastAsia="zh-CN"/>
              </w:rPr>
              <w:t>工程师或以上</w:t>
            </w:r>
            <w:r>
              <w:rPr>
                <w:rFonts w:hint="eastAsia" w:ascii="宋体" w:hAnsi="宋体" w:eastAsia="宋体" w:cs="宋体"/>
                <w:color w:val="auto"/>
                <w:sz w:val="24"/>
                <w:szCs w:val="24"/>
                <w:highlight w:val="none"/>
              </w:rPr>
              <w:t>技术职称证书或</w:t>
            </w:r>
            <w:r>
              <w:rPr>
                <w:rFonts w:hint="eastAsia" w:ascii="宋体" w:hAnsi="宋体" w:eastAsia="宋体" w:cs="宋体"/>
                <w:color w:val="auto"/>
                <w:sz w:val="24"/>
                <w:szCs w:val="24"/>
                <w:highlight w:val="none"/>
                <w:lang w:val="en-US" w:eastAsia="zh-CN"/>
              </w:rPr>
              <w:t>电气</w:t>
            </w:r>
            <w:r>
              <w:rPr>
                <w:rFonts w:hint="eastAsia" w:ascii="宋体" w:hAnsi="宋体" w:eastAsia="宋体" w:cs="宋体"/>
                <w:color w:val="auto"/>
                <w:sz w:val="24"/>
                <w:szCs w:val="24"/>
                <w:highlight w:val="none"/>
              </w:rPr>
              <w:t>专业注册证书的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F9166B0">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.同专业人员不重复计分。</w:t>
            </w:r>
          </w:p>
          <w:p w14:paraId="4986E79B">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3834" w:type="dxa"/>
            <w:shd w:val="clear" w:color="auto" w:fill="auto"/>
            <w:noWrap w:val="0"/>
            <w:vAlign w:val="center"/>
          </w:tcPr>
          <w:p w14:paraId="1511B492">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w:t>
            </w:r>
            <w:r>
              <w:rPr>
                <w:rFonts w:hint="eastAsia" w:ascii="宋体" w:hAnsi="宋体" w:eastAsia="宋体" w:cs="宋体"/>
                <w:color w:val="auto"/>
                <w:sz w:val="24"/>
                <w:szCs w:val="24"/>
                <w:highlight w:val="none"/>
              </w:rPr>
              <w:t>注册证书</w:t>
            </w:r>
            <w:r>
              <w:rPr>
                <w:rFonts w:hint="eastAsia" w:ascii="宋体" w:hAnsi="宋体" w:eastAsia="宋体" w:cs="宋体"/>
                <w:snapToGrid w:val="0"/>
                <w:color w:val="auto"/>
                <w:kern w:val="0"/>
                <w:sz w:val="24"/>
                <w:szCs w:val="24"/>
                <w:highlight w:val="none"/>
              </w:rPr>
              <w:t>彩色扫描件。</w:t>
            </w:r>
          </w:p>
          <w:p w14:paraId="2C744B5C">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提供近</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个月（其中必须有202</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月）的社保证明（非独立法人分支机构出具社保，予以认可）彩色扫描件；为退休返聘人员无法提供社保证明的，提供退休证(附返聘证明）彩色扫描件</w:t>
            </w:r>
            <w:r>
              <w:rPr>
                <w:rFonts w:hint="eastAsia" w:ascii="宋体" w:hAnsi="宋体" w:eastAsia="宋体" w:cs="宋体"/>
                <w:snapToGrid w:val="0"/>
                <w:color w:val="auto"/>
                <w:kern w:val="0"/>
                <w:sz w:val="24"/>
                <w:szCs w:val="24"/>
                <w:highlight w:val="none"/>
                <w:lang w:eastAsia="zh-CN"/>
              </w:rPr>
              <w:t>。</w:t>
            </w:r>
          </w:p>
          <w:p w14:paraId="6266DEA0">
            <w:pPr>
              <w:pStyle w:val="3"/>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3.证书或专业类别不符合要求，视为无效，不予计分。</w:t>
            </w:r>
          </w:p>
          <w:p w14:paraId="4BC3B46B">
            <w:pPr>
              <w:pStyle w:val="3"/>
              <w:shd w:val="clear" w:color="auto" w:fill="auto"/>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bidi="ar-SA"/>
              </w:rPr>
            </w:pPr>
          </w:p>
        </w:tc>
      </w:tr>
      <w:tr w14:paraId="7B9B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0" w:type="dxa"/>
            <w:vMerge w:val="continue"/>
            <w:noWrap w:val="0"/>
            <w:vAlign w:val="center"/>
          </w:tcPr>
          <w:p w14:paraId="33262FA6">
            <w:pPr>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color w:val="000000"/>
                <w:kern w:val="2"/>
                <w:sz w:val="24"/>
                <w:szCs w:val="24"/>
                <w:highlight w:val="none"/>
                <w:lang w:val="en-US" w:eastAsia="zh-CN" w:bidi="ar-SA"/>
              </w:rPr>
            </w:pPr>
          </w:p>
        </w:tc>
        <w:tc>
          <w:tcPr>
            <w:tcW w:w="1107" w:type="dxa"/>
            <w:shd w:val="clear" w:color="auto" w:fill="auto"/>
            <w:noWrap w:val="0"/>
            <w:vAlign w:val="center"/>
          </w:tcPr>
          <w:p w14:paraId="781C42DB">
            <w:pPr>
              <w:pStyle w:val="3"/>
              <w:widowControl/>
              <w:shd w:val="clear" w:color="auto" w:fill="auto"/>
              <w:wordWrap w:val="0"/>
              <w:adjustRightInd w:val="0"/>
              <w:snapToGrid w:val="0"/>
              <w:spacing w:after="0"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企业荣誉（4分）</w:t>
            </w:r>
          </w:p>
        </w:tc>
        <w:tc>
          <w:tcPr>
            <w:tcW w:w="3562" w:type="dxa"/>
            <w:shd w:val="clear" w:color="auto" w:fill="auto"/>
            <w:noWrap w:val="0"/>
            <w:vAlign w:val="center"/>
          </w:tcPr>
          <w:p w14:paraId="46CDA297">
            <w:pPr>
              <w:pStyle w:val="3"/>
              <w:keepNext w:val="0"/>
              <w:keepLines w:val="0"/>
              <w:pageBreakBefore w:val="0"/>
              <w:numPr>
                <w:ilvl w:val="0"/>
                <w:numId w:val="3"/>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企业近 5年来（2021年1月1日至今） 获得过中国市政工程协会颁发的企业信用等级AAA级证书的得4分；</w:t>
            </w:r>
          </w:p>
          <w:p w14:paraId="4B57A206">
            <w:pPr>
              <w:pStyle w:val="3"/>
              <w:keepNext w:val="0"/>
              <w:keepLines w:val="0"/>
              <w:pageBreakBefore w:val="0"/>
              <w:numPr>
                <w:ilvl w:val="0"/>
                <w:numId w:val="3"/>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其他情形的，不予计分。</w:t>
            </w:r>
          </w:p>
        </w:tc>
        <w:tc>
          <w:tcPr>
            <w:tcW w:w="3834" w:type="dxa"/>
            <w:shd w:val="clear" w:color="auto" w:fill="auto"/>
            <w:noWrap w:val="0"/>
            <w:vAlign w:val="center"/>
          </w:tcPr>
          <w:p w14:paraId="43D5559B">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1.证书由“中国市政工程协会”颁发，须提供有关证书彩色扫描件。</w:t>
            </w:r>
          </w:p>
          <w:p w14:paraId="25DB3292">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2.颁发机构不符合要求的，按第 2 项标准处理。</w:t>
            </w:r>
          </w:p>
        </w:tc>
      </w:tr>
      <w:tr w14:paraId="755A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0" w:type="dxa"/>
            <w:vMerge w:val="continue"/>
            <w:noWrap w:val="0"/>
            <w:vAlign w:val="center"/>
          </w:tcPr>
          <w:p w14:paraId="49095DED">
            <w:pPr>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snapToGrid w:val="0"/>
                <w:color w:val="000000"/>
                <w:kern w:val="0"/>
                <w:sz w:val="24"/>
                <w:szCs w:val="24"/>
                <w:lang w:val="en-US" w:eastAsia="zh-CN"/>
              </w:rPr>
            </w:pPr>
          </w:p>
        </w:tc>
        <w:tc>
          <w:tcPr>
            <w:tcW w:w="1107" w:type="dxa"/>
            <w:shd w:val="clear" w:color="auto" w:fill="auto"/>
            <w:noWrap w:val="0"/>
            <w:vAlign w:val="center"/>
          </w:tcPr>
          <w:p w14:paraId="5AA7F129">
            <w:pPr>
              <w:shd w:val="clear" w:color="auto" w:fill="auto"/>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企业</w:t>
            </w:r>
            <w:r>
              <w:rPr>
                <w:rFonts w:hint="eastAsia" w:ascii="宋体" w:hAnsi="宋体" w:eastAsia="宋体" w:cs="宋体"/>
                <w:b w:val="0"/>
                <w:bCs w:val="0"/>
                <w:color w:val="auto"/>
                <w:kern w:val="0"/>
                <w:sz w:val="24"/>
                <w:szCs w:val="24"/>
                <w:highlight w:val="none"/>
                <w:lang w:val="en-US" w:eastAsia="zh-CN"/>
              </w:rPr>
              <w:t>管理体系认证</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w:t>
            </w:r>
          </w:p>
        </w:tc>
        <w:tc>
          <w:tcPr>
            <w:tcW w:w="3562" w:type="dxa"/>
            <w:shd w:val="clear" w:color="auto" w:fill="auto"/>
            <w:noWrap w:val="0"/>
            <w:vAlign w:val="center"/>
          </w:tcPr>
          <w:p w14:paraId="226BB55D">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1．质量管理体系认证、职业健康安全管理体系认证、环境管理体系认证，每获得1项认证得1分，最高得3分。 </w:t>
            </w:r>
          </w:p>
          <w:p w14:paraId="2BC44E27">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2．未获得以上认证的，不予计分。</w:t>
            </w:r>
          </w:p>
        </w:tc>
        <w:tc>
          <w:tcPr>
            <w:tcW w:w="3834" w:type="dxa"/>
            <w:shd w:val="clear" w:color="auto" w:fill="auto"/>
            <w:noWrap w:val="0"/>
            <w:vAlign w:val="center"/>
          </w:tcPr>
          <w:p w14:paraId="32C76F41">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1.需附在有效期内的认证证书彩色扫描件</w:t>
            </w:r>
            <w:r>
              <w:rPr>
                <w:rFonts w:hint="eastAsia" w:ascii="宋体" w:hAnsi="宋体" w:eastAsia="宋体" w:cs="宋体"/>
                <w:color w:val="auto"/>
                <w:spacing w:val="6"/>
                <w:sz w:val="24"/>
                <w:szCs w:val="24"/>
                <w:highlight w:val="none"/>
              </w:rPr>
              <w:t>。</w:t>
            </w:r>
          </w:p>
          <w:p w14:paraId="453CD4E8">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2.任一认证证书有以下情形之一的，该认证证书视为无效，不予计分：</w:t>
            </w:r>
          </w:p>
          <w:p w14:paraId="22097FE8">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①认证证书不在有效期内的。</w:t>
            </w:r>
          </w:p>
        </w:tc>
      </w:tr>
      <w:tr w14:paraId="620D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0" w:type="dxa"/>
            <w:vMerge w:val="continue"/>
            <w:noWrap w:val="0"/>
            <w:vAlign w:val="center"/>
          </w:tcPr>
          <w:p w14:paraId="469ED5D3">
            <w:pPr>
              <w:pStyle w:val="27"/>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b w:val="0"/>
                <w:bCs w:val="0"/>
                <w:strike w:val="0"/>
                <w:dstrike w:val="0"/>
                <w:snapToGrid w:val="0"/>
                <w:color w:val="000000"/>
                <w:kern w:val="0"/>
                <w:sz w:val="24"/>
                <w:szCs w:val="24"/>
                <w:highlight w:val="none"/>
                <w:u w:val="none"/>
                <w:lang w:val="en-US" w:eastAsia="zh-CN" w:bidi="ar-SA"/>
              </w:rPr>
            </w:pPr>
          </w:p>
        </w:tc>
        <w:tc>
          <w:tcPr>
            <w:tcW w:w="1107" w:type="dxa"/>
            <w:shd w:val="clear" w:color="auto" w:fill="auto"/>
            <w:noWrap w:val="0"/>
            <w:vAlign w:val="center"/>
          </w:tcPr>
          <w:p w14:paraId="27637D23">
            <w:pPr>
              <w:pStyle w:val="3"/>
              <w:widowControl/>
              <w:shd w:val="clear" w:color="auto" w:fill="auto"/>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纳税信用（10分）</w:t>
            </w:r>
          </w:p>
        </w:tc>
        <w:tc>
          <w:tcPr>
            <w:tcW w:w="3562" w:type="dxa"/>
            <w:shd w:val="clear" w:color="auto" w:fill="auto"/>
            <w:noWrap w:val="0"/>
            <w:vAlign w:val="center"/>
          </w:tcPr>
          <w:p w14:paraId="134750A1">
            <w:pPr>
              <w:pStyle w:val="3"/>
              <w:keepNext w:val="0"/>
              <w:keepLines w:val="0"/>
              <w:pageBreakBefore w:val="0"/>
              <w:numPr>
                <w:ilvl w:val="0"/>
                <w:numId w:val="4"/>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企业连续5年以上（含5年）获得纳税信用A级纳税人的，得10分；(其中必须有2025年度)。</w:t>
            </w:r>
          </w:p>
          <w:p w14:paraId="483D0E52">
            <w:pPr>
              <w:pStyle w:val="3"/>
              <w:keepNext w:val="0"/>
              <w:keepLines w:val="0"/>
              <w:pageBreakBefore w:val="0"/>
              <w:numPr>
                <w:ilvl w:val="0"/>
                <w:numId w:val="4"/>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企业连续3年或4年获得纳税信用A级纳税人的，得7分；(其中必须有2025年度)。</w:t>
            </w:r>
          </w:p>
          <w:p w14:paraId="3A1E2AAD">
            <w:pPr>
              <w:pStyle w:val="3"/>
              <w:keepNext w:val="0"/>
              <w:keepLines w:val="0"/>
              <w:pageBreakBefore w:val="0"/>
              <w:numPr>
                <w:ilvl w:val="0"/>
                <w:numId w:val="4"/>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企业连续1年或2年获得纳税信用A级纳税人的，得4分；(其中必须有2025年度)。</w:t>
            </w:r>
          </w:p>
          <w:p w14:paraId="3FA98540">
            <w:pPr>
              <w:pStyle w:val="3"/>
              <w:keepNext w:val="0"/>
              <w:keepLines w:val="0"/>
              <w:pageBreakBefore w:val="0"/>
              <w:numPr>
                <w:ilvl w:val="0"/>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4.其他情形不予计分。</w:t>
            </w:r>
          </w:p>
        </w:tc>
        <w:tc>
          <w:tcPr>
            <w:tcW w:w="3834" w:type="dxa"/>
            <w:shd w:val="clear" w:color="auto" w:fill="auto"/>
            <w:noWrap w:val="0"/>
            <w:vAlign w:val="center"/>
          </w:tcPr>
          <w:p w14:paraId="575B0391">
            <w:pPr>
              <w:pStyle w:val="3"/>
              <w:wordWrap w:val="0"/>
              <w:adjustRightInd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1.必须提供企业纳税信用 A 级纳税人证明材料（或证书）及国家税务总局网上查询截图，否则不得分。</w:t>
            </w:r>
          </w:p>
          <w:p w14:paraId="4275F0D3">
            <w:pPr>
              <w:pStyle w:val="3"/>
              <w:wordWrap w:val="0"/>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2.只计算投标人自身（投标人的分公司、子公司及分支机构除外）。</w:t>
            </w:r>
          </w:p>
        </w:tc>
      </w:tr>
      <w:tr w14:paraId="106A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0" w:type="dxa"/>
            <w:vMerge w:val="restart"/>
            <w:noWrap w:val="0"/>
            <w:vAlign w:val="center"/>
          </w:tcPr>
          <w:p w14:paraId="49ED5616">
            <w:pPr>
              <w:pStyle w:val="27"/>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b w:val="0"/>
                <w:bCs w:val="0"/>
                <w:strike w:val="0"/>
                <w:dstrike w:val="0"/>
                <w:snapToGrid w:val="0"/>
                <w:color w:val="000000"/>
                <w:kern w:val="0"/>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勘察企业（10分）</w:t>
            </w:r>
          </w:p>
        </w:tc>
        <w:tc>
          <w:tcPr>
            <w:tcW w:w="1107" w:type="dxa"/>
            <w:noWrap w:val="0"/>
            <w:vAlign w:val="center"/>
          </w:tcPr>
          <w:p w14:paraId="471FBAE1">
            <w:pPr>
              <w:pStyle w:val="3"/>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勘察负责人综合素质（5分）</w:t>
            </w:r>
          </w:p>
        </w:tc>
        <w:tc>
          <w:tcPr>
            <w:tcW w:w="3562" w:type="dxa"/>
            <w:noWrap w:val="0"/>
            <w:vAlign w:val="center"/>
          </w:tcPr>
          <w:p w14:paraId="5B9D15DC">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岩土工程专业高级工程师（或以上）职称的得5分；</w:t>
            </w:r>
          </w:p>
          <w:p w14:paraId="01FB70C2">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岩土工程专业工程师职称的得3分；</w:t>
            </w:r>
          </w:p>
          <w:p w14:paraId="01081C89">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岩土工程专业助理工程师职称的得1分；</w:t>
            </w:r>
          </w:p>
          <w:p w14:paraId="2608C3FF">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4.其他情形的，不予计分。</w:t>
            </w:r>
          </w:p>
          <w:p w14:paraId="75E43535">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5.本项最高得5分。</w:t>
            </w:r>
          </w:p>
        </w:tc>
        <w:tc>
          <w:tcPr>
            <w:tcW w:w="3834" w:type="dxa"/>
            <w:noWrap w:val="0"/>
            <w:vAlign w:val="center"/>
          </w:tcPr>
          <w:p w14:paraId="15F479FD">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需附职称证彩色扫描件（或电子职称证）。</w:t>
            </w:r>
          </w:p>
          <w:p w14:paraId="03D04923">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2.需提供</w:t>
            </w:r>
            <w:r>
              <w:rPr>
                <w:rFonts w:hint="eastAsia" w:ascii="宋体" w:hAnsi="宋体" w:eastAsia="宋体" w:cs="宋体"/>
                <w:color w:val="auto"/>
                <w:sz w:val="24"/>
                <w:szCs w:val="24"/>
                <w:highlight w:val="none"/>
                <w:lang w:val="en-US" w:eastAsia="zh-CN"/>
              </w:rPr>
              <w:t>勘察负责人</w:t>
            </w:r>
            <w:r>
              <w:rPr>
                <w:rFonts w:hint="eastAsia" w:ascii="宋体" w:hAnsi="宋体" w:eastAsia="宋体" w:cs="宋体"/>
                <w:color w:val="auto"/>
                <w:sz w:val="24"/>
                <w:szCs w:val="24"/>
                <w:highlight w:val="none"/>
              </w:rPr>
              <w:t>在本单位缴纳</w:t>
            </w:r>
            <w:r>
              <w:rPr>
                <w:rFonts w:hint="eastAsia" w:ascii="宋体" w:hAnsi="宋体" w:eastAsia="宋体" w:cs="宋体"/>
                <w:color w:val="auto"/>
                <w:sz w:val="24"/>
                <w:szCs w:val="24"/>
                <w:highlight w:val="none"/>
                <w:lang w:val="en-US" w:eastAsia="zh-CN"/>
              </w:rPr>
              <w:t>连续3个月</w:t>
            </w:r>
            <w:r>
              <w:rPr>
                <w:rFonts w:hint="eastAsia" w:ascii="宋体" w:hAnsi="宋体" w:eastAsia="宋体" w:cs="宋体"/>
                <w:color w:val="auto"/>
                <w:sz w:val="24"/>
                <w:szCs w:val="24"/>
                <w:highlight w:val="none"/>
              </w:rPr>
              <w:t>社保的证明（其中必须有</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）彩色扫描件，返聘人员除外；若是退休人员需提供退休证和返聘合同（协议）彩色扫描件。</w:t>
            </w:r>
          </w:p>
        </w:tc>
      </w:tr>
      <w:tr w14:paraId="101F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8" w:hRule="atLeast"/>
        </w:trPr>
        <w:tc>
          <w:tcPr>
            <w:tcW w:w="810" w:type="dxa"/>
            <w:vMerge w:val="continue"/>
            <w:noWrap w:val="0"/>
            <w:vAlign w:val="center"/>
          </w:tcPr>
          <w:p w14:paraId="58F11F1A">
            <w:pPr>
              <w:pStyle w:val="27"/>
              <w:keepNext w:val="0"/>
              <w:keepLines w:val="0"/>
              <w:pageBreakBefore w:val="0"/>
              <w:widowControl w:val="0"/>
              <w:kinsoku/>
              <w:overflowPunct/>
              <w:topLinePunct w:val="0"/>
              <w:autoSpaceDN/>
              <w:bidi w:val="0"/>
              <w:spacing w:line="460" w:lineRule="exact"/>
              <w:jc w:val="center"/>
              <w:textAlignment w:val="auto"/>
              <w:rPr>
                <w:rFonts w:hint="eastAsia" w:ascii="宋体" w:hAnsi="宋体" w:eastAsia="宋体" w:cs="宋体"/>
                <w:color w:val="000000"/>
                <w:sz w:val="24"/>
                <w:szCs w:val="24"/>
                <w:lang w:val="en-US" w:eastAsia="zh-CN"/>
              </w:rPr>
            </w:pPr>
          </w:p>
        </w:tc>
        <w:tc>
          <w:tcPr>
            <w:tcW w:w="1107" w:type="dxa"/>
            <w:noWrap w:val="0"/>
            <w:vAlign w:val="center"/>
          </w:tcPr>
          <w:p w14:paraId="1AA21992">
            <w:pPr>
              <w:pStyle w:val="3"/>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w:t>
            </w:r>
          </w:p>
          <w:p w14:paraId="65FBE3DB">
            <w:pPr>
              <w:pStyle w:val="3"/>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593CC68B">
            <w:pPr>
              <w:pStyle w:val="3"/>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3562" w:type="dxa"/>
            <w:noWrap w:val="0"/>
            <w:vAlign w:val="center"/>
          </w:tcPr>
          <w:p w14:paraId="7A5B804D">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企业近5年来（2021年1月1日至今）业绩情况：</w:t>
            </w:r>
          </w:p>
          <w:p w14:paraId="3BE61183">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承接过类似项目的的单项工程，每个得5分。</w:t>
            </w:r>
          </w:p>
          <w:p w14:paraId="3A121E0E">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2．未承接过类似项目的，不予计分。</w:t>
            </w:r>
          </w:p>
          <w:p w14:paraId="007EB622">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3.本项最高得5分。</w:t>
            </w:r>
          </w:p>
        </w:tc>
        <w:tc>
          <w:tcPr>
            <w:tcW w:w="3834" w:type="dxa"/>
            <w:noWrap w:val="0"/>
            <w:vAlign w:val="center"/>
          </w:tcPr>
          <w:p w14:paraId="17D27969">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1．类似项目指：市政类工程勘察项目 （含勘察、勘察设计、勘察设计施工总承包项目）。</w:t>
            </w:r>
          </w:p>
          <w:p w14:paraId="0BD3492E">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2．需附有关业绩合同协议书彩色扫描件。</w:t>
            </w:r>
          </w:p>
          <w:p w14:paraId="4C88AF67">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3．业绩时间以合同协议书日期为准。</w:t>
            </w:r>
          </w:p>
          <w:p w14:paraId="29E2F220">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4．任一业绩有以下情形之一的，该业绩视为无效，不予计分：</w:t>
            </w:r>
          </w:p>
          <w:p w14:paraId="416342DC">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①业绩不属于类似项目的；</w:t>
            </w:r>
          </w:p>
          <w:p w14:paraId="5E726CA1">
            <w:pPr>
              <w:pStyle w:val="3"/>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②业绩时间不符合要求的。</w:t>
            </w:r>
          </w:p>
        </w:tc>
      </w:tr>
      <w:tr w14:paraId="0A21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313" w:type="dxa"/>
            <w:gridSpan w:val="4"/>
            <w:noWrap w:val="0"/>
            <w:vAlign w:val="center"/>
          </w:tcPr>
          <w:p w14:paraId="0644436F">
            <w:pPr>
              <w:keepNext w:val="0"/>
              <w:keepLines w:val="0"/>
              <w:pageBreakBefore w:val="0"/>
              <w:widowControl w:val="0"/>
              <w:kinsoku/>
              <w:overflowPunct/>
              <w:topLinePunct w:val="0"/>
              <w:autoSpaceDN/>
              <w:bidi w:val="0"/>
              <w:spacing w:line="46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技术部分M2，满分：</w:t>
            </w:r>
            <w:r>
              <w:rPr>
                <w:rFonts w:hint="eastAsia" w:ascii="宋体" w:hAnsi="宋体" w:eastAsia="宋体" w:cs="宋体"/>
                <w:b/>
                <w:bCs/>
                <w:color w:val="000000"/>
                <w:kern w:val="0"/>
                <w:sz w:val="24"/>
                <w:szCs w:val="24"/>
                <w:u w:val="single"/>
              </w:rPr>
              <w:t>10</w:t>
            </w:r>
            <w:r>
              <w:rPr>
                <w:rFonts w:hint="eastAsia" w:ascii="宋体" w:hAnsi="宋体" w:eastAsia="宋体" w:cs="宋体"/>
                <w:b/>
                <w:bCs/>
                <w:color w:val="000000"/>
                <w:kern w:val="0"/>
                <w:sz w:val="24"/>
                <w:szCs w:val="24"/>
              </w:rPr>
              <w:t>分。</w:t>
            </w:r>
          </w:p>
        </w:tc>
      </w:tr>
      <w:tr w14:paraId="2D61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17" w:type="dxa"/>
            <w:gridSpan w:val="2"/>
            <w:noWrap w:val="0"/>
            <w:vAlign w:val="center"/>
          </w:tcPr>
          <w:p w14:paraId="371097E4">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rPr>
              <w:t>评分因素</w:t>
            </w:r>
          </w:p>
        </w:tc>
        <w:tc>
          <w:tcPr>
            <w:tcW w:w="7396" w:type="dxa"/>
            <w:gridSpan w:val="2"/>
            <w:noWrap w:val="0"/>
            <w:vAlign w:val="center"/>
          </w:tcPr>
          <w:p w14:paraId="1D6EE9D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rPr>
              <w:t>评分标准</w:t>
            </w:r>
          </w:p>
        </w:tc>
      </w:tr>
      <w:tr w14:paraId="2054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1917" w:type="dxa"/>
            <w:gridSpan w:val="2"/>
            <w:noWrap w:val="0"/>
            <w:vAlign w:val="center"/>
          </w:tcPr>
          <w:p w14:paraId="7C3EA385">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center"/>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2"/>
                <w:sz w:val="24"/>
                <w:szCs w:val="24"/>
                <w:highlight w:val="none"/>
                <w:lang w:val="en-US" w:eastAsia="zh-CN"/>
              </w:rPr>
              <w:t>项目设计重点、难点分析（3分）</w:t>
            </w:r>
          </w:p>
        </w:tc>
        <w:tc>
          <w:tcPr>
            <w:tcW w:w="7396" w:type="dxa"/>
            <w:gridSpan w:val="2"/>
            <w:noWrap w:val="0"/>
            <w:vAlign w:val="center"/>
          </w:tcPr>
          <w:p w14:paraId="1AA263E5">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对本招标项目的重点、难点的分析，以及相关应对措施：</w:t>
            </w:r>
          </w:p>
          <w:p w14:paraId="47CB187E">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【优】对本招标项目的重点、难点的分析，以及相关应对措施描述详尽、透彻的得3.0分；</w:t>
            </w:r>
          </w:p>
          <w:p w14:paraId="4365F6C6">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【良】对本招标项目的重点、难点的分析，以及相关应对措施描述较详尽、较透彻的得2.5分；</w:t>
            </w:r>
          </w:p>
          <w:p w14:paraId="499720DC">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【合格】对本招标项目的重点、难点的分析，以及相关应对措施描述不够详尽、不够透彻的得2.0分；</w:t>
            </w:r>
          </w:p>
          <w:p w14:paraId="57649BD9">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2"/>
                <w:sz w:val="24"/>
                <w:szCs w:val="24"/>
                <w:highlight w:val="none"/>
                <w:lang w:val="en-US" w:eastAsia="zh-CN"/>
              </w:rPr>
              <w:t>无该项描述得0分。</w:t>
            </w:r>
          </w:p>
        </w:tc>
      </w:tr>
      <w:tr w14:paraId="5BFE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7" w:type="dxa"/>
            <w:gridSpan w:val="2"/>
            <w:noWrap w:val="0"/>
            <w:vAlign w:val="center"/>
          </w:tcPr>
          <w:p w14:paraId="625C9C36">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center"/>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2"/>
                <w:sz w:val="24"/>
                <w:szCs w:val="24"/>
                <w:highlight w:val="none"/>
                <w:lang w:val="en-US" w:eastAsia="zh-CN"/>
              </w:rPr>
              <w:t>质量和进度保证措施（3分）</w:t>
            </w:r>
          </w:p>
        </w:tc>
        <w:tc>
          <w:tcPr>
            <w:tcW w:w="7396" w:type="dxa"/>
            <w:gridSpan w:val="2"/>
            <w:noWrap w:val="0"/>
            <w:vAlign w:val="center"/>
          </w:tcPr>
          <w:p w14:paraId="667E65C7">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据投标人对质量和进度的保证措施及承诺进行评分：</w:t>
            </w:r>
          </w:p>
          <w:p w14:paraId="4EACA6BF">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【优】对质量和进度的保证措施及承诺描述详尽、透彻的得3.0分；</w:t>
            </w:r>
          </w:p>
          <w:p w14:paraId="510D45D0">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【良】对质量和进度的保证措施及承诺描述较详尽、较透彻的得2.5分；</w:t>
            </w:r>
          </w:p>
          <w:p w14:paraId="1DBC55A9">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【合格】对质量和进度的保证措施及承诺描述不够详尽、不够透彻的得2.0分；</w:t>
            </w:r>
          </w:p>
          <w:p w14:paraId="72D43959">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2"/>
                <w:sz w:val="24"/>
                <w:szCs w:val="24"/>
                <w:highlight w:val="none"/>
                <w:lang w:val="en-US" w:eastAsia="zh-CN"/>
              </w:rPr>
              <w:t>无该项描述得0分。</w:t>
            </w:r>
          </w:p>
        </w:tc>
      </w:tr>
      <w:tr w14:paraId="0F1F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917" w:type="dxa"/>
            <w:gridSpan w:val="2"/>
            <w:noWrap w:val="0"/>
            <w:vAlign w:val="center"/>
          </w:tcPr>
          <w:p w14:paraId="79D9587C">
            <w:pPr>
              <w:keepNext w:val="0"/>
              <w:keepLines w:val="0"/>
              <w:pageBreakBefore w:val="0"/>
              <w:widowControl w:val="0"/>
              <w:kinsoku/>
              <w:overflowPunct/>
              <w:topLinePunct w:val="0"/>
              <w:autoSpaceDN/>
              <w:bidi w:val="0"/>
              <w:spacing w:line="360" w:lineRule="auto"/>
              <w:jc w:val="center"/>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2"/>
                <w:sz w:val="24"/>
                <w:szCs w:val="24"/>
                <w:highlight w:val="none"/>
              </w:rPr>
              <w:t>设计方案合理性（</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分）</w:t>
            </w:r>
          </w:p>
        </w:tc>
        <w:tc>
          <w:tcPr>
            <w:tcW w:w="7396" w:type="dxa"/>
            <w:gridSpan w:val="2"/>
            <w:noWrap w:val="0"/>
            <w:vAlign w:val="center"/>
          </w:tcPr>
          <w:p w14:paraId="0ED6D35F">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根据投标人的设计方案合理性进行评分：</w:t>
            </w:r>
          </w:p>
          <w:p w14:paraId="1F2F82EF">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【优】投标人的设计方案非常合理的得4.0分；</w:t>
            </w:r>
          </w:p>
          <w:p w14:paraId="0E063E23">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【良】投标人的设计方案较合理的得3.5分；</w:t>
            </w:r>
          </w:p>
          <w:p w14:paraId="4DC928ED">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【合格】投标人的设计方案不够合理的得3.0分；</w:t>
            </w:r>
          </w:p>
          <w:p w14:paraId="26BC1BC2">
            <w:pPr>
              <w:pStyle w:val="3"/>
              <w:keepNext w:val="0"/>
              <w:keepLines w:val="0"/>
              <w:pageBreakBefore w:val="0"/>
              <w:widowControl w:val="0"/>
              <w:kinsoku/>
              <w:wordWrap w:val="0"/>
              <w:overflowPunct/>
              <w:topLinePunct w:val="0"/>
              <w:autoSpaceDE w:val="0"/>
              <w:autoSpaceDN/>
              <w:bidi w:val="0"/>
              <w:adjustRightInd w:val="0"/>
              <w:snapToGrid w:val="0"/>
              <w:spacing w:after="0" w:afterLines="0" w:line="360" w:lineRule="auto"/>
              <w:jc w:val="left"/>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spacing w:val="-2"/>
                <w:sz w:val="24"/>
                <w:szCs w:val="24"/>
                <w:highlight w:val="none"/>
                <w:lang w:val="en-US" w:eastAsia="zh-CN"/>
              </w:rPr>
              <w:t>无该项描述得0分。</w:t>
            </w:r>
          </w:p>
        </w:tc>
      </w:tr>
      <w:tr w14:paraId="3222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13" w:type="dxa"/>
            <w:gridSpan w:val="4"/>
            <w:noWrap w:val="0"/>
            <w:vAlign w:val="center"/>
          </w:tcPr>
          <w:p w14:paraId="0F7E3B27">
            <w:pPr>
              <w:keepNext w:val="0"/>
              <w:keepLines w:val="0"/>
              <w:pageBreakBefore w:val="0"/>
              <w:widowControl w:val="0"/>
              <w:kinsoku/>
              <w:wordWrap w:val="0"/>
              <w:overflowPunct/>
              <w:topLinePunct w:val="0"/>
              <w:autoSpaceDE w:val="0"/>
              <w:autoSpaceDN/>
              <w:bidi w:val="0"/>
              <w:adjustRightInd w:val="0"/>
              <w:snapToGrid w:val="0"/>
              <w:spacing w:line="46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投标报价部分M</w:t>
            </w: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，满分：</w:t>
            </w:r>
            <w:r>
              <w:rPr>
                <w:rFonts w:hint="eastAsia" w:ascii="宋体" w:hAnsi="宋体" w:eastAsia="宋体" w:cs="宋体"/>
                <w:b/>
                <w:bCs/>
                <w:color w:val="000000"/>
                <w:kern w:val="0"/>
                <w:sz w:val="24"/>
                <w:szCs w:val="24"/>
                <w:lang w:val="en-US" w:eastAsia="zh-CN"/>
              </w:rPr>
              <w:t>30</w:t>
            </w:r>
            <w:r>
              <w:rPr>
                <w:rFonts w:hint="eastAsia" w:ascii="宋体" w:hAnsi="宋体" w:eastAsia="宋体" w:cs="宋体"/>
                <w:b/>
                <w:bCs/>
                <w:color w:val="000000"/>
                <w:kern w:val="0"/>
                <w:sz w:val="24"/>
                <w:szCs w:val="24"/>
              </w:rPr>
              <w:t>分。</w:t>
            </w:r>
          </w:p>
        </w:tc>
      </w:tr>
      <w:tr w14:paraId="555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17" w:type="dxa"/>
            <w:gridSpan w:val="2"/>
            <w:noWrap w:val="0"/>
            <w:vAlign w:val="center"/>
          </w:tcPr>
          <w:p w14:paraId="75C5FA1F">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评分事项</w:t>
            </w:r>
          </w:p>
        </w:tc>
        <w:tc>
          <w:tcPr>
            <w:tcW w:w="7396" w:type="dxa"/>
            <w:gridSpan w:val="2"/>
            <w:noWrap w:val="0"/>
            <w:vAlign w:val="center"/>
          </w:tcPr>
          <w:p w14:paraId="73F50DDC">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评分方法</w:t>
            </w:r>
          </w:p>
        </w:tc>
      </w:tr>
      <w:tr w14:paraId="048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17" w:type="dxa"/>
            <w:gridSpan w:val="2"/>
            <w:noWrap w:val="0"/>
            <w:vAlign w:val="center"/>
          </w:tcPr>
          <w:p w14:paraId="4E92E710">
            <w:pPr>
              <w:keepNext w:val="0"/>
              <w:keepLines w:val="0"/>
              <w:pageBreakBefore w:val="0"/>
              <w:widowControl w:val="0"/>
              <w:kinsoku/>
              <w:wordWrap w:val="0"/>
              <w:overflowPunct/>
              <w:topLinePunct w:val="0"/>
              <w:autoSpaceDE w:val="0"/>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rPr>
              <w:t>评标基准价D</w:t>
            </w:r>
          </w:p>
        </w:tc>
        <w:tc>
          <w:tcPr>
            <w:tcW w:w="7396" w:type="dxa"/>
            <w:gridSpan w:val="2"/>
            <w:noWrap w:val="0"/>
            <w:vAlign w:val="center"/>
          </w:tcPr>
          <w:p w14:paraId="3E349CD9">
            <w:pPr>
              <w:keepNext w:val="0"/>
              <w:keepLines w:val="0"/>
              <w:pageBreakBefore w:val="0"/>
              <w:widowControl w:val="0"/>
              <w:kinsoku/>
              <w:wordWrap w:val="0"/>
              <w:overflowPunct/>
              <w:topLinePunct w:val="0"/>
              <w:autoSpaceDN/>
              <w:bidi w:val="0"/>
              <w:adjustRightInd w:val="0"/>
              <w:snapToGrid w:val="0"/>
              <w:spacing w:line="460" w:lineRule="exact"/>
              <w:jc w:val="left"/>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(1)</w:t>
            </w:r>
            <w:r>
              <w:rPr>
                <w:rFonts w:hint="eastAsia" w:ascii="宋体" w:hAnsi="宋体" w:eastAsia="宋体" w:cs="宋体"/>
                <w:snapToGrid w:val="0"/>
                <w:color w:val="000000"/>
                <w:kern w:val="0"/>
                <w:sz w:val="24"/>
                <w:szCs w:val="24"/>
              </w:rPr>
              <w:t>确定最高投标限价下浮系数n：用1～21号球分别代表一个下浮系数，由评委代表从这21个号码中随机抽取</w:t>
            </w:r>
            <w:r>
              <w:rPr>
                <w:rFonts w:hint="eastAsia" w:ascii="宋体" w:hAnsi="宋体" w:eastAsia="宋体" w:cs="宋体"/>
                <w:snapToGrid w:val="0"/>
                <w:color w:val="000000"/>
                <w:kern w:val="0"/>
                <w:sz w:val="24"/>
                <w:szCs w:val="24"/>
                <w:u w:val="single"/>
              </w:rPr>
              <w:t xml:space="preserve"> 3 </w:t>
            </w:r>
            <w:r>
              <w:rPr>
                <w:rFonts w:hint="eastAsia" w:ascii="宋体" w:hAnsi="宋体" w:eastAsia="宋体" w:cs="宋体"/>
                <w:snapToGrid w:val="0"/>
                <w:color w:val="000000"/>
                <w:kern w:val="0"/>
                <w:sz w:val="24"/>
                <w:szCs w:val="24"/>
              </w:rPr>
              <w:t>次，每次抽取1个号码，抽出的号球不参与下次抽取。所抽取的3个号码对应下浮系数的算术平均值作为最高投标限价下浮系数n。具体号码对应的下浮系数可参考下表</w:t>
            </w:r>
            <w:r>
              <w:rPr>
                <w:rFonts w:hint="eastAsia" w:ascii="宋体" w:hAnsi="宋体" w:eastAsia="宋体" w:cs="宋体"/>
                <w:snapToGrid w:val="0"/>
                <w:color w:val="000000"/>
                <w:kern w:val="0"/>
                <w:sz w:val="24"/>
                <w:szCs w:val="24"/>
                <w:lang w:eastAsia="zh-CN"/>
              </w:rPr>
              <w:t>：</w:t>
            </w:r>
          </w:p>
          <w:tbl>
            <w:tblPr>
              <w:tblStyle w:val="33"/>
              <w:tblW w:w="7115" w:type="dxa"/>
              <w:tblInd w:w="0" w:type="dxa"/>
              <w:tblLayout w:type="fixed"/>
              <w:tblCellMar>
                <w:top w:w="0" w:type="dxa"/>
                <w:left w:w="108" w:type="dxa"/>
                <w:bottom w:w="0" w:type="dxa"/>
                <w:right w:w="108" w:type="dxa"/>
              </w:tblCellMar>
            </w:tblPr>
            <w:tblGrid>
              <w:gridCol w:w="1672"/>
              <w:gridCol w:w="777"/>
              <w:gridCol w:w="777"/>
              <w:gridCol w:w="777"/>
              <w:gridCol w:w="777"/>
              <w:gridCol w:w="777"/>
              <w:gridCol w:w="777"/>
              <w:gridCol w:w="781"/>
            </w:tblGrid>
            <w:tr w14:paraId="0C375154">
              <w:tblPrEx>
                <w:tblCellMar>
                  <w:top w:w="0" w:type="dxa"/>
                  <w:left w:w="108" w:type="dxa"/>
                  <w:bottom w:w="0" w:type="dxa"/>
                  <w:right w:w="108" w:type="dxa"/>
                </w:tblCellMar>
              </w:tblPrEx>
              <w:trPr>
                <w:trHeight w:val="422" w:hRule="atLeast"/>
              </w:trPr>
              <w:tc>
                <w:tcPr>
                  <w:tcW w:w="1672" w:type="dxa"/>
                  <w:tcBorders>
                    <w:top w:val="single" w:color="000000" w:sz="4" w:space="0"/>
                    <w:left w:val="single" w:color="000000" w:sz="4" w:space="0"/>
                    <w:bottom w:val="single" w:color="000000" w:sz="4" w:space="0"/>
                    <w:right w:val="single" w:color="000000" w:sz="4" w:space="0"/>
                  </w:tcBorders>
                  <w:noWrap w:val="0"/>
                  <w:vAlign w:val="center"/>
                </w:tcPr>
                <w:p w14:paraId="32BECF7F">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号球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219143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016799D">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3C423B4">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3</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1FF420C">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4</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3BFE6E4">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2796BD6">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6</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2C138C9">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7</w:t>
                  </w:r>
                </w:p>
              </w:tc>
            </w:tr>
            <w:tr w14:paraId="3A5E3E89">
              <w:tblPrEx>
                <w:tblCellMar>
                  <w:top w:w="0" w:type="dxa"/>
                  <w:left w:w="108" w:type="dxa"/>
                  <w:bottom w:w="0" w:type="dxa"/>
                  <w:right w:w="108" w:type="dxa"/>
                </w:tblCellMar>
              </w:tblPrEx>
              <w:trPr>
                <w:trHeight w:val="562" w:hRule="atLeast"/>
              </w:trPr>
              <w:tc>
                <w:tcPr>
                  <w:tcW w:w="1672" w:type="dxa"/>
                  <w:tcBorders>
                    <w:top w:val="single" w:color="000000" w:sz="4" w:space="0"/>
                    <w:left w:val="single" w:color="000000" w:sz="4" w:space="0"/>
                    <w:bottom w:val="single" w:color="000000" w:sz="4" w:space="0"/>
                    <w:right w:val="single" w:color="000000" w:sz="4" w:space="0"/>
                  </w:tcBorders>
                  <w:noWrap w:val="0"/>
                  <w:vAlign w:val="center"/>
                </w:tcPr>
                <w:p w14:paraId="7C8E2E9F">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下浮系数（%）</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261860E">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87007A7">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ECCA8F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FD5B8E4">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1.3</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B5C354E">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1.4</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C94BFF2">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1.5</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19E91DB">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1.6</w:t>
                  </w:r>
                </w:p>
              </w:tc>
            </w:tr>
            <w:tr w14:paraId="3A1C1EF3">
              <w:tblPrEx>
                <w:tblCellMar>
                  <w:top w:w="0" w:type="dxa"/>
                  <w:left w:w="108" w:type="dxa"/>
                  <w:bottom w:w="0" w:type="dxa"/>
                  <w:right w:w="108" w:type="dxa"/>
                </w:tblCellMar>
              </w:tblPrEx>
              <w:trPr>
                <w:trHeight w:val="465" w:hRule="atLeast"/>
              </w:trPr>
              <w:tc>
                <w:tcPr>
                  <w:tcW w:w="1672" w:type="dxa"/>
                  <w:tcBorders>
                    <w:top w:val="single" w:color="000000" w:sz="4" w:space="0"/>
                    <w:left w:val="single" w:color="000000" w:sz="4" w:space="0"/>
                    <w:bottom w:val="single" w:color="000000" w:sz="4" w:space="0"/>
                    <w:right w:val="single" w:color="000000" w:sz="4" w:space="0"/>
                  </w:tcBorders>
                  <w:noWrap w:val="0"/>
                  <w:vAlign w:val="center"/>
                </w:tcPr>
                <w:p w14:paraId="2AD178AB">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号球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EE3141B">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666D020">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1F06A5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829F58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BB75D98">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88D9B27">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13</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1D1A938A">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14</w:t>
                  </w:r>
                </w:p>
              </w:tc>
            </w:tr>
            <w:tr w14:paraId="76BEDAF4">
              <w:tblPrEx>
                <w:tblCellMar>
                  <w:top w:w="0" w:type="dxa"/>
                  <w:left w:w="108" w:type="dxa"/>
                  <w:bottom w:w="0" w:type="dxa"/>
                  <w:right w:w="108" w:type="dxa"/>
                </w:tblCellMar>
              </w:tblPrEx>
              <w:trPr>
                <w:trHeight w:val="562" w:hRule="atLeast"/>
              </w:trPr>
              <w:tc>
                <w:tcPr>
                  <w:tcW w:w="1672" w:type="dxa"/>
                  <w:tcBorders>
                    <w:top w:val="single" w:color="000000" w:sz="4" w:space="0"/>
                    <w:left w:val="single" w:color="000000" w:sz="4" w:space="0"/>
                    <w:bottom w:val="single" w:color="000000" w:sz="4" w:space="0"/>
                    <w:right w:val="single" w:color="000000" w:sz="4" w:space="0"/>
                  </w:tcBorders>
                  <w:noWrap w:val="0"/>
                  <w:vAlign w:val="center"/>
                </w:tcPr>
                <w:p w14:paraId="5F2CFEE3">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下浮系数（%）</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49E22D2">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1.7</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2F206C2">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9AC5F49">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CE23DF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AE62634">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DCAA886">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15EDAD9">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2.3</w:t>
                  </w:r>
                </w:p>
              </w:tc>
            </w:tr>
            <w:tr w14:paraId="52102443">
              <w:tblPrEx>
                <w:tblCellMar>
                  <w:top w:w="0" w:type="dxa"/>
                  <w:left w:w="108" w:type="dxa"/>
                  <w:bottom w:w="0" w:type="dxa"/>
                  <w:right w:w="108" w:type="dxa"/>
                </w:tblCellMar>
              </w:tblPrEx>
              <w:trPr>
                <w:trHeight w:val="427" w:hRule="atLeast"/>
              </w:trPr>
              <w:tc>
                <w:tcPr>
                  <w:tcW w:w="1672" w:type="dxa"/>
                  <w:tcBorders>
                    <w:top w:val="single" w:color="000000" w:sz="4" w:space="0"/>
                    <w:left w:val="single" w:color="000000" w:sz="4" w:space="0"/>
                    <w:bottom w:val="single" w:color="000000" w:sz="4" w:space="0"/>
                    <w:right w:val="single" w:color="000000" w:sz="4" w:space="0"/>
                  </w:tcBorders>
                  <w:noWrap w:val="0"/>
                  <w:vAlign w:val="center"/>
                </w:tcPr>
                <w:p w14:paraId="44C3969D">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号球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846C8A7">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1A2F3FB">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16</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DDC4DC9">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17</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D3FF286">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D2DE6F7">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19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920084A">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20</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A85F9D8">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b/>
                      <w:bCs w:val="0"/>
                      <w:snapToGrid w:val="0"/>
                      <w:color w:val="000000"/>
                      <w:kern w:val="0"/>
                      <w:sz w:val="24"/>
                      <w:szCs w:val="24"/>
                    </w:rPr>
                  </w:pPr>
                  <w:r>
                    <w:rPr>
                      <w:rFonts w:hint="eastAsia" w:ascii="宋体" w:hAnsi="宋体" w:eastAsia="宋体" w:cs="宋体"/>
                      <w:b/>
                      <w:bCs w:val="0"/>
                      <w:snapToGrid w:val="0"/>
                      <w:color w:val="000000"/>
                      <w:kern w:val="0"/>
                      <w:sz w:val="24"/>
                      <w:szCs w:val="24"/>
                    </w:rPr>
                    <w:t>21</w:t>
                  </w:r>
                </w:p>
              </w:tc>
            </w:tr>
            <w:tr w14:paraId="59EB7DFC">
              <w:tblPrEx>
                <w:tblCellMar>
                  <w:top w:w="0" w:type="dxa"/>
                  <w:left w:w="108" w:type="dxa"/>
                  <w:bottom w:w="0" w:type="dxa"/>
                  <w:right w:w="108" w:type="dxa"/>
                </w:tblCellMar>
              </w:tblPrEx>
              <w:trPr>
                <w:trHeight w:val="582" w:hRule="atLeast"/>
              </w:trPr>
              <w:tc>
                <w:tcPr>
                  <w:tcW w:w="1672" w:type="dxa"/>
                  <w:tcBorders>
                    <w:top w:val="single" w:color="000000" w:sz="4" w:space="0"/>
                    <w:left w:val="single" w:color="000000" w:sz="4" w:space="0"/>
                    <w:bottom w:val="single" w:color="000000" w:sz="4" w:space="0"/>
                    <w:right w:val="single" w:color="000000" w:sz="4" w:space="0"/>
                  </w:tcBorders>
                  <w:noWrap w:val="0"/>
                  <w:vAlign w:val="center"/>
                </w:tcPr>
                <w:p w14:paraId="6911DA55">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下浮系数（%）</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320382F">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2.4</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177D0F3">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2D51303">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2.6</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6B4A3F9">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2.7</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E6BDF67">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EE381F9">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2.9</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FBAB614">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3.0</w:t>
                  </w:r>
                </w:p>
              </w:tc>
            </w:tr>
          </w:tbl>
          <w:p w14:paraId="258807E2">
            <w:pPr>
              <w:keepNext w:val="0"/>
              <w:keepLines w:val="0"/>
              <w:pageBreakBefore w:val="0"/>
              <w:widowControl w:val="0"/>
              <w:kinsoku/>
              <w:wordWrap w:val="0"/>
              <w:overflowPunct/>
              <w:topLinePunct w:val="0"/>
              <w:autoSpaceDE w:val="0"/>
              <w:autoSpaceDN/>
              <w:bidi w:val="0"/>
              <w:adjustRightInd w:val="0"/>
              <w:snapToGrid w:val="0"/>
              <w:spacing w:line="460" w:lineRule="exact"/>
              <w:jc w:val="left"/>
              <w:textAlignment w:val="auto"/>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(2)</w:t>
            </w:r>
            <w:r>
              <w:rPr>
                <w:rFonts w:hint="eastAsia" w:ascii="宋体" w:hAnsi="宋体" w:eastAsia="宋体" w:cs="宋体"/>
                <w:snapToGrid w:val="0"/>
                <w:color w:val="000000"/>
                <w:kern w:val="0"/>
                <w:sz w:val="24"/>
                <w:szCs w:val="24"/>
              </w:rPr>
              <w:t>评标基准价D＝最高投标限价×（1－n）</w:t>
            </w:r>
          </w:p>
        </w:tc>
      </w:tr>
      <w:tr w14:paraId="7B03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17" w:type="dxa"/>
            <w:gridSpan w:val="2"/>
            <w:noWrap w:val="0"/>
            <w:vAlign w:val="center"/>
          </w:tcPr>
          <w:p w14:paraId="1C9EB3AE">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投标报价</w:t>
            </w:r>
          </w:p>
          <w:p w14:paraId="63EBAA1D">
            <w:pPr>
              <w:keepNext w:val="0"/>
              <w:keepLines w:val="0"/>
              <w:pageBreakBefore w:val="0"/>
              <w:widowControl w:val="0"/>
              <w:kinsoku/>
              <w:wordWrap w:val="0"/>
              <w:overflowPunct/>
              <w:topLinePunct w:val="0"/>
              <w:autoSpaceDN/>
              <w:bidi w:val="0"/>
              <w:adjustRightInd w:val="0"/>
              <w:snapToGrid w:val="0"/>
              <w:spacing w:line="460" w:lineRule="exact"/>
              <w:jc w:val="center"/>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得分M</w:t>
            </w:r>
            <w:r>
              <w:rPr>
                <w:rFonts w:hint="eastAsia" w:ascii="宋体" w:hAnsi="宋体" w:eastAsia="宋体" w:cs="宋体"/>
                <w:snapToGrid w:val="0"/>
                <w:color w:val="000000"/>
                <w:kern w:val="0"/>
                <w:sz w:val="24"/>
                <w:szCs w:val="24"/>
                <w:lang w:val="en-US" w:eastAsia="zh-CN"/>
              </w:rPr>
              <w:t>3</w:t>
            </w:r>
          </w:p>
        </w:tc>
        <w:tc>
          <w:tcPr>
            <w:tcW w:w="7396" w:type="dxa"/>
            <w:gridSpan w:val="2"/>
            <w:noWrap w:val="0"/>
            <w:vAlign w:val="center"/>
          </w:tcPr>
          <w:p w14:paraId="57105759">
            <w:pPr>
              <w:keepNext w:val="0"/>
              <w:keepLines w:val="0"/>
              <w:pageBreakBefore w:val="0"/>
              <w:widowControl w:val="0"/>
              <w:kinsoku/>
              <w:wordWrap w:val="0"/>
              <w:overflowPunct/>
              <w:topLinePunct w:val="0"/>
              <w:autoSpaceDN/>
              <w:bidi w:val="0"/>
              <w:adjustRightInd w:val="0"/>
              <w:snapToGrid w:val="0"/>
              <w:spacing w:line="460" w:lineRule="exact"/>
              <w:ind w:firstLine="480" w:firstLineChars="200"/>
              <w:jc w:val="left"/>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采用内插法计算某投标人的投标报价得分M</w:t>
            </w:r>
            <w:r>
              <w:rPr>
                <w:rFonts w:hint="eastAsia" w:ascii="宋体" w:hAnsi="宋体" w:eastAsia="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，即当投标人的投标总价等于评标基准价时得</w:t>
            </w:r>
            <w:r>
              <w:rPr>
                <w:rFonts w:hint="eastAsia" w:ascii="宋体" w:hAnsi="宋体" w:eastAsia="宋体" w:cs="宋体"/>
                <w:snapToGrid w:val="0"/>
                <w:color w:val="000000"/>
                <w:kern w:val="0"/>
                <w:sz w:val="24"/>
                <w:szCs w:val="24"/>
                <w:lang w:val="en-US" w:eastAsia="zh-CN"/>
              </w:rPr>
              <w:t>30</w:t>
            </w:r>
            <w:r>
              <w:rPr>
                <w:rFonts w:hint="eastAsia" w:ascii="宋体" w:hAnsi="宋体" w:eastAsia="宋体" w:cs="宋体"/>
                <w:snapToGrid w:val="0"/>
                <w:color w:val="000000"/>
                <w:kern w:val="0"/>
                <w:sz w:val="24"/>
                <w:szCs w:val="24"/>
              </w:rPr>
              <w:t>分，每高于评标基准价一个百分点扣</w:t>
            </w:r>
            <w:r>
              <w:rPr>
                <w:rFonts w:hint="eastAsia" w:ascii="宋体" w:hAnsi="宋体" w:cs="宋体"/>
                <w:snapToGrid w:val="0"/>
                <w:color w:val="000000"/>
                <w:kern w:val="0"/>
                <w:sz w:val="24"/>
                <w:szCs w:val="24"/>
                <w:lang w:val="en-US" w:eastAsia="zh-CN"/>
              </w:rPr>
              <w:t>1</w:t>
            </w:r>
            <w:r>
              <w:rPr>
                <w:rFonts w:hint="eastAsia" w:ascii="宋体" w:hAnsi="宋体" w:eastAsia="宋体" w:cs="宋体"/>
                <w:snapToGrid w:val="0"/>
                <w:color w:val="000000"/>
                <w:kern w:val="0"/>
                <w:sz w:val="24"/>
                <w:szCs w:val="24"/>
              </w:rPr>
              <w:t>分, 每低于评标基准价一个百分点扣0.</w:t>
            </w:r>
            <w:r>
              <w:rPr>
                <w:rFonts w:hint="eastAsia" w:ascii="宋体" w:hAnsi="宋体" w:cs="宋体"/>
                <w:snapToGrid w:val="0"/>
                <w:color w:val="000000"/>
                <w:kern w:val="0"/>
                <w:sz w:val="24"/>
                <w:szCs w:val="24"/>
                <w:lang w:val="en-US" w:eastAsia="zh-CN"/>
              </w:rPr>
              <w:t>5</w:t>
            </w:r>
            <w:r>
              <w:rPr>
                <w:rFonts w:hint="eastAsia" w:ascii="宋体" w:hAnsi="宋体" w:eastAsia="宋体" w:cs="宋体"/>
                <w:snapToGrid w:val="0"/>
                <w:color w:val="000000"/>
                <w:kern w:val="0"/>
                <w:sz w:val="24"/>
                <w:szCs w:val="24"/>
              </w:rPr>
              <w:t>分，扣完为止。公式如下：</w:t>
            </w:r>
          </w:p>
          <w:p w14:paraId="1E222180">
            <w:pPr>
              <w:keepNext w:val="0"/>
              <w:keepLines w:val="0"/>
              <w:pageBreakBefore w:val="0"/>
              <w:widowControl w:val="0"/>
              <w:kinsoku/>
              <w:wordWrap w:val="0"/>
              <w:overflowPunct/>
              <w:topLinePunct w:val="0"/>
              <w:autoSpaceDN/>
              <w:bidi w:val="0"/>
              <w:adjustRightInd w:val="0"/>
              <w:snapToGrid w:val="0"/>
              <w:spacing w:line="460" w:lineRule="exact"/>
              <w:ind w:firstLine="480" w:firstLineChars="200"/>
              <w:jc w:val="left"/>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M</w:t>
            </w:r>
            <w:r>
              <w:rPr>
                <w:rFonts w:hint="eastAsia" w:ascii="宋体" w:hAnsi="宋体" w:eastAsia="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30</w:t>
            </w:r>
            <w:r>
              <w:rPr>
                <w:rFonts w:hint="eastAsia" w:ascii="宋体" w:hAnsi="宋体" w:eastAsia="宋体" w:cs="宋体"/>
                <w:snapToGrid w:val="0"/>
                <w:color w:val="000000"/>
                <w:kern w:val="0"/>
                <w:sz w:val="24"/>
                <w:szCs w:val="24"/>
              </w:rPr>
              <w:t>－（| Di－D | ÷D）×100×E</w:t>
            </w:r>
          </w:p>
          <w:p w14:paraId="43A830C5">
            <w:pPr>
              <w:keepNext w:val="0"/>
              <w:keepLines w:val="0"/>
              <w:pageBreakBefore w:val="0"/>
              <w:widowControl w:val="0"/>
              <w:kinsoku/>
              <w:wordWrap w:val="0"/>
              <w:overflowPunct/>
              <w:topLinePunct w:val="0"/>
              <w:autoSpaceDN/>
              <w:bidi w:val="0"/>
              <w:adjustRightInd w:val="0"/>
              <w:snapToGrid w:val="0"/>
              <w:spacing w:line="460" w:lineRule="exact"/>
              <w:ind w:firstLine="480" w:firstLineChars="200"/>
              <w:jc w:val="left"/>
              <w:textAlignment w:val="auto"/>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式中：D为评标基准价；Di为某投标人的投标总价；E为扣分因子，当Di＞D时，E＝</w:t>
            </w:r>
            <w:r>
              <w:rPr>
                <w:rFonts w:hint="eastAsia" w:ascii="宋体" w:hAnsi="宋体" w:cs="宋体"/>
                <w:snapToGrid w:val="0"/>
                <w:color w:val="000000"/>
                <w:kern w:val="0"/>
                <w:sz w:val="24"/>
                <w:szCs w:val="24"/>
                <w:lang w:val="en-US" w:eastAsia="zh-CN"/>
              </w:rPr>
              <w:t>1</w:t>
            </w:r>
            <w:r>
              <w:rPr>
                <w:rFonts w:hint="eastAsia" w:ascii="宋体" w:hAnsi="宋体" w:eastAsia="宋体" w:cs="宋体"/>
                <w:snapToGrid w:val="0"/>
                <w:color w:val="000000"/>
                <w:kern w:val="0"/>
                <w:sz w:val="24"/>
                <w:szCs w:val="24"/>
              </w:rPr>
              <w:t>；当Di＜D时，E＝0.</w:t>
            </w:r>
            <w:r>
              <w:rPr>
                <w:rFonts w:hint="eastAsia" w:ascii="宋体" w:hAnsi="宋体" w:cs="宋体"/>
                <w:snapToGrid w:val="0"/>
                <w:color w:val="000000"/>
                <w:kern w:val="0"/>
                <w:sz w:val="24"/>
                <w:szCs w:val="24"/>
                <w:lang w:val="en-US" w:eastAsia="zh-CN"/>
              </w:rPr>
              <w:t>5</w:t>
            </w:r>
            <w:r>
              <w:rPr>
                <w:rFonts w:hint="eastAsia" w:ascii="宋体" w:hAnsi="宋体" w:eastAsia="宋体" w:cs="宋体"/>
                <w:snapToGrid w:val="0"/>
                <w:color w:val="000000"/>
                <w:kern w:val="0"/>
                <w:sz w:val="24"/>
                <w:szCs w:val="24"/>
              </w:rPr>
              <w:t>。</w:t>
            </w:r>
          </w:p>
        </w:tc>
      </w:tr>
    </w:tbl>
    <w:p w14:paraId="373452A2">
      <w:pPr>
        <w:spacing w:before="0" w:line="240" w:lineRule="auto"/>
        <w:ind w:firstLine="0" w:firstLineChars="0"/>
        <w:outlineLvl w:val="9"/>
        <w:rPr>
          <w:rFonts w:hint="eastAsia" w:ascii="宋体" w:hAnsi="宋体" w:eastAsia="宋体" w:cs="宋体"/>
          <w:b/>
          <w:bCs/>
          <w:color w:val="auto"/>
          <w:spacing w:val="-3"/>
          <w:sz w:val="24"/>
          <w:szCs w:val="24"/>
          <w:highlight w:val="none"/>
        </w:rPr>
      </w:pPr>
      <w:r>
        <w:rPr>
          <w:rFonts w:hint="eastAsia" w:ascii="宋体" w:hAnsi="宋体" w:eastAsia="宋体" w:cs="宋体"/>
          <w:snapToGrid w:val="0"/>
          <w:color w:val="auto"/>
          <w:kern w:val="0"/>
          <w:sz w:val="24"/>
          <w:highlight w:val="none"/>
        </w:rPr>
        <w:t>注：除特别注明外，综合得分以及商务得分、技术得分、投标报价得分的中间过程计算值和最终值，均按“四舍五入”原则精确到两位小数。</w:t>
      </w:r>
    </w:p>
    <w:p w14:paraId="247EC813">
      <w:pPr>
        <w:spacing w:before="155" w:line="360" w:lineRule="auto"/>
        <w:ind w:firstLine="420" w:firstLineChars="200"/>
        <w:outlineLvl w:val="9"/>
      </w:pPr>
    </w:p>
    <w:p w14:paraId="500222B0">
      <w:pPr>
        <w:spacing w:before="155" w:line="360" w:lineRule="auto"/>
        <w:ind w:firstLine="470" w:firstLineChars="200"/>
        <w:outlineLvl w:val="9"/>
        <w:rPr>
          <w:rFonts w:hint="eastAsia" w:ascii="宋体" w:hAnsi="宋体" w:eastAsia="宋体" w:cs="宋体"/>
          <w:color w:val="auto"/>
          <w:sz w:val="25"/>
          <w:szCs w:val="25"/>
          <w:highlight w:val="none"/>
        </w:rPr>
      </w:pPr>
      <w:r>
        <w:rPr>
          <w:rFonts w:hint="eastAsia" w:ascii="宋体" w:hAnsi="宋体" w:cs="宋体"/>
          <w:b/>
          <w:bCs/>
          <w:color w:val="auto"/>
          <w:spacing w:val="-3"/>
          <w:sz w:val="24"/>
          <w:szCs w:val="24"/>
          <w:highlight w:val="none"/>
          <w:lang w:val="en-US" w:eastAsia="zh-CN"/>
        </w:rPr>
        <w:t>5.2</w:t>
      </w:r>
      <w:r>
        <w:rPr>
          <w:rFonts w:hint="eastAsia" w:ascii="宋体" w:hAnsi="宋体" w:eastAsia="宋体" w:cs="宋体"/>
          <w:color w:val="auto"/>
          <w:spacing w:val="-3"/>
          <w:sz w:val="24"/>
          <w:szCs w:val="24"/>
          <w:highlight w:val="none"/>
        </w:rPr>
        <w:t>否决投标说明</w:t>
      </w:r>
    </w:p>
    <w:p w14:paraId="49B74CAB">
      <w:pPr>
        <w:spacing w:before="150" w:line="360" w:lineRule="auto"/>
        <w:ind w:right="195" w:firstLine="460" w:firstLineChars="200"/>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w:t>
      </w:r>
      <w:r>
        <w:rPr>
          <w:rFonts w:hint="eastAsia" w:ascii="宋体" w:hAnsi="宋体" w:eastAsia="宋体" w:cs="宋体"/>
          <w:color w:val="auto"/>
          <w:spacing w:val="-5"/>
          <w:sz w:val="24"/>
          <w:szCs w:val="24"/>
          <w:highlight w:val="none"/>
          <w:lang w:val="en-US" w:eastAsia="zh-CN"/>
        </w:rPr>
        <w:t>五</w:t>
      </w:r>
      <w:r>
        <w:rPr>
          <w:rFonts w:hint="eastAsia" w:ascii="宋体" w:hAnsi="宋体" w:eastAsia="宋体" w:cs="宋体"/>
          <w:color w:val="auto"/>
          <w:spacing w:val="-5"/>
          <w:sz w:val="24"/>
          <w:szCs w:val="24"/>
          <w:highlight w:val="none"/>
        </w:rPr>
        <w:t>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26E362A4">
      <w:pPr>
        <w:spacing w:before="59" w:line="360" w:lineRule="auto"/>
        <w:ind w:left="10" w:right="195" w:firstLine="480"/>
        <w:jc w:val="both"/>
        <w:rPr>
          <w:rFonts w:hint="eastAsia" w:ascii="宋体" w:hAnsi="宋体" w:eastAsia="宋体" w:cs="宋体"/>
          <w:b/>
          <w:snapToGrid w:val="0"/>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bookmarkStart w:id="89" w:name="bookmark138"/>
      <w:bookmarkEnd w:id="89"/>
      <w:bookmarkStart w:id="90" w:name="bookmark137"/>
      <w:bookmarkEnd w:id="90"/>
      <w:bookmarkStart w:id="91" w:name="_Toc2769"/>
      <w:bookmarkStart w:id="92" w:name="_Toc19232"/>
      <w:bookmarkStart w:id="93" w:name="_Toc18711"/>
      <w:bookmarkStart w:id="94" w:name="_Toc13897"/>
      <w:bookmarkStart w:id="95" w:name="_Toc7762"/>
      <w:bookmarkStart w:id="96" w:name="_Toc32569"/>
      <w:bookmarkStart w:id="97" w:name="_Toc10900"/>
    </w:p>
    <w:p w14:paraId="41508FB9">
      <w:pPr>
        <w:spacing w:before="155" w:line="360" w:lineRule="auto"/>
        <w:ind w:firstLine="470" w:firstLineChars="200"/>
        <w:outlineLvl w:val="9"/>
        <w:rPr>
          <w:rFonts w:hint="eastAsia" w:ascii="宋体" w:hAnsi="宋体" w:eastAsia="宋体" w:cs="宋体"/>
          <w:b/>
          <w:bCs/>
          <w:color w:val="auto"/>
          <w:spacing w:val="-3"/>
          <w:sz w:val="24"/>
          <w:szCs w:val="24"/>
          <w:highlight w:val="none"/>
        </w:rPr>
      </w:pPr>
      <w:r>
        <w:rPr>
          <w:rFonts w:hint="eastAsia" w:ascii="宋体" w:hAnsi="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w:t>
      </w:r>
      <w:bookmarkEnd w:id="91"/>
      <w:bookmarkEnd w:id="92"/>
      <w:bookmarkEnd w:id="93"/>
      <w:bookmarkEnd w:id="94"/>
      <w:bookmarkEnd w:id="95"/>
      <w:r>
        <w:rPr>
          <w:rFonts w:hint="eastAsia" w:ascii="宋体" w:hAnsi="宋体" w:eastAsia="宋体" w:cs="宋体"/>
          <w:b/>
          <w:bCs/>
          <w:color w:val="auto"/>
          <w:spacing w:val="-3"/>
          <w:sz w:val="24"/>
          <w:szCs w:val="24"/>
          <w:highlight w:val="none"/>
          <w:lang w:eastAsia="zh-CN"/>
        </w:rPr>
        <w:t>评标结果公示</w:t>
      </w:r>
      <w:bookmarkEnd w:id="96"/>
      <w:bookmarkEnd w:id="97"/>
    </w:p>
    <w:p w14:paraId="0DEB9DD7">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B4ECD5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4"/>
          <w:szCs w:val="24"/>
          <w:highlight w:val="none"/>
          <w:lang w:val="en-US" w:eastAsia="zh-CN"/>
        </w:rPr>
      </w:pPr>
    </w:p>
    <w:p w14:paraId="4DBB02B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4"/>
          <w:szCs w:val="24"/>
          <w:highlight w:val="none"/>
          <w:lang w:val="en-US" w:eastAsia="zh-CN"/>
        </w:rPr>
      </w:pPr>
    </w:p>
    <w:p w14:paraId="00A9E85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4"/>
          <w:szCs w:val="24"/>
          <w:highlight w:val="none"/>
          <w:lang w:val="en-US" w:eastAsia="zh-CN"/>
        </w:rPr>
      </w:pPr>
    </w:p>
    <w:p w14:paraId="75526BC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4"/>
          <w:szCs w:val="24"/>
          <w:highlight w:val="none"/>
          <w:lang w:val="en-US" w:eastAsia="zh-CN"/>
        </w:rPr>
      </w:pPr>
    </w:p>
    <w:p w14:paraId="2952508A">
      <w:pPr>
        <w:pStyle w:val="2"/>
        <w:rPr>
          <w:rFonts w:hint="eastAsia" w:ascii="宋体" w:hAnsi="宋体" w:eastAsia="宋体" w:cs="宋体"/>
          <w:snapToGrid w:val="0"/>
          <w:color w:val="auto"/>
          <w:kern w:val="0"/>
          <w:sz w:val="24"/>
          <w:szCs w:val="24"/>
          <w:highlight w:val="none"/>
          <w:lang w:val="en-US" w:eastAsia="zh-CN"/>
        </w:rPr>
      </w:pPr>
    </w:p>
    <w:p w14:paraId="6A0EDFFE">
      <w:pPr>
        <w:pStyle w:val="2"/>
        <w:rPr>
          <w:rFonts w:hint="eastAsia" w:ascii="宋体" w:hAnsi="宋体" w:eastAsia="宋体" w:cs="宋体"/>
          <w:snapToGrid w:val="0"/>
          <w:color w:val="auto"/>
          <w:kern w:val="0"/>
          <w:sz w:val="24"/>
          <w:szCs w:val="24"/>
          <w:highlight w:val="none"/>
          <w:lang w:val="en-US" w:eastAsia="zh-CN"/>
        </w:rPr>
      </w:pPr>
    </w:p>
    <w:p w14:paraId="11EAC9C5">
      <w:pPr>
        <w:pStyle w:val="2"/>
        <w:rPr>
          <w:rFonts w:hint="eastAsia" w:ascii="宋体" w:hAnsi="宋体" w:eastAsia="宋体" w:cs="宋体"/>
          <w:snapToGrid w:val="0"/>
          <w:color w:val="auto"/>
          <w:kern w:val="0"/>
          <w:sz w:val="24"/>
          <w:szCs w:val="24"/>
          <w:highlight w:val="none"/>
          <w:lang w:val="en-US" w:eastAsia="zh-CN"/>
        </w:rPr>
      </w:pPr>
    </w:p>
    <w:p w14:paraId="5C1BDCB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napToGrid w:val="0"/>
          <w:color w:val="auto"/>
          <w:kern w:val="0"/>
          <w:sz w:val="24"/>
          <w:szCs w:val="24"/>
          <w:highlight w:val="none"/>
          <w:lang w:val="en-US" w:eastAsia="zh-CN"/>
        </w:rPr>
      </w:pPr>
    </w:p>
    <w:p w14:paraId="3728E410">
      <w:pPr>
        <w:pStyle w:val="5"/>
        <w:keepNext/>
        <w:tabs>
          <w:tab w:val="left" w:pos="1995"/>
        </w:tabs>
        <w:autoSpaceDE/>
        <w:autoSpaceDN/>
        <w:bidi w:val="0"/>
        <w:adjustRightInd/>
        <w:spacing w:line="360" w:lineRule="auto"/>
        <w:ind w:left="0" w:leftChars="0" w:firstLine="0" w:firstLineChars="0"/>
        <w:rPr>
          <w:rFonts w:hint="eastAsia" w:ascii="宋体" w:hAnsi="宋体" w:eastAsia="宋体" w:cs="宋体"/>
          <w:b/>
          <w:color w:val="auto"/>
          <w:kern w:val="2"/>
          <w:sz w:val="28"/>
          <w:szCs w:val="24"/>
          <w:lang w:val="en-US" w:eastAsia="zh-CN"/>
        </w:rPr>
      </w:pPr>
      <w:bookmarkStart w:id="98" w:name="_Toc25350"/>
      <w:bookmarkStart w:id="99" w:name="_Toc30876"/>
      <w:r>
        <w:rPr>
          <w:rFonts w:hint="eastAsia" w:ascii="宋体" w:hAnsi="宋体" w:eastAsia="宋体" w:cs="宋体"/>
          <w:b/>
          <w:color w:val="auto"/>
          <w:kern w:val="2"/>
          <w:sz w:val="28"/>
          <w:szCs w:val="24"/>
          <w:lang w:val="en-US" w:eastAsia="zh-CN"/>
        </w:rPr>
        <w:t>第五节   否决投标条件</w:t>
      </w:r>
      <w:bookmarkEnd w:id="98"/>
      <w:bookmarkEnd w:id="99"/>
    </w:p>
    <w:p w14:paraId="791894DD">
      <w:pPr>
        <w:wordWrap w:val="0"/>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highlight w:val="none"/>
        </w:rPr>
        <w:t>投标人未有列入本节情形的，评标时一律不得否决其投标。</w:t>
      </w:r>
      <w:r>
        <w:rPr>
          <w:rFonts w:hint="eastAsia" w:ascii="宋体" w:hAnsi="宋体" w:eastAsia="宋体" w:cs="宋体"/>
          <w:snapToGrid w:val="0"/>
          <w:color w:val="auto"/>
          <w:kern w:val="0"/>
          <w:sz w:val="24"/>
          <w:highlight w:val="none"/>
        </w:rPr>
        <w:t>本节所称“规定”均指招标文件的规定。</w:t>
      </w:r>
    </w:p>
    <w:p w14:paraId="2F67F7E2">
      <w:pPr>
        <w:pStyle w:val="6"/>
        <w:keepNext/>
        <w:keepLines/>
        <w:pageBreakBefore w:val="0"/>
        <w:widowControl/>
        <w:kinsoku/>
        <w:wordWrap/>
        <w:overflowPunct/>
        <w:topLinePunct w:val="0"/>
        <w:autoSpaceDE/>
        <w:autoSpaceDN/>
        <w:bidi w:val="0"/>
        <w:adjustRightInd/>
        <w:snapToGrid/>
        <w:spacing w:before="240" w:beforeAutospacing="0" w:after="120" w:afterAutospacing="0" w:line="240" w:lineRule="auto"/>
        <w:ind w:firstLine="420"/>
        <w:jc w:val="left"/>
        <w:textAlignment w:val="auto"/>
        <w:outlineLvl w:val="2"/>
        <w:rPr>
          <w:rFonts w:hint="eastAsia" w:ascii="宋体" w:hAnsi="宋体" w:eastAsia="宋体" w:cs="宋体"/>
          <w:b/>
          <w:bCs/>
          <w:color w:val="auto"/>
          <w:kern w:val="0"/>
          <w:sz w:val="24"/>
          <w:szCs w:val="24"/>
          <w:highlight w:val="none"/>
        </w:rPr>
      </w:pPr>
      <w:bookmarkStart w:id="100" w:name="_Toc10871"/>
      <w:bookmarkStart w:id="101" w:name="_Toc17350"/>
      <w:r>
        <w:rPr>
          <w:rFonts w:hint="eastAsia" w:ascii="宋体" w:hAnsi="宋体" w:eastAsia="宋体" w:cs="宋体"/>
          <w:b/>
          <w:bCs/>
          <w:color w:val="auto"/>
          <w:kern w:val="0"/>
          <w:sz w:val="24"/>
          <w:szCs w:val="24"/>
          <w:highlight w:val="none"/>
        </w:rPr>
        <w:t>1．资格评审环节</w:t>
      </w:r>
      <w:bookmarkEnd w:id="100"/>
      <w:bookmarkEnd w:id="101"/>
    </w:p>
    <w:p w14:paraId="756CCB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投标人有下列情形之一的，评标委员会应否决其投标。被否决的投标人，不进入形式评审环节。</w:t>
      </w:r>
    </w:p>
    <w:p w14:paraId="3CEAD6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（1）有本章第三节第2.4条“禁止投标条款”规定的任何一种情形；</w:t>
      </w:r>
    </w:p>
    <w:p w14:paraId="48E502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（2）投标人资质不符合规定的；</w:t>
      </w:r>
    </w:p>
    <w:p w14:paraId="5E5277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（3）投标人名称与营业执照、资质证书上的企业名称相互不一致的；其资质证书不是由住房城乡建设主管部门颁发的；营业执照、资质证书被吊销、暂扣或不在有效期内的；</w:t>
      </w:r>
    </w:p>
    <w:p w14:paraId="0CC94F4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注：投标人已经工商变更，但其企业资质证书的企业名称未完成变更的，不得否决其投标；投标人营业执照、资质证书之间登记的信息不一致，应当允许投标人澄清，不得直接否决其投标。</w:t>
      </w:r>
    </w:p>
    <w:p w14:paraId="493DC68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根据有关文件精神，投标人的企业资质证书有效期届满的，但投标人提供了发证机构相关行业主管部门的证明材料（如自动顺延或推迟办理延期业务的通知），证明在开标日继续有效的，不得否决其投标。</w:t>
      </w:r>
    </w:p>
    <w:p w14:paraId="461801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设计/勘察负责人简历表</w:t>
      </w:r>
      <w:r>
        <w:rPr>
          <w:rFonts w:hint="eastAsia" w:ascii="宋体" w:hAnsi="宋体" w:eastAsia="宋体" w:cs="宋体"/>
          <w:sz w:val="24"/>
          <w:szCs w:val="24"/>
        </w:rPr>
        <w:t>》中拟派项目负责人（设计负责人）与《开标一览表》</w:t>
      </w:r>
      <w:r>
        <w:rPr>
          <w:rFonts w:hint="eastAsia" w:ascii="宋体" w:hAnsi="宋体" w:cs="宋体"/>
          <w:sz w:val="24"/>
          <w:szCs w:val="24"/>
          <w:lang w:val="en-US" w:eastAsia="zh-CN"/>
        </w:rPr>
        <w:t>不</w:t>
      </w:r>
      <w:r>
        <w:rPr>
          <w:rFonts w:hint="eastAsia" w:ascii="宋体" w:hAnsi="宋体" w:eastAsia="宋体" w:cs="宋体"/>
          <w:sz w:val="24"/>
          <w:szCs w:val="24"/>
        </w:rPr>
        <w:t>一致。</w:t>
      </w:r>
    </w:p>
    <w:p w14:paraId="6AF08A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（5）拟派项目负责人（设计负责人）</w:t>
      </w:r>
      <w:r>
        <w:rPr>
          <w:rFonts w:hint="eastAsia"/>
          <w:sz w:val="24"/>
          <w:szCs w:val="24"/>
          <w:lang w:val="en-US" w:eastAsia="zh-CN"/>
        </w:rPr>
        <w:t>或勘察负责人</w:t>
      </w:r>
      <w:r>
        <w:rPr>
          <w:rFonts w:hint="eastAsia" w:ascii="宋体" w:hAnsi="宋体" w:eastAsia="宋体" w:cs="宋体"/>
          <w:sz w:val="24"/>
          <w:szCs w:val="24"/>
        </w:rPr>
        <w:t>的条件是否符合招标文件规定；拟派项目负责人（设计负责人）</w:t>
      </w:r>
      <w:r>
        <w:rPr>
          <w:rFonts w:hint="eastAsia" w:ascii="宋体" w:hAnsi="宋体" w:cs="宋体"/>
          <w:sz w:val="24"/>
          <w:szCs w:val="24"/>
          <w:lang w:eastAsia="zh-CN"/>
        </w:rPr>
        <w:t>、</w:t>
      </w:r>
      <w:r>
        <w:rPr>
          <w:rFonts w:hint="eastAsia"/>
          <w:sz w:val="24"/>
          <w:szCs w:val="24"/>
          <w:lang w:val="en-US" w:eastAsia="zh-CN"/>
        </w:rPr>
        <w:t>勘察负责人</w:t>
      </w:r>
      <w:r>
        <w:rPr>
          <w:rFonts w:hint="eastAsia" w:ascii="宋体" w:hAnsi="宋体" w:eastAsia="宋体" w:cs="宋体"/>
          <w:sz w:val="24"/>
          <w:szCs w:val="24"/>
        </w:rPr>
        <w:t>的各类证书、证件、证明是否合法、有效、准确。</w:t>
      </w:r>
    </w:p>
    <w:p w14:paraId="459288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（6）联合体投标，未提交《联合体协议书》的；擅自修改、遗漏《联合体协议书》实质性内容的；联合体成员的数量、资质不符合规定的；联合体成员同时以自己名义单独投标或者参加其他联合体投标的；</w:t>
      </w:r>
    </w:p>
    <w:p w14:paraId="24666D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）投标人为外省建筑企业，但未提供“进粤企业和人员诚信信息登记平台”企业信息情况扫描件的。</w:t>
      </w:r>
    </w:p>
    <w:p w14:paraId="448A85CC">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rPr>
      </w:pPr>
      <w:bookmarkStart w:id="102" w:name="_Toc12948"/>
      <w:bookmarkStart w:id="103" w:name="_Toc28308"/>
      <w:r>
        <w:rPr>
          <w:rFonts w:hint="eastAsia" w:ascii="宋体" w:hAnsi="宋体" w:eastAsia="宋体" w:cs="宋体"/>
          <w:b/>
          <w:bCs/>
          <w:color w:val="auto"/>
          <w:kern w:val="0"/>
          <w:sz w:val="24"/>
          <w:szCs w:val="24"/>
          <w:highlight w:val="none"/>
        </w:rPr>
        <w:t>2．形式评审环节</w:t>
      </w:r>
      <w:bookmarkEnd w:id="102"/>
      <w:bookmarkEnd w:id="103"/>
    </w:p>
    <w:p w14:paraId="71F7DA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投标人有下列情形之一的，评标委员会应否决其投标。被否决的投标人，不进入响应性评审环节。</w:t>
      </w:r>
    </w:p>
    <w:p w14:paraId="057FAA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（1）各分册未按招标文件规定加盖电子印章。</w:t>
      </w:r>
    </w:p>
    <w:p w14:paraId="17DD2A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（2）本章第三节第10.2.2目、第10.3.2目中规定的“所有投标人均应提供”的组成内容（包括该组成内容的所附资料）中，任何一项有缺漏的；</w:t>
      </w:r>
    </w:p>
    <w:p w14:paraId="7D5099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关键字迹模糊、无法辨认，且该种过错将导致评标委员会无法判断投标文件是否响应招标文件实质性要求的；出现手工涂改、行间插字或删除，但未加盖单位电子印章或未按招标文件要求在相应位置加盖个人电子印章或在线下完成签字或盖章后扫描上传的；</w:t>
      </w:r>
    </w:p>
    <w:p w14:paraId="4EB633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（4）投标文件未按规定签字、盖章的。</w:t>
      </w:r>
    </w:p>
    <w:p w14:paraId="7CB57A3F">
      <w:pPr>
        <w:pStyle w:val="6"/>
        <w:keepNext/>
        <w:keepLines/>
        <w:pageBreakBefore w:val="0"/>
        <w:widowControl/>
        <w:kinsoku/>
        <w:wordWrap/>
        <w:overflowPunct/>
        <w:topLinePunct w:val="0"/>
        <w:autoSpaceDE/>
        <w:autoSpaceDN/>
        <w:bidi w:val="0"/>
        <w:adjustRightInd/>
        <w:snapToGrid/>
        <w:spacing w:before="240" w:beforeAutospacing="0" w:after="120" w:afterAutospacing="0" w:line="240" w:lineRule="auto"/>
        <w:ind w:firstLine="420"/>
        <w:jc w:val="left"/>
        <w:textAlignment w:val="auto"/>
        <w:outlineLvl w:val="2"/>
        <w:rPr>
          <w:rFonts w:hint="eastAsia" w:ascii="宋体" w:hAnsi="宋体" w:eastAsia="宋体" w:cs="宋体"/>
          <w:b/>
          <w:bCs/>
          <w:color w:val="auto"/>
          <w:kern w:val="0"/>
          <w:sz w:val="24"/>
          <w:szCs w:val="24"/>
          <w:highlight w:val="none"/>
        </w:rPr>
      </w:pPr>
      <w:bookmarkStart w:id="104" w:name="_Toc182"/>
      <w:bookmarkStart w:id="105" w:name="_Toc22236"/>
      <w:r>
        <w:rPr>
          <w:rFonts w:hint="eastAsia" w:ascii="宋体" w:hAnsi="宋体" w:eastAsia="宋体" w:cs="宋体"/>
          <w:b/>
          <w:bCs/>
          <w:color w:val="auto"/>
          <w:kern w:val="0"/>
          <w:sz w:val="24"/>
          <w:szCs w:val="24"/>
          <w:highlight w:val="none"/>
        </w:rPr>
        <w:t>3．响应性评审环节</w:t>
      </w:r>
      <w:bookmarkEnd w:id="104"/>
      <w:bookmarkEnd w:id="105"/>
    </w:p>
    <w:p w14:paraId="6A2B43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投标人有下列情形之一的，评标委员会应否决其投标。被否决的投标人，不进入详细评审阶段。</w:t>
      </w:r>
    </w:p>
    <w:p w14:paraId="775454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（1）承诺的投标有效期短于规定的；质量标准低于规定的；工期超出规定的；擅自修改、遗漏《投标函》《各项承诺一览表》实质性内容的；</w:t>
      </w:r>
    </w:p>
    <w:p w14:paraId="5E465D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（2）出现两个或两个以上投标总价的（同一个投标总价大、小写不一致的除外）；投标总价超出最高投标限价的。</w:t>
      </w:r>
    </w:p>
    <w:p w14:paraId="1E66F3EE">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rPr>
      </w:pPr>
      <w:bookmarkStart w:id="106" w:name="_Toc13399"/>
      <w:bookmarkStart w:id="107" w:name="_Toc25694"/>
      <w:r>
        <w:rPr>
          <w:rFonts w:hint="eastAsia" w:ascii="宋体" w:hAnsi="宋体" w:eastAsia="宋体" w:cs="宋体"/>
          <w:b/>
          <w:bCs/>
          <w:color w:val="auto"/>
          <w:kern w:val="0"/>
          <w:sz w:val="24"/>
          <w:szCs w:val="24"/>
          <w:highlight w:val="none"/>
        </w:rPr>
        <w:t>4．其他</w:t>
      </w:r>
      <w:bookmarkEnd w:id="106"/>
      <w:bookmarkEnd w:id="107"/>
    </w:p>
    <w:p w14:paraId="6A785F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在任何评标环节（或阶段），投标人有下列情形之一的，评标委员会应否决其投标。被否决的投标人，不进入下一环节（或阶段）。</w:t>
      </w:r>
    </w:p>
    <w:p w14:paraId="387CDD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（1）不按评标委员会要求澄清、说明或补正的；</w:t>
      </w:r>
    </w:p>
    <w:p w14:paraId="64B75A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（2）有下列情形之一，被评标委员会认定属于串通投标的：</w:t>
      </w:r>
    </w:p>
    <w:p w14:paraId="2D3765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①不同投标人的投标文件两处以上（含两处）错、漏一致；</w:t>
      </w:r>
    </w:p>
    <w:p w14:paraId="4679DD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②不同投标人的投标总价相近且各分项报价、综合单价分析表内容混乱不能相互对应、乱调乱压或乱抬的，而在询标时没有合理的解释或者不能提供计算依据和报价依据；</w:t>
      </w:r>
    </w:p>
    <w:p w14:paraId="0773B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③不同投标人的投标各项报价存在异常一致或者呈规律性变化；</w:t>
      </w:r>
    </w:p>
    <w:p w14:paraId="69B27B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④不同投标人的投标文件由同一单位或者同一个人编制；</w:t>
      </w:r>
    </w:p>
    <w:p w14:paraId="01B153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⑤不同投标人的投标文件中投标资料（包括电子资料）相互混装或项目班子成员出现同一人；</w:t>
      </w:r>
    </w:p>
    <w:p w14:paraId="25A36D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⑥不同投标人的投标文件由同一电脑编制或上传；</w:t>
      </w:r>
    </w:p>
    <w:p w14:paraId="0AC3CA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⑦不同投标人的投标保证由同一企业或同一账户资金缴纳；</w:t>
      </w:r>
    </w:p>
    <w:p w14:paraId="6792C517">
      <w:pPr>
        <w:spacing w:line="360" w:lineRule="auto"/>
        <w:ind w:firstLine="480" w:firstLineChars="200"/>
      </w:pPr>
      <w:r>
        <w:rPr>
          <w:rFonts w:hint="eastAsia" w:ascii="宋体" w:hAnsi="宋体" w:eastAsia="宋体" w:cs="宋体"/>
          <w:sz w:val="24"/>
          <w:szCs w:val="24"/>
        </w:rPr>
        <w:t>⑧不同投标人委托同一个人或注册在同一家企业的注册人员或同一家企业为其投标提供投标咨询、商务报价、技术咨询（招标项目本身要求采用专有技术的除外）等服务。</w:t>
      </w:r>
      <w:bookmarkEnd w:id="88"/>
      <w:bookmarkStart w:id="108" w:name="_Hlt70150994"/>
      <w:bookmarkEnd w:id="108"/>
      <w:bookmarkStart w:id="109" w:name="_Hlt69669771"/>
      <w:bookmarkEnd w:id="109"/>
      <w:bookmarkStart w:id="110" w:name="_Hlt112206772"/>
      <w:bookmarkEnd w:id="110"/>
      <w:bookmarkStart w:id="111" w:name="_Hlt87952408"/>
      <w:bookmarkEnd w:id="111"/>
      <w:bookmarkStart w:id="112" w:name="_Hlt69698741"/>
      <w:bookmarkStart w:id="113" w:name="_Hlt69698722"/>
      <w:bookmarkStart w:id="114" w:name="_Hlt69698769"/>
      <w:bookmarkStart w:id="115" w:name="_Toc31841"/>
    </w:p>
    <w:p w14:paraId="7A34DADD">
      <w:pPr>
        <w:pStyle w:val="12"/>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⑨监督部门于韶关市公共交易一体化平台发现系统提示风险预警，如提示投标单位上传投标文件使用的电脑IP地址一致等。</w:t>
      </w:r>
    </w:p>
    <w:p w14:paraId="11167FF5">
      <w:pPr>
        <w:pStyle w:val="2"/>
        <w:rPr>
          <w:rFonts w:hint="eastAsia"/>
        </w:rPr>
      </w:pPr>
    </w:p>
    <w:p w14:paraId="0CE8D1C3">
      <w:pPr>
        <w:rPr>
          <w:rFonts w:hint="eastAsia" w:ascii="宋体" w:hAnsi="宋体" w:eastAsia="宋体" w:cs="宋体"/>
        </w:rPr>
      </w:pPr>
    </w:p>
    <w:p w14:paraId="5FCF6AF7">
      <w:pPr>
        <w:rPr>
          <w:rFonts w:hint="eastAsia" w:ascii="宋体" w:hAnsi="宋体" w:eastAsia="宋体" w:cs="宋体"/>
        </w:rPr>
      </w:pPr>
    </w:p>
    <w:p w14:paraId="2938D379">
      <w:pPr>
        <w:rPr>
          <w:rFonts w:hint="eastAsia" w:ascii="宋体" w:hAnsi="宋体" w:eastAsia="宋体" w:cs="宋体"/>
        </w:rPr>
      </w:pPr>
    </w:p>
    <w:p w14:paraId="51898FE0">
      <w:pPr>
        <w:rPr>
          <w:rFonts w:hint="eastAsia" w:ascii="宋体" w:hAnsi="宋体" w:eastAsia="宋体" w:cs="宋体"/>
        </w:rPr>
      </w:pPr>
    </w:p>
    <w:p w14:paraId="6A3B2458">
      <w:pPr>
        <w:rPr>
          <w:rFonts w:hint="eastAsia" w:ascii="宋体" w:hAnsi="宋体" w:eastAsia="宋体" w:cs="宋体"/>
        </w:rPr>
      </w:pPr>
    </w:p>
    <w:p w14:paraId="7607ED02">
      <w:pPr>
        <w:rPr>
          <w:rFonts w:hint="eastAsia" w:ascii="宋体" w:hAnsi="宋体" w:eastAsia="宋体" w:cs="宋体"/>
        </w:rPr>
      </w:pPr>
    </w:p>
    <w:p w14:paraId="78E7135F">
      <w:pPr>
        <w:rPr>
          <w:rFonts w:hint="eastAsia" w:ascii="宋体" w:hAnsi="宋体" w:eastAsia="宋体" w:cs="宋体"/>
        </w:rPr>
      </w:pPr>
    </w:p>
    <w:p w14:paraId="3826BFE5">
      <w:pPr>
        <w:rPr>
          <w:rFonts w:hint="eastAsia" w:ascii="宋体" w:hAnsi="宋体" w:eastAsia="宋体" w:cs="宋体"/>
        </w:rPr>
      </w:pPr>
    </w:p>
    <w:p w14:paraId="5F219F83">
      <w:pPr>
        <w:rPr>
          <w:rFonts w:hint="eastAsia" w:ascii="宋体" w:hAnsi="宋体" w:eastAsia="宋体" w:cs="宋体"/>
        </w:rPr>
      </w:pPr>
    </w:p>
    <w:p w14:paraId="11E8A772">
      <w:pPr>
        <w:rPr>
          <w:rFonts w:hint="eastAsia" w:ascii="宋体" w:hAnsi="宋体" w:eastAsia="宋体" w:cs="宋体"/>
        </w:rPr>
      </w:pPr>
    </w:p>
    <w:p w14:paraId="45927647">
      <w:pPr>
        <w:rPr>
          <w:rFonts w:hint="eastAsia" w:ascii="宋体" w:hAnsi="宋体" w:eastAsia="宋体" w:cs="宋体"/>
        </w:rPr>
      </w:pPr>
    </w:p>
    <w:p w14:paraId="63B3AAD9">
      <w:pPr>
        <w:rPr>
          <w:rFonts w:hint="eastAsia" w:ascii="宋体" w:hAnsi="宋体" w:eastAsia="宋体" w:cs="宋体"/>
        </w:rPr>
      </w:pPr>
    </w:p>
    <w:p w14:paraId="0FB2A604">
      <w:pPr>
        <w:rPr>
          <w:rFonts w:hint="eastAsia" w:ascii="宋体" w:hAnsi="宋体" w:eastAsia="宋体" w:cs="宋体"/>
        </w:rPr>
      </w:pPr>
    </w:p>
    <w:p w14:paraId="0FE2F104">
      <w:pPr>
        <w:rPr>
          <w:rFonts w:hint="eastAsia" w:ascii="宋体" w:hAnsi="宋体" w:eastAsia="宋体" w:cs="宋体"/>
        </w:rPr>
      </w:pPr>
    </w:p>
    <w:p w14:paraId="4A409C15">
      <w:pPr>
        <w:rPr>
          <w:rFonts w:hint="eastAsia" w:ascii="宋体" w:hAnsi="宋体" w:eastAsia="宋体" w:cs="宋体"/>
        </w:rPr>
      </w:pPr>
    </w:p>
    <w:p w14:paraId="549BC2F7">
      <w:pPr>
        <w:rPr>
          <w:rFonts w:hint="eastAsia" w:ascii="宋体" w:hAnsi="宋体" w:eastAsia="宋体" w:cs="宋体"/>
        </w:rPr>
      </w:pPr>
    </w:p>
    <w:p w14:paraId="50B53AA4">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16" w:name="_Toc22243"/>
      <w:bookmarkStart w:id="117" w:name="_Toc13872"/>
      <w:r>
        <w:rPr>
          <w:rFonts w:hint="eastAsia" w:ascii="宋体" w:hAnsi="宋体" w:eastAsia="宋体" w:cs="宋体"/>
          <w:b/>
          <w:color w:val="auto"/>
          <w:kern w:val="2"/>
          <w:sz w:val="28"/>
          <w:szCs w:val="24"/>
          <w:lang w:val="en-US" w:eastAsia="zh-CN"/>
        </w:rPr>
        <w:t>第六节   定标规定及细则（本项目采用票决数量法定标）</w:t>
      </w:r>
      <w:bookmarkEnd w:id="116"/>
      <w:bookmarkEnd w:id="117"/>
    </w:p>
    <w:p w14:paraId="3C75614D">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rPr>
      </w:pPr>
      <w:bookmarkStart w:id="118" w:name="_Toc21902"/>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确定</w:t>
      </w:r>
      <w:r>
        <w:rPr>
          <w:rFonts w:hint="eastAsia" w:ascii="宋体" w:hAnsi="宋体" w:eastAsia="宋体" w:cs="宋体"/>
          <w:b/>
          <w:bCs/>
          <w:color w:val="auto"/>
          <w:kern w:val="0"/>
          <w:sz w:val="24"/>
          <w:szCs w:val="24"/>
          <w:highlight w:val="none"/>
        </w:rPr>
        <w:t>定标时间</w:t>
      </w:r>
      <w:bookmarkEnd w:id="118"/>
    </w:p>
    <w:p w14:paraId="34C220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w:t>
      </w:r>
      <w:r>
        <w:rPr>
          <w:rFonts w:hint="eastAsia" w:ascii="宋体" w:hAnsi="宋体" w:eastAsia="宋体" w:cs="宋体"/>
          <w:sz w:val="24"/>
          <w:szCs w:val="24"/>
          <w:lang w:eastAsia="zh-CN"/>
        </w:rPr>
        <w:t>应</w:t>
      </w:r>
      <w:r>
        <w:rPr>
          <w:rFonts w:hint="eastAsia" w:ascii="宋体" w:hAnsi="宋体" w:eastAsia="宋体" w:cs="宋体"/>
          <w:sz w:val="24"/>
          <w:szCs w:val="24"/>
        </w:rPr>
        <w:t>自</w:t>
      </w:r>
      <w:r>
        <w:rPr>
          <w:rFonts w:hint="eastAsia" w:ascii="宋体" w:hAnsi="宋体" w:eastAsia="宋体" w:cs="宋体"/>
          <w:sz w:val="24"/>
          <w:szCs w:val="24"/>
          <w:lang w:val="en-US" w:eastAsia="zh-CN"/>
        </w:rPr>
        <w:t>定标候选人</w:t>
      </w:r>
      <w:r>
        <w:rPr>
          <w:rFonts w:hint="eastAsia" w:ascii="宋体" w:hAnsi="宋体" w:eastAsia="宋体" w:cs="宋体"/>
          <w:sz w:val="24"/>
          <w:szCs w:val="24"/>
        </w:rPr>
        <w:t>公示期满后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个工作日内进入公共资源交易平台（与评标阶段公共资源交易平台相同）进行定标。定标会议全过程录音录像。招标人需要延期定标的，</w:t>
      </w:r>
      <w:r>
        <w:rPr>
          <w:rFonts w:hint="eastAsia" w:ascii="宋体" w:hAnsi="宋体" w:eastAsia="宋体" w:cs="宋体"/>
          <w:sz w:val="24"/>
          <w:szCs w:val="24"/>
          <w:lang w:eastAsia="zh-CN"/>
        </w:rPr>
        <w:t>应</w:t>
      </w:r>
      <w:r>
        <w:rPr>
          <w:rFonts w:hint="eastAsia" w:ascii="宋体" w:hAnsi="宋体" w:eastAsia="宋体" w:cs="宋体"/>
          <w:sz w:val="24"/>
          <w:szCs w:val="24"/>
        </w:rPr>
        <w:t>通过公共资源交易平台公布延期原因和定标时间。</w:t>
      </w:r>
    </w:p>
    <w:p w14:paraId="0EFB8C2B">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19" w:name="_Toc22372"/>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定标委员会</w:t>
      </w:r>
      <w:bookmarkEnd w:id="119"/>
    </w:p>
    <w:p w14:paraId="20E8DD43">
      <w:pPr>
        <w:keepNext w:val="0"/>
        <w:keepLines w:val="0"/>
        <w:pageBreakBefore w:val="0"/>
        <w:wordWrap/>
        <w:overflowPunct/>
        <w:topLinePunct w:val="0"/>
        <w:bidi w:val="0"/>
        <w:spacing w:line="360" w:lineRule="auto"/>
        <w:ind w:firstLine="480" w:firstLineChars="200"/>
        <w:rPr>
          <w:rStyle w:val="64"/>
          <w:rFonts w:hint="eastAsia" w:ascii="宋体" w:hAnsi="宋体" w:eastAsia="宋体" w:cs="宋体"/>
          <w:color w:val="auto"/>
          <w:kern w:val="0"/>
          <w:sz w:val="24"/>
          <w:szCs w:val="24"/>
          <w:highlight w:val="none"/>
          <w:lang w:val="en-US" w:eastAsia="zh-CN"/>
        </w:rPr>
      </w:pPr>
      <w:r>
        <w:rPr>
          <w:rStyle w:val="64"/>
          <w:rFonts w:hint="eastAsia" w:ascii="宋体" w:hAnsi="宋体" w:eastAsia="宋体" w:cs="宋体"/>
          <w:color w:val="auto"/>
          <w:kern w:val="0"/>
          <w:sz w:val="24"/>
          <w:szCs w:val="24"/>
          <w:highlight w:val="none"/>
          <w:lang w:val="en-US" w:eastAsia="zh-CN"/>
        </w:rPr>
        <w:t>2.1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2BB68FD9">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38026271">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Style w:val="64"/>
          <w:rFonts w:hint="eastAsia" w:ascii="宋体" w:hAnsi="宋体" w:eastAsia="宋体" w:cs="宋体"/>
          <w:color w:val="auto"/>
          <w:kern w:val="0"/>
          <w:sz w:val="24"/>
          <w:szCs w:val="24"/>
          <w:highlight w:val="none"/>
          <w:lang w:val="en-US" w:eastAsia="zh-CN"/>
        </w:rPr>
        <w:t>2</w:t>
      </w:r>
      <w:r>
        <w:rPr>
          <w:rStyle w:val="64"/>
          <w:rFonts w:hint="eastAsia" w:ascii="宋体" w:hAnsi="宋体" w:eastAsia="宋体" w:cs="宋体"/>
          <w:color w:val="auto"/>
          <w:kern w:val="0"/>
          <w:sz w:val="24"/>
          <w:szCs w:val="24"/>
          <w:highlight w:val="none"/>
        </w:rPr>
        <w:t>.</w:t>
      </w:r>
      <w:r>
        <w:rPr>
          <w:rStyle w:val="64"/>
          <w:rFonts w:hint="eastAsia" w:ascii="宋体" w:hAnsi="宋体" w:eastAsia="宋体" w:cs="宋体"/>
          <w:color w:val="auto"/>
          <w:kern w:val="0"/>
          <w:sz w:val="24"/>
          <w:szCs w:val="24"/>
          <w:highlight w:val="none"/>
          <w:lang w:val="en-US" w:eastAsia="zh-CN"/>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9E8102D">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0" w:name="_Toc5823"/>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组建招标监督小组</w:t>
      </w:r>
      <w:bookmarkEnd w:id="120"/>
    </w:p>
    <w:p w14:paraId="79C3CDC1">
      <w:pPr>
        <w:keepNext w:val="0"/>
        <w:keepLines w:val="0"/>
        <w:pageBreakBefore w:val="0"/>
        <w:wordWrap/>
        <w:overflowPunct/>
        <w:topLinePunct w:val="0"/>
        <w:bidi w:val="0"/>
        <w:spacing w:line="360" w:lineRule="auto"/>
        <w:ind w:firstLine="480" w:firstLineChars="200"/>
        <w:rPr>
          <w:rStyle w:val="64"/>
          <w:rFonts w:hint="eastAsia" w:ascii="宋体" w:hAnsi="宋体" w:eastAsia="宋体" w:cs="宋体"/>
          <w:color w:val="auto"/>
          <w:kern w:val="0"/>
          <w:sz w:val="24"/>
          <w:szCs w:val="24"/>
          <w:highlight w:val="none"/>
          <w:lang w:val="en-US" w:eastAsia="zh-CN"/>
        </w:rPr>
      </w:pPr>
      <w:r>
        <w:rPr>
          <w:rStyle w:val="64"/>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1550A21D">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1" w:name="_Toc7179"/>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定标办法</w:t>
      </w:r>
      <w:bookmarkEnd w:id="121"/>
    </w:p>
    <w:p w14:paraId="30BE5938">
      <w:pPr>
        <w:keepNext w:val="0"/>
        <w:keepLines w:val="0"/>
        <w:pageBreakBefore w:val="0"/>
        <w:wordWrap/>
        <w:overflowPunct/>
        <w:topLinePunct w:val="0"/>
        <w:bidi w:val="0"/>
        <w:spacing w:line="360" w:lineRule="auto"/>
        <w:ind w:firstLine="480" w:firstLineChars="200"/>
        <w:rPr>
          <w:rStyle w:val="64"/>
          <w:rFonts w:hint="eastAsia" w:ascii="宋体" w:hAnsi="宋体" w:eastAsia="宋体" w:cs="宋体"/>
          <w:color w:val="auto"/>
          <w:kern w:val="0"/>
          <w:sz w:val="24"/>
          <w:szCs w:val="24"/>
          <w:highlight w:val="none"/>
          <w:lang w:val="en-US" w:eastAsia="zh-CN"/>
        </w:rPr>
      </w:pPr>
      <w:r>
        <w:rPr>
          <w:rStyle w:val="64"/>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3400C1DA">
      <w:pPr>
        <w:keepNext w:val="0"/>
        <w:keepLines w:val="0"/>
        <w:pageBreakBefore w:val="0"/>
        <w:wordWrap/>
        <w:overflowPunct/>
        <w:topLinePunct w:val="0"/>
        <w:bidi w:val="0"/>
        <w:spacing w:line="360" w:lineRule="auto"/>
        <w:ind w:firstLine="482" w:firstLineChars="200"/>
        <w:rPr>
          <w:rFonts w:hint="eastAsia" w:ascii="宋体" w:hAnsi="宋体" w:eastAsia="宋体" w:cs="宋体"/>
          <w:color w:val="auto"/>
          <w:sz w:val="24"/>
          <w:szCs w:val="24"/>
          <w:highlight w:val="none"/>
        </w:rPr>
      </w:pPr>
      <w:bookmarkStart w:id="122" w:name="OLE_LINK3"/>
      <w:r>
        <w:rPr>
          <w:rFonts w:hint="eastAsia" w:ascii="宋体" w:hAnsi="宋体" w:eastAsia="宋体" w:cs="宋体"/>
          <w:b/>
          <w:bCs/>
          <w:color w:val="auto"/>
          <w:sz w:val="24"/>
          <w:szCs w:val="24"/>
          <w:highlight w:val="none"/>
          <w:lang w:val="en-US" w:eastAsia="zh-CN"/>
        </w:rPr>
        <w:t>本项目</w:t>
      </w:r>
      <w:bookmarkEnd w:id="122"/>
      <w:r>
        <w:rPr>
          <w:rFonts w:hint="eastAsia" w:ascii="宋体" w:hAnsi="宋体" w:eastAsia="宋体" w:cs="宋体"/>
          <w:b/>
          <w:bCs/>
          <w:color w:val="auto"/>
          <w:sz w:val="24"/>
          <w:szCs w:val="24"/>
          <w:highlight w:val="none"/>
          <w:lang w:val="en-US" w:eastAsia="zh-CN"/>
        </w:rPr>
        <w:t>采用票决数量法定标。</w:t>
      </w:r>
    </w:p>
    <w:p w14:paraId="48D9D701">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3" w:name="_Toc19519"/>
      <w:r>
        <w:rPr>
          <w:rFonts w:hint="eastAsia" w:ascii="宋体" w:hAnsi="宋体" w:eastAsia="宋体" w:cs="宋体"/>
          <w:b/>
          <w:bCs/>
          <w:color w:val="auto"/>
          <w:kern w:val="0"/>
          <w:sz w:val="24"/>
          <w:szCs w:val="24"/>
          <w:highlight w:val="none"/>
          <w:lang w:val="en-US" w:eastAsia="zh-CN"/>
        </w:rPr>
        <w:t>5．定标细则</w:t>
      </w:r>
      <w:bookmarkEnd w:id="123"/>
    </w:p>
    <w:p w14:paraId="138D33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AAC57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081008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78FFEC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7C0917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70DEF3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7FEB2684">
      <w:pPr>
        <w:pStyle w:val="2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5D9EDF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409347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51F81F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2137E3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5174E0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2BFDEC70">
      <w:pPr>
        <w:pStyle w:val="2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67EF31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76EFF0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11CBEF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在同等条件下，择优的定标因素和相对标准有以下几个方面（组成联合体投标时由联合体牵头人提供）：</w:t>
      </w:r>
    </w:p>
    <w:p w14:paraId="414536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w:t>
      </w:r>
      <w:r>
        <w:rPr>
          <w:rFonts w:hint="eastAsia" w:ascii="宋体" w:hAnsi="宋体" w:cs="宋体"/>
          <w:b w:val="0"/>
          <w:bCs w:val="0"/>
          <w:color w:val="auto"/>
          <w:spacing w:val="0"/>
          <w:position w:val="0"/>
          <w:sz w:val="24"/>
          <w:szCs w:val="24"/>
          <w:highlight w:val="none"/>
          <w:u w:val="none" w:color="auto"/>
          <w:lang w:val="en-US" w:eastAsia="zh-CN"/>
        </w:rPr>
        <w:t>综合服务保障能力（包括行政单位或业主单位评价、企业信用等）</w:t>
      </w:r>
    </w:p>
    <w:p w14:paraId="7BFF33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yellow"/>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相对标准：获同类项目业主评价度高（含表扬信）的定标候选人</w:t>
      </w:r>
      <w:r>
        <w:rPr>
          <w:rFonts w:hint="eastAsia" w:ascii="宋体" w:hAnsi="宋体" w:cs="宋体"/>
          <w:b w:val="0"/>
          <w:bCs w:val="0"/>
          <w:color w:val="auto"/>
          <w:spacing w:val="0"/>
          <w:position w:val="0"/>
          <w:sz w:val="24"/>
          <w:szCs w:val="24"/>
          <w:highlight w:val="none"/>
          <w:u w:val="none" w:color="auto"/>
          <w:lang w:val="en-US" w:eastAsia="zh-CN"/>
        </w:rPr>
        <w:t>优于一般的定标候选人</w:t>
      </w:r>
      <w:r>
        <w:rPr>
          <w:rFonts w:hint="eastAsia" w:ascii="宋体" w:hAnsi="宋体" w:eastAsia="宋体" w:cs="宋体"/>
          <w:b w:val="0"/>
          <w:bCs w:val="0"/>
          <w:color w:val="auto"/>
          <w:spacing w:val="0"/>
          <w:position w:val="0"/>
          <w:sz w:val="24"/>
          <w:szCs w:val="24"/>
          <w:highlight w:val="none"/>
          <w:u w:val="none" w:color="auto"/>
          <w:lang w:val="en-US" w:eastAsia="zh-CN"/>
        </w:rPr>
        <w:t>。</w:t>
      </w:r>
    </w:p>
    <w:p w14:paraId="5DB470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（2）评标报告</w:t>
      </w:r>
    </w:p>
    <w:p w14:paraId="49B945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166633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（3）设计方案（包括技术方案的先进性、安全性、节能环保措施、进度控制的科学性等。）</w:t>
      </w:r>
    </w:p>
    <w:p w14:paraId="2EE0D3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相对标准：方案设计好的定标候选人优于方案设计一般的定标候选人。</w:t>
      </w:r>
    </w:p>
    <w:p w14:paraId="7AD7A5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（4）履约及后续服务（包括履约保障承诺、过程响应机制、后期服务与维护方案等。）</w:t>
      </w:r>
    </w:p>
    <w:p w14:paraId="6C1A33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相对标准：服务能力好的定标候选人优于服务能力一般的定标候选人。</w:t>
      </w:r>
    </w:p>
    <w:p w14:paraId="4EEEC6F2">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4" w:name="_Toc7367"/>
      <w:r>
        <w:rPr>
          <w:rFonts w:hint="eastAsia" w:ascii="宋体" w:hAnsi="宋体" w:eastAsia="宋体" w:cs="宋体"/>
          <w:b/>
          <w:bCs/>
          <w:color w:val="auto"/>
          <w:kern w:val="0"/>
          <w:sz w:val="24"/>
          <w:szCs w:val="24"/>
          <w:highlight w:val="none"/>
          <w:lang w:val="en-US" w:eastAsia="zh-CN"/>
        </w:rPr>
        <w:t>6．定标结果公示</w:t>
      </w:r>
      <w:bookmarkEnd w:id="124"/>
    </w:p>
    <w:p w14:paraId="2E8C08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64"/>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64"/>
          <w:rFonts w:hint="eastAsia" w:ascii="宋体" w:hAnsi="宋体" w:eastAsia="宋体" w:cs="宋体"/>
          <w:b w:val="0"/>
          <w:bCs w:val="0"/>
          <w:color w:val="auto"/>
          <w:kern w:val="0"/>
          <w:sz w:val="24"/>
          <w:szCs w:val="24"/>
          <w:highlight w:val="none"/>
          <w:lang w:val="en-US" w:eastAsia="zh-CN"/>
        </w:rPr>
        <w:t>后</w:t>
      </w:r>
      <w:r>
        <w:rPr>
          <w:rStyle w:val="64"/>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197F0BC6">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25" w:name="_Toc25461"/>
      <w:r>
        <w:rPr>
          <w:rFonts w:hint="eastAsia" w:ascii="宋体" w:hAnsi="宋体" w:eastAsia="宋体" w:cs="宋体"/>
          <w:b/>
          <w:color w:val="auto"/>
          <w:kern w:val="2"/>
          <w:sz w:val="28"/>
          <w:szCs w:val="24"/>
          <w:lang w:val="en-US" w:eastAsia="zh-CN"/>
        </w:rPr>
        <w:t>第七节   中标确认</w:t>
      </w:r>
      <w:bookmarkEnd w:id="125"/>
    </w:p>
    <w:p w14:paraId="7D8967FC">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6" w:name="_Toc4999"/>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中标人确定</w:t>
      </w:r>
      <w:bookmarkEnd w:id="126"/>
    </w:p>
    <w:p w14:paraId="380973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4A6E50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2AD3C1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064B322B">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7" w:name="_Toc12333"/>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异议和投诉</w:t>
      </w:r>
      <w:bookmarkEnd w:id="127"/>
    </w:p>
    <w:p w14:paraId="4547C6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71D6C2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0684DD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1AF7E5C0">
      <w:pPr>
        <w:pStyle w:val="6"/>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left"/>
        <w:textAlignment w:val="auto"/>
        <w:outlineLvl w:val="2"/>
        <w:rPr>
          <w:rFonts w:hint="eastAsia" w:ascii="宋体" w:hAnsi="宋体" w:eastAsia="宋体" w:cs="宋体"/>
          <w:b/>
          <w:bCs/>
          <w:color w:val="auto"/>
          <w:kern w:val="0"/>
          <w:sz w:val="24"/>
          <w:szCs w:val="24"/>
          <w:highlight w:val="none"/>
          <w:lang w:val="en-US" w:eastAsia="zh-CN"/>
        </w:rPr>
      </w:pPr>
      <w:bookmarkStart w:id="128" w:name="_Toc26651"/>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废除授标及授标</w:t>
      </w:r>
      <w:bookmarkEnd w:id="128"/>
    </w:p>
    <w:p w14:paraId="0A340C0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3.1评定标完成后，中标候选人有下列情形之一的，招标人应按规定取消中标候选人资格或废除授标：</w:t>
      </w:r>
    </w:p>
    <w:p w14:paraId="28600AE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（1）以他人名义投标或者以其他方式弄虚作假骗取中标的；</w:t>
      </w:r>
    </w:p>
    <w:p w14:paraId="4A4E0A9F">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（2）与其他投标人串通投标或以行贿的手段谋取中标的；</w:t>
      </w:r>
    </w:p>
    <w:p w14:paraId="1ABABB9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（3）不是从本投标企业基本账户提交投标担保或以虚假方式提交投标保证金保函（保单）的；</w:t>
      </w:r>
    </w:p>
    <w:p w14:paraId="5138F4E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（4）中标人于投标有效期终止之前撤回投标文件，或者排名第一的中标候选人放弃中标资格的；</w:t>
      </w:r>
    </w:p>
    <w:p w14:paraId="3BB0894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（5）因中标人过错而未能按照规定与招标人签订工程总承包合同或中标人因不可抗力提出不能履行合同的；</w:t>
      </w:r>
    </w:p>
    <w:p w14:paraId="15EFBF8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（6）因中标人过错而未能按照招标文件要求向招标人提交履约担保的；</w:t>
      </w:r>
    </w:p>
    <w:p w14:paraId="220DF79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（7）中标单位拟派的项目负责人从投标截止时间起在其他建设工程担任项目负责人；</w:t>
      </w:r>
    </w:p>
    <w:p w14:paraId="24DE979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（8）中标人被有关部门查实存在影响中标结果的违法行为，不符合中标条件的；</w:t>
      </w:r>
    </w:p>
    <w:p w14:paraId="4DFDBDD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（9）中标人在参加本项目投标时有本企业投标承诺书所列被依法限制或暂停承揽业务或停业的处罚的；</w:t>
      </w:r>
    </w:p>
    <w:p w14:paraId="28FE909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（10）招标文件明确规定可以废除授标的其他情形。</w:t>
      </w:r>
    </w:p>
    <w:p w14:paraId="773DB40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316692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招标人有下列情形之一的，应依法承担相应的责任：</w:t>
      </w:r>
    </w:p>
    <w:p w14:paraId="52ED776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（1）无正当理由不发出中标通知书的；</w:t>
      </w:r>
    </w:p>
    <w:p w14:paraId="0C9E8C3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（2）招标人不按照规定确定中标人的；</w:t>
      </w:r>
    </w:p>
    <w:p w14:paraId="1BBB6F30">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（3）中标通知书发出后无正当理由改变中标结果的；</w:t>
      </w:r>
    </w:p>
    <w:p w14:paraId="6B4CC4F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（4）无正当理由不与中标人签订工程总承包合同的；</w:t>
      </w:r>
    </w:p>
    <w:p w14:paraId="5E8B51F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（5）在签订工程总承包合同时向中标人提出附加条件或者更改合同实质性内容的。</w:t>
      </w:r>
    </w:p>
    <w:p w14:paraId="7DD2A2C3">
      <w:pPr>
        <w:rPr>
          <w:rFonts w:hint="eastAsia" w:ascii="宋体" w:hAnsi="宋体" w:eastAsia="宋体" w:cs="宋体"/>
          <w:sz w:val="24"/>
          <w:szCs w:val="24"/>
          <w:lang w:val="en-US" w:eastAsia="zh-CN"/>
        </w:rPr>
      </w:pPr>
    </w:p>
    <w:p w14:paraId="6008A92A">
      <w:pPr>
        <w:rPr>
          <w:rFonts w:hint="eastAsia" w:ascii="宋体" w:hAnsi="宋体" w:eastAsia="宋体" w:cs="宋体"/>
          <w:lang w:val="en-US" w:eastAsia="zh-CN"/>
        </w:rPr>
      </w:pPr>
    </w:p>
    <w:p w14:paraId="1171CBE5">
      <w:pPr>
        <w:rPr>
          <w:rFonts w:hint="eastAsia" w:ascii="宋体" w:hAnsi="宋体" w:eastAsia="宋体" w:cs="宋体"/>
          <w:lang w:val="en-US" w:eastAsia="zh-CN"/>
        </w:rPr>
      </w:pPr>
    </w:p>
    <w:p w14:paraId="1A217379">
      <w:pPr>
        <w:rPr>
          <w:rFonts w:hint="eastAsia" w:ascii="宋体" w:hAnsi="宋体" w:eastAsia="宋体" w:cs="宋体"/>
          <w:lang w:val="en-US" w:eastAsia="zh-CN"/>
        </w:rPr>
      </w:pPr>
    </w:p>
    <w:p w14:paraId="1CD0E1D8">
      <w:pPr>
        <w:rPr>
          <w:rFonts w:hint="eastAsia" w:ascii="宋体" w:hAnsi="宋体" w:eastAsia="宋体" w:cs="宋体"/>
          <w:lang w:val="en-US" w:eastAsia="zh-CN"/>
        </w:rPr>
      </w:pPr>
    </w:p>
    <w:p w14:paraId="6E24EE2D">
      <w:pPr>
        <w:rPr>
          <w:rFonts w:hint="eastAsia" w:ascii="宋体" w:hAnsi="宋体" w:eastAsia="宋体" w:cs="宋体"/>
          <w:lang w:val="en-US" w:eastAsia="zh-CN"/>
        </w:rPr>
      </w:pPr>
    </w:p>
    <w:p w14:paraId="702913B5">
      <w:pPr>
        <w:rPr>
          <w:rFonts w:hint="eastAsia" w:ascii="宋体" w:hAnsi="宋体" w:eastAsia="宋体" w:cs="宋体"/>
          <w:lang w:val="en-US" w:eastAsia="zh-CN"/>
        </w:rPr>
      </w:pPr>
    </w:p>
    <w:p w14:paraId="28A16DDE">
      <w:pPr>
        <w:rPr>
          <w:rFonts w:hint="eastAsia" w:ascii="宋体" w:hAnsi="宋体" w:eastAsia="宋体" w:cs="宋体"/>
          <w:lang w:val="en-US" w:eastAsia="zh-CN"/>
        </w:rPr>
      </w:pPr>
    </w:p>
    <w:p w14:paraId="644B7CC2">
      <w:pPr>
        <w:rPr>
          <w:rFonts w:hint="eastAsia" w:ascii="宋体" w:hAnsi="宋体" w:eastAsia="宋体" w:cs="宋体"/>
          <w:lang w:val="en-US" w:eastAsia="zh-CN"/>
        </w:rPr>
      </w:pPr>
    </w:p>
    <w:p w14:paraId="174510D6">
      <w:pPr>
        <w:rPr>
          <w:rFonts w:hint="eastAsia" w:ascii="宋体" w:hAnsi="宋体" w:eastAsia="宋体" w:cs="宋体"/>
          <w:lang w:val="en-US" w:eastAsia="zh-CN"/>
        </w:rPr>
      </w:pPr>
    </w:p>
    <w:p w14:paraId="3E982228">
      <w:pPr>
        <w:rPr>
          <w:rFonts w:hint="eastAsia" w:ascii="宋体" w:hAnsi="宋体" w:eastAsia="宋体" w:cs="宋体"/>
          <w:lang w:val="en-US" w:eastAsia="zh-CN"/>
        </w:rPr>
      </w:pPr>
    </w:p>
    <w:p w14:paraId="328C5191">
      <w:pPr>
        <w:rPr>
          <w:rFonts w:hint="eastAsia" w:ascii="宋体" w:hAnsi="宋体" w:eastAsia="宋体" w:cs="宋体"/>
          <w:lang w:val="en-US" w:eastAsia="zh-CN"/>
        </w:rPr>
      </w:pPr>
    </w:p>
    <w:p w14:paraId="0B4C08AC">
      <w:pPr>
        <w:rPr>
          <w:rFonts w:hint="eastAsia" w:ascii="宋体" w:hAnsi="宋体" w:eastAsia="宋体" w:cs="宋体"/>
          <w:lang w:val="en-US" w:eastAsia="zh-CN"/>
        </w:rPr>
      </w:pPr>
    </w:p>
    <w:p w14:paraId="45CED9E6">
      <w:pPr>
        <w:rPr>
          <w:rFonts w:hint="eastAsia" w:ascii="宋体" w:hAnsi="宋体" w:eastAsia="宋体" w:cs="宋体"/>
          <w:lang w:val="en-US" w:eastAsia="zh-CN"/>
        </w:rPr>
      </w:pPr>
    </w:p>
    <w:p w14:paraId="3B519D65">
      <w:pPr>
        <w:rPr>
          <w:rFonts w:hint="eastAsia" w:ascii="宋体" w:hAnsi="宋体" w:eastAsia="宋体" w:cs="宋体"/>
          <w:lang w:val="en-US" w:eastAsia="zh-CN"/>
        </w:rPr>
      </w:pPr>
    </w:p>
    <w:p w14:paraId="04BF8B4A">
      <w:pPr>
        <w:rPr>
          <w:rFonts w:hint="eastAsia" w:ascii="宋体" w:hAnsi="宋体" w:eastAsia="宋体" w:cs="宋体"/>
          <w:lang w:val="en-US" w:eastAsia="zh-CN"/>
        </w:rPr>
      </w:pPr>
    </w:p>
    <w:p w14:paraId="730C686E">
      <w:pPr>
        <w:rPr>
          <w:rFonts w:hint="eastAsia" w:ascii="宋体" w:hAnsi="宋体" w:eastAsia="宋体" w:cs="宋体"/>
          <w:lang w:val="en-US" w:eastAsia="zh-CN"/>
        </w:rPr>
      </w:pPr>
    </w:p>
    <w:p w14:paraId="115DBC52">
      <w:pPr>
        <w:rPr>
          <w:rFonts w:hint="eastAsia" w:ascii="宋体" w:hAnsi="宋体" w:eastAsia="宋体" w:cs="宋体"/>
          <w:lang w:val="en-US" w:eastAsia="zh-CN"/>
        </w:rPr>
      </w:pPr>
    </w:p>
    <w:p w14:paraId="259E2688">
      <w:pPr>
        <w:rPr>
          <w:rFonts w:hint="eastAsia" w:ascii="宋体" w:hAnsi="宋体" w:eastAsia="宋体" w:cs="宋体"/>
          <w:lang w:val="en-US" w:eastAsia="zh-CN"/>
        </w:rPr>
      </w:pPr>
    </w:p>
    <w:p w14:paraId="13D6FFA3">
      <w:pPr>
        <w:rPr>
          <w:rFonts w:hint="eastAsia" w:ascii="宋体" w:hAnsi="宋体" w:eastAsia="宋体" w:cs="宋体"/>
          <w:lang w:val="en-US" w:eastAsia="zh-CN"/>
        </w:rPr>
      </w:pPr>
    </w:p>
    <w:p w14:paraId="3E3EC92B">
      <w:pPr>
        <w:rPr>
          <w:rFonts w:hint="eastAsia" w:ascii="宋体" w:hAnsi="宋体" w:eastAsia="宋体" w:cs="宋体"/>
          <w:lang w:val="en-US" w:eastAsia="zh-CN"/>
        </w:rPr>
      </w:pPr>
    </w:p>
    <w:p w14:paraId="7BBAA578">
      <w:pPr>
        <w:rPr>
          <w:rFonts w:hint="eastAsia" w:ascii="宋体" w:hAnsi="宋体" w:eastAsia="宋体" w:cs="宋体"/>
          <w:lang w:val="en-US" w:eastAsia="zh-CN"/>
        </w:rPr>
      </w:pPr>
    </w:p>
    <w:p w14:paraId="0CBF13A7">
      <w:pPr>
        <w:rPr>
          <w:rFonts w:hint="eastAsia" w:ascii="宋体" w:hAnsi="宋体" w:eastAsia="宋体" w:cs="宋体"/>
          <w:lang w:val="en-US" w:eastAsia="zh-CN"/>
        </w:rPr>
      </w:pPr>
    </w:p>
    <w:p w14:paraId="4CC1D4EE">
      <w:pPr>
        <w:rPr>
          <w:rFonts w:hint="eastAsia" w:ascii="宋体" w:hAnsi="宋体" w:eastAsia="宋体" w:cs="宋体"/>
          <w:lang w:val="en-US" w:eastAsia="zh-CN"/>
        </w:rPr>
      </w:pPr>
    </w:p>
    <w:p w14:paraId="67FF3241">
      <w:pPr>
        <w:rPr>
          <w:rFonts w:hint="eastAsia" w:ascii="宋体" w:hAnsi="宋体" w:eastAsia="宋体" w:cs="宋体"/>
          <w:lang w:val="en-US" w:eastAsia="zh-CN"/>
        </w:rPr>
      </w:pPr>
    </w:p>
    <w:p w14:paraId="727A2974">
      <w:pPr>
        <w:rPr>
          <w:rFonts w:hint="eastAsia" w:ascii="宋体" w:hAnsi="宋体" w:eastAsia="宋体" w:cs="宋体"/>
          <w:sz w:val="24"/>
          <w:szCs w:val="24"/>
          <w:lang w:val="en-US" w:eastAsia="zh-CN"/>
        </w:rPr>
      </w:pPr>
    </w:p>
    <w:p w14:paraId="20AF8258">
      <w:pPr>
        <w:pStyle w:val="4"/>
        <w:keepNext/>
        <w:keepLines w:val="0"/>
        <w:pageBreakBefore w:val="0"/>
        <w:shd w:val="clear" w:color="auto" w:fill="auto"/>
        <w:tabs>
          <w:tab w:val="left" w:pos="1830"/>
        </w:tabs>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color w:val="auto"/>
          <w:kern w:val="2"/>
          <w:sz w:val="32"/>
          <w:szCs w:val="32"/>
          <w:highlight w:val="none"/>
        </w:rPr>
      </w:pPr>
      <w:bookmarkStart w:id="129" w:name="_Toc6494"/>
      <w:r>
        <w:rPr>
          <w:rFonts w:hint="eastAsia" w:ascii="宋体" w:hAnsi="宋体" w:eastAsia="宋体" w:cs="宋体"/>
          <w:b/>
          <w:color w:val="auto"/>
          <w:kern w:val="2"/>
          <w:sz w:val="32"/>
          <w:szCs w:val="32"/>
          <w:highlight w:val="none"/>
        </w:rPr>
        <w:t>第</w:t>
      </w:r>
      <w:bookmarkStart w:id="130" w:name="_Hlt69669171"/>
      <w:bookmarkEnd w:id="130"/>
      <w:r>
        <w:rPr>
          <w:rFonts w:hint="eastAsia" w:ascii="宋体" w:hAnsi="宋体" w:eastAsia="宋体" w:cs="宋体"/>
          <w:b/>
          <w:color w:val="auto"/>
          <w:kern w:val="2"/>
          <w:sz w:val="32"/>
          <w:szCs w:val="32"/>
          <w:highlight w:val="none"/>
        </w:rPr>
        <w:t>二章</w:t>
      </w:r>
      <w:bookmarkStart w:id="131" w:name="_Hlt87793839"/>
      <w:bookmarkEnd w:id="131"/>
      <w:r>
        <w:rPr>
          <w:rFonts w:hint="eastAsia" w:ascii="宋体" w:hAnsi="宋体" w:eastAsia="宋体" w:cs="宋体"/>
          <w:b/>
          <w:color w:val="auto"/>
          <w:kern w:val="2"/>
          <w:sz w:val="32"/>
          <w:szCs w:val="32"/>
          <w:highlight w:val="none"/>
        </w:rPr>
        <w:t xml:space="preserve"> </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中标人须知</w:t>
      </w:r>
      <w:bookmarkEnd w:id="112"/>
      <w:bookmarkEnd w:id="113"/>
      <w:bookmarkEnd w:id="114"/>
      <w:bookmarkEnd w:id="115"/>
      <w:bookmarkEnd w:id="129"/>
    </w:p>
    <w:p w14:paraId="56150DBF">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32" w:name="_Toc21697"/>
      <w:bookmarkStart w:id="133" w:name="_Toc12893"/>
      <w:bookmarkStart w:id="134" w:name="_Toc22662"/>
      <w:bookmarkStart w:id="135" w:name="_Toc21686"/>
      <w:r>
        <w:rPr>
          <w:rFonts w:hint="eastAsia" w:ascii="宋体" w:hAnsi="宋体" w:eastAsia="宋体" w:cs="宋体"/>
          <w:b/>
          <w:color w:val="auto"/>
          <w:kern w:val="2"/>
          <w:sz w:val="28"/>
          <w:szCs w:val="24"/>
          <w:lang w:val="en-US" w:eastAsia="zh-CN"/>
        </w:rPr>
        <w:t>1．中标通知书</w:t>
      </w:r>
      <w:bookmarkEnd w:id="132"/>
      <w:bookmarkEnd w:id="133"/>
    </w:p>
    <w:p w14:paraId="4D779AE7">
      <w:pPr>
        <w:spacing w:before="152" w:line="332" w:lineRule="auto"/>
        <w:ind w:firstLine="484"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65A06245">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36" w:name="_Toc31031"/>
      <w:bookmarkStart w:id="137" w:name="_Toc979"/>
      <w:r>
        <w:rPr>
          <w:rFonts w:hint="eastAsia" w:ascii="宋体" w:hAnsi="宋体" w:eastAsia="宋体" w:cs="宋体"/>
          <w:b/>
          <w:color w:val="auto"/>
          <w:kern w:val="2"/>
          <w:sz w:val="28"/>
          <w:szCs w:val="24"/>
          <w:lang w:val="en-US" w:eastAsia="zh-CN"/>
        </w:rPr>
        <w:t>2．中标结果公示</w:t>
      </w:r>
      <w:bookmarkEnd w:id="136"/>
      <w:bookmarkEnd w:id="137"/>
    </w:p>
    <w:p w14:paraId="62D386FE">
      <w:pPr>
        <w:spacing w:before="152" w:line="332" w:lineRule="auto"/>
        <w:ind w:firstLine="484"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中标通知书发出后 15日内，招标人应将中标结果在广东省招标投标监管网（http: //zbtb.gd.gov.cn）、全国公共资源交易平台（广东省·韶关市）（https://ygp.gdzwfw.gov. cn/ggzy-portal/#/440200/index）进行公示。</w:t>
      </w:r>
    </w:p>
    <w:p w14:paraId="64EE0210">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38" w:name="_Toc26259"/>
      <w:r>
        <w:rPr>
          <w:rFonts w:hint="eastAsia" w:ascii="宋体" w:hAnsi="宋体" w:eastAsia="宋体" w:cs="宋体"/>
          <w:b/>
          <w:color w:val="auto"/>
          <w:kern w:val="2"/>
          <w:sz w:val="28"/>
          <w:szCs w:val="24"/>
          <w:lang w:val="en-US" w:eastAsia="zh-CN"/>
        </w:rPr>
        <w:t>3．</w:t>
      </w:r>
      <w:bookmarkEnd w:id="134"/>
      <w:bookmarkEnd w:id="135"/>
      <w:bookmarkStart w:id="139" w:name="_Toc22995"/>
      <w:r>
        <w:rPr>
          <w:rFonts w:hint="eastAsia" w:ascii="宋体" w:hAnsi="宋体" w:eastAsia="宋体" w:cs="宋体"/>
          <w:b/>
          <w:color w:val="auto"/>
          <w:kern w:val="2"/>
          <w:sz w:val="28"/>
          <w:szCs w:val="24"/>
          <w:lang w:val="en-US" w:eastAsia="zh-CN"/>
        </w:rPr>
        <w:t>履约保证</w:t>
      </w:r>
      <w:bookmarkEnd w:id="138"/>
    </w:p>
    <w:p w14:paraId="2B5D477F">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eastAsia="宋体" w:cs="宋体"/>
          <w:b/>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中标人须在领取中标通知书之日起 </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%的履约保证。</w:t>
      </w:r>
      <w:r>
        <w:rPr>
          <w:rFonts w:hint="eastAsia" w:ascii="宋体" w:hAnsi="宋体" w:eastAsia="宋体" w:cs="宋体"/>
          <w:color w:val="auto"/>
          <w:sz w:val="24"/>
          <w:szCs w:val="24"/>
          <w:highlight w:val="none"/>
        </w:rPr>
        <w:t>联合体中标的，由联合体牵头人提交。</w:t>
      </w:r>
    </w:p>
    <w:p w14:paraId="2DE0C923">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eastAsia="宋体" w:cs="宋体"/>
          <w:b/>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履约保证的形式包括</w:t>
      </w:r>
      <w:r>
        <w:rPr>
          <w:rStyle w:val="64"/>
          <w:rFonts w:hint="eastAsia" w:ascii="宋体" w:hAnsi="宋体" w:eastAsia="宋体" w:cs="宋体"/>
          <w:color w:val="auto"/>
          <w:kern w:val="0"/>
          <w:highlight w:val="none"/>
        </w:rPr>
        <w:t>履约保证金、履约保证担保、履约保证保险三种</w:t>
      </w:r>
      <w:r>
        <w:rPr>
          <w:rFonts w:hint="eastAsia" w:ascii="宋体" w:hAnsi="宋体" w:eastAsia="宋体" w:cs="宋体"/>
          <w:snapToGrid w:val="0"/>
          <w:color w:val="auto"/>
          <w:kern w:val="0"/>
          <w:sz w:val="24"/>
          <w:szCs w:val="24"/>
          <w:highlight w:val="none"/>
        </w:rPr>
        <w:t>，由中标人自主选择。</w:t>
      </w:r>
      <w:r>
        <w:rPr>
          <w:rFonts w:hint="eastAsia" w:ascii="宋体" w:hAnsi="宋体" w:eastAsia="宋体" w:cs="宋体"/>
          <w:color w:val="auto"/>
          <w:sz w:val="24"/>
          <w:szCs w:val="24"/>
          <w:highlight w:val="none"/>
        </w:rPr>
        <w:t>根据《关于统一在市公共资源交易一体化服务平台缴退工程建设项目履约保证金的通知》在线办理工程建设项目履约保证，请各招标人(项目业主)通过《履约保证金招标人、招标代理操作指引》了解具体操作，熟悉操作流程。在使用该功能时如遇系统操作问题，可通过0751-8379671获取技术支持。</w:t>
      </w:r>
    </w:p>
    <w:p w14:paraId="7DC9AB5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（1）采用履约保证金的，中标人须从其法人开户银行的账号将履约保证金划至招标人账户，并详细注明工程名称及用途。</w:t>
      </w:r>
    </w:p>
    <w:p w14:paraId="4445725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（2）采用履约保证担保或履约保证保险的，中标人应提交有效的银行保函或保险合同（或保险单）原件，银行保函或保险合同（或保险单）的有效期应当自合同生效之日起至项目</w:t>
      </w:r>
      <w:r>
        <w:rPr>
          <w:rFonts w:hint="eastAsia" w:ascii="宋体" w:hAnsi="宋体" w:eastAsia="宋体" w:cs="宋体"/>
          <w:color w:val="auto"/>
          <w:sz w:val="24"/>
          <w:szCs w:val="24"/>
          <w:highlight w:val="none"/>
        </w:rPr>
        <w:t>通过竣工验收之日后28天止</w:t>
      </w:r>
      <w:r>
        <w:rPr>
          <w:rFonts w:hint="eastAsia" w:ascii="宋体" w:hAnsi="宋体" w:eastAsia="宋体" w:cs="宋体"/>
          <w:snapToGrid w:val="0"/>
          <w:color w:val="auto"/>
          <w:kern w:val="0"/>
          <w:sz w:val="24"/>
          <w:szCs w:val="24"/>
          <w:highlight w:val="none"/>
        </w:rPr>
        <w:t>。如果中标人无法获得具体截止日期，银行保函或保险合同（或保险单）中应当有“变更工程竣工日期的，保证期间按照变更后的竣工日期做相应调整”或类似约定的条款。</w:t>
      </w:r>
    </w:p>
    <w:p w14:paraId="7550F56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中标人在领取中标通知书之日起</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个工作日内仍未提交履约保证的，视其放弃中标。</w:t>
      </w:r>
    </w:p>
    <w:p w14:paraId="4F8F762B">
      <w:pPr>
        <w:wordWrap w:val="0"/>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4在项目实施过程中，如果承包人（即招标阶段的中标人，下同）由于自身的资金、技术、质量、非不可抗力等原因给发包人（即招标阶段的招标人，下同）造成经济损失，扣除相应履约保证。</w:t>
      </w:r>
    </w:p>
    <w:p w14:paraId="028674E7">
      <w:pPr>
        <w:wordWrap w:val="0"/>
        <w:adjustRightInd w:val="0"/>
        <w:snapToGrid w:val="0"/>
        <w:spacing w:line="360" w:lineRule="auto"/>
        <w:ind w:firstLine="480" w:firstLineChars="200"/>
        <w:rPr>
          <w:rFonts w:hint="eastAsia" w:ascii="宋体" w:hAnsi="宋体" w:eastAsia="宋体" w:cs="宋体"/>
          <w:b/>
          <w:snapToGrid w:val="0"/>
          <w:color w:val="auto"/>
          <w:sz w:val="24"/>
          <w:highlight w:val="none"/>
        </w:rPr>
      </w:pP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.5项目通过竣工验收之日后起28天内，招标人将履约保证退还给承包人。</w:t>
      </w:r>
    </w:p>
    <w:p w14:paraId="32C801C1">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40" w:name="_Toc11006"/>
      <w:bookmarkStart w:id="141" w:name="_Toc12912"/>
      <w:r>
        <w:rPr>
          <w:rFonts w:hint="eastAsia" w:ascii="宋体" w:hAnsi="宋体" w:eastAsia="宋体" w:cs="宋体"/>
          <w:b/>
          <w:color w:val="auto"/>
          <w:kern w:val="2"/>
          <w:sz w:val="28"/>
          <w:szCs w:val="24"/>
          <w:lang w:val="en-US" w:eastAsia="zh-CN"/>
        </w:rPr>
        <w:t>4．</w:t>
      </w:r>
      <w:bookmarkEnd w:id="139"/>
      <w:bookmarkStart w:id="142" w:name="_Toc24400"/>
      <w:r>
        <w:rPr>
          <w:rFonts w:hint="eastAsia" w:ascii="宋体" w:hAnsi="宋体" w:eastAsia="宋体" w:cs="宋体"/>
          <w:b/>
          <w:color w:val="auto"/>
          <w:kern w:val="2"/>
          <w:sz w:val="28"/>
          <w:szCs w:val="24"/>
          <w:lang w:val="en-US" w:eastAsia="zh-CN"/>
        </w:rPr>
        <w:t>合同订立</w:t>
      </w:r>
      <w:bookmarkEnd w:id="140"/>
      <w:bookmarkEnd w:id="141"/>
      <w:bookmarkEnd w:id="142"/>
    </w:p>
    <w:p w14:paraId="181F7884">
      <w:pPr>
        <w:spacing w:before="152" w:line="360" w:lineRule="auto"/>
        <w:ind w:firstLine="48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4</w:t>
      </w:r>
      <w:r>
        <w:rPr>
          <w:rFonts w:hint="eastAsia" w:ascii="宋体" w:hAnsi="宋体" w:eastAsia="宋体" w:cs="宋体"/>
          <w:b/>
          <w:bCs/>
          <w:color w:val="auto"/>
          <w:spacing w:val="1"/>
          <w:sz w:val="24"/>
          <w:szCs w:val="24"/>
          <w:highlight w:val="none"/>
        </w:rPr>
        <w:t xml:space="preserve">.1 </w:t>
      </w:r>
      <w:r>
        <w:rPr>
          <w:rFonts w:hint="eastAsia" w:ascii="宋体" w:hAnsi="宋体" w:eastAsia="宋体" w:cs="宋体"/>
          <w:color w:val="auto"/>
          <w:spacing w:val="1"/>
          <w:sz w:val="24"/>
          <w:szCs w:val="24"/>
          <w:highlight w:val="none"/>
        </w:rPr>
        <w:t>招标人应当自中标通知书发出之日起30日内，按照招标文件、中标人的投标文件与中标人订立书面合同。</w:t>
      </w:r>
    </w:p>
    <w:p w14:paraId="38616985">
      <w:pPr>
        <w:spacing w:before="152" w:line="360" w:lineRule="auto"/>
        <w:ind w:firstLine="486" w:firstLineChars="200"/>
        <w:jc w:val="both"/>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4</w:t>
      </w:r>
      <w:r>
        <w:rPr>
          <w:rFonts w:hint="eastAsia" w:ascii="宋体" w:hAnsi="宋体" w:eastAsia="宋体" w:cs="宋体"/>
          <w:b/>
          <w:bCs/>
          <w:color w:val="auto"/>
          <w:spacing w:val="1"/>
          <w:sz w:val="24"/>
          <w:szCs w:val="24"/>
          <w:highlight w:val="none"/>
        </w:rPr>
        <w:t xml:space="preserve">.2 </w:t>
      </w:r>
      <w:r>
        <w:rPr>
          <w:rFonts w:hint="eastAsia" w:ascii="宋体" w:hAnsi="宋体" w:eastAsia="宋体" w:cs="宋体"/>
          <w:color w:val="auto"/>
          <w:spacing w:val="1"/>
          <w:sz w:val="24"/>
          <w:szCs w:val="24"/>
          <w:highlight w:val="none"/>
        </w:rPr>
        <w:t>本招标项目合同计价</w:t>
      </w:r>
      <w:r>
        <w:rPr>
          <w:rFonts w:hint="eastAsia" w:ascii="宋体" w:hAnsi="宋体" w:eastAsia="宋体" w:cs="宋体"/>
          <w:color w:val="auto"/>
          <w:spacing w:val="1"/>
          <w:sz w:val="24"/>
          <w:szCs w:val="24"/>
          <w:highlight w:val="none"/>
          <w:lang w:val="en-US" w:eastAsia="zh-CN"/>
        </w:rPr>
        <w:t>方式为：</w:t>
      </w:r>
      <w:r>
        <w:rPr>
          <w:rFonts w:hint="eastAsia" w:ascii="宋体" w:hAnsi="宋体" w:eastAsia="宋体" w:cs="宋体"/>
          <w:color w:val="auto"/>
          <w:spacing w:val="1"/>
          <w:sz w:val="24"/>
          <w:szCs w:val="24"/>
          <w:highlight w:val="none"/>
          <w:u w:val="single"/>
          <w:lang w:eastAsia="zh-CN"/>
        </w:rPr>
        <w:t>总价</w:t>
      </w:r>
      <w:r>
        <w:rPr>
          <w:rFonts w:hint="eastAsia" w:ascii="宋体" w:hAnsi="宋体" w:eastAsia="宋体" w:cs="宋体"/>
          <w:color w:val="auto"/>
          <w:spacing w:val="1"/>
          <w:sz w:val="24"/>
          <w:szCs w:val="24"/>
          <w:highlight w:val="none"/>
          <w:u w:val="single"/>
          <w:lang w:val="en-US" w:eastAsia="zh-CN"/>
        </w:rPr>
        <w:t>合同</w:t>
      </w:r>
      <w:r>
        <w:rPr>
          <w:rFonts w:hint="eastAsia" w:ascii="宋体" w:hAnsi="宋体" w:eastAsia="宋体" w:cs="宋体"/>
          <w:color w:val="auto"/>
          <w:spacing w:val="1"/>
          <w:sz w:val="24"/>
          <w:szCs w:val="24"/>
          <w:highlight w:val="none"/>
        </w:rPr>
        <w:t>。</w:t>
      </w:r>
    </w:p>
    <w:p w14:paraId="6C458B7F">
      <w:pPr>
        <w:wordWrap w:val="0"/>
        <w:adjustRightInd w:val="0"/>
        <w:snapToGrid w:val="0"/>
        <w:spacing w:line="360" w:lineRule="auto"/>
        <w:ind w:firstLine="482" w:firstLineChars="200"/>
        <w:rPr>
          <w:rFonts w:hint="eastAsia" w:ascii="宋体" w:hAnsi="宋体" w:eastAsia="宋体" w:cs="宋体"/>
          <w:strike/>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b/>
          <w:bCs/>
          <w:snapToGrid w:val="0"/>
          <w:color w:val="auto"/>
          <w:kern w:val="0"/>
          <w:sz w:val="24"/>
          <w:highlight w:val="none"/>
        </w:rPr>
        <w:t>.3</w:t>
      </w:r>
      <w:r>
        <w:rPr>
          <w:rFonts w:hint="eastAsia" w:ascii="宋体" w:hAnsi="宋体" w:eastAsia="宋体" w:cs="宋体"/>
          <w:snapToGrid w:val="0"/>
          <w:color w:val="auto"/>
          <w:kern w:val="0"/>
          <w:sz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1E620266">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32F526AC">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b/>
          <w:bCs/>
          <w:snapToGrid w:val="0"/>
          <w:color w:val="auto"/>
          <w:kern w:val="0"/>
          <w:sz w:val="24"/>
          <w:highlight w:val="none"/>
        </w:rPr>
        <w:t>.5</w:t>
      </w:r>
      <w:r>
        <w:rPr>
          <w:rFonts w:hint="eastAsia" w:ascii="宋体" w:hAnsi="宋体" w:eastAsia="宋体" w:cs="宋体"/>
          <w:snapToGrid w:val="0"/>
          <w:color w:val="auto"/>
          <w:kern w:val="0"/>
          <w:sz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54C2BC80">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43" w:name="_Toc23989"/>
      <w:bookmarkStart w:id="144" w:name="_Toc19148"/>
      <w:bookmarkStart w:id="145" w:name="_Toc17915"/>
      <w:r>
        <w:rPr>
          <w:rFonts w:hint="eastAsia" w:ascii="宋体" w:hAnsi="宋体" w:eastAsia="宋体" w:cs="宋体"/>
          <w:b/>
          <w:color w:val="auto"/>
          <w:kern w:val="2"/>
          <w:sz w:val="28"/>
          <w:szCs w:val="24"/>
          <w:lang w:val="en-US" w:eastAsia="zh-CN"/>
        </w:rPr>
        <w:t>5．放弃中标的处理</w:t>
      </w:r>
      <w:bookmarkEnd w:id="143"/>
      <w:bookmarkEnd w:id="144"/>
      <w:bookmarkEnd w:id="145"/>
    </w:p>
    <w:p w14:paraId="67981618">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b/>
          <w:bCs/>
          <w:snapToGrid w:val="0"/>
          <w:color w:val="auto"/>
          <w:kern w:val="0"/>
          <w:sz w:val="24"/>
          <w:highlight w:val="none"/>
        </w:rPr>
        <w:t>.1</w:t>
      </w:r>
      <w:r>
        <w:rPr>
          <w:rFonts w:hint="eastAsia" w:ascii="宋体" w:hAnsi="宋体" w:eastAsia="宋体" w:cs="宋体"/>
          <w:snapToGrid w:val="0"/>
          <w:color w:val="auto"/>
          <w:kern w:val="0"/>
          <w:sz w:val="24"/>
          <w:highlight w:val="none"/>
        </w:rPr>
        <w:t xml:space="preserve"> 中标人</w:t>
      </w:r>
      <w:r>
        <w:rPr>
          <w:rFonts w:hint="eastAsia" w:ascii="宋体" w:hAnsi="宋体" w:eastAsia="宋体" w:cs="宋体"/>
          <w:snapToGrid w:val="0"/>
          <w:color w:val="auto"/>
          <w:sz w:val="24"/>
          <w:highlight w:val="none"/>
        </w:rPr>
        <w:t>无正当理由放弃中标的，</w:t>
      </w:r>
      <w:r>
        <w:rPr>
          <w:rFonts w:hint="eastAsia" w:ascii="宋体" w:hAnsi="宋体" w:eastAsia="宋体" w:cs="宋体"/>
          <w:snapToGrid w:val="0"/>
          <w:color w:val="auto"/>
          <w:kern w:val="0"/>
          <w:sz w:val="24"/>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sz w:val="24"/>
          <w:highlight w:val="none"/>
        </w:rPr>
        <w:t>因此种情况造成招标人重新招标的</w:t>
      </w:r>
      <w:r>
        <w:rPr>
          <w:rFonts w:hint="eastAsia" w:ascii="宋体" w:hAnsi="宋体" w:eastAsia="宋体" w:cs="宋体"/>
          <w:snapToGrid w:val="0"/>
          <w:color w:val="auto"/>
          <w:kern w:val="0"/>
          <w:sz w:val="24"/>
          <w:highlight w:val="none"/>
        </w:rPr>
        <w:t>，招标人可不接受该弃标人再次投标。同时，招标人应将该弃标人的失信行为向行政监督部门报告。</w:t>
      </w:r>
    </w:p>
    <w:p w14:paraId="5178458B">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b/>
          <w:bCs/>
          <w:snapToGrid w:val="0"/>
          <w:color w:val="auto"/>
          <w:kern w:val="0"/>
          <w:sz w:val="24"/>
          <w:highlight w:val="none"/>
        </w:rPr>
        <w:t>.2</w:t>
      </w:r>
      <w:r>
        <w:rPr>
          <w:rFonts w:hint="eastAsia" w:ascii="宋体" w:hAnsi="宋体" w:eastAsia="宋体" w:cs="宋体"/>
          <w:snapToGrid w:val="0"/>
          <w:color w:val="auto"/>
          <w:kern w:val="0"/>
          <w:sz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0CB76148">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46" w:name="_Toc32370"/>
      <w:bookmarkStart w:id="147" w:name="_Toc19753"/>
      <w:bookmarkStart w:id="148" w:name="_Toc15277"/>
      <w:r>
        <w:rPr>
          <w:rFonts w:hint="eastAsia" w:ascii="宋体" w:hAnsi="宋体" w:eastAsia="宋体" w:cs="宋体"/>
          <w:b/>
          <w:color w:val="auto"/>
          <w:kern w:val="2"/>
          <w:sz w:val="28"/>
          <w:szCs w:val="24"/>
          <w:lang w:val="en-US" w:eastAsia="zh-CN"/>
        </w:rPr>
        <w:t>6．专业工程分包</w:t>
      </w:r>
      <w:bookmarkEnd w:id="146"/>
      <w:bookmarkEnd w:id="147"/>
      <w:bookmarkEnd w:id="148"/>
    </w:p>
    <w:p w14:paraId="7B25CE9D">
      <w:pPr>
        <w:wordWrap w:val="0"/>
        <w:adjustRightInd w:val="0"/>
        <w:snapToGrid w:val="0"/>
        <w:spacing w:line="360" w:lineRule="auto"/>
        <w:ind w:firstLine="484" w:firstLineChars="200"/>
        <w:rPr>
          <w:rFonts w:hint="eastAsia" w:ascii="宋体" w:hAnsi="宋体" w:eastAsia="宋体" w:cs="宋体"/>
          <w:color w:val="auto"/>
          <w:sz w:val="24"/>
          <w:highlight w:val="none"/>
        </w:rPr>
      </w:pPr>
      <w:r>
        <w:rPr>
          <w:rFonts w:hint="eastAsia" w:ascii="宋体" w:hAnsi="宋体" w:eastAsia="宋体" w:cs="宋体"/>
          <w:color w:val="auto"/>
          <w:spacing w:val="1"/>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w:t>
      </w:r>
      <w:r>
        <w:rPr>
          <w:rFonts w:hint="eastAsia" w:ascii="宋体" w:hAnsi="宋体" w:eastAsia="宋体" w:cs="宋体"/>
          <w:snapToGrid w:val="0"/>
          <w:color w:val="auto"/>
          <w:kern w:val="0"/>
          <w:sz w:val="24"/>
          <w:highlight w:val="none"/>
        </w:rPr>
        <w:t>的造价仍按总包人与发包人签订的合同的有关条款进行结算。</w:t>
      </w:r>
    </w:p>
    <w:p w14:paraId="17658973">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49" w:name="_Toc15518"/>
      <w:bookmarkStart w:id="150" w:name="_Toc932"/>
      <w:bookmarkStart w:id="151" w:name="_Toc20071"/>
      <w:r>
        <w:rPr>
          <w:rFonts w:hint="eastAsia" w:ascii="宋体" w:hAnsi="宋体" w:eastAsia="宋体" w:cs="宋体"/>
          <w:b/>
          <w:color w:val="auto"/>
          <w:kern w:val="2"/>
          <w:sz w:val="28"/>
          <w:szCs w:val="24"/>
          <w:lang w:val="en-US" w:eastAsia="zh-CN"/>
        </w:rPr>
        <w:t>7．项目管理机构</w:t>
      </w:r>
      <w:bookmarkEnd w:id="149"/>
      <w:bookmarkEnd w:id="150"/>
      <w:bookmarkEnd w:id="151"/>
    </w:p>
    <w:p w14:paraId="528EE3FB">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7</w:t>
      </w:r>
      <w:r>
        <w:rPr>
          <w:rFonts w:hint="eastAsia" w:ascii="宋体" w:hAnsi="宋体" w:eastAsia="宋体" w:cs="宋体"/>
          <w:snapToGrid w:val="0"/>
          <w:color w:val="auto"/>
          <w:kern w:val="0"/>
          <w:sz w:val="24"/>
          <w:highlight w:val="none"/>
        </w:rPr>
        <w:t>.1 承包人派驻的项目管理班子成员必须为其投标文件确定的人员，否则发包人有权终止合同。</w:t>
      </w:r>
    </w:p>
    <w:p w14:paraId="498B9854">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7</w:t>
      </w:r>
      <w:r>
        <w:rPr>
          <w:rFonts w:hint="eastAsia" w:ascii="宋体" w:hAnsi="宋体" w:eastAsia="宋体" w:cs="宋体"/>
          <w:snapToGrid w:val="0"/>
          <w:color w:val="auto"/>
          <w:kern w:val="0"/>
          <w:sz w:val="24"/>
          <w:highlight w:val="none"/>
        </w:rPr>
        <w:t>.2 项目管理班子成员不得擅自变更。其中，投标文件确定的设计负责人</w:t>
      </w:r>
      <w:r>
        <w:rPr>
          <w:rFonts w:hint="eastAsia" w:ascii="宋体" w:hAnsi="宋体" w:eastAsia="宋体" w:cs="宋体"/>
          <w:snapToGrid w:val="0"/>
          <w:color w:val="auto"/>
          <w:kern w:val="0"/>
          <w:sz w:val="24"/>
          <w:szCs w:val="24"/>
          <w:highlight w:val="none"/>
        </w:rPr>
        <w:t>若有《广东省住房和城乡建设厅关于建设工程项目招标中标后监督检查的办法》（粤建市〔2009〕8号，以下简称“《办法》”）第九条所述除外情形</w:t>
      </w:r>
      <w:r>
        <w:rPr>
          <w:rFonts w:hint="eastAsia" w:ascii="宋体" w:hAnsi="宋体" w:eastAsia="宋体" w:cs="宋体"/>
          <w:snapToGrid w:val="0"/>
          <w:color w:val="auto"/>
          <w:kern w:val="0"/>
          <w:sz w:val="24"/>
          <w:highlight w:val="none"/>
        </w:rPr>
        <w:t>之一外，不得更换：</w:t>
      </w:r>
    </w:p>
    <w:p w14:paraId="182504B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（一）因重病或重伤（持有县、区以上医院证明）两个月以上不能履行职责的；</w:t>
      </w:r>
    </w:p>
    <w:p w14:paraId="76C67A9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（二）调离原工作单位的；</w:t>
      </w:r>
    </w:p>
    <w:p w14:paraId="2E31B04D">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（三）无能力履行合同的责任和义务，造成严重后果，建设单位要求更换的；</w:t>
      </w:r>
    </w:p>
    <w:p w14:paraId="796E33E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（四）因违法被责令停止执业的；</w:t>
      </w:r>
    </w:p>
    <w:p w14:paraId="3DE8C75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（五）因犯罪被羁押或判刑的；</w:t>
      </w:r>
    </w:p>
    <w:p w14:paraId="5297BF1A">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（六）死亡。</w:t>
      </w:r>
    </w:p>
    <w:p w14:paraId="7248C86E">
      <w:pPr>
        <w:wordWrap w:val="0"/>
        <w:adjustRightInd w:val="0"/>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4763ED67">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52" w:name="_Toc6708"/>
      <w:bookmarkStart w:id="153" w:name="_Toc16367"/>
      <w:bookmarkStart w:id="154" w:name="_Toc29582"/>
      <w:r>
        <w:rPr>
          <w:rFonts w:hint="eastAsia" w:ascii="宋体" w:hAnsi="宋体" w:eastAsia="宋体" w:cs="宋体"/>
          <w:b/>
          <w:color w:val="auto"/>
          <w:kern w:val="2"/>
          <w:sz w:val="28"/>
          <w:szCs w:val="24"/>
          <w:lang w:val="en-US" w:eastAsia="zh-CN"/>
        </w:rPr>
        <w:t>8．监督实施</w:t>
      </w:r>
      <w:bookmarkEnd w:id="152"/>
      <w:bookmarkEnd w:id="153"/>
      <w:bookmarkEnd w:id="154"/>
    </w:p>
    <w:p w14:paraId="2458933E">
      <w:pPr>
        <w:wordWrap w:val="0"/>
        <w:adjustRightInd w:val="0"/>
        <w:snapToGrid w:val="0"/>
        <w:spacing w:line="360" w:lineRule="auto"/>
        <w:ind w:firstLine="56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承包人须服从发包人对工程质量、进度、成本的全方位的监督，项目资料应及时报送招标人审查备案。</w:t>
      </w:r>
    </w:p>
    <w:p w14:paraId="283AFBB0">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55" w:name="_Toc30291"/>
      <w:bookmarkStart w:id="156" w:name="_Toc30751"/>
      <w:bookmarkStart w:id="157" w:name="_Toc24289"/>
      <w:r>
        <w:rPr>
          <w:rFonts w:hint="eastAsia" w:ascii="宋体" w:hAnsi="宋体" w:eastAsia="宋体" w:cs="宋体"/>
          <w:b/>
          <w:color w:val="auto"/>
          <w:kern w:val="2"/>
          <w:sz w:val="28"/>
          <w:szCs w:val="24"/>
          <w:lang w:val="en-US" w:eastAsia="zh-CN"/>
        </w:rPr>
        <w:t>9．其他事项</w:t>
      </w:r>
      <w:bookmarkEnd w:id="155"/>
      <w:bookmarkEnd w:id="156"/>
      <w:bookmarkEnd w:id="157"/>
    </w:p>
    <w:p w14:paraId="55F32866">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158" w:name="_Hlt69698713"/>
      <w:bookmarkStart w:id="159" w:name="_Hlt69698765"/>
      <w:bookmarkStart w:id="160" w:name="_Hlt69698776"/>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.1 中标人须在收到中标通知书之日</w:t>
      </w:r>
      <w:r>
        <w:rPr>
          <w:rFonts w:hint="eastAsia" w:ascii="宋体" w:hAnsi="宋体" w:eastAsia="宋体" w:cs="宋体"/>
          <w:snapToGrid w:val="0"/>
          <w:color w:val="auto"/>
          <w:kern w:val="0"/>
          <w:sz w:val="24"/>
          <w:highlight w:val="none"/>
          <w:lang w:val="en-US" w:eastAsia="zh-CN"/>
        </w:rPr>
        <w:t>十</w:t>
      </w:r>
      <w:r>
        <w:rPr>
          <w:rFonts w:hint="eastAsia" w:ascii="宋体" w:hAnsi="宋体" w:eastAsia="宋体" w:cs="宋体"/>
          <w:snapToGrid w:val="0"/>
          <w:color w:val="auto"/>
          <w:kern w:val="0"/>
          <w:sz w:val="24"/>
          <w:highlight w:val="none"/>
        </w:rPr>
        <w:t>天内向招标人提交各阶段详细的工期计划承诺书。</w:t>
      </w:r>
    </w:p>
    <w:p w14:paraId="5A275185">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 xml:space="preserve">.2 签订合同后，中标人的法人代表或其授权委托人、项目设计负责人须参加招标人组织的廉政谈话。 </w:t>
      </w:r>
    </w:p>
    <w:p w14:paraId="43C3E1D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.3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7EA0D72D">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 xml:space="preserve">.4 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  </w:t>
      </w:r>
    </w:p>
    <w:p w14:paraId="6DF50C34">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 xml:space="preserve"> 若勘察作业受用地征收影响，勘察设计人需积极选取周边勘探点参照，待征收问题解决后再入场详勘，相应部分的施工图预算以暂定工程量计算。</w:t>
      </w:r>
    </w:p>
    <w:p w14:paraId="3A82E878">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 xml:space="preserve"> 勘察人需妥善保存各勘探孔的完整岩土芯样及影像资料，以备届时施工阶段地质情况实际核对。施工过程中，若发现现场地质情况与同位置勘察点的勘察成果不符时，视为勘察人违约并承担相关责任。</w:t>
      </w:r>
    </w:p>
    <w:p w14:paraId="3EC31C85">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9.7</w:t>
      </w:r>
      <w:r>
        <w:rPr>
          <w:rFonts w:hint="eastAsia" w:ascii="宋体" w:hAnsi="宋体" w:eastAsia="宋体" w:cs="宋体"/>
          <w:snapToGrid w:val="0"/>
          <w:color w:val="auto"/>
          <w:kern w:val="0"/>
          <w:sz w:val="24"/>
          <w:highlight w:val="none"/>
        </w:rPr>
        <w:t xml:space="preserve">若中标人不具备专业设计资质的，由中标人另行委托有相应资质的单位进行设计并通过施工图审查，所产生的费用由中标人承担，招标人不再另行支付相关费用。 </w:t>
      </w:r>
    </w:p>
    <w:p w14:paraId="1558D49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8</w:t>
      </w:r>
      <w:r>
        <w:rPr>
          <w:rFonts w:hint="eastAsia" w:ascii="宋体" w:hAnsi="宋体" w:eastAsia="宋体" w:cs="宋体"/>
          <w:snapToGrid w:val="0"/>
          <w:color w:val="auto"/>
          <w:kern w:val="0"/>
          <w:sz w:val="24"/>
          <w:highlight w:val="none"/>
        </w:rPr>
        <w:t xml:space="preserve"> 中标人应按招标人要求及有关方面的尺寸和材质要求制作鸟瞰图及效果图。否则，招标人另行委托相关单位完成该项工作，费用由中标人承担。</w:t>
      </w:r>
    </w:p>
    <w:p w14:paraId="48B4134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工程变更的程序和管理按韶府办发函〔2021〕32号执行，凡不符合韶府办发函〔2021〕32号要求的变更均为无效变更。</w:t>
      </w:r>
    </w:p>
    <w:p w14:paraId="1066701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w:t>
      </w:r>
      <w:r>
        <w:rPr>
          <w:rFonts w:hint="eastAsia" w:ascii="宋体" w:hAnsi="宋体" w:eastAsia="宋体" w:cs="宋体"/>
          <w:snapToGrid w:val="0"/>
          <w:color w:val="auto"/>
          <w:kern w:val="0"/>
          <w:sz w:val="24"/>
          <w:szCs w:val="24"/>
          <w:highlight w:val="none"/>
        </w:rPr>
        <w:t>勘察设计人义务及违约责任</w:t>
      </w:r>
    </w:p>
    <w:p w14:paraId="547F5AA9">
      <w:pPr>
        <w:pStyle w:val="80"/>
        <w:spacing w:line="360" w:lineRule="auto"/>
        <w:ind w:firstLine="480" w:firstLineChars="200"/>
        <w:rPr>
          <w:rFonts w:hint="eastAsia" w:ascii="宋体" w:hAnsi="宋体" w:eastAsia="宋体" w:cs="宋体"/>
          <w:color w:val="auto"/>
          <w:szCs w:val="24"/>
          <w:highlight w:val="none"/>
        </w:rPr>
      </w:pPr>
      <w:bookmarkStart w:id="161" w:name="_Toc521"/>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.1</w:t>
      </w:r>
      <w:r>
        <w:rPr>
          <w:rFonts w:hint="eastAsia" w:ascii="宋体" w:hAnsi="宋体" w:eastAsia="宋体" w:cs="宋体"/>
          <w:b/>
          <w:bCs/>
          <w:snapToGrid w:val="0"/>
          <w:color w:val="auto"/>
          <w:kern w:val="0"/>
          <w:szCs w:val="24"/>
          <w:highlight w:val="none"/>
        </w:rPr>
        <w:t>勘察设计人义务</w:t>
      </w:r>
    </w:p>
    <w:p w14:paraId="393D6B8A">
      <w:pPr>
        <w:pStyle w:val="8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9.10.1.1</w:t>
      </w:r>
      <w:r>
        <w:rPr>
          <w:rFonts w:hint="eastAsia" w:ascii="宋体" w:hAnsi="宋体" w:eastAsia="宋体" w:cs="宋体"/>
          <w:color w:val="auto"/>
          <w:szCs w:val="24"/>
          <w:highlight w:val="none"/>
        </w:rPr>
        <w:t>合同生效后，勘察设计人要求终止或解除合同视为勘察设计人违约，扣除履约保证金。</w:t>
      </w:r>
      <w:bookmarkEnd w:id="161"/>
    </w:p>
    <w:p w14:paraId="1EF3D085">
      <w:pPr>
        <w:pStyle w:val="8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2勘察设计人负责按照合同规定承包范围、内容和方式，在规定时间内提交满足规定质量要求的设计成果，并完成约定的服务内容。勘察设计人交付设计文件后，按规定参加有关的设计审查，并根据审查结论负责不超出原定范围的内容做必要调整补充。</w:t>
      </w:r>
      <w:r>
        <w:rPr>
          <w:rFonts w:hint="eastAsia" w:ascii="宋体" w:hAnsi="宋体" w:eastAsia="宋体" w:cs="宋体"/>
          <w:snapToGrid w:val="0"/>
          <w:color w:val="auto"/>
          <w:kern w:val="0"/>
          <w:sz w:val="24"/>
          <w:szCs w:val="24"/>
          <w:highlight w:val="none"/>
        </w:rPr>
        <w:t>勘察设计人</w:t>
      </w:r>
      <w:r>
        <w:rPr>
          <w:rFonts w:hint="eastAsia" w:ascii="宋体" w:hAnsi="宋体" w:eastAsia="宋体" w:cs="宋体"/>
          <w:color w:val="auto"/>
          <w:szCs w:val="24"/>
          <w:highlight w:val="none"/>
        </w:rPr>
        <w:t>按合同规定时限交付设计文件，负责向发包人及施工单位进行设计交底、处理有关设计问题和参加竣工验收。施工过程中负责有关工程变更的变更设计。</w:t>
      </w:r>
    </w:p>
    <w:p w14:paraId="6C58C240">
      <w:pPr>
        <w:pStyle w:val="8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.1.3</w:t>
      </w:r>
      <w:r>
        <w:rPr>
          <w:rFonts w:hint="eastAsia" w:ascii="宋体" w:hAnsi="宋体" w:eastAsia="宋体" w:cs="宋体"/>
          <w:snapToGrid w:val="0"/>
          <w:color w:val="auto"/>
          <w:kern w:val="0"/>
          <w:sz w:val="24"/>
          <w:szCs w:val="24"/>
          <w:highlight w:val="none"/>
        </w:rPr>
        <w:t>勘察设计人</w:t>
      </w:r>
      <w:r>
        <w:rPr>
          <w:rFonts w:hint="eastAsia" w:ascii="宋体" w:hAnsi="宋体" w:eastAsia="宋体" w:cs="宋体"/>
          <w:color w:val="auto"/>
          <w:szCs w:val="24"/>
          <w:highlight w:val="none"/>
        </w:rPr>
        <w:t>应对发包人提供的文件、资料进行认真研究，对本项目的特点和不确定因素进行认真考虑，并提出合理建议和评价,对影响设计稳定的重大问题要进行多方案比较选择。</w:t>
      </w:r>
    </w:p>
    <w:p w14:paraId="6402F280">
      <w:pPr>
        <w:pStyle w:val="8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.1.4设计应尽可能减少施工难度，为施工创造方便合理的施工条件；应尽量减少施工对城市交通、市民生活以及水利、通航的干扰，并尽可能减少对施工期的影响。</w:t>
      </w:r>
    </w:p>
    <w:p w14:paraId="4B2F86F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.1.5未经发包人书面同意，勘察设计人不得对已批准的设计和勘探点布置方案作重大修改、增减或删除。</w:t>
      </w:r>
    </w:p>
    <w:p w14:paraId="344CB92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.1.6勘察设计人提交的全部设计文件应考虑地质因素、正常施工中可能出现的各种因素，对设计文件出现的遗漏或错误负责修改或补充。</w:t>
      </w:r>
    </w:p>
    <w:p w14:paraId="385CE67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.1.7勘察设计人承诺在交付项目的部分或全部设计文件后，如有更好的新工艺、新技术、新材料、新设备等适用于本项目，应及时向发包人推荐并提供科学的评估和来源证明。</w:t>
      </w:r>
    </w:p>
    <w:p w14:paraId="538EA4E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.1.8勘察设计人驻韶办公的项目负责人（即投标文件所拟派的项目负责人）必须负责本项目</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全过程（包括完善初步设计评审、初步设计修编、施工图设计审查、施工图设计修编、图纸会审和技术交底）。</w:t>
      </w:r>
    </w:p>
    <w:p w14:paraId="4CEAE14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.1.9勘察设计人应委派1名参与并熟悉本项目</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、有现场处理经验的设计代表</w:t>
      </w:r>
      <w:r>
        <w:rPr>
          <w:rFonts w:hint="eastAsia" w:ascii="宋体" w:hAnsi="宋体" w:eastAsia="宋体" w:cs="宋体"/>
          <w:snapToGrid w:val="0"/>
          <w:color w:val="auto"/>
          <w:kern w:val="0"/>
          <w:sz w:val="24"/>
          <w:szCs w:val="24"/>
          <w:highlight w:val="none"/>
          <w:lang w:val="en-US" w:eastAsia="zh-CN"/>
        </w:rPr>
        <w:t>配合</w:t>
      </w:r>
      <w:r>
        <w:rPr>
          <w:rFonts w:hint="eastAsia" w:ascii="宋体" w:hAnsi="宋体" w:eastAsia="宋体" w:cs="宋体"/>
          <w:snapToGrid w:val="0"/>
          <w:color w:val="auto"/>
          <w:kern w:val="0"/>
          <w:sz w:val="24"/>
          <w:szCs w:val="24"/>
          <w:highlight w:val="none"/>
        </w:rPr>
        <w:t>项目现场。勘察设计人应为派驻现场的设计工作人员提供工作、生活及交通等方面的便利条件及准备必要的劳动保护装备。在正常施工阶段，每月应保证最少20天在现场。</w:t>
      </w:r>
    </w:p>
    <w:p w14:paraId="035E763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w:t>
      </w:r>
      <w:r>
        <w:rPr>
          <w:rFonts w:hint="eastAsia" w:ascii="宋体" w:hAnsi="宋体" w:eastAsia="宋体" w:cs="宋体"/>
          <w:snapToGrid w:val="0"/>
          <w:color w:val="auto"/>
          <w:kern w:val="0"/>
          <w:sz w:val="24"/>
          <w:szCs w:val="24"/>
          <w:highlight w:val="none"/>
        </w:rPr>
        <w:t>.1.10勘察设计人编制的初步设计概算需按设计要求和概算定额等相关文件的规定编制,须保证其准确并符合合同约定的要求,</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人编制的初步设计概算应确保完整和相对准确。</w:t>
      </w:r>
    </w:p>
    <w:p w14:paraId="6C396AA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.1.11涉及设计方案专家论证会（含初步设计评审）的相关费用由勘察设计人承担。</w:t>
      </w:r>
    </w:p>
    <w:p w14:paraId="408553B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.1.12勘察设计人要按照批准的投资估算控制初步设计，按照批准的初步设计总概算控制施工图设计，即限额设计。</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人要无条件对设计文件出现的遗漏或错误负责修改或补充，直到满足要求。</w:t>
      </w:r>
    </w:p>
    <w:p w14:paraId="782203A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9.10.1.13</w:t>
      </w:r>
      <w:r>
        <w:rPr>
          <w:rFonts w:hint="eastAsia" w:ascii="宋体" w:hAnsi="宋体" w:eastAsia="宋体" w:cs="宋体"/>
          <w:snapToGrid w:val="0"/>
          <w:color w:val="auto"/>
          <w:kern w:val="0"/>
          <w:sz w:val="24"/>
          <w:szCs w:val="24"/>
          <w:highlight w:val="none"/>
        </w:rPr>
        <w:t>发包人及咨询单位、上级主管部门对勘察成果（包括研究试验成果）设计文件的审查并不免除勘察设计人的责任。</w:t>
      </w:r>
    </w:p>
    <w:p w14:paraId="58FCA44B">
      <w:pPr>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10</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bCs/>
          <w:snapToGrid w:val="0"/>
          <w:color w:val="auto"/>
          <w:kern w:val="0"/>
          <w:sz w:val="24"/>
          <w:szCs w:val="24"/>
          <w:highlight w:val="none"/>
          <w:lang w:eastAsia="zh-CN"/>
        </w:rPr>
        <w:t>设计</w:t>
      </w:r>
      <w:r>
        <w:rPr>
          <w:rFonts w:hint="eastAsia" w:ascii="宋体" w:hAnsi="宋体" w:eastAsia="宋体" w:cs="宋体"/>
          <w:b/>
          <w:bCs/>
          <w:snapToGrid w:val="0"/>
          <w:color w:val="auto"/>
          <w:kern w:val="0"/>
          <w:sz w:val="24"/>
          <w:szCs w:val="24"/>
          <w:highlight w:val="none"/>
        </w:rPr>
        <w:t>人违约的处理</w:t>
      </w:r>
    </w:p>
    <w:p w14:paraId="15E1EBC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.2.1．设计人发生合同约定的违约情况时，无论发包人是否解除合同，发包人均有权按“</w:t>
      </w:r>
      <w:r>
        <w:rPr>
          <w:rFonts w:hint="eastAsia" w:ascii="宋体" w:hAnsi="宋体" w:eastAsia="宋体" w:cs="宋体"/>
          <w:b/>
          <w:bCs/>
          <w:snapToGrid w:val="0"/>
          <w:color w:val="auto"/>
          <w:kern w:val="0"/>
          <w:sz w:val="24"/>
          <w:szCs w:val="24"/>
          <w:highlight w:val="none"/>
        </w:rPr>
        <w:t>附件一 设计人违约行为及违约金一览表</w:t>
      </w:r>
      <w:r>
        <w:rPr>
          <w:rFonts w:hint="eastAsia" w:ascii="宋体" w:hAnsi="宋体" w:eastAsia="宋体" w:cs="宋体"/>
          <w:snapToGrid w:val="0"/>
          <w:color w:val="auto"/>
          <w:kern w:val="0"/>
          <w:sz w:val="24"/>
          <w:szCs w:val="24"/>
          <w:highlight w:val="none"/>
        </w:rPr>
        <w:t>”的规定向设计人计以违约金，并由发包人将其违约行为记录在合同履约评价记录中，作为合同履约综合评价的依据。同时，发包人将设计人的违约行为上报建设行政主管部门。</w:t>
      </w:r>
    </w:p>
    <w:p w14:paraId="049660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.2.2．除非合同另有规定，发包人向勘察设计人开出的任何</w:t>
      </w:r>
      <w:r>
        <w:rPr>
          <w:rFonts w:hint="eastAsia" w:ascii="宋体" w:hAnsi="宋体" w:eastAsia="宋体" w:cs="宋体"/>
          <w:snapToGrid w:val="0"/>
          <w:color w:val="auto"/>
          <w:kern w:val="0"/>
          <w:sz w:val="24"/>
          <w:szCs w:val="24"/>
          <w:highlight w:val="none"/>
          <w:lang w:val="en-US" w:eastAsia="zh-CN"/>
        </w:rPr>
        <w:t>违约</w:t>
      </w:r>
      <w:r>
        <w:rPr>
          <w:rFonts w:hint="eastAsia" w:ascii="宋体" w:hAnsi="宋体" w:eastAsia="宋体" w:cs="宋体"/>
          <w:snapToGrid w:val="0"/>
          <w:color w:val="auto"/>
          <w:kern w:val="0"/>
          <w:sz w:val="24"/>
          <w:szCs w:val="24"/>
          <w:highlight w:val="none"/>
          <w:lang w:eastAsia="zh-CN"/>
        </w:rPr>
        <w:t>通知书</w:t>
      </w:r>
      <w:r>
        <w:rPr>
          <w:rFonts w:hint="eastAsia" w:ascii="宋体" w:hAnsi="宋体" w:eastAsia="宋体" w:cs="宋体"/>
          <w:snapToGrid w:val="0"/>
          <w:color w:val="auto"/>
          <w:kern w:val="0"/>
          <w:sz w:val="24"/>
          <w:szCs w:val="24"/>
          <w:highlight w:val="none"/>
        </w:rPr>
        <w:t>将导致中标人最终的应得结算价款相应地减少。勘察设计人必须完全接受上述条款。</w:t>
      </w:r>
    </w:p>
    <w:p w14:paraId="1DF27E32">
      <w:pPr>
        <w:pStyle w:val="8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．发包人按合同规定向勘察设计人开出的任何违约金的扣除时间，可以在发包人认为合适的任何一个期中支付月份中扣除。发包人扣除违约金时间的延迟或滞后并不代表对勘察设计人当时各种行为的认可或默认。</w:t>
      </w:r>
    </w:p>
    <w:p w14:paraId="468F730F">
      <w:pPr>
        <w:pStyle w:val="8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9.10.2.4</w:t>
      </w:r>
      <w:r>
        <w:rPr>
          <w:rFonts w:hint="eastAsia" w:ascii="宋体" w:hAnsi="宋体" w:eastAsia="宋体" w:cs="宋体"/>
          <w:snapToGrid w:val="0"/>
          <w:color w:val="auto"/>
          <w:kern w:val="0"/>
          <w:sz w:val="24"/>
          <w:szCs w:val="24"/>
          <w:highlight w:val="none"/>
        </w:rPr>
        <w:t>勘察设计人的违约金由发包人掌握使用。</w:t>
      </w:r>
    </w:p>
    <w:p w14:paraId="75B26852">
      <w:pPr>
        <w:rPr>
          <w:rFonts w:hint="eastAsia" w:ascii="宋体" w:hAnsi="宋体" w:eastAsia="宋体" w:cs="宋体"/>
        </w:rPr>
      </w:pPr>
    </w:p>
    <w:p w14:paraId="0D790297">
      <w:pPr>
        <w:wordWrap w:val="0"/>
        <w:adjustRightInd w:val="0"/>
        <w:snapToGrid w:val="0"/>
        <w:spacing w:line="360" w:lineRule="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bCs/>
          <w:snapToGrid w:val="0"/>
          <w:color w:val="auto"/>
          <w:kern w:val="0"/>
          <w:sz w:val="24"/>
          <w:highlight w:val="none"/>
          <w:lang w:val="en-US" w:eastAsia="zh-CN"/>
        </w:rPr>
        <w:t>附件1</w:t>
      </w:r>
    </w:p>
    <w:p w14:paraId="3F7BD7EB">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勘察设计人违约行为及违约金一览表</w:t>
      </w:r>
    </w:p>
    <w:tbl>
      <w:tblPr>
        <w:tblStyle w:val="33"/>
        <w:tblW w:w="9995" w:type="dxa"/>
        <w:tblInd w:w="-154" w:type="dxa"/>
        <w:tblLayout w:type="fixed"/>
        <w:tblCellMar>
          <w:top w:w="0" w:type="dxa"/>
          <w:left w:w="108" w:type="dxa"/>
          <w:bottom w:w="0" w:type="dxa"/>
          <w:right w:w="108" w:type="dxa"/>
        </w:tblCellMar>
      </w:tblPr>
      <w:tblGrid>
        <w:gridCol w:w="735"/>
        <w:gridCol w:w="4770"/>
        <w:gridCol w:w="2833"/>
        <w:gridCol w:w="1657"/>
      </w:tblGrid>
      <w:tr w14:paraId="31F35ED6">
        <w:tblPrEx>
          <w:tblCellMar>
            <w:top w:w="0" w:type="dxa"/>
            <w:left w:w="108" w:type="dxa"/>
            <w:bottom w:w="0" w:type="dxa"/>
            <w:right w:w="108" w:type="dxa"/>
          </w:tblCellMar>
        </w:tblPrEx>
        <w:trPr>
          <w:trHeight w:val="48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8939409">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4770" w:type="dxa"/>
            <w:tcBorders>
              <w:top w:val="single" w:color="auto" w:sz="4" w:space="0"/>
              <w:left w:val="nil"/>
              <w:bottom w:val="single" w:color="auto" w:sz="4" w:space="0"/>
              <w:right w:val="single" w:color="auto" w:sz="4" w:space="0"/>
            </w:tcBorders>
            <w:noWrap w:val="0"/>
            <w:vAlign w:val="center"/>
          </w:tcPr>
          <w:p w14:paraId="341F9DDD">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违约行为</w:t>
            </w:r>
          </w:p>
        </w:tc>
        <w:tc>
          <w:tcPr>
            <w:tcW w:w="2833" w:type="dxa"/>
            <w:tcBorders>
              <w:top w:val="single" w:color="auto" w:sz="4" w:space="0"/>
              <w:left w:val="nil"/>
              <w:bottom w:val="single" w:color="auto" w:sz="4" w:space="0"/>
              <w:right w:val="single" w:color="auto" w:sz="4" w:space="0"/>
            </w:tcBorders>
            <w:noWrap w:val="0"/>
            <w:vAlign w:val="center"/>
          </w:tcPr>
          <w:p w14:paraId="2180BD10">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违约金标准</w:t>
            </w:r>
          </w:p>
        </w:tc>
        <w:tc>
          <w:tcPr>
            <w:tcW w:w="1657" w:type="dxa"/>
            <w:tcBorders>
              <w:top w:val="single" w:color="auto" w:sz="4" w:space="0"/>
              <w:left w:val="nil"/>
              <w:bottom w:val="single" w:color="auto" w:sz="4" w:space="0"/>
              <w:right w:val="single" w:color="auto" w:sz="4" w:space="0"/>
            </w:tcBorders>
            <w:noWrap w:val="0"/>
            <w:vAlign w:val="center"/>
          </w:tcPr>
          <w:p w14:paraId="406657B8">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w:t>
            </w:r>
          </w:p>
        </w:tc>
      </w:tr>
      <w:tr w14:paraId="71FDCFC3">
        <w:tblPrEx>
          <w:tblCellMar>
            <w:top w:w="0" w:type="dxa"/>
            <w:left w:w="108" w:type="dxa"/>
            <w:bottom w:w="0" w:type="dxa"/>
            <w:right w:w="108" w:type="dxa"/>
          </w:tblCellMar>
        </w:tblPrEx>
        <w:trPr>
          <w:trHeight w:val="58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1C33325">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4770" w:type="dxa"/>
            <w:tcBorders>
              <w:top w:val="single" w:color="auto" w:sz="4" w:space="0"/>
              <w:left w:val="nil"/>
              <w:bottom w:val="single" w:color="auto" w:sz="4" w:space="0"/>
              <w:right w:val="single" w:color="auto" w:sz="4" w:space="0"/>
            </w:tcBorders>
            <w:noWrap w:val="0"/>
            <w:vAlign w:val="center"/>
          </w:tcPr>
          <w:p w14:paraId="0A1639DE">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勘察设计人应按国家规定和合同约定的技术规范、标准进行设计，按项目规定的内容、时间及份数向发包人一次性交付完整设计文件。因中标人原因，没有按期完成各项勘察、设计任务和造成重复勘察、设计、审图、预算编制等工作延误的。</w:t>
            </w:r>
          </w:p>
        </w:tc>
        <w:tc>
          <w:tcPr>
            <w:tcW w:w="2833" w:type="dxa"/>
            <w:tcBorders>
              <w:top w:val="single" w:color="auto" w:sz="4" w:space="0"/>
              <w:left w:val="nil"/>
              <w:bottom w:val="single" w:color="auto" w:sz="4" w:space="0"/>
              <w:right w:val="single" w:color="auto" w:sz="4" w:space="0"/>
            </w:tcBorders>
            <w:noWrap w:val="0"/>
            <w:vAlign w:val="center"/>
          </w:tcPr>
          <w:p w14:paraId="412619C0">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在逾期第壹天起每天按合同价款的1‰计算违约金。</w:t>
            </w:r>
          </w:p>
        </w:tc>
        <w:tc>
          <w:tcPr>
            <w:tcW w:w="1657" w:type="dxa"/>
            <w:tcBorders>
              <w:top w:val="single" w:color="auto" w:sz="4" w:space="0"/>
              <w:left w:val="nil"/>
              <w:bottom w:val="single" w:color="auto" w:sz="4" w:space="0"/>
              <w:right w:val="single" w:color="auto" w:sz="4" w:space="0"/>
            </w:tcBorders>
            <w:noWrap w:val="0"/>
            <w:vAlign w:val="center"/>
          </w:tcPr>
          <w:p w14:paraId="7C8E9B47">
            <w:pPr>
              <w:spacing w:line="380" w:lineRule="exact"/>
              <w:rPr>
                <w:rFonts w:hint="eastAsia" w:ascii="宋体" w:hAnsi="宋体" w:eastAsia="宋体" w:cs="宋体"/>
                <w:color w:val="auto"/>
                <w:sz w:val="24"/>
                <w:szCs w:val="24"/>
                <w:highlight w:val="none"/>
              </w:rPr>
            </w:pPr>
          </w:p>
        </w:tc>
      </w:tr>
      <w:tr w14:paraId="6A013B6E">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ABFCEE1">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4770" w:type="dxa"/>
            <w:tcBorders>
              <w:top w:val="single" w:color="auto" w:sz="4" w:space="0"/>
              <w:left w:val="nil"/>
              <w:bottom w:val="single" w:color="auto" w:sz="4" w:space="0"/>
              <w:right w:val="single" w:color="auto" w:sz="4" w:space="0"/>
            </w:tcBorders>
            <w:noWrap w:val="0"/>
            <w:vAlign w:val="center"/>
          </w:tcPr>
          <w:p w14:paraId="15B9AF37">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地质勘探过程中，发包人可随时到现场抽检勘探情况，发现有造假现象的。</w:t>
            </w:r>
          </w:p>
        </w:tc>
        <w:tc>
          <w:tcPr>
            <w:tcW w:w="2833" w:type="dxa"/>
            <w:tcBorders>
              <w:top w:val="single" w:color="auto" w:sz="4" w:space="0"/>
              <w:left w:val="nil"/>
              <w:bottom w:val="single" w:color="auto" w:sz="4" w:space="0"/>
              <w:right w:val="single" w:color="auto" w:sz="4" w:space="0"/>
            </w:tcBorders>
            <w:noWrap w:val="0"/>
            <w:vAlign w:val="center"/>
          </w:tcPr>
          <w:p w14:paraId="3199CE24">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扣除勘察、设计合同价款中勘察费的10%。</w:t>
            </w:r>
          </w:p>
        </w:tc>
        <w:tc>
          <w:tcPr>
            <w:tcW w:w="1657" w:type="dxa"/>
            <w:tcBorders>
              <w:top w:val="single" w:color="auto" w:sz="4" w:space="0"/>
              <w:left w:val="nil"/>
              <w:bottom w:val="single" w:color="auto" w:sz="4" w:space="0"/>
              <w:right w:val="single" w:color="auto" w:sz="4" w:space="0"/>
            </w:tcBorders>
            <w:noWrap w:val="0"/>
            <w:vAlign w:val="center"/>
          </w:tcPr>
          <w:p w14:paraId="398D3698">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发现两次以上的则发包人有权解除合同</w:t>
            </w:r>
          </w:p>
        </w:tc>
      </w:tr>
      <w:tr w14:paraId="36DEC241">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D842354">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4770" w:type="dxa"/>
            <w:tcBorders>
              <w:top w:val="single" w:color="auto" w:sz="4" w:space="0"/>
              <w:left w:val="nil"/>
              <w:bottom w:val="single" w:color="auto" w:sz="4" w:space="0"/>
              <w:right w:val="single" w:color="auto" w:sz="4" w:space="0"/>
            </w:tcBorders>
            <w:noWrap w:val="0"/>
            <w:vAlign w:val="center"/>
          </w:tcPr>
          <w:p w14:paraId="36F01EA0">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施工过程中，发现现场地质情况与同位置勘察点的勘察成果不符，或未对重点位置加密勘察时，视为勘察设计人违约。</w:t>
            </w:r>
          </w:p>
        </w:tc>
        <w:tc>
          <w:tcPr>
            <w:tcW w:w="2833" w:type="dxa"/>
            <w:tcBorders>
              <w:top w:val="single" w:color="auto" w:sz="4" w:space="0"/>
              <w:left w:val="nil"/>
              <w:bottom w:val="single" w:color="auto" w:sz="4" w:space="0"/>
              <w:right w:val="single" w:color="auto" w:sz="4" w:space="0"/>
            </w:tcBorders>
            <w:noWrap w:val="0"/>
            <w:vAlign w:val="center"/>
          </w:tcPr>
          <w:p w14:paraId="52B6A1B5">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每发现一处，需扣除勘察、设计合同价款中勘察费的5%，扣完为止。</w:t>
            </w:r>
          </w:p>
        </w:tc>
        <w:tc>
          <w:tcPr>
            <w:tcW w:w="1657" w:type="dxa"/>
            <w:tcBorders>
              <w:top w:val="single" w:color="auto" w:sz="4" w:space="0"/>
              <w:left w:val="nil"/>
              <w:bottom w:val="single" w:color="auto" w:sz="4" w:space="0"/>
              <w:right w:val="single" w:color="auto" w:sz="4" w:space="0"/>
            </w:tcBorders>
            <w:noWrap w:val="0"/>
            <w:vAlign w:val="center"/>
          </w:tcPr>
          <w:p w14:paraId="62FDADBE">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同时免费负责补充相应的地质勘察工作</w:t>
            </w:r>
          </w:p>
        </w:tc>
      </w:tr>
      <w:tr w14:paraId="5DB8C025">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8257B1A">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4770" w:type="dxa"/>
            <w:tcBorders>
              <w:top w:val="single" w:color="auto" w:sz="4" w:space="0"/>
              <w:left w:val="nil"/>
              <w:bottom w:val="single" w:color="auto" w:sz="4" w:space="0"/>
              <w:right w:val="single" w:color="auto" w:sz="4" w:space="0"/>
            </w:tcBorders>
            <w:noWrap w:val="0"/>
            <w:vAlign w:val="center"/>
          </w:tcPr>
          <w:p w14:paraId="5FE4B214">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施工过程中，发现因勘察深度不够导致重大设计变更（单项变更估价10万元以上或超过单个分部分项投资10%）的。</w:t>
            </w:r>
          </w:p>
        </w:tc>
        <w:tc>
          <w:tcPr>
            <w:tcW w:w="2833" w:type="dxa"/>
            <w:tcBorders>
              <w:top w:val="single" w:color="auto" w:sz="4" w:space="0"/>
              <w:left w:val="nil"/>
              <w:bottom w:val="single" w:color="auto" w:sz="4" w:space="0"/>
              <w:right w:val="single" w:color="auto" w:sz="4" w:space="0"/>
            </w:tcBorders>
            <w:noWrap w:val="0"/>
            <w:vAlign w:val="center"/>
          </w:tcPr>
          <w:p w14:paraId="101E2F1A">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每发现一处，需扣除勘察、设计合同价款中勘察费的5%，扣完为止。</w:t>
            </w:r>
          </w:p>
        </w:tc>
        <w:tc>
          <w:tcPr>
            <w:tcW w:w="1657" w:type="dxa"/>
            <w:tcBorders>
              <w:top w:val="single" w:color="auto" w:sz="4" w:space="0"/>
              <w:left w:val="nil"/>
              <w:bottom w:val="single" w:color="auto" w:sz="4" w:space="0"/>
              <w:right w:val="single" w:color="auto" w:sz="4" w:space="0"/>
            </w:tcBorders>
            <w:noWrap w:val="0"/>
            <w:vAlign w:val="center"/>
          </w:tcPr>
          <w:p w14:paraId="19E77E17">
            <w:pPr>
              <w:spacing w:line="380" w:lineRule="exact"/>
              <w:rPr>
                <w:rFonts w:hint="eastAsia" w:ascii="宋体" w:hAnsi="宋体" w:eastAsia="宋体" w:cs="宋体"/>
                <w:color w:val="auto"/>
                <w:sz w:val="24"/>
                <w:szCs w:val="24"/>
                <w:highlight w:val="none"/>
              </w:rPr>
            </w:pPr>
          </w:p>
        </w:tc>
      </w:tr>
      <w:tr w14:paraId="60E3E2BB">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E08B0DD">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4770" w:type="dxa"/>
            <w:tcBorders>
              <w:top w:val="single" w:color="auto" w:sz="4" w:space="0"/>
              <w:left w:val="nil"/>
              <w:bottom w:val="single" w:color="auto" w:sz="4" w:space="0"/>
              <w:right w:val="single" w:color="auto" w:sz="4" w:space="0"/>
            </w:tcBorders>
            <w:noWrap w:val="0"/>
            <w:vAlign w:val="center"/>
          </w:tcPr>
          <w:p w14:paraId="57586EAD">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由于勘察设计人勘察、设计工作错误造成工程设计质量事故。</w:t>
            </w:r>
          </w:p>
        </w:tc>
        <w:tc>
          <w:tcPr>
            <w:tcW w:w="2833" w:type="dxa"/>
            <w:tcBorders>
              <w:top w:val="single" w:color="auto" w:sz="4" w:space="0"/>
              <w:left w:val="nil"/>
              <w:bottom w:val="single" w:color="auto" w:sz="4" w:space="0"/>
              <w:right w:val="single" w:color="auto" w:sz="4" w:space="0"/>
            </w:tcBorders>
            <w:noWrap w:val="0"/>
            <w:vAlign w:val="center"/>
          </w:tcPr>
          <w:p w14:paraId="2EF1AC99">
            <w:pPr>
              <w:spacing w:line="3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根据责任情况，负责赔偿工程损失费</w:t>
            </w:r>
            <w:r>
              <w:rPr>
                <w:rFonts w:hint="eastAsia" w:ascii="宋体" w:hAnsi="宋体" w:eastAsia="宋体" w:cs="宋体"/>
                <w:color w:val="auto"/>
                <w:sz w:val="24"/>
                <w:szCs w:val="24"/>
                <w:highlight w:val="none"/>
                <w:lang w:eastAsia="zh-CN" w:bidi="ar"/>
              </w:rPr>
              <w:t>。</w:t>
            </w:r>
          </w:p>
        </w:tc>
        <w:tc>
          <w:tcPr>
            <w:tcW w:w="1657" w:type="dxa"/>
            <w:tcBorders>
              <w:top w:val="single" w:color="auto" w:sz="4" w:space="0"/>
              <w:left w:val="nil"/>
              <w:bottom w:val="single" w:color="auto" w:sz="4" w:space="0"/>
              <w:right w:val="single" w:color="auto" w:sz="4" w:space="0"/>
            </w:tcBorders>
            <w:noWrap w:val="0"/>
            <w:vAlign w:val="center"/>
          </w:tcPr>
          <w:p w14:paraId="09E94EBE">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负责采取补救措施</w:t>
            </w:r>
          </w:p>
        </w:tc>
      </w:tr>
      <w:tr w14:paraId="36012BDD">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3C9EA77">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4770" w:type="dxa"/>
            <w:tcBorders>
              <w:top w:val="single" w:color="auto" w:sz="4" w:space="0"/>
              <w:left w:val="nil"/>
              <w:bottom w:val="single" w:color="auto" w:sz="4" w:space="0"/>
              <w:right w:val="single" w:color="auto" w:sz="4" w:space="0"/>
            </w:tcBorders>
            <w:noWrap w:val="0"/>
            <w:vAlign w:val="center"/>
          </w:tcPr>
          <w:p w14:paraId="168B1C3E">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由于勘察设计人在设计过程中未深入现场勘察调研，闭门造成导致项目设计成果与现场情况不一致的。</w:t>
            </w:r>
          </w:p>
        </w:tc>
        <w:tc>
          <w:tcPr>
            <w:tcW w:w="2833" w:type="dxa"/>
            <w:tcBorders>
              <w:top w:val="single" w:color="auto" w:sz="4" w:space="0"/>
              <w:left w:val="nil"/>
              <w:bottom w:val="single" w:color="auto" w:sz="4" w:space="0"/>
              <w:right w:val="single" w:color="auto" w:sz="4" w:space="0"/>
            </w:tcBorders>
            <w:noWrap w:val="0"/>
            <w:vAlign w:val="center"/>
          </w:tcPr>
          <w:p w14:paraId="5EC852F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设计单位无条件修改图纸直至符合现场情况，并扣除所有未付的设计费。</w:t>
            </w:r>
          </w:p>
        </w:tc>
        <w:tc>
          <w:tcPr>
            <w:tcW w:w="1657" w:type="dxa"/>
            <w:tcBorders>
              <w:top w:val="single" w:color="auto" w:sz="4" w:space="0"/>
              <w:left w:val="nil"/>
              <w:bottom w:val="single" w:color="auto" w:sz="4" w:space="0"/>
              <w:right w:val="single" w:color="auto" w:sz="4" w:space="0"/>
            </w:tcBorders>
            <w:noWrap w:val="0"/>
            <w:vAlign w:val="center"/>
          </w:tcPr>
          <w:p w14:paraId="0B285B58">
            <w:pPr>
              <w:spacing w:line="380" w:lineRule="exact"/>
              <w:rPr>
                <w:rFonts w:hint="eastAsia" w:ascii="宋体" w:hAnsi="宋体" w:eastAsia="宋体" w:cs="宋体"/>
                <w:color w:val="auto"/>
                <w:sz w:val="24"/>
                <w:szCs w:val="24"/>
                <w:highlight w:val="none"/>
              </w:rPr>
            </w:pPr>
          </w:p>
        </w:tc>
      </w:tr>
      <w:tr w14:paraId="020CB19F">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587C5970">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4770" w:type="dxa"/>
            <w:tcBorders>
              <w:top w:val="single" w:color="auto" w:sz="4" w:space="0"/>
              <w:left w:val="nil"/>
              <w:bottom w:val="single" w:color="auto" w:sz="4" w:space="0"/>
              <w:right w:val="single" w:color="auto" w:sz="4" w:space="0"/>
            </w:tcBorders>
            <w:noWrap w:val="0"/>
            <w:vAlign w:val="center"/>
          </w:tcPr>
          <w:p w14:paraId="57864FD8">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由于设计图纸不清晰或者表述含糊导致单项工程造价偏差超过±3%。</w:t>
            </w:r>
          </w:p>
        </w:tc>
        <w:tc>
          <w:tcPr>
            <w:tcW w:w="2833" w:type="dxa"/>
            <w:tcBorders>
              <w:top w:val="single" w:color="auto" w:sz="4" w:space="0"/>
              <w:left w:val="nil"/>
              <w:bottom w:val="single" w:color="auto" w:sz="4" w:space="0"/>
              <w:right w:val="single" w:color="auto" w:sz="4" w:space="0"/>
            </w:tcBorders>
            <w:noWrap w:val="0"/>
            <w:vAlign w:val="center"/>
          </w:tcPr>
          <w:p w14:paraId="350C2B6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扣除设计费的10%。</w:t>
            </w:r>
          </w:p>
        </w:tc>
        <w:tc>
          <w:tcPr>
            <w:tcW w:w="1657" w:type="dxa"/>
            <w:tcBorders>
              <w:top w:val="single" w:color="auto" w:sz="4" w:space="0"/>
              <w:left w:val="nil"/>
              <w:bottom w:val="single" w:color="auto" w:sz="4" w:space="0"/>
              <w:right w:val="single" w:color="auto" w:sz="4" w:space="0"/>
            </w:tcBorders>
            <w:noWrap w:val="0"/>
            <w:vAlign w:val="center"/>
          </w:tcPr>
          <w:p w14:paraId="072F1DD3">
            <w:pPr>
              <w:spacing w:line="380" w:lineRule="exact"/>
              <w:rPr>
                <w:rFonts w:hint="eastAsia" w:ascii="宋体" w:hAnsi="宋体" w:eastAsia="宋体" w:cs="宋体"/>
                <w:color w:val="auto"/>
                <w:sz w:val="24"/>
                <w:szCs w:val="24"/>
                <w:highlight w:val="none"/>
              </w:rPr>
            </w:pPr>
          </w:p>
        </w:tc>
      </w:tr>
      <w:tr w14:paraId="01AE5CD8">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F7CB50F">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4770" w:type="dxa"/>
            <w:tcBorders>
              <w:top w:val="single" w:color="auto" w:sz="4" w:space="0"/>
              <w:left w:val="nil"/>
              <w:bottom w:val="single" w:color="auto" w:sz="4" w:space="0"/>
              <w:right w:val="single" w:color="auto" w:sz="4" w:space="0"/>
            </w:tcBorders>
            <w:noWrap w:val="0"/>
            <w:vAlign w:val="center"/>
          </w:tcPr>
          <w:p w14:paraId="2AB810D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施工期间除发包人要求或特殊地质原因外，因设计质量(含设计缺漏项等)和深度不够的原因引起的工程返工或需要设计变更引起工程造价增加的。</w:t>
            </w:r>
          </w:p>
        </w:tc>
        <w:tc>
          <w:tcPr>
            <w:tcW w:w="2833" w:type="dxa"/>
            <w:tcBorders>
              <w:top w:val="single" w:color="auto" w:sz="4" w:space="0"/>
              <w:left w:val="nil"/>
              <w:bottom w:val="single" w:color="auto" w:sz="4" w:space="0"/>
              <w:right w:val="single" w:color="auto" w:sz="4" w:space="0"/>
            </w:tcBorders>
            <w:noWrap w:val="0"/>
            <w:vAlign w:val="center"/>
          </w:tcPr>
          <w:p w14:paraId="1678D58F">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变更导致增加造价的，按增加建安费的5%作为设计违约金</w:t>
            </w:r>
            <w:r>
              <w:rPr>
                <w:rFonts w:hint="eastAsia" w:ascii="宋体" w:hAnsi="宋体" w:eastAsia="宋体" w:cs="宋体"/>
                <w:color w:val="auto"/>
                <w:sz w:val="24"/>
                <w:szCs w:val="24"/>
                <w:highlight w:val="none"/>
                <w:lang w:bidi="ar"/>
              </w:rPr>
              <w:t>，扣完为止。</w:t>
            </w:r>
          </w:p>
        </w:tc>
        <w:tc>
          <w:tcPr>
            <w:tcW w:w="1657" w:type="dxa"/>
            <w:tcBorders>
              <w:top w:val="single" w:color="auto" w:sz="4" w:space="0"/>
              <w:left w:val="nil"/>
              <w:bottom w:val="single" w:color="auto" w:sz="4" w:space="0"/>
              <w:right w:val="single" w:color="auto" w:sz="4" w:space="0"/>
            </w:tcBorders>
            <w:noWrap w:val="0"/>
            <w:vAlign w:val="center"/>
          </w:tcPr>
          <w:p w14:paraId="4A4F10B9">
            <w:pPr>
              <w:spacing w:line="380" w:lineRule="exact"/>
              <w:rPr>
                <w:rFonts w:hint="eastAsia" w:ascii="宋体" w:hAnsi="宋体" w:eastAsia="宋体" w:cs="宋体"/>
                <w:color w:val="auto"/>
                <w:sz w:val="24"/>
                <w:szCs w:val="24"/>
                <w:highlight w:val="none"/>
              </w:rPr>
            </w:pPr>
          </w:p>
        </w:tc>
      </w:tr>
      <w:tr w14:paraId="4201F55F">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6C033660">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p>
        </w:tc>
        <w:tc>
          <w:tcPr>
            <w:tcW w:w="4770" w:type="dxa"/>
            <w:tcBorders>
              <w:top w:val="single" w:color="auto" w:sz="4" w:space="0"/>
              <w:left w:val="nil"/>
              <w:bottom w:val="single" w:color="auto" w:sz="4" w:space="0"/>
              <w:right w:val="single" w:color="auto" w:sz="4" w:space="0"/>
            </w:tcBorders>
            <w:noWrap w:val="0"/>
            <w:vAlign w:val="center"/>
          </w:tcPr>
          <w:p w14:paraId="1D8BA359">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勘察设计人不按合同约定及发包人要求出具结构物设计比选方案。</w:t>
            </w:r>
          </w:p>
        </w:tc>
        <w:tc>
          <w:tcPr>
            <w:tcW w:w="2833" w:type="dxa"/>
            <w:tcBorders>
              <w:top w:val="single" w:color="auto" w:sz="4" w:space="0"/>
              <w:left w:val="nil"/>
              <w:bottom w:val="single" w:color="auto" w:sz="4" w:space="0"/>
              <w:right w:val="single" w:color="auto" w:sz="4" w:space="0"/>
            </w:tcBorders>
            <w:noWrap w:val="0"/>
            <w:vAlign w:val="center"/>
          </w:tcPr>
          <w:p w14:paraId="59034A18">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每次扣除勘察、设计合同价款中设计费的2%，扣完为止。</w:t>
            </w:r>
          </w:p>
        </w:tc>
        <w:tc>
          <w:tcPr>
            <w:tcW w:w="1657" w:type="dxa"/>
            <w:tcBorders>
              <w:top w:val="single" w:color="auto" w:sz="4" w:space="0"/>
              <w:left w:val="nil"/>
              <w:bottom w:val="single" w:color="auto" w:sz="4" w:space="0"/>
              <w:right w:val="single" w:color="auto" w:sz="4" w:space="0"/>
            </w:tcBorders>
            <w:noWrap w:val="0"/>
            <w:vAlign w:val="center"/>
          </w:tcPr>
          <w:p w14:paraId="1F6E1B9A">
            <w:pPr>
              <w:spacing w:line="380" w:lineRule="exact"/>
              <w:rPr>
                <w:rFonts w:hint="eastAsia" w:ascii="宋体" w:hAnsi="宋体" w:eastAsia="宋体" w:cs="宋体"/>
                <w:color w:val="auto"/>
                <w:sz w:val="24"/>
                <w:szCs w:val="24"/>
                <w:highlight w:val="none"/>
              </w:rPr>
            </w:pPr>
          </w:p>
        </w:tc>
      </w:tr>
      <w:tr w14:paraId="505A6065">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5FBA91D">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w:t>
            </w:r>
          </w:p>
        </w:tc>
        <w:tc>
          <w:tcPr>
            <w:tcW w:w="4770" w:type="dxa"/>
            <w:tcBorders>
              <w:top w:val="single" w:color="auto" w:sz="4" w:space="0"/>
              <w:left w:val="nil"/>
              <w:bottom w:val="single" w:color="auto" w:sz="4" w:space="0"/>
              <w:right w:val="single" w:color="auto" w:sz="4" w:space="0"/>
            </w:tcBorders>
            <w:noWrap w:val="0"/>
            <w:vAlign w:val="center"/>
          </w:tcPr>
          <w:p w14:paraId="2CE7AD96">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因勘察设计人自身原因造成工程结算超施工招标中标价的。</w:t>
            </w:r>
          </w:p>
        </w:tc>
        <w:tc>
          <w:tcPr>
            <w:tcW w:w="2833" w:type="dxa"/>
            <w:tcBorders>
              <w:top w:val="single" w:color="auto" w:sz="4" w:space="0"/>
              <w:left w:val="nil"/>
              <w:bottom w:val="single" w:color="auto" w:sz="4" w:space="0"/>
              <w:right w:val="single" w:color="auto" w:sz="4" w:space="0"/>
            </w:tcBorders>
            <w:noWrap w:val="0"/>
            <w:vAlign w:val="center"/>
          </w:tcPr>
          <w:p w14:paraId="5FBE2D32">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扣除应付勘察、设计合同价款中的余款。</w:t>
            </w:r>
          </w:p>
        </w:tc>
        <w:tc>
          <w:tcPr>
            <w:tcW w:w="1657" w:type="dxa"/>
            <w:tcBorders>
              <w:top w:val="single" w:color="auto" w:sz="4" w:space="0"/>
              <w:left w:val="nil"/>
              <w:bottom w:val="single" w:color="auto" w:sz="4" w:space="0"/>
              <w:right w:val="single" w:color="auto" w:sz="4" w:space="0"/>
            </w:tcBorders>
            <w:noWrap w:val="0"/>
            <w:vAlign w:val="center"/>
          </w:tcPr>
          <w:p w14:paraId="2EC1FCDB">
            <w:pPr>
              <w:spacing w:line="380" w:lineRule="exact"/>
              <w:rPr>
                <w:rFonts w:hint="eastAsia" w:ascii="宋体" w:hAnsi="宋体" w:eastAsia="宋体" w:cs="宋体"/>
                <w:color w:val="auto"/>
                <w:sz w:val="24"/>
                <w:szCs w:val="24"/>
                <w:highlight w:val="none"/>
              </w:rPr>
            </w:pPr>
          </w:p>
        </w:tc>
      </w:tr>
      <w:tr w14:paraId="1D577670">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66F7949">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w:t>
            </w:r>
          </w:p>
        </w:tc>
        <w:tc>
          <w:tcPr>
            <w:tcW w:w="4770" w:type="dxa"/>
            <w:tcBorders>
              <w:top w:val="single" w:color="auto" w:sz="4" w:space="0"/>
              <w:left w:val="nil"/>
              <w:bottom w:val="single" w:color="auto" w:sz="4" w:space="0"/>
              <w:right w:val="single" w:color="auto" w:sz="4" w:space="0"/>
            </w:tcBorders>
            <w:noWrap w:val="0"/>
            <w:vAlign w:val="center"/>
          </w:tcPr>
          <w:p w14:paraId="014008B2">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勘察设计人未能在发包人通知的时间内（提前一天通知，紧急情况随时通知）参加设计交底、处理有关设计问题、参加必要部位隐蔽验收和竣工验收等工作。</w:t>
            </w:r>
          </w:p>
        </w:tc>
        <w:tc>
          <w:tcPr>
            <w:tcW w:w="2833" w:type="dxa"/>
            <w:tcBorders>
              <w:top w:val="single" w:color="auto" w:sz="4" w:space="0"/>
              <w:left w:val="nil"/>
              <w:bottom w:val="single" w:color="auto" w:sz="4" w:space="0"/>
              <w:right w:val="single" w:color="auto" w:sz="4" w:space="0"/>
            </w:tcBorders>
            <w:noWrap w:val="0"/>
            <w:vAlign w:val="center"/>
          </w:tcPr>
          <w:p w14:paraId="388955D7">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每人次扣减1000元。</w:t>
            </w:r>
          </w:p>
        </w:tc>
        <w:tc>
          <w:tcPr>
            <w:tcW w:w="1657" w:type="dxa"/>
            <w:tcBorders>
              <w:top w:val="single" w:color="auto" w:sz="4" w:space="0"/>
              <w:left w:val="nil"/>
              <w:bottom w:val="single" w:color="auto" w:sz="4" w:space="0"/>
              <w:right w:val="single" w:color="auto" w:sz="4" w:space="0"/>
            </w:tcBorders>
            <w:noWrap w:val="0"/>
            <w:vAlign w:val="center"/>
          </w:tcPr>
          <w:p w14:paraId="5EDFDB54">
            <w:pPr>
              <w:spacing w:line="380" w:lineRule="exact"/>
              <w:rPr>
                <w:rFonts w:hint="eastAsia" w:ascii="宋体" w:hAnsi="宋体" w:eastAsia="宋体" w:cs="宋体"/>
                <w:color w:val="auto"/>
                <w:sz w:val="24"/>
                <w:szCs w:val="24"/>
                <w:highlight w:val="none"/>
              </w:rPr>
            </w:pPr>
          </w:p>
        </w:tc>
      </w:tr>
      <w:tr w14:paraId="555DDAAA">
        <w:tblPrEx>
          <w:tblCellMar>
            <w:top w:w="0" w:type="dxa"/>
            <w:left w:w="108" w:type="dxa"/>
            <w:bottom w:w="0" w:type="dxa"/>
            <w:right w:w="108" w:type="dxa"/>
          </w:tblCellMar>
        </w:tblPrEx>
        <w:trPr>
          <w:trHeight w:val="136"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998B92C">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w:t>
            </w:r>
          </w:p>
        </w:tc>
        <w:tc>
          <w:tcPr>
            <w:tcW w:w="4770" w:type="dxa"/>
            <w:tcBorders>
              <w:top w:val="single" w:color="auto" w:sz="4" w:space="0"/>
              <w:left w:val="nil"/>
              <w:bottom w:val="single" w:color="auto" w:sz="4" w:space="0"/>
              <w:right w:val="single" w:color="auto" w:sz="4" w:space="0"/>
            </w:tcBorders>
            <w:noWrap w:val="0"/>
            <w:vAlign w:val="center"/>
          </w:tcPr>
          <w:p w14:paraId="097B8CFE">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勘察设计人驻韶办公的项目负责人（即投标文件所拟派的项目设计负责人）必须负责本项目勘察、设计全过程（包括完善方案设计及方案深化、初步设计评审、初步设计修编、施工图设计审查、施工图设计修编、预算跟踪服务、图纸会审、技术交底和施工阶段的技术指导等）。项目负责人未准时参加上述环节工作的。</w:t>
            </w:r>
          </w:p>
        </w:tc>
        <w:tc>
          <w:tcPr>
            <w:tcW w:w="2833" w:type="dxa"/>
            <w:tcBorders>
              <w:top w:val="single" w:color="auto" w:sz="4" w:space="0"/>
              <w:left w:val="nil"/>
              <w:bottom w:val="single" w:color="auto" w:sz="4" w:space="0"/>
              <w:right w:val="single" w:color="auto" w:sz="4" w:space="0"/>
            </w:tcBorders>
            <w:noWrap w:val="0"/>
            <w:vAlign w:val="center"/>
          </w:tcPr>
          <w:p w14:paraId="3C6DE48A">
            <w:pPr>
              <w:spacing w:line="38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每缺席一次扣1000元（以发包人发出的违约通知为准）。</w:t>
            </w:r>
          </w:p>
        </w:tc>
        <w:tc>
          <w:tcPr>
            <w:tcW w:w="1657" w:type="dxa"/>
            <w:tcBorders>
              <w:top w:val="single" w:color="auto" w:sz="4" w:space="0"/>
              <w:left w:val="nil"/>
              <w:bottom w:val="single" w:color="auto" w:sz="4" w:space="0"/>
              <w:right w:val="single" w:color="auto" w:sz="4" w:space="0"/>
            </w:tcBorders>
            <w:noWrap w:val="0"/>
            <w:vAlign w:val="center"/>
          </w:tcPr>
          <w:p w14:paraId="5052BF18">
            <w:pPr>
              <w:spacing w:line="380" w:lineRule="exact"/>
              <w:rPr>
                <w:rFonts w:hint="eastAsia" w:ascii="宋体" w:hAnsi="宋体" w:eastAsia="宋体" w:cs="宋体"/>
                <w:color w:val="auto"/>
                <w:sz w:val="24"/>
                <w:szCs w:val="24"/>
                <w:highlight w:val="none"/>
              </w:rPr>
            </w:pPr>
          </w:p>
        </w:tc>
      </w:tr>
      <w:tr w14:paraId="1522EF8C">
        <w:tblPrEx>
          <w:tblCellMar>
            <w:top w:w="0" w:type="dxa"/>
            <w:left w:w="108" w:type="dxa"/>
            <w:bottom w:w="0" w:type="dxa"/>
            <w:right w:w="108" w:type="dxa"/>
          </w:tblCellMar>
        </w:tblPrEx>
        <w:trPr>
          <w:trHeight w:val="110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E81AE70">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
              </w:rPr>
              <w:t>14</w:t>
            </w:r>
          </w:p>
        </w:tc>
        <w:tc>
          <w:tcPr>
            <w:tcW w:w="4770" w:type="dxa"/>
            <w:tcBorders>
              <w:top w:val="single" w:color="auto" w:sz="4" w:space="0"/>
              <w:left w:val="nil"/>
              <w:bottom w:val="single" w:color="auto" w:sz="4" w:space="0"/>
              <w:right w:val="single" w:color="auto" w:sz="4" w:space="0"/>
            </w:tcBorders>
            <w:noWrap w:val="0"/>
            <w:vAlign w:val="center"/>
          </w:tcPr>
          <w:p w14:paraId="399E0636">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勘察设计人应委派1名参与并熟悉本项目勘察、设计、有现场处理经验的设计代表常驻项目现场。勘察设计人应为派驻现场的设计工作人员提供工作、生活及交通等方面的便利条件及准备必要的劳动保护装备。在正常施工阶段，每月应保证最少10天在现场。另外，如遇招标人要求或紧急情况下，设计代表须在三小时内到达施工现场配合施工服务。</w:t>
            </w:r>
          </w:p>
        </w:tc>
        <w:tc>
          <w:tcPr>
            <w:tcW w:w="2833" w:type="dxa"/>
            <w:tcBorders>
              <w:top w:val="single" w:color="auto" w:sz="4" w:space="0"/>
              <w:left w:val="nil"/>
              <w:bottom w:val="single" w:color="auto" w:sz="4" w:space="0"/>
              <w:right w:val="single" w:color="auto" w:sz="4" w:space="0"/>
            </w:tcBorders>
            <w:noWrap w:val="0"/>
            <w:vAlign w:val="center"/>
          </w:tcPr>
          <w:p w14:paraId="4FF58EA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未经发包人书面许可，缺少1天（次）扣1000元。</w:t>
            </w:r>
          </w:p>
        </w:tc>
        <w:tc>
          <w:tcPr>
            <w:tcW w:w="1657" w:type="dxa"/>
            <w:tcBorders>
              <w:top w:val="single" w:color="auto" w:sz="4" w:space="0"/>
              <w:left w:val="nil"/>
              <w:bottom w:val="single" w:color="auto" w:sz="4" w:space="0"/>
              <w:right w:val="single" w:color="auto" w:sz="4" w:space="0"/>
            </w:tcBorders>
            <w:noWrap w:val="0"/>
            <w:vAlign w:val="center"/>
          </w:tcPr>
          <w:p w14:paraId="409FCBD4">
            <w:pPr>
              <w:spacing w:line="380" w:lineRule="exact"/>
              <w:rPr>
                <w:rFonts w:hint="eastAsia" w:ascii="宋体" w:hAnsi="宋体" w:eastAsia="宋体" w:cs="宋体"/>
                <w:color w:val="auto"/>
                <w:sz w:val="24"/>
                <w:szCs w:val="24"/>
                <w:highlight w:val="none"/>
              </w:rPr>
            </w:pPr>
          </w:p>
        </w:tc>
      </w:tr>
      <w:tr w14:paraId="7704C785">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32BEA28">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
              </w:rPr>
              <w:t>15</w:t>
            </w:r>
          </w:p>
        </w:tc>
        <w:tc>
          <w:tcPr>
            <w:tcW w:w="4770" w:type="dxa"/>
            <w:tcBorders>
              <w:top w:val="single" w:color="auto" w:sz="4" w:space="0"/>
              <w:left w:val="nil"/>
              <w:bottom w:val="single" w:color="auto" w:sz="4" w:space="0"/>
              <w:right w:val="single" w:color="auto" w:sz="4" w:space="0"/>
            </w:tcBorders>
            <w:noWrap w:val="0"/>
            <w:vAlign w:val="center"/>
          </w:tcPr>
          <w:p w14:paraId="6205900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勘察、设计单位委派项目工作人员与投标文件中承诺的人员不一致的。</w:t>
            </w:r>
          </w:p>
        </w:tc>
        <w:tc>
          <w:tcPr>
            <w:tcW w:w="2833" w:type="dxa"/>
            <w:tcBorders>
              <w:top w:val="single" w:color="auto" w:sz="4" w:space="0"/>
              <w:left w:val="nil"/>
              <w:bottom w:val="single" w:color="auto" w:sz="4" w:space="0"/>
              <w:right w:val="single" w:color="auto" w:sz="4" w:space="0"/>
            </w:tcBorders>
            <w:noWrap w:val="0"/>
            <w:vAlign w:val="center"/>
          </w:tcPr>
          <w:p w14:paraId="579E10D5">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每发现一名，扣3000元，并要求立马整改。</w:t>
            </w:r>
          </w:p>
        </w:tc>
        <w:tc>
          <w:tcPr>
            <w:tcW w:w="1657" w:type="dxa"/>
            <w:tcBorders>
              <w:top w:val="single" w:color="auto" w:sz="4" w:space="0"/>
              <w:left w:val="nil"/>
              <w:bottom w:val="single" w:color="auto" w:sz="4" w:space="0"/>
              <w:right w:val="single" w:color="auto" w:sz="4" w:space="0"/>
            </w:tcBorders>
            <w:noWrap w:val="0"/>
            <w:vAlign w:val="center"/>
          </w:tcPr>
          <w:p w14:paraId="5AB8DEE9">
            <w:pPr>
              <w:spacing w:line="380" w:lineRule="exact"/>
              <w:rPr>
                <w:rFonts w:hint="eastAsia" w:ascii="宋体" w:hAnsi="宋体" w:eastAsia="宋体" w:cs="宋体"/>
                <w:color w:val="auto"/>
                <w:sz w:val="24"/>
                <w:szCs w:val="24"/>
                <w:highlight w:val="none"/>
              </w:rPr>
            </w:pPr>
          </w:p>
        </w:tc>
      </w:tr>
      <w:tr w14:paraId="6BFFF89E">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F82933C">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6</w:t>
            </w:r>
          </w:p>
        </w:tc>
        <w:tc>
          <w:tcPr>
            <w:tcW w:w="4770" w:type="dxa"/>
            <w:tcBorders>
              <w:top w:val="single" w:color="auto" w:sz="4" w:space="0"/>
              <w:left w:val="nil"/>
              <w:bottom w:val="single" w:color="auto" w:sz="4" w:space="0"/>
              <w:right w:val="single" w:color="auto" w:sz="4" w:space="0"/>
            </w:tcBorders>
            <w:noWrap w:val="0"/>
            <w:vAlign w:val="center"/>
          </w:tcPr>
          <w:p w14:paraId="61E04E16">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勘察、设计单位未按时提供或回复涉及设计方面的相关方案或意见（如图纸会审的相关意见、工程洽商记录、设计变更等）。</w:t>
            </w:r>
          </w:p>
        </w:tc>
        <w:tc>
          <w:tcPr>
            <w:tcW w:w="2833" w:type="dxa"/>
            <w:tcBorders>
              <w:top w:val="single" w:color="auto" w:sz="4" w:space="0"/>
              <w:left w:val="nil"/>
              <w:bottom w:val="single" w:color="auto" w:sz="4" w:space="0"/>
              <w:right w:val="single" w:color="auto" w:sz="4" w:space="0"/>
            </w:tcBorders>
            <w:noWrap w:val="0"/>
            <w:vAlign w:val="center"/>
          </w:tcPr>
          <w:p w14:paraId="796F7BBD">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每次扣1000元</w:t>
            </w:r>
          </w:p>
          <w:p w14:paraId="1F98AEBB">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（以发包人发出的违约通知为准）。</w:t>
            </w:r>
          </w:p>
        </w:tc>
        <w:tc>
          <w:tcPr>
            <w:tcW w:w="1657" w:type="dxa"/>
            <w:tcBorders>
              <w:top w:val="single" w:color="auto" w:sz="4" w:space="0"/>
              <w:left w:val="nil"/>
              <w:bottom w:val="single" w:color="auto" w:sz="4" w:space="0"/>
              <w:right w:val="single" w:color="auto" w:sz="4" w:space="0"/>
            </w:tcBorders>
            <w:noWrap w:val="0"/>
            <w:vAlign w:val="center"/>
          </w:tcPr>
          <w:p w14:paraId="27985BD3">
            <w:pPr>
              <w:spacing w:line="380" w:lineRule="exact"/>
              <w:rPr>
                <w:rFonts w:hint="eastAsia" w:ascii="宋体" w:hAnsi="宋体" w:eastAsia="宋体" w:cs="宋体"/>
                <w:color w:val="auto"/>
                <w:sz w:val="24"/>
                <w:szCs w:val="24"/>
                <w:highlight w:val="none"/>
              </w:rPr>
            </w:pPr>
          </w:p>
        </w:tc>
      </w:tr>
      <w:tr w14:paraId="59FA0201">
        <w:tblPrEx>
          <w:tblCellMar>
            <w:top w:w="0" w:type="dxa"/>
            <w:left w:w="108" w:type="dxa"/>
            <w:bottom w:w="0" w:type="dxa"/>
            <w:right w:w="108" w:type="dxa"/>
          </w:tblCellMar>
        </w:tblPrEx>
        <w:trPr>
          <w:trHeight w:val="5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2510374">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7</w:t>
            </w:r>
          </w:p>
        </w:tc>
        <w:tc>
          <w:tcPr>
            <w:tcW w:w="4770" w:type="dxa"/>
            <w:tcBorders>
              <w:top w:val="single" w:color="auto" w:sz="4" w:space="0"/>
              <w:left w:val="nil"/>
              <w:bottom w:val="single" w:color="auto" w:sz="4" w:space="0"/>
              <w:right w:val="single" w:color="auto" w:sz="4" w:space="0"/>
            </w:tcBorders>
            <w:noWrap w:val="0"/>
            <w:vAlign w:val="center"/>
          </w:tcPr>
          <w:p w14:paraId="27B23737">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因设计造成与周边路网、管网规划协调不一致；对区域内路网的交通组织不完善合理；道路、桥涵、排水之间的关系处理不得当。</w:t>
            </w:r>
          </w:p>
        </w:tc>
        <w:tc>
          <w:tcPr>
            <w:tcW w:w="2833" w:type="dxa"/>
            <w:tcBorders>
              <w:top w:val="single" w:color="auto" w:sz="4" w:space="0"/>
              <w:left w:val="nil"/>
              <w:bottom w:val="single" w:color="auto" w:sz="4" w:space="0"/>
              <w:right w:val="single" w:color="auto" w:sz="4" w:space="0"/>
            </w:tcBorders>
            <w:noWrap w:val="0"/>
            <w:vAlign w:val="center"/>
          </w:tcPr>
          <w:p w14:paraId="39069F76">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每次扣除勘察、设计合同价款中设计费的2%，扣完为止。</w:t>
            </w:r>
          </w:p>
        </w:tc>
        <w:tc>
          <w:tcPr>
            <w:tcW w:w="1657" w:type="dxa"/>
            <w:tcBorders>
              <w:top w:val="single" w:color="auto" w:sz="4" w:space="0"/>
              <w:left w:val="nil"/>
              <w:bottom w:val="single" w:color="auto" w:sz="4" w:space="0"/>
              <w:right w:val="single" w:color="auto" w:sz="4" w:space="0"/>
            </w:tcBorders>
            <w:noWrap w:val="0"/>
            <w:vAlign w:val="center"/>
          </w:tcPr>
          <w:p w14:paraId="27774013">
            <w:pPr>
              <w:spacing w:line="380" w:lineRule="exact"/>
              <w:rPr>
                <w:rFonts w:hint="eastAsia" w:ascii="宋体" w:hAnsi="宋体" w:eastAsia="宋体" w:cs="宋体"/>
                <w:color w:val="auto"/>
                <w:sz w:val="24"/>
                <w:szCs w:val="24"/>
                <w:highlight w:val="none"/>
              </w:rPr>
            </w:pPr>
          </w:p>
        </w:tc>
      </w:tr>
      <w:tr w14:paraId="528BC51C">
        <w:tblPrEx>
          <w:tblCellMar>
            <w:top w:w="0" w:type="dxa"/>
            <w:left w:w="108" w:type="dxa"/>
            <w:bottom w:w="0" w:type="dxa"/>
            <w:right w:w="108" w:type="dxa"/>
          </w:tblCellMar>
        </w:tblPrEx>
        <w:trPr>
          <w:trHeight w:val="36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4970CBB9">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bidi="ar"/>
              </w:rPr>
              <w:t>8</w:t>
            </w:r>
          </w:p>
        </w:tc>
        <w:tc>
          <w:tcPr>
            <w:tcW w:w="4770" w:type="dxa"/>
            <w:tcBorders>
              <w:top w:val="single" w:color="auto" w:sz="4" w:space="0"/>
              <w:left w:val="nil"/>
              <w:bottom w:val="single" w:color="auto" w:sz="4" w:space="0"/>
              <w:right w:val="single" w:color="auto" w:sz="4" w:space="0"/>
            </w:tcBorders>
            <w:noWrap w:val="0"/>
            <w:vAlign w:val="center"/>
          </w:tcPr>
          <w:p w14:paraId="2E1BC44E">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因路基路面、不良地基处理、护坡及挡土墙等基础工程的设计不安全、不合理、不经济，土方平衡不合理，导致设计变更的。</w:t>
            </w:r>
          </w:p>
        </w:tc>
        <w:tc>
          <w:tcPr>
            <w:tcW w:w="2833" w:type="dxa"/>
            <w:tcBorders>
              <w:top w:val="single" w:color="auto" w:sz="4" w:space="0"/>
              <w:left w:val="nil"/>
              <w:bottom w:val="single" w:color="auto" w:sz="4" w:space="0"/>
              <w:right w:val="single" w:color="auto" w:sz="4" w:space="0"/>
            </w:tcBorders>
            <w:noWrap w:val="0"/>
            <w:vAlign w:val="center"/>
          </w:tcPr>
          <w:p w14:paraId="4D458395">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每次扣除勘察、设计合同价款中设计费的2%，扣完为止。</w:t>
            </w:r>
          </w:p>
        </w:tc>
        <w:tc>
          <w:tcPr>
            <w:tcW w:w="1657" w:type="dxa"/>
            <w:tcBorders>
              <w:top w:val="single" w:color="auto" w:sz="4" w:space="0"/>
              <w:left w:val="nil"/>
              <w:bottom w:val="single" w:color="auto" w:sz="4" w:space="0"/>
              <w:right w:val="single" w:color="auto" w:sz="4" w:space="0"/>
            </w:tcBorders>
            <w:noWrap w:val="0"/>
            <w:vAlign w:val="center"/>
          </w:tcPr>
          <w:p w14:paraId="6D66735C">
            <w:pPr>
              <w:spacing w:line="380" w:lineRule="exact"/>
              <w:rPr>
                <w:rFonts w:hint="eastAsia" w:ascii="宋体" w:hAnsi="宋体" w:eastAsia="宋体" w:cs="宋体"/>
                <w:color w:val="auto"/>
                <w:sz w:val="24"/>
                <w:szCs w:val="24"/>
                <w:highlight w:val="none"/>
              </w:rPr>
            </w:pPr>
          </w:p>
        </w:tc>
      </w:tr>
      <w:tr w14:paraId="5A273D26">
        <w:tblPrEx>
          <w:tblCellMar>
            <w:top w:w="0" w:type="dxa"/>
            <w:left w:w="108" w:type="dxa"/>
            <w:bottom w:w="0" w:type="dxa"/>
            <w:right w:w="108" w:type="dxa"/>
          </w:tblCellMar>
        </w:tblPrEx>
        <w:trPr>
          <w:trHeight w:val="139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1EB6E82A">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
              </w:rPr>
              <w:t>19</w:t>
            </w:r>
          </w:p>
        </w:tc>
        <w:tc>
          <w:tcPr>
            <w:tcW w:w="4770" w:type="dxa"/>
            <w:tcBorders>
              <w:top w:val="single" w:color="auto" w:sz="4" w:space="0"/>
              <w:left w:val="nil"/>
              <w:bottom w:val="single" w:color="auto" w:sz="4" w:space="0"/>
              <w:right w:val="single" w:color="auto" w:sz="4" w:space="0"/>
            </w:tcBorders>
            <w:noWrap w:val="0"/>
            <w:vAlign w:val="center"/>
          </w:tcPr>
          <w:p w14:paraId="2D8124DA">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因公用设施（公共交通站点布置、照明电源接驳、交通灯及监控设施电源接驳、行人设施、道路元素等）的设计不科学合理、处理方案不得当；未充分考虑已建设施、结合现状及相关部门需求及综合考虑远近期结合的要求，导致设计变更的。</w:t>
            </w:r>
          </w:p>
        </w:tc>
        <w:tc>
          <w:tcPr>
            <w:tcW w:w="2833" w:type="dxa"/>
            <w:tcBorders>
              <w:top w:val="single" w:color="auto" w:sz="4" w:space="0"/>
              <w:left w:val="nil"/>
              <w:bottom w:val="single" w:color="auto" w:sz="4" w:space="0"/>
              <w:right w:val="single" w:color="auto" w:sz="4" w:space="0"/>
            </w:tcBorders>
            <w:noWrap w:val="0"/>
            <w:vAlign w:val="center"/>
          </w:tcPr>
          <w:p w14:paraId="0B6988A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每次扣除勘察、设计合同价款中设计费的2%，扣完为止。</w:t>
            </w:r>
          </w:p>
        </w:tc>
        <w:tc>
          <w:tcPr>
            <w:tcW w:w="1657" w:type="dxa"/>
            <w:tcBorders>
              <w:top w:val="single" w:color="auto" w:sz="4" w:space="0"/>
              <w:left w:val="nil"/>
              <w:bottom w:val="single" w:color="auto" w:sz="4" w:space="0"/>
              <w:right w:val="single" w:color="auto" w:sz="4" w:space="0"/>
            </w:tcBorders>
            <w:noWrap w:val="0"/>
            <w:vAlign w:val="center"/>
          </w:tcPr>
          <w:p w14:paraId="57892E81">
            <w:pPr>
              <w:spacing w:line="380" w:lineRule="exact"/>
              <w:rPr>
                <w:rFonts w:hint="eastAsia" w:ascii="宋体" w:hAnsi="宋体" w:eastAsia="宋体" w:cs="宋体"/>
                <w:color w:val="auto"/>
                <w:sz w:val="24"/>
                <w:szCs w:val="24"/>
                <w:highlight w:val="none"/>
              </w:rPr>
            </w:pPr>
          </w:p>
        </w:tc>
      </w:tr>
      <w:tr w14:paraId="28167A48">
        <w:tblPrEx>
          <w:tblCellMar>
            <w:top w:w="0" w:type="dxa"/>
            <w:left w:w="108" w:type="dxa"/>
            <w:bottom w:w="0" w:type="dxa"/>
            <w:right w:w="108" w:type="dxa"/>
          </w:tblCellMar>
        </w:tblPrEx>
        <w:trPr>
          <w:trHeight w:val="91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3534B4BD">
            <w:pPr>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4770" w:type="dxa"/>
            <w:tcBorders>
              <w:top w:val="single" w:color="auto" w:sz="4" w:space="0"/>
              <w:left w:val="nil"/>
              <w:bottom w:val="single" w:color="auto" w:sz="4" w:space="0"/>
              <w:right w:val="single" w:color="auto" w:sz="4" w:space="0"/>
            </w:tcBorders>
            <w:noWrap w:val="0"/>
            <w:vAlign w:val="center"/>
          </w:tcPr>
          <w:p w14:paraId="47FCF5E4">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承包人必须严格按有关设计规范设计图纸，承包人（设计单位）须秉承合理、经济、环保、适用等原则进行施工图设计，发包人将委托第三方对承包人每阶段的设计成果文件（含节能、结构计算模型等）进行精细化审图、各专业优化工作。</w:t>
            </w:r>
          </w:p>
        </w:tc>
        <w:tc>
          <w:tcPr>
            <w:tcW w:w="2833" w:type="dxa"/>
            <w:tcBorders>
              <w:top w:val="single" w:color="auto" w:sz="4" w:space="0"/>
              <w:left w:val="nil"/>
              <w:bottom w:val="single" w:color="auto" w:sz="4" w:space="0"/>
              <w:right w:val="single" w:color="auto" w:sz="4" w:space="0"/>
            </w:tcBorders>
            <w:noWrap w:val="0"/>
            <w:vAlign w:val="center"/>
          </w:tcPr>
          <w:p w14:paraId="4AD0A5E3">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发包人将根据第三方出具的有关报告及优化金额，以优化金额的10%从设计费用中扣取违约金（违约金总额以设计费为限）。</w:t>
            </w:r>
          </w:p>
        </w:tc>
        <w:tc>
          <w:tcPr>
            <w:tcW w:w="1657" w:type="dxa"/>
            <w:tcBorders>
              <w:top w:val="single" w:color="auto" w:sz="4" w:space="0"/>
              <w:left w:val="nil"/>
              <w:bottom w:val="single" w:color="auto" w:sz="4" w:space="0"/>
              <w:right w:val="single" w:color="auto" w:sz="4" w:space="0"/>
            </w:tcBorders>
            <w:noWrap w:val="0"/>
            <w:vAlign w:val="center"/>
          </w:tcPr>
          <w:p w14:paraId="305EA42D">
            <w:pPr>
              <w:spacing w:line="380" w:lineRule="exact"/>
              <w:rPr>
                <w:rFonts w:hint="eastAsia" w:ascii="宋体" w:hAnsi="宋体" w:eastAsia="宋体" w:cs="宋体"/>
                <w:color w:val="auto"/>
                <w:sz w:val="24"/>
                <w:szCs w:val="24"/>
                <w:highlight w:val="none"/>
              </w:rPr>
            </w:pPr>
          </w:p>
        </w:tc>
      </w:tr>
      <w:tr w14:paraId="0A296F09">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0D3EA00C">
            <w:pPr>
              <w:spacing w:line="3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4770" w:type="dxa"/>
            <w:tcBorders>
              <w:top w:val="single" w:color="auto" w:sz="4" w:space="0"/>
              <w:left w:val="nil"/>
              <w:bottom w:val="single" w:color="auto" w:sz="4" w:space="0"/>
              <w:right w:val="single" w:color="auto" w:sz="4" w:space="0"/>
            </w:tcBorders>
            <w:noWrap w:val="0"/>
            <w:vAlign w:val="center"/>
          </w:tcPr>
          <w:p w14:paraId="22A84BF3">
            <w:pPr>
              <w:spacing w:line="380" w:lineRule="exac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承包人实际服务响应时间超出投标承诺服务响应时间的。</w:t>
            </w:r>
          </w:p>
        </w:tc>
        <w:tc>
          <w:tcPr>
            <w:tcW w:w="2833" w:type="dxa"/>
            <w:tcBorders>
              <w:top w:val="single" w:color="auto" w:sz="4" w:space="0"/>
              <w:left w:val="nil"/>
              <w:bottom w:val="single" w:color="auto" w:sz="4" w:space="0"/>
              <w:right w:val="single" w:color="auto" w:sz="4" w:space="0"/>
            </w:tcBorders>
            <w:noWrap w:val="0"/>
            <w:vAlign w:val="center"/>
          </w:tcPr>
          <w:p w14:paraId="6D7AE041">
            <w:pPr>
              <w:spacing w:line="380" w:lineRule="exac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每次扣除勘察、设计合同价款中设计费的0.5‰，扣完为止。</w:t>
            </w:r>
          </w:p>
        </w:tc>
        <w:tc>
          <w:tcPr>
            <w:tcW w:w="1657" w:type="dxa"/>
            <w:tcBorders>
              <w:top w:val="single" w:color="auto" w:sz="4" w:space="0"/>
              <w:left w:val="nil"/>
              <w:bottom w:val="single" w:color="auto" w:sz="4" w:space="0"/>
              <w:right w:val="single" w:color="auto" w:sz="4" w:space="0"/>
            </w:tcBorders>
            <w:noWrap w:val="0"/>
            <w:vAlign w:val="center"/>
          </w:tcPr>
          <w:p w14:paraId="704DEC9A">
            <w:pPr>
              <w:spacing w:line="380" w:lineRule="exact"/>
              <w:rPr>
                <w:rFonts w:hint="eastAsia" w:ascii="宋体" w:hAnsi="宋体" w:eastAsia="宋体" w:cs="宋体"/>
                <w:color w:val="auto"/>
                <w:kern w:val="2"/>
                <w:sz w:val="24"/>
                <w:szCs w:val="24"/>
                <w:highlight w:val="none"/>
                <w:lang w:val="en-US" w:eastAsia="zh-CN" w:bidi="ar-SA"/>
              </w:rPr>
            </w:pPr>
          </w:p>
        </w:tc>
      </w:tr>
      <w:tr w14:paraId="7D56D68F">
        <w:tblPrEx>
          <w:tblCellMar>
            <w:top w:w="0" w:type="dxa"/>
            <w:left w:w="108" w:type="dxa"/>
            <w:bottom w:w="0" w:type="dxa"/>
            <w:right w:w="108" w:type="dxa"/>
          </w:tblCellMar>
        </w:tblPrEx>
        <w:trPr>
          <w:trHeight w:val="62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D84AD3B">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4770" w:type="dxa"/>
            <w:tcBorders>
              <w:top w:val="single" w:color="auto" w:sz="4" w:space="0"/>
              <w:left w:val="nil"/>
              <w:bottom w:val="single" w:color="auto" w:sz="4" w:space="0"/>
              <w:right w:val="single" w:color="auto" w:sz="4" w:space="0"/>
            </w:tcBorders>
            <w:noWrap w:val="0"/>
            <w:vAlign w:val="center"/>
          </w:tcPr>
          <w:p w14:paraId="748A23EE">
            <w:pPr>
              <w:spacing w:line="380" w:lineRule="exac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因勘察、设计单位责任引起工程变更造成投资规模增加10%以上</w:t>
            </w:r>
          </w:p>
        </w:tc>
        <w:tc>
          <w:tcPr>
            <w:tcW w:w="2833" w:type="dxa"/>
            <w:tcBorders>
              <w:top w:val="single" w:color="auto" w:sz="4" w:space="0"/>
              <w:left w:val="nil"/>
              <w:bottom w:val="single" w:color="auto" w:sz="4" w:space="0"/>
              <w:right w:val="single" w:color="auto" w:sz="4" w:space="0"/>
            </w:tcBorders>
            <w:noWrap w:val="0"/>
            <w:vAlign w:val="center"/>
          </w:tcPr>
          <w:p w14:paraId="7DED2E3E">
            <w:pPr>
              <w:spacing w:line="380" w:lineRule="exac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根据变更引起的责任方，扣除相应服务费用合同价的20％</w:t>
            </w:r>
          </w:p>
        </w:tc>
        <w:tc>
          <w:tcPr>
            <w:tcW w:w="1657" w:type="dxa"/>
            <w:tcBorders>
              <w:top w:val="single" w:color="auto" w:sz="4" w:space="0"/>
              <w:left w:val="nil"/>
              <w:bottom w:val="single" w:color="auto" w:sz="4" w:space="0"/>
              <w:right w:val="single" w:color="auto" w:sz="4" w:space="0"/>
            </w:tcBorders>
            <w:noWrap w:val="0"/>
            <w:vAlign w:val="center"/>
          </w:tcPr>
          <w:p w14:paraId="5FD2E677">
            <w:pPr>
              <w:spacing w:line="380" w:lineRule="exact"/>
              <w:rPr>
                <w:rFonts w:hint="eastAsia" w:ascii="宋体" w:hAnsi="宋体" w:eastAsia="宋体" w:cs="宋体"/>
                <w:color w:val="auto"/>
                <w:kern w:val="2"/>
                <w:sz w:val="24"/>
                <w:szCs w:val="24"/>
                <w:highlight w:val="none"/>
                <w:lang w:val="en-US" w:eastAsia="zh-CN" w:bidi="ar-SA"/>
              </w:rPr>
            </w:pPr>
          </w:p>
        </w:tc>
      </w:tr>
    </w:tbl>
    <w:p w14:paraId="6E260D59">
      <w:pPr>
        <w:rPr>
          <w:rFonts w:hint="eastAsia" w:ascii="宋体" w:hAnsi="宋体" w:eastAsia="宋体" w:cs="宋体"/>
        </w:rPr>
      </w:pPr>
    </w:p>
    <w:p w14:paraId="59CFF605">
      <w:pPr>
        <w:rPr>
          <w:rFonts w:hint="eastAsia" w:ascii="宋体" w:hAnsi="宋体" w:eastAsia="宋体" w:cs="宋体"/>
        </w:rPr>
      </w:pPr>
    </w:p>
    <w:p w14:paraId="140A974C">
      <w:pPr>
        <w:rPr>
          <w:rFonts w:hint="eastAsia" w:ascii="宋体" w:hAnsi="宋体" w:eastAsia="宋体" w:cs="宋体"/>
        </w:rPr>
      </w:pPr>
    </w:p>
    <w:p w14:paraId="0EEC3DDC">
      <w:pPr>
        <w:rPr>
          <w:rFonts w:hint="eastAsia" w:ascii="宋体" w:hAnsi="宋体" w:eastAsia="宋体" w:cs="宋体"/>
        </w:rPr>
      </w:pPr>
    </w:p>
    <w:p w14:paraId="2F094371">
      <w:pPr>
        <w:rPr>
          <w:rFonts w:hint="eastAsia" w:ascii="宋体" w:hAnsi="宋体" w:eastAsia="宋体" w:cs="宋体"/>
        </w:rPr>
      </w:pPr>
    </w:p>
    <w:p w14:paraId="23DAD6AD">
      <w:pPr>
        <w:rPr>
          <w:rFonts w:hint="eastAsia" w:ascii="宋体" w:hAnsi="宋体" w:eastAsia="宋体" w:cs="宋体"/>
        </w:rPr>
      </w:pPr>
    </w:p>
    <w:p w14:paraId="4DAA5E3E">
      <w:pPr>
        <w:rPr>
          <w:rFonts w:hint="eastAsia" w:ascii="宋体" w:hAnsi="宋体" w:eastAsia="宋体" w:cs="宋体"/>
        </w:rPr>
      </w:pPr>
    </w:p>
    <w:p w14:paraId="4B716668">
      <w:pPr>
        <w:rPr>
          <w:rFonts w:hint="eastAsia" w:ascii="宋体" w:hAnsi="宋体" w:eastAsia="宋体" w:cs="宋体"/>
        </w:rPr>
      </w:pPr>
    </w:p>
    <w:p w14:paraId="51D08003">
      <w:pPr>
        <w:rPr>
          <w:rFonts w:hint="eastAsia" w:ascii="宋体" w:hAnsi="宋体" w:eastAsia="宋体" w:cs="宋体"/>
        </w:rPr>
      </w:pPr>
    </w:p>
    <w:p w14:paraId="6CD97A22">
      <w:pPr>
        <w:rPr>
          <w:rFonts w:hint="eastAsia" w:ascii="宋体" w:hAnsi="宋体" w:eastAsia="宋体" w:cs="宋体"/>
        </w:rPr>
      </w:pPr>
    </w:p>
    <w:p w14:paraId="2CFA80BC">
      <w:pPr>
        <w:rPr>
          <w:rFonts w:hint="eastAsia" w:ascii="宋体" w:hAnsi="宋体" w:eastAsia="宋体" w:cs="宋体"/>
        </w:rPr>
      </w:pPr>
    </w:p>
    <w:p w14:paraId="3E867C39">
      <w:pPr>
        <w:rPr>
          <w:rFonts w:hint="eastAsia" w:ascii="宋体" w:hAnsi="宋体" w:eastAsia="宋体" w:cs="宋体"/>
        </w:rPr>
      </w:pPr>
    </w:p>
    <w:p w14:paraId="2F6D77E4">
      <w:pPr>
        <w:rPr>
          <w:rFonts w:hint="eastAsia" w:ascii="宋体" w:hAnsi="宋体" w:eastAsia="宋体" w:cs="宋体"/>
        </w:rPr>
      </w:pPr>
    </w:p>
    <w:p w14:paraId="2F292BFD">
      <w:pPr>
        <w:rPr>
          <w:rFonts w:hint="eastAsia" w:ascii="宋体" w:hAnsi="宋体" w:eastAsia="宋体" w:cs="宋体"/>
        </w:rPr>
      </w:pPr>
    </w:p>
    <w:p w14:paraId="625CA1A7">
      <w:pPr>
        <w:rPr>
          <w:rFonts w:hint="eastAsia" w:ascii="宋体" w:hAnsi="宋体" w:eastAsia="宋体" w:cs="宋体"/>
        </w:rPr>
      </w:pPr>
    </w:p>
    <w:p w14:paraId="442E1E53">
      <w:pPr>
        <w:rPr>
          <w:rFonts w:hint="eastAsia" w:ascii="宋体" w:hAnsi="宋体" w:eastAsia="宋体" w:cs="宋体"/>
        </w:rPr>
      </w:pPr>
    </w:p>
    <w:p w14:paraId="528DBD29">
      <w:pPr>
        <w:rPr>
          <w:rFonts w:hint="eastAsia" w:ascii="宋体" w:hAnsi="宋体" w:eastAsia="宋体" w:cs="宋体"/>
        </w:rPr>
      </w:pPr>
    </w:p>
    <w:p w14:paraId="76E0BFB1">
      <w:pPr>
        <w:rPr>
          <w:rFonts w:hint="eastAsia" w:ascii="宋体" w:hAnsi="宋体" w:eastAsia="宋体" w:cs="宋体"/>
        </w:rPr>
      </w:pPr>
    </w:p>
    <w:p w14:paraId="0BDAFA8F">
      <w:pPr>
        <w:rPr>
          <w:rFonts w:hint="eastAsia" w:ascii="宋体" w:hAnsi="宋体" w:eastAsia="宋体" w:cs="宋体"/>
        </w:rPr>
      </w:pPr>
    </w:p>
    <w:p w14:paraId="2576CC79">
      <w:pPr>
        <w:rPr>
          <w:rFonts w:hint="eastAsia" w:ascii="宋体" w:hAnsi="宋体" w:eastAsia="宋体" w:cs="宋体"/>
          <w:b/>
          <w:color w:val="auto"/>
          <w:sz w:val="32"/>
          <w:szCs w:val="32"/>
          <w:highlight w:val="none"/>
        </w:rPr>
      </w:pPr>
    </w:p>
    <w:p w14:paraId="17AADCEC">
      <w:pPr>
        <w:pStyle w:val="4"/>
        <w:keepNext/>
        <w:keepLines w:val="0"/>
        <w:pageBreakBefore w:val="0"/>
        <w:shd w:val="clear" w:color="auto" w:fill="auto"/>
        <w:tabs>
          <w:tab w:val="left" w:pos="1830"/>
        </w:tabs>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color w:val="auto"/>
          <w:kern w:val="2"/>
          <w:sz w:val="32"/>
          <w:szCs w:val="32"/>
          <w:highlight w:val="none"/>
        </w:rPr>
      </w:pPr>
      <w:bookmarkStart w:id="162" w:name="_Toc28046"/>
      <w:r>
        <w:rPr>
          <w:rFonts w:hint="eastAsia" w:ascii="宋体" w:hAnsi="宋体" w:eastAsia="宋体" w:cs="宋体"/>
          <w:b/>
          <w:color w:val="auto"/>
          <w:kern w:val="2"/>
          <w:sz w:val="32"/>
          <w:szCs w:val="32"/>
          <w:highlight w:val="none"/>
        </w:rPr>
        <w:t>第三章</w:t>
      </w:r>
      <w:bookmarkStart w:id="163" w:name="_Hlt87793831"/>
      <w:bookmarkEnd w:id="163"/>
      <w:r>
        <w:rPr>
          <w:rFonts w:hint="eastAsia" w:ascii="宋体" w:hAnsi="宋体" w:eastAsia="宋体" w:cs="宋体"/>
          <w:b/>
          <w:color w:val="auto"/>
          <w:kern w:val="2"/>
          <w:sz w:val="32"/>
          <w:szCs w:val="32"/>
          <w:highlight w:val="none"/>
        </w:rPr>
        <w:t xml:space="preserve"> </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拟签订合同的主要条款</w:t>
      </w:r>
      <w:bookmarkEnd w:id="158"/>
      <w:bookmarkEnd w:id="159"/>
      <w:bookmarkEnd w:id="162"/>
      <w:bookmarkStart w:id="164" w:name="_Toc322793288"/>
      <w:bookmarkStart w:id="165" w:name="_Toc326916629"/>
    </w:p>
    <w:bookmarkEnd w:id="160"/>
    <w:bookmarkEnd w:id="164"/>
    <w:bookmarkEnd w:id="165"/>
    <w:p w14:paraId="497B89AB">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66" w:name="_Toc24909"/>
      <w:bookmarkStart w:id="167" w:name="_Toc3177"/>
      <w:bookmarkStart w:id="168" w:name="_Toc353462211"/>
      <w:bookmarkStart w:id="169" w:name="_Toc353462320"/>
      <w:bookmarkStart w:id="170" w:name="_Toc371968727"/>
      <w:bookmarkStart w:id="171" w:name="_Toc24616749"/>
      <w:bookmarkStart w:id="172" w:name="_Toc18268"/>
      <w:bookmarkStart w:id="173" w:name="_Toc143765509"/>
      <w:bookmarkStart w:id="174" w:name="_Toc143766475"/>
      <w:bookmarkStart w:id="175" w:name="_Toc29029"/>
      <w:bookmarkStart w:id="176" w:name="_Hlt69698796"/>
      <w:r>
        <w:rPr>
          <w:rFonts w:hint="eastAsia" w:ascii="宋体" w:hAnsi="宋体" w:eastAsia="宋体" w:cs="宋体"/>
          <w:b/>
          <w:color w:val="auto"/>
          <w:kern w:val="2"/>
          <w:sz w:val="28"/>
          <w:szCs w:val="24"/>
          <w:lang w:val="en-US" w:eastAsia="zh-CN"/>
        </w:rPr>
        <w:t>1．承包方式</w:t>
      </w:r>
      <w:bookmarkEnd w:id="166"/>
      <w:bookmarkEnd w:id="167"/>
    </w:p>
    <w:p w14:paraId="5BB5BF07">
      <w:pPr>
        <w:spacing w:line="360" w:lineRule="auto"/>
        <w:ind w:firstLine="480" w:firstLineChars="200"/>
        <w:rPr>
          <w:rFonts w:hint="eastAsia" w:ascii="宋体" w:hAnsi="宋体" w:eastAsia="宋体" w:cs="宋体"/>
          <w:sz w:val="24"/>
          <w:szCs w:val="24"/>
        </w:rPr>
      </w:pPr>
      <w:bookmarkStart w:id="177" w:name="_Hlt112206782"/>
      <w:bookmarkEnd w:id="177"/>
      <w:bookmarkStart w:id="178" w:name="_Toc71811322"/>
      <w:bookmarkStart w:id="179" w:name="_Toc71811189"/>
      <w:bookmarkStart w:id="180" w:name="_Toc71813712"/>
      <w:r>
        <w:rPr>
          <w:rFonts w:hint="eastAsia" w:ascii="宋体" w:hAnsi="宋体" w:eastAsia="宋体" w:cs="宋体"/>
          <w:sz w:val="24"/>
          <w:szCs w:val="24"/>
        </w:rPr>
        <w:t>中标人以中标价按合同约定和招标文件内容要求，法律法规及国家强制性标准要求，提供完整的最新工程地形图、初步设计及概算，初勘报告和详细勘察报告、施工图设计文件和建设期的服务内容，不允许转包和分包。</w:t>
      </w:r>
    </w:p>
    <w:p w14:paraId="003D0C34">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81" w:name="_Toc353462212"/>
      <w:bookmarkStart w:id="182" w:name="_Toc353462321"/>
      <w:bookmarkStart w:id="183" w:name="_Toc371968728"/>
      <w:bookmarkStart w:id="184" w:name="_Toc143766476"/>
      <w:bookmarkStart w:id="185" w:name="_Toc143765510"/>
      <w:bookmarkStart w:id="186" w:name="_Toc26338"/>
      <w:bookmarkStart w:id="187" w:name="_Toc24616750"/>
      <w:bookmarkStart w:id="188" w:name="_Toc19364"/>
      <w:r>
        <w:rPr>
          <w:rFonts w:hint="eastAsia" w:ascii="宋体" w:hAnsi="宋体" w:eastAsia="宋体" w:cs="宋体"/>
          <w:b/>
          <w:color w:val="auto"/>
          <w:kern w:val="2"/>
          <w:sz w:val="28"/>
          <w:szCs w:val="24"/>
          <w:lang w:val="en-US" w:eastAsia="zh-CN"/>
        </w:rPr>
        <w:t>2．合同价款支付办法</w:t>
      </w:r>
      <w:bookmarkEnd w:id="181"/>
      <w:bookmarkEnd w:id="182"/>
      <w:bookmarkEnd w:id="183"/>
      <w:bookmarkEnd w:id="184"/>
      <w:bookmarkEnd w:id="185"/>
      <w:r>
        <w:rPr>
          <w:rFonts w:hint="eastAsia" w:ascii="宋体" w:hAnsi="宋体" w:eastAsia="宋体" w:cs="宋体"/>
          <w:b/>
          <w:color w:val="auto"/>
          <w:kern w:val="2"/>
          <w:sz w:val="28"/>
          <w:szCs w:val="24"/>
          <w:lang w:val="en-US" w:eastAsia="zh-CN"/>
        </w:rPr>
        <w:t>及结算原则</w:t>
      </w:r>
      <w:bookmarkEnd w:id="186"/>
      <w:bookmarkEnd w:id="187"/>
      <w:bookmarkEnd w:id="188"/>
    </w:p>
    <w:bookmarkEnd w:id="178"/>
    <w:bookmarkEnd w:id="179"/>
    <w:bookmarkEnd w:id="180"/>
    <w:p w14:paraId="1DD2FC7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 本合同工程按中标人的投标报价，中标价即为签约合同价，</w:t>
      </w:r>
      <w:r>
        <w:rPr>
          <w:rFonts w:hint="eastAsia" w:ascii="宋体" w:hAnsi="宋体" w:eastAsia="宋体" w:cs="宋体"/>
          <w:sz w:val="24"/>
          <w:szCs w:val="24"/>
          <w:lang w:val="en-US" w:eastAsia="zh-CN"/>
        </w:rPr>
        <w:t>合同价款不以固定总价结算，最终费用根据履约期间实际完成的工作内容及工程量核算支付</w:t>
      </w:r>
      <w:r>
        <w:rPr>
          <w:rFonts w:hint="eastAsia" w:ascii="宋体" w:hAnsi="宋体" w:eastAsia="宋体" w:cs="宋体"/>
          <w:sz w:val="24"/>
          <w:szCs w:val="24"/>
          <w:lang w:eastAsia="zh-CN"/>
        </w:rPr>
        <w:t>。</w:t>
      </w:r>
    </w:p>
    <w:p w14:paraId="5499798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 合同价款支付方式</w:t>
      </w:r>
    </w:p>
    <w:p w14:paraId="6ECAFAD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2.2.1勘察费支付（</w:t>
      </w:r>
      <w:r>
        <w:rPr>
          <w:rFonts w:hint="eastAsia" w:ascii="宋体" w:hAnsi="宋体" w:eastAsia="宋体" w:cs="宋体"/>
          <w:sz w:val="24"/>
          <w:szCs w:val="24"/>
          <w:lang w:val="en-US" w:eastAsia="zh-CN"/>
        </w:rPr>
        <w:t>因本项目按阶段实施，费用按各个阶段实际完成的勘察工作量核算费用）</w:t>
      </w:r>
      <w:r>
        <w:rPr>
          <w:rFonts w:hint="eastAsia" w:ascii="宋体" w:hAnsi="宋体" w:eastAsia="宋体" w:cs="宋体"/>
          <w:sz w:val="24"/>
          <w:szCs w:val="24"/>
          <w:lang w:eastAsia="zh-CN"/>
        </w:rPr>
        <w:t>：</w:t>
      </w:r>
    </w:p>
    <w:p w14:paraId="40B06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提交初步勘察、详细勘察正式报告后，支付至各阶段实际完成阶段勘察费用的30%</w:t>
      </w:r>
      <w:r>
        <w:rPr>
          <w:rFonts w:hint="eastAsia" w:ascii="宋体" w:hAnsi="宋体" w:cs="宋体"/>
          <w:sz w:val="24"/>
          <w:szCs w:val="24"/>
          <w:lang w:eastAsia="zh-CN"/>
        </w:rPr>
        <w:t>；</w:t>
      </w:r>
    </w:p>
    <w:p w14:paraId="422EF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勘察报告经施工图审查单位审查合格后，支付至各阶段实际完成阶段勘察费的70%</w:t>
      </w:r>
      <w:r>
        <w:rPr>
          <w:rFonts w:hint="eastAsia" w:ascii="宋体" w:hAnsi="宋体" w:cs="宋体"/>
          <w:sz w:val="24"/>
          <w:szCs w:val="24"/>
          <w:lang w:eastAsia="zh-CN"/>
        </w:rPr>
        <w:t>；</w:t>
      </w:r>
    </w:p>
    <w:p w14:paraId="2D9C6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基础验收合格后经双方确定勘察服务结算价，勘察单位提交结算审核资料，支付至各阶段实际完成阶段勘察结算价的100%。</w:t>
      </w:r>
    </w:p>
    <w:p w14:paraId="4A2D86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2.2.2设计费支付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因本项目按阶段实施，费用按各个阶段实际完成的设计工作量核算费用）</w:t>
      </w:r>
      <w:r>
        <w:rPr>
          <w:rFonts w:hint="eastAsia" w:ascii="宋体" w:hAnsi="宋体" w:eastAsia="宋体" w:cs="宋体"/>
          <w:sz w:val="24"/>
          <w:szCs w:val="24"/>
        </w:rPr>
        <w:t>：</w:t>
      </w:r>
    </w:p>
    <w:p w14:paraId="151D6B1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本项目不支付预付款；</w:t>
      </w:r>
    </w:p>
    <w:p w14:paraId="750619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完成初步设计和概算并经审查合格后，支付至各阶段实际完成阶段的设计费的30%</w:t>
      </w:r>
      <w:r>
        <w:rPr>
          <w:rFonts w:hint="eastAsia" w:ascii="宋体" w:hAnsi="宋体" w:cs="宋体"/>
          <w:sz w:val="24"/>
          <w:szCs w:val="24"/>
          <w:lang w:val="en-US" w:eastAsia="zh-CN"/>
        </w:rPr>
        <w:t>；</w:t>
      </w:r>
    </w:p>
    <w:p w14:paraId="739FF1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）全部设计施工图文件经施工图审查单位审查合格并修编完成后，支付至各阶段实际完成阶段的70%；</w:t>
      </w:r>
    </w:p>
    <w:p w14:paraId="3C17CC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）竣工验收合格后经双方确定设计服务结算价，设计单位提交结算审核资料，支付至各阶段实际完成阶段结算价的100%。</w:t>
      </w:r>
    </w:p>
    <w:p w14:paraId="7ABDC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在每次支付合同价款时，由中标人缴纳相应阶段的违约金</w:t>
      </w:r>
      <w:r>
        <w:rPr>
          <w:rFonts w:hint="eastAsia" w:ascii="宋体" w:hAnsi="宋体" w:eastAsia="宋体" w:cs="宋体"/>
          <w:sz w:val="24"/>
          <w:szCs w:val="24"/>
          <w:lang w:eastAsia="zh-CN"/>
        </w:rPr>
        <w:t>（如有）</w:t>
      </w:r>
      <w:r>
        <w:rPr>
          <w:rFonts w:hint="eastAsia" w:ascii="宋体" w:hAnsi="宋体" w:eastAsia="宋体" w:cs="宋体"/>
          <w:sz w:val="24"/>
          <w:szCs w:val="24"/>
        </w:rPr>
        <w:t>。</w:t>
      </w:r>
    </w:p>
    <w:p w14:paraId="47494F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4</w:t>
      </w:r>
      <w:r>
        <w:rPr>
          <w:rFonts w:hint="eastAsia" w:ascii="宋体" w:hAnsi="宋体" w:eastAsia="宋体" w:cs="宋体"/>
          <w:sz w:val="24"/>
          <w:szCs w:val="24"/>
        </w:rPr>
        <w:t>承包人提供的工程款发票必须按照发包人要求提供相应增值税</w:t>
      </w:r>
      <w:r>
        <w:rPr>
          <w:rFonts w:hint="eastAsia" w:ascii="宋体" w:hAnsi="宋体" w:eastAsia="宋体" w:cs="宋体"/>
          <w:sz w:val="24"/>
          <w:szCs w:val="24"/>
          <w:lang w:eastAsia="zh-CN"/>
        </w:rPr>
        <w:t>普通</w:t>
      </w:r>
      <w:r>
        <w:rPr>
          <w:rFonts w:hint="eastAsia" w:ascii="宋体" w:hAnsi="宋体" w:eastAsia="宋体" w:cs="宋体"/>
          <w:sz w:val="24"/>
          <w:szCs w:val="24"/>
        </w:rPr>
        <w:t>发票给发包人，发包人收到符合要求的发票后方可支付工程款。</w:t>
      </w:r>
    </w:p>
    <w:p w14:paraId="1E3CB2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结算原则：</w:t>
      </w:r>
    </w:p>
    <w:p w14:paraId="63F127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2.3.1勘察费用结算原则：中标综合单价即为结算综合单价，结算价=实际有效勘察长度</w:t>
      </w:r>
    </w:p>
    <w:p w14:paraId="528F9C6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rPr>
        <w:t>中标勘察综合单价。若勘察费结算价超过勘察费中标价，则按勘察费中标价结算。(实际有效勘察长度是指中标人需根据发包人提供的勘察范围科学合理布点勘察，且经发包人认可)。</w:t>
      </w:r>
    </w:p>
    <w:p w14:paraId="1F1D0E8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r>
        <w:rPr>
          <w:rFonts w:hint="eastAsia" w:ascii="宋体" w:hAnsi="宋体" w:eastAsia="宋体" w:cs="宋体"/>
          <w:sz w:val="24"/>
          <w:szCs w:val="24"/>
        </w:rPr>
        <w:t>设计费用结算原则：中标设计取费费率即为设计费的结算费率，结算时按已审定的建安工程费预算价为计费基数计算，即设计费结算价=已审定的建安预算价×中标设计取费费率。低于中标</w:t>
      </w:r>
      <w:r>
        <w:rPr>
          <w:rFonts w:hint="eastAsia" w:ascii="宋体" w:hAnsi="宋体" w:eastAsia="宋体" w:cs="宋体"/>
          <w:sz w:val="24"/>
          <w:szCs w:val="24"/>
          <w:lang w:val="en-US" w:eastAsia="zh-CN"/>
        </w:rPr>
        <w:t>设计</w:t>
      </w:r>
      <w:r>
        <w:rPr>
          <w:rFonts w:hint="eastAsia" w:ascii="宋体" w:hAnsi="宋体" w:eastAsia="宋体" w:cs="宋体"/>
          <w:sz w:val="24"/>
          <w:szCs w:val="24"/>
        </w:rPr>
        <w:t>费的按实结算，高于中标</w:t>
      </w:r>
      <w:r>
        <w:rPr>
          <w:rFonts w:hint="eastAsia" w:ascii="宋体" w:hAnsi="宋体" w:eastAsia="宋体" w:cs="宋体"/>
          <w:sz w:val="24"/>
          <w:szCs w:val="24"/>
          <w:lang w:val="en-US" w:eastAsia="zh-CN"/>
        </w:rPr>
        <w:t>设计</w:t>
      </w:r>
      <w:r>
        <w:rPr>
          <w:rFonts w:hint="eastAsia" w:ascii="宋体" w:hAnsi="宋体" w:eastAsia="宋体" w:cs="宋体"/>
          <w:sz w:val="24"/>
          <w:szCs w:val="24"/>
        </w:rPr>
        <w:t>费的按中标</w:t>
      </w:r>
      <w:r>
        <w:rPr>
          <w:rFonts w:hint="eastAsia" w:ascii="宋体" w:hAnsi="宋体" w:eastAsia="宋体" w:cs="宋体"/>
          <w:sz w:val="24"/>
          <w:szCs w:val="24"/>
          <w:lang w:val="en-US" w:eastAsia="zh-CN"/>
        </w:rPr>
        <w:t>设计</w:t>
      </w:r>
      <w:r>
        <w:rPr>
          <w:rFonts w:hint="eastAsia" w:ascii="宋体" w:hAnsi="宋体" w:eastAsia="宋体" w:cs="宋体"/>
          <w:sz w:val="24"/>
          <w:szCs w:val="24"/>
        </w:rPr>
        <w:t>费结算</w:t>
      </w:r>
      <w:r>
        <w:rPr>
          <w:rFonts w:hint="eastAsia" w:ascii="宋体" w:hAnsi="宋体" w:eastAsia="宋体" w:cs="宋体"/>
          <w:sz w:val="24"/>
          <w:szCs w:val="24"/>
          <w:lang w:eastAsia="zh-CN"/>
        </w:rPr>
        <w:t>。</w:t>
      </w:r>
    </w:p>
    <w:p w14:paraId="023C90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若因不可预见因素导致项目长时间（两年以上）暂停或取消，乙方可申请按实际完成工作量进行结算。</w:t>
      </w:r>
    </w:p>
    <w:p w14:paraId="0E11FC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4</w:t>
      </w:r>
      <w:r>
        <w:rPr>
          <w:rFonts w:hint="eastAsia" w:ascii="宋体" w:hAnsi="宋体" w:eastAsia="宋体" w:cs="宋体"/>
          <w:sz w:val="24"/>
          <w:szCs w:val="24"/>
        </w:rPr>
        <w:t>本项目勘察设计人的所有违约金均需按照发包人开出的违约通知,根据韶关市非税收入罚款流程进行违约金缴纳。</w:t>
      </w:r>
    </w:p>
    <w:p w14:paraId="02995150">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189" w:name="_Toc11083"/>
      <w:r>
        <w:rPr>
          <w:rFonts w:hint="eastAsia" w:ascii="宋体" w:hAnsi="宋体" w:eastAsia="宋体" w:cs="宋体"/>
          <w:b/>
          <w:color w:val="auto"/>
          <w:kern w:val="2"/>
          <w:sz w:val="28"/>
          <w:szCs w:val="24"/>
          <w:lang w:val="en-US" w:eastAsia="zh-CN"/>
        </w:rPr>
        <w:t>3．最终以合同签订为准（由招标人自行补充）</w:t>
      </w:r>
      <w:bookmarkEnd w:id="189"/>
    </w:p>
    <w:bookmarkEnd w:id="168"/>
    <w:bookmarkEnd w:id="169"/>
    <w:bookmarkEnd w:id="170"/>
    <w:bookmarkEnd w:id="171"/>
    <w:bookmarkEnd w:id="172"/>
    <w:bookmarkEnd w:id="173"/>
    <w:bookmarkEnd w:id="174"/>
    <w:p w14:paraId="282F0BCD">
      <w:pPr>
        <w:snapToGrid w:val="0"/>
        <w:spacing w:line="360" w:lineRule="auto"/>
        <w:rPr>
          <w:rFonts w:hint="eastAsia" w:ascii="宋体" w:hAnsi="宋体" w:eastAsia="宋体" w:cs="宋体"/>
          <w:b/>
          <w:color w:val="auto"/>
          <w:szCs w:val="22"/>
          <w:highlight w:val="none"/>
        </w:rPr>
      </w:pPr>
    </w:p>
    <w:p w14:paraId="0165EF0B">
      <w:pPr>
        <w:snapToGrid w:val="0"/>
        <w:spacing w:line="360" w:lineRule="auto"/>
        <w:rPr>
          <w:rFonts w:hint="eastAsia" w:ascii="宋体" w:hAnsi="宋体" w:eastAsia="宋体" w:cs="宋体"/>
          <w:b/>
          <w:color w:val="auto"/>
          <w:szCs w:val="22"/>
          <w:highlight w:val="none"/>
        </w:rPr>
      </w:pPr>
    </w:p>
    <w:p w14:paraId="5ACE8FD1">
      <w:pPr>
        <w:snapToGrid w:val="0"/>
        <w:spacing w:line="360" w:lineRule="auto"/>
        <w:rPr>
          <w:rFonts w:hint="eastAsia" w:ascii="宋体" w:hAnsi="宋体" w:eastAsia="宋体" w:cs="宋体"/>
          <w:b/>
          <w:color w:val="auto"/>
          <w:szCs w:val="22"/>
          <w:highlight w:val="none"/>
        </w:rPr>
      </w:pPr>
    </w:p>
    <w:p w14:paraId="054DEDC4">
      <w:pPr>
        <w:snapToGrid w:val="0"/>
        <w:spacing w:line="360" w:lineRule="auto"/>
        <w:rPr>
          <w:rFonts w:hint="eastAsia" w:ascii="宋体" w:hAnsi="宋体" w:eastAsia="宋体" w:cs="宋体"/>
          <w:b/>
          <w:color w:val="auto"/>
          <w:szCs w:val="22"/>
          <w:highlight w:val="none"/>
        </w:rPr>
      </w:pPr>
    </w:p>
    <w:p w14:paraId="172EB08F">
      <w:pPr>
        <w:snapToGrid w:val="0"/>
        <w:spacing w:line="360" w:lineRule="auto"/>
        <w:rPr>
          <w:rFonts w:hint="eastAsia" w:ascii="宋体" w:hAnsi="宋体" w:eastAsia="宋体" w:cs="宋体"/>
          <w:b/>
          <w:color w:val="auto"/>
          <w:szCs w:val="22"/>
          <w:highlight w:val="none"/>
        </w:rPr>
      </w:pPr>
    </w:p>
    <w:p w14:paraId="4907F4AA">
      <w:pPr>
        <w:snapToGrid w:val="0"/>
        <w:spacing w:line="360" w:lineRule="auto"/>
        <w:rPr>
          <w:rFonts w:hint="eastAsia" w:ascii="宋体" w:hAnsi="宋体" w:eastAsia="宋体" w:cs="宋体"/>
          <w:b/>
          <w:color w:val="auto"/>
          <w:szCs w:val="22"/>
          <w:highlight w:val="none"/>
        </w:rPr>
      </w:pPr>
    </w:p>
    <w:p w14:paraId="5422509E">
      <w:pPr>
        <w:snapToGrid w:val="0"/>
        <w:spacing w:line="360" w:lineRule="auto"/>
        <w:rPr>
          <w:rFonts w:hint="eastAsia" w:ascii="宋体" w:hAnsi="宋体" w:eastAsia="宋体" w:cs="宋体"/>
          <w:b/>
          <w:color w:val="auto"/>
          <w:szCs w:val="22"/>
          <w:highlight w:val="none"/>
        </w:rPr>
      </w:pPr>
    </w:p>
    <w:p w14:paraId="3DA62CBB">
      <w:pPr>
        <w:snapToGrid w:val="0"/>
        <w:spacing w:line="360" w:lineRule="auto"/>
        <w:rPr>
          <w:rFonts w:hint="eastAsia" w:ascii="宋体" w:hAnsi="宋体" w:eastAsia="宋体" w:cs="宋体"/>
          <w:b/>
          <w:color w:val="auto"/>
          <w:szCs w:val="22"/>
          <w:highlight w:val="none"/>
        </w:rPr>
      </w:pPr>
    </w:p>
    <w:p w14:paraId="6C8A8F37">
      <w:pPr>
        <w:snapToGrid w:val="0"/>
        <w:spacing w:line="360" w:lineRule="auto"/>
        <w:rPr>
          <w:rFonts w:hint="eastAsia" w:ascii="宋体" w:hAnsi="宋体" w:eastAsia="宋体" w:cs="宋体"/>
          <w:b/>
          <w:color w:val="auto"/>
          <w:szCs w:val="22"/>
          <w:highlight w:val="none"/>
        </w:rPr>
      </w:pPr>
    </w:p>
    <w:p w14:paraId="2B841EE6">
      <w:pPr>
        <w:snapToGrid w:val="0"/>
        <w:spacing w:line="360" w:lineRule="auto"/>
        <w:rPr>
          <w:rFonts w:hint="eastAsia" w:ascii="宋体" w:hAnsi="宋体" w:eastAsia="宋体" w:cs="宋体"/>
          <w:b/>
          <w:color w:val="auto"/>
          <w:szCs w:val="22"/>
          <w:highlight w:val="none"/>
        </w:rPr>
      </w:pPr>
    </w:p>
    <w:p w14:paraId="599A7C74">
      <w:pPr>
        <w:snapToGrid w:val="0"/>
        <w:spacing w:line="360" w:lineRule="auto"/>
        <w:rPr>
          <w:rFonts w:hint="eastAsia" w:ascii="宋体" w:hAnsi="宋体" w:eastAsia="宋体" w:cs="宋体"/>
          <w:b/>
          <w:color w:val="auto"/>
          <w:szCs w:val="22"/>
          <w:highlight w:val="none"/>
        </w:rPr>
      </w:pPr>
    </w:p>
    <w:p w14:paraId="5E8F7F5C">
      <w:pPr>
        <w:snapToGrid w:val="0"/>
        <w:spacing w:line="360" w:lineRule="auto"/>
        <w:rPr>
          <w:rFonts w:hint="eastAsia" w:ascii="宋体" w:hAnsi="宋体" w:eastAsia="宋体" w:cs="宋体"/>
          <w:b/>
          <w:color w:val="auto"/>
          <w:szCs w:val="22"/>
          <w:highlight w:val="none"/>
        </w:rPr>
      </w:pPr>
    </w:p>
    <w:p w14:paraId="7C8F3827">
      <w:pPr>
        <w:snapToGrid w:val="0"/>
        <w:spacing w:line="360" w:lineRule="auto"/>
        <w:rPr>
          <w:rFonts w:hint="eastAsia" w:ascii="宋体" w:hAnsi="宋体" w:eastAsia="宋体" w:cs="宋体"/>
          <w:b/>
          <w:color w:val="auto"/>
          <w:szCs w:val="22"/>
          <w:highlight w:val="none"/>
        </w:rPr>
      </w:pPr>
    </w:p>
    <w:p w14:paraId="6DD2542B">
      <w:pPr>
        <w:snapToGrid w:val="0"/>
        <w:spacing w:line="360" w:lineRule="auto"/>
        <w:rPr>
          <w:rFonts w:hint="eastAsia" w:ascii="宋体" w:hAnsi="宋体" w:eastAsia="宋体" w:cs="宋体"/>
          <w:b/>
          <w:color w:val="auto"/>
          <w:szCs w:val="22"/>
          <w:highlight w:val="none"/>
        </w:rPr>
      </w:pPr>
    </w:p>
    <w:p w14:paraId="1A96F48D">
      <w:pPr>
        <w:snapToGrid w:val="0"/>
        <w:spacing w:line="360" w:lineRule="auto"/>
        <w:rPr>
          <w:rFonts w:hint="eastAsia" w:ascii="宋体" w:hAnsi="宋体" w:eastAsia="宋体" w:cs="宋体"/>
          <w:b/>
          <w:color w:val="auto"/>
          <w:szCs w:val="22"/>
          <w:highlight w:val="none"/>
        </w:rPr>
      </w:pPr>
    </w:p>
    <w:p w14:paraId="39598BE7">
      <w:pPr>
        <w:snapToGrid w:val="0"/>
        <w:spacing w:line="360" w:lineRule="auto"/>
        <w:rPr>
          <w:rFonts w:hint="eastAsia" w:ascii="宋体" w:hAnsi="宋体" w:eastAsia="宋体" w:cs="宋体"/>
          <w:b/>
          <w:color w:val="auto"/>
          <w:szCs w:val="22"/>
          <w:highlight w:val="none"/>
        </w:rPr>
      </w:pPr>
    </w:p>
    <w:p w14:paraId="630DC76C">
      <w:pPr>
        <w:snapToGrid w:val="0"/>
        <w:spacing w:line="360" w:lineRule="auto"/>
        <w:rPr>
          <w:rFonts w:hint="eastAsia" w:ascii="宋体" w:hAnsi="宋体" w:eastAsia="宋体" w:cs="宋体"/>
          <w:b/>
          <w:color w:val="auto"/>
          <w:szCs w:val="22"/>
          <w:highlight w:val="none"/>
        </w:rPr>
      </w:pPr>
    </w:p>
    <w:p w14:paraId="2FC12787">
      <w:pPr>
        <w:snapToGrid w:val="0"/>
        <w:spacing w:line="360" w:lineRule="auto"/>
        <w:rPr>
          <w:rFonts w:hint="eastAsia" w:ascii="宋体" w:hAnsi="宋体" w:eastAsia="宋体" w:cs="宋体"/>
          <w:b/>
          <w:color w:val="auto"/>
          <w:szCs w:val="22"/>
          <w:highlight w:val="none"/>
        </w:rPr>
      </w:pPr>
    </w:p>
    <w:p w14:paraId="7F8AF55A">
      <w:pPr>
        <w:snapToGrid w:val="0"/>
        <w:spacing w:line="360" w:lineRule="auto"/>
        <w:rPr>
          <w:rFonts w:hint="eastAsia" w:ascii="宋体" w:hAnsi="宋体" w:eastAsia="宋体" w:cs="宋体"/>
          <w:b/>
          <w:color w:val="auto"/>
          <w:szCs w:val="22"/>
          <w:highlight w:val="none"/>
        </w:rPr>
      </w:pPr>
    </w:p>
    <w:p w14:paraId="7B5F6385">
      <w:pPr>
        <w:pStyle w:val="4"/>
        <w:keepNext/>
        <w:keepLines w:val="0"/>
        <w:pageBreakBefore w:val="0"/>
        <w:shd w:val="clear" w:color="auto" w:fill="auto"/>
        <w:tabs>
          <w:tab w:val="left" w:pos="1830"/>
        </w:tabs>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color w:val="auto"/>
          <w:kern w:val="2"/>
          <w:sz w:val="32"/>
          <w:szCs w:val="32"/>
          <w:highlight w:val="none"/>
        </w:rPr>
      </w:pPr>
      <w:bookmarkStart w:id="190" w:name="_Toc14278"/>
      <w:r>
        <w:rPr>
          <w:rFonts w:hint="eastAsia" w:ascii="宋体" w:hAnsi="宋体" w:eastAsia="宋体" w:cs="宋体"/>
          <w:b/>
          <w:color w:val="auto"/>
          <w:kern w:val="2"/>
          <w:sz w:val="32"/>
          <w:szCs w:val="32"/>
          <w:highlight w:val="none"/>
          <w:lang w:val="en-US" w:eastAsia="zh-CN"/>
        </w:rPr>
        <w:t>第四章</w:t>
      </w:r>
      <w:bookmarkStart w:id="191" w:name="_Hlt87793853"/>
      <w:bookmarkEnd w:id="191"/>
      <w:r>
        <w:rPr>
          <w:rFonts w:hint="eastAsia" w:ascii="宋体" w:hAnsi="宋体" w:eastAsia="宋体" w:cs="宋体"/>
          <w:b/>
          <w:color w:val="auto"/>
          <w:kern w:val="2"/>
          <w:sz w:val="32"/>
          <w:szCs w:val="32"/>
          <w:highlight w:val="none"/>
          <w:lang w:val="en-US" w:eastAsia="zh-CN"/>
        </w:rPr>
        <w:t xml:space="preserve">   技术要求</w:t>
      </w:r>
      <w:bookmarkEnd w:id="175"/>
      <w:bookmarkEnd w:id="176"/>
      <w:bookmarkEnd w:id="190"/>
      <w:bookmarkStart w:id="192" w:name="_Hlt69359335"/>
      <w:bookmarkEnd w:id="192"/>
      <w:bookmarkStart w:id="193" w:name="_Hlt80411122"/>
      <w:bookmarkEnd w:id="193"/>
      <w:bookmarkStart w:id="194" w:name="_Hlt68774758"/>
      <w:bookmarkEnd w:id="194"/>
      <w:bookmarkStart w:id="195" w:name="_Hlt69358207"/>
      <w:bookmarkEnd w:id="195"/>
      <w:bookmarkStart w:id="196" w:name="_Hlt69116854"/>
      <w:bookmarkEnd w:id="196"/>
      <w:bookmarkStart w:id="197" w:name="_Hlt87793346"/>
      <w:bookmarkEnd w:id="197"/>
      <w:bookmarkStart w:id="198" w:name="_Hlt87793370"/>
      <w:bookmarkEnd w:id="198"/>
      <w:bookmarkStart w:id="199" w:name="_Hlt69357851"/>
      <w:bookmarkEnd w:id="199"/>
      <w:bookmarkStart w:id="200" w:name="_Hlt75685840"/>
      <w:bookmarkEnd w:id="200"/>
      <w:bookmarkStart w:id="201" w:name="_Hlt69265216"/>
      <w:bookmarkEnd w:id="201"/>
      <w:bookmarkStart w:id="202" w:name="_Hlt66104926"/>
      <w:bookmarkEnd w:id="202"/>
    </w:p>
    <w:p w14:paraId="70B7B61C">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03" w:name="_Hlt69670335"/>
      <w:bookmarkEnd w:id="203"/>
      <w:bookmarkStart w:id="204" w:name="_Hlt69338190"/>
      <w:bookmarkEnd w:id="204"/>
      <w:bookmarkStart w:id="205" w:name="_Hlt69358336"/>
      <w:bookmarkEnd w:id="205"/>
      <w:bookmarkStart w:id="206" w:name="_Hlt66848640"/>
      <w:bookmarkEnd w:id="206"/>
      <w:bookmarkStart w:id="207" w:name="_Hlt69635247"/>
      <w:bookmarkEnd w:id="207"/>
      <w:bookmarkStart w:id="208" w:name="_Hlt69116863"/>
      <w:bookmarkEnd w:id="208"/>
      <w:bookmarkStart w:id="209" w:name="_Hlt69265207"/>
      <w:bookmarkEnd w:id="209"/>
      <w:bookmarkStart w:id="210" w:name="_Toc17829"/>
      <w:bookmarkStart w:id="211" w:name="_Toc5215"/>
      <w:bookmarkStart w:id="212" w:name="_Toc466640612"/>
      <w:bookmarkStart w:id="213" w:name="_Hlt69698785"/>
      <w:bookmarkStart w:id="214" w:name="_Toc8133"/>
      <w:r>
        <w:rPr>
          <w:rFonts w:hint="eastAsia" w:ascii="宋体" w:hAnsi="宋体" w:eastAsia="宋体" w:cs="宋体"/>
          <w:b/>
          <w:color w:val="auto"/>
          <w:kern w:val="2"/>
          <w:sz w:val="28"/>
          <w:szCs w:val="24"/>
          <w:lang w:val="en-US" w:eastAsia="zh-CN"/>
        </w:rPr>
        <w:t>1．工程的技术要求</w:t>
      </w:r>
      <w:bookmarkEnd w:id="210"/>
    </w:p>
    <w:p w14:paraId="08B2D51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一、工程勘察标准规范</w:t>
      </w:r>
    </w:p>
    <w:p w14:paraId="2C5D3F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本项目勘察、测量文件必须符合现行国家、行业和地方的一切法规、规范和标准关于工程勘察、测量的要求，包括但不限于：</w:t>
      </w:r>
    </w:p>
    <w:p w14:paraId="7C941B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1.《工程测量规范 》(GB 50026-2007)；</w:t>
      </w:r>
    </w:p>
    <w:p w14:paraId="2A2B71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2.《全球定位系统（GPS）测量规范》（GB/T18314-2001）；</w:t>
      </w:r>
    </w:p>
    <w:p w14:paraId="51C2BF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3.《1:500、1:1000、1:2000地形图图式》（GB/T20257.1-2007）；</w:t>
      </w:r>
    </w:p>
    <w:p w14:paraId="3E5C7F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4.《岩土工程勘察规范》（GB50021-2001，2009版）；</w:t>
      </w:r>
    </w:p>
    <w:p w14:paraId="270B5A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.《中国地震动参数区划图》（GB18306-2015）；</w:t>
      </w:r>
    </w:p>
    <w:p w14:paraId="5BD775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.《建筑工程地质勘探与取样技术规程》(JGJ/T87-2012)；</w:t>
      </w:r>
    </w:p>
    <w:p w14:paraId="1BD0C6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.《土工试验方法标准》（GB/T50123-2019）；</w:t>
      </w:r>
    </w:p>
    <w:p w14:paraId="460563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.《工程岩体分级标准》（GB/T50218-2014）。</w:t>
      </w:r>
    </w:p>
    <w:p w14:paraId="671E93E8">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备注：若有相关主管部门颁发新的标准规范则按新的标准规范执行。</w:t>
      </w:r>
    </w:p>
    <w:bookmarkEnd w:id="211"/>
    <w:bookmarkEnd w:id="212"/>
    <w:p w14:paraId="6E52DE1C">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二、设计主要采用的规范、标准</w:t>
      </w:r>
    </w:p>
    <w:p w14:paraId="7B8ACF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（1）《城市道路工程设计规范》（CJJ 37-2012[2016年版]）；</w:t>
      </w:r>
    </w:p>
    <w:p w14:paraId="50BE54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（2）《城镇道路路面设计规范》（CJJ 169-2012）；</w:t>
      </w:r>
    </w:p>
    <w:p w14:paraId="770DFC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（3）《城市道路路线设计规范》（CJJ 193-2012）；</w:t>
      </w:r>
    </w:p>
    <w:p w14:paraId="4A5602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（4）《城市道路交叉口设计规程》（CJJ152-2010）；</w:t>
      </w:r>
    </w:p>
    <w:p w14:paraId="44771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（5）《城镇道路工程施工与质量验收规范》（CJJ1-2008）；</w:t>
      </w:r>
    </w:p>
    <w:p w14:paraId="636A28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（6）《道路交通标志和标线》（GB5768-2022）；</w:t>
      </w:r>
    </w:p>
    <w:p w14:paraId="34DDD0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（7）《室外给水设计标准》(GB50013-2018)；</w:t>
      </w:r>
    </w:p>
    <w:p w14:paraId="39AE1F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（8）《通信管道与通道工程设计标准》（GB50373-2019）；</w:t>
      </w:r>
    </w:p>
    <w:p w14:paraId="55FC83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（9）《城市给水工程项目规范》（GB 55026-2022）；</w:t>
      </w:r>
    </w:p>
    <w:p w14:paraId="0C92A6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（10）《城市电力电缆线路设计技术规定》（DL/T 5221-2016）；</w:t>
      </w:r>
    </w:p>
    <w:p w14:paraId="2CACA2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（11）《给水排水工程构筑物结构设计规范》(GB50069-2002)；</w:t>
      </w:r>
    </w:p>
    <w:p w14:paraId="1FCCA6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（12）《给水排水工程管道结构设计规范》(GB50332-2002)；</w:t>
      </w:r>
    </w:p>
    <w:p w14:paraId="723B4F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（13）《给水排水管道工程施工及验收规范》(GB50268-2008)；</w:t>
      </w:r>
    </w:p>
    <w:p w14:paraId="2C3AB6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（14）《城市道路照明设计标准》（CJJ45-2015）；</w:t>
      </w:r>
    </w:p>
    <w:p w14:paraId="621BB3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（15）《室外排水设计标准》(GB50014-2021)；</w:t>
      </w:r>
    </w:p>
    <w:p w14:paraId="44FD06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（16）《城市排水工程项目规范》(GB55027-2022)；</w:t>
      </w:r>
    </w:p>
    <w:p w14:paraId="5CD924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（17）《城市电力规划规范》（GB50293-2014）；</w:t>
      </w:r>
    </w:p>
    <w:p w14:paraId="0151E1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（18）《建筑与市政工程防水通用规范》（GB55030-2022）；</w:t>
      </w:r>
    </w:p>
    <w:p w14:paraId="6CF78EE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（19）《建筑与市政工程无障碍通用规范》（GB55019-2021）</w:t>
      </w:r>
      <w:r>
        <w:rPr>
          <w:rFonts w:hint="eastAsia" w:ascii="宋体" w:hAnsi="宋体" w:eastAsia="宋体" w:cs="宋体"/>
          <w:sz w:val="24"/>
          <w:szCs w:val="24"/>
          <w:lang w:eastAsia="zh-CN"/>
        </w:rPr>
        <w:t>；</w:t>
      </w:r>
    </w:p>
    <w:p w14:paraId="3B2DB21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（20）《城市道路交通工程项目规范》（GB55011-2021）</w:t>
      </w:r>
      <w:r>
        <w:rPr>
          <w:rFonts w:hint="eastAsia" w:ascii="宋体" w:hAnsi="宋体" w:eastAsia="宋体" w:cs="宋体"/>
          <w:sz w:val="24"/>
          <w:szCs w:val="24"/>
          <w:lang w:eastAsia="zh-CN"/>
        </w:rPr>
        <w:t>；</w:t>
      </w:r>
    </w:p>
    <w:p w14:paraId="680255F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（21）国家或本地区其他相关规范</w:t>
      </w:r>
      <w:r>
        <w:rPr>
          <w:rFonts w:hint="eastAsia" w:ascii="宋体" w:hAnsi="宋体" w:eastAsia="宋体" w:cs="宋体"/>
          <w:sz w:val="24"/>
          <w:szCs w:val="24"/>
          <w:lang w:eastAsia="zh-CN"/>
        </w:rPr>
        <w:t>。</w:t>
      </w:r>
    </w:p>
    <w:p w14:paraId="2B415D2F">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备注：若有相关主管部门颁发新的标准规范则按新的标准规范执行。</w:t>
      </w:r>
    </w:p>
    <w:p w14:paraId="68D1CEEA">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15" w:name="_Toc199"/>
      <w:r>
        <w:rPr>
          <w:rFonts w:hint="eastAsia" w:ascii="宋体" w:hAnsi="宋体" w:eastAsia="宋体" w:cs="宋体"/>
          <w:b/>
          <w:color w:val="auto"/>
          <w:kern w:val="2"/>
          <w:sz w:val="28"/>
          <w:szCs w:val="24"/>
          <w:lang w:val="en-US" w:eastAsia="zh-CN"/>
        </w:rPr>
        <w:t>2．备查要求</w:t>
      </w:r>
      <w:bookmarkEnd w:id="215"/>
    </w:p>
    <w:p w14:paraId="040A2B9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承包人必须在项目实施现场准备至少一套上述规范，发包人可随时检查承包人的上述规范，并监督承包人按规范要求执行。</w:t>
      </w:r>
    </w:p>
    <w:p w14:paraId="323B90B5">
      <w:pPr>
        <w:rPr>
          <w:rFonts w:hint="eastAsia" w:ascii="宋体" w:hAnsi="宋体" w:eastAsia="宋体" w:cs="宋体"/>
          <w:lang w:val="en-US" w:eastAsia="zh-CN"/>
        </w:rPr>
      </w:pPr>
    </w:p>
    <w:p w14:paraId="7E61EE73">
      <w:pPr>
        <w:rPr>
          <w:rFonts w:hint="eastAsia" w:ascii="宋体" w:hAnsi="宋体" w:eastAsia="宋体" w:cs="宋体"/>
          <w:lang w:val="en-US" w:eastAsia="zh-CN"/>
        </w:rPr>
      </w:pPr>
    </w:p>
    <w:p w14:paraId="799AE0BE">
      <w:pPr>
        <w:rPr>
          <w:rFonts w:hint="eastAsia" w:ascii="宋体" w:hAnsi="宋体" w:eastAsia="宋体" w:cs="宋体"/>
          <w:lang w:val="en-US" w:eastAsia="zh-CN"/>
        </w:rPr>
      </w:pPr>
    </w:p>
    <w:p w14:paraId="08D85654">
      <w:pPr>
        <w:rPr>
          <w:rFonts w:hint="eastAsia" w:ascii="宋体" w:hAnsi="宋体" w:eastAsia="宋体" w:cs="宋体"/>
          <w:lang w:val="en-US" w:eastAsia="zh-CN"/>
        </w:rPr>
      </w:pPr>
    </w:p>
    <w:p w14:paraId="04FE6C48">
      <w:pPr>
        <w:rPr>
          <w:rFonts w:hint="eastAsia" w:ascii="宋体" w:hAnsi="宋体" w:eastAsia="宋体" w:cs="宋体"/>
          <w:lang w:val="en-US" w:eastAsia="zh-CN"/>
        </w:rPr>
      </w:pPr>
    </w:p>
    <w:p w14:paraId="7C826CC9">
      <w:pPr>
        <w:rPr>
          <w:rFonts w:hint="eastAsia" w:ascii="宋体" w:hAnsi="宋体" w:eastAsia="宋体" w:cs="宋体"/>
          <w:lang w:val="en-US" w:eastAsia="zh-CN"/>
        </w:rPr>
      </w:pPr>
    </w:p>
    <w:p w14:paraId="39FAAA89">
      <w:pPr>
        <w:rPr>
          <w:rFonts w:hint="eastAsia" w:ascii="宋体" w:hAnsi="宋体" w:eastAsia="宋体" w:cs="宋体"/>
          <w:lang w:val="en-US" w:eastAsia="zh-CN"/>
        </w:rPr>
      </w:pPr>
    </w:p>
    <w:p w14:paraId="72BB8275">
      <w:pPr>
        <w:pStyle w:val="31"/>
        <w:ind w:left="0" w:leftChars="0" w:firstLine="0" w:firstLineChars="0"/>
        <w:rPr>
          <w:rFonts w:hint="eastAsia" w:ascii="宋体" w:hAnsi="宋体" w:eastAsia="宋体" w:cs="宋体"/>
          <w:lang w:val="en-US" w:eastAsia="zh-CN"/>
        </w:rPr>
      </w:pPr>
    </w:p>
    <w:p w14:paraId="340C2FDE">
      <w:pPr>
        <w:rPr>
          <w:rFonts w:hint="eastAsia" w:ascii="宋体" w:hAnsi="宋体" w:eastAsia="宋体" w:cs="宋体"/>
          <w:lang w:val="en-US" w:eastAsia="zh-CN"/>
        </w:rPr>
      </w:pPr>
    </w:p>
    <w:p w14:paraId="11AEF390">
      <w:pPr>
        <w:rPr>
          <w:rFonts w:hint="eastAsia" w:ascii="宋体" w:hAnsi="宋体" w:eastAsia="宋体" w:cs="宋体"/>
          <w:lang w:val="en-US" w:eastAsia="zh-CN"/>
        </w:rPr>
      </w:pPr>
    </w:p>
    <w:p w14:paraId="2D2173BE">
      <w:pPr>
        <w:rPr>
          <w:rFonts w:hint="eastAsia" w:ascii="宋体" w:hAnsi="宋体" w:eastAsia="宋体" w:cs="宋体"/>
          <w:lang w:val="en-US" w:eastAsia="zh-CN"/>
        </w:rPr>
      </w:pPr>
    </w:p>
    <w:p w14:paraId="7DCEE232">
      <w:pPr>
        <w:rPr>
          <w:rFonts w:hint="eastAsia" w:ascii="宋体" w:hAnsi="宋体" w:eastAsia="宋体" w:cs="宋体"/>
          <w:lang w:val="en-US" w:eastAsia="zh-CN"/>
        </w:rPr>
      </w:pPr>
    </w:p>
    <w:p w14:paraId="378B41D2">
      <w:pPr>
        <w:rPr>
          <w:rFonts w:hint="eastAsia" w:ascii="宋体" w:hAnsi="宋体" w:eastAsia="宋体" w:cs="宋体"/>
          <w:lang w:val="en-US" w:eastAsia="zh-CN"/>
        </w:rPr>
      </w:pPr>
    </w:p>
    <w:p w14:paraId="0BB536FA">
      <w:pPr>
        <w:pStyle w:val="31"/>
        <w:ind w:left="0" w:leftChars="0" w:firstLine="0" w:firstLineChars="0"/>
        <w:rPr>
          <w:rFonts w:hint="eastAsia" w:ascii="宋体" w:hAnsi="宋体" w:eastAsia="宋体" w:cs="宋体"/>
          <w:lang w:val="en-US" w:eastAsia="zh-CN"/>
        </w:rPr>
      </w:pPr>
    </w:p>
    <w:p w14:paraId="3A2401A8">
      <w:pPr>
        <w:pStyle w:val="4"/>
        <w:keepNext/>
        <w:keepLines w:val="0"/>
        <w:pageBreakBefore w:val="0"/>
        <w:shd w:val="clear" w:color="auto" w:fill="auto"/>
        <w:tabs>
          <w:tab w:val="left" w:pos="1830"/>
        </w:tabs>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
          <w:color w:val="auto"/>
          <w:kern w:val="2"/>
          <w:sz w:val="32"/>
          <w:szCs w:val="32"/>
          <w:highlight w:val="none"/>
          <w:lang w:val="en-US" w:eastAsia="zh-CN"/>
        </w:rPr>
      </w:pPr>
      <w:bookmarkStart w:id="216" w:name="_Toc25872"/>
      <w:r>
        <w:rPr>
          <w:rFonts w:hint="eastAsia" w:ascii="宋体" w:hAnsi="宋体" w:eastAsia="宋体" w:cs="宋体"/>
          <w:b/>
          <w:color w:val="auto"/>
          <w:kern w:val="2"/>
          <w:sz w:val="32"/>
          <w:szCs w:val="32"/>
          <w:highlight w:val="none"/>
          <w:lang w:val="en-US" w:eastAsia="zh-CN"/>
        </w:rPr>
        <w:t xml:space="preserve">第五章 </w:t>
      </w:r>
      <w:bookmarkStart w:id="217" w:name="_Hlt75747044"/>
      <w:bookmarkEnd w:id="217"/>
      <w:r>
        <w:rPr>
          <w:rFonts w:hint="eastAsia" w:ascii="宋体" w:hAnsi="宋体" w:eastAsia="宋体" w:cs="宋体"/>
          <w:b/>
          <w:color w:val="auto"/>
          <w:kern w:val="2"/>
          <w:sz w:val="32"/>
          <w:szCs w:val="32"/>
          <w:highlight w:val="none"/>
          <w:lang w:val="en-US" w:eastAsia="zh-CN"/>
        </w:rPr>
        <w:t xml:space="preserve">  投标文件格式</w:t>
      </w:r>
      <w:bookmarkEnd w:id="213"/>
      <w:bookmarkEnd w:id="214"/>
      <w:bookmarkEnd w:id="216"/>
      <w:bookmarkStart w:id="218" w:name="_附件一：对招标文件条款自愿接受承诺书"/>
      <w:bookmarkEnd w:id="218"/>
      <w:bookmarkStart w:id="219" w:name="_附件二：近三年度主要施工项目（竣工及在建）一览表"/>
      <w:bookmarkEnd w:id="219"/>
      <w:bookmarkStart w:id="220" w:name="_附件二：工期承诺书"/>
      <w:bookmarkEnd w:id="220"/>
      <w:bookmarkStart w:id="221" w:name="_附件一：投标函"/>
      <w:bookmarkEnd w:id="221"/>
      <w:bookmarkStart w:id="222" w:name="_附件五：综合评审合理低价法"/>
      <w:bookmarkEnd w:id="222"/>
      <w:bookmarkStart w:id="223" w:name="_附件四：工期承诺书"/>
      <w:bookmarkEnd w:id="223"/>
      <w:bookmarkStart w:id="224" w:name="_Toc200338097"/>
      <w:bookmarkStart w:id="225" w:name="_Toc137621693"/>
      <w:bookmarkStart w:id="226" w:name="_Hlt66847557"/>
      <w:bookmarkStart w:id="227" w:name="_Toc66849200"/>
    </w:p>
    <w:p w14:paraId="4D29654D">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28" w:name="_Toc27480"/>
      <w:bookmarkStart w:id="229" w:name="_Toc11807"/>
      <w:bookmarkStart w:id="230" w:name="_Toc31229"/>
      <w:r>
        <w:rPr>
          <w:rFonts w:hint="eastAsia" w:ascii="宋体" w:hAnsi="宋体" w:eastAsia="宋体" w:cs="宋体"/>
          <w:b/>
          <w:color w:val="auto"/>
          <w:kern w:val="2"/>
          <w:sz w:val="28"/>
          <w:szCs w:val="24"/>
          <w:lang w:val="en-US" w:eastAsia="zh-CN"/>
        </w:rPr>
        <w:t>格式一   封面</w:t>
      </w:r>
      <w:bookmarkEnd w:id="228"/>
      <w:bookmarkEnd w:id="229"/>
      <w:bookmarkEnd w:id="230"/>
    </w:p>
    <w:p w14:paraId="6BD3698B">
      <w:pPr>
        <w:spacing w:line="360" w:lineRule="auto"/>
        <w:rPr>
          <w:rFonts w:hint="eastAsia" w:ascii="宋体" w:hAnsi="宋体" w:eastAsia="宋体" w:cs="宋体"/>
          <w:color w:val="auto"/>
          <w:sz w:val="24"/>
          <w:highlight w:val="none"/>
        </w:rPr>
      </w:pPr>
    </w:p>
    <w:p w14:paraId="0912DEA0">
      <w:pPr>
        <w:spacing w:line="360" w:lineRule="auto"/>
        <w:rPr>
          <w:rFonts w:hint="eastAsia" w:ascii="宋体" w:hAnsi="宋体" w:eastAsia="宋体" w:cs="宋体"/>
          <w:color w:val="auto"/>
          <w:sz w:val="24"/>
          <w:highlight w:val="none"/>
        </w:rPr>
      </w:pPr>
    </w:p>
    <w:p w14:paraId="77A4E961">
      <w:pPr>
        <w:spacing w:line="360" w:lineRule="auto"/>
        <w:rPr>
          <w:rFonts w:hint="eastAsia" w:ascii="宋体" w:hAnsi="宋体" w:eastAsia="宋体" w:cs="宋体"/>
          <w:color w:val="auto"/>
          <w:sz w:val="24"/>
          <w:highlight w:val="none"/>
        </w:rPr>
      </w:pPr>
    </w:p>
    <w:p w14:paraId="78F71DD6">
      <w:pPr>
        <w:spacing w:line="360" w:lineRule="auto"/>
        <w:rPr>
          <w:rFonts w:hint="eastAsia" w:ascii="宋体" w:hAnsi="宋体" w:eastAsia="宋体" w:cs="宋体"/>
          <w:color w:val="auto"/>
          <w:sz w:val="24"/>
          <w:highlight w:val="none"/>
        </w:rPr>
      </w:pPr>
    </w:p>
    <w:p w14:paraId="2C3F23B9">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Cs/>
          <w:snapToGrid w:val="0"/>
          <w:color w:val="auto"/>
          <w:kern w:val="0"/>
          <w:sz w:val="48"/>
          <w:szCs w:val="48"/>
          <w:highlight w:val="none"/>
          <w:u w:val="single"/>
        </w:rPr>
        <w:t xml:space="preserve">             </w:t>
      </w:r>
      <w:r>
        <w:rPr>
          <w:rFonts w:hint="eastAsia" w:ascii="宋体" w:hAnsi="宋体" w:eastAsia="宋体" w:cs="宋体"/>
          <w:b/>
          <w:snapToGrid w:val="0"/>
          <w:color w:val="auto"/>
          <w:kern w:val="0"/>
          <w:sz w:val="48"/>
          <w:szCs w:val="48"/>
          <w:highlight w:val="none"/>
        </w:rPr>
        <w:t>（项目名称）招标</w:t>
      </w:r>
    </w:p>
    <w:p w14:paraId="754436E3">
      <w:pPr>
        <w:spacing w:line="360" w:lineRule="auto"/>
        <w:rPr>
          <w:rFonts w:hint="eastAsia" w:ascii="宋体" w:hAnsi="宋体" w:eastAsia="宋体" w:cs="宋体"/>
          <w:color w:val="auto"/>
          <w:sz w:val="24"/>
          <w:highlight w:val="none"/>
        </w:rPr>
      </w:pPr>
    </w:p>
    <w:p w14:paraId="5277E39E">
      <w:pPr>
        <w:wordWrap w:val="0"/>
        <w:adjustRightInd w:val="0"/>
        <w:snapToGrid w:val="0"/>
        <w:jc w:val="center"/>
        <w:rPr>
          <w:rFonts w:hint="eastAsia" w:ascii="宋体" w:hAnsi="宋体" w:eastAsia="宋体" w:cs="宋体"/>
          <w:b/>
          <w:snapToGrid w:val="0"/>
          <w:color w:val="auto"/>
          <w:kern w:val="0"/>
          <w:sz w:val="72"/>
          <w:highlight w:val="none"/>
        </w:rPr>
      </w:pPr>
      <w:r>
        <w:rPr>
          <w:rFonts w:hint="eastAsia" w:ascii="宋体" w:hAnsi="宋体" w:eastAsia="宋体" w:cs="宋体"/>
          <w:b/>
          <w:snapToGrid w:val="0"/>
          <w:color w:val="auto"/>
          <w:kern w:val="0"/>
          <w:sz w:val="72"/>
          <w:highlight w:val="none"/>
        </w:rPr>
        <w:t>投  标  文  件</w:t>
      </w:r>
    </w:p>
    <w:p w14:paraId="72E88F19">
      <w:pPr>
        <w:spacing w:line="360" w:lineRule="auto"/>
        <w:rPr>
          <w:rFonts w:hint="eastAsia" w:ascii="宋体" w:hAnsi="宋体" w:eastAsia="宋体" w:cs="宋体"/>
          <w:color w:val="auto"/>
          <w:sz w:val="24"/>
          <w:highlight w:val="none"/>
        </w:rPr>
      </w:pPr>
    </w:p>
    <w:p w14:paraId="42AC3618">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
          <w:snapToGrid w:val="0"/>
          <w:color w:val="auto"/>
          <w:kern w:val="0"/>
          <w:sz w:val="48"/>
          <w:szCs w:val="48"/>
          <w:highlight w:val="none"/>
        </w:rPr>
        <w:t>（</w:t>
      </w:r>
      <w:r>
        <w:rPr>
          <w:rFonts w:hint="eastAsia" w:ascii="宋体" w:hAnsi="宋体" w:eastAsia="宋体" w:cs="宋体"/>
          <w:b/>
          <w:snapToGrid w:val="0"/>
          <w:color w:val="auto"/>
          <w:kern w:val="0"/>
          <w:sz w:val="48"/>
          <w:szCs w:val="48"/>
          <w:highlight w:val="none"/>
          <w:lang w:eastAsia="zh-CN"/>
        </w:rPr>
        <w:t>商务经济标书</w:t>
      </w:r>
      <w:r>
        <w:rPr>
          <w:rFonts w:hint="eastAsia" w:ascii="宋体" w:hAnsi="宋体" w:eastAsia="宋体" w:cs="宋体"/>
          <w:b/>
          <w:snapToGrid w:val="0"/>
          <w:color w:val="auto"/>
          <w:kern w:val="0"/>
          <w:sz w:val="48"/>
          <w:szCs w:val="48"/>
          <w:highlight w:val="none"/>
        </w:rPr>
        <w:t>／技术</w:t>
      </w:r>
      <w:r>
        <w:rPr>
          <w:rFonts w:hint="eastAsia" w:ascii="宋体" w:hAnsi="宋体" w:eastAsia="宋体" w:cs="宋体"/>
          <w:b/>
          <w:snapToGrid w:val="0"/>
          <w:color w:val="auto"/>
          <w:kern w:val="0"/>
          <w:sz w:val="48"/>
          <w:szCs w:val="48"/>
          <w:highlight w:val="none"/>
          <w:lang w:eastAsia="zh-CN"/>
        </w:rPr>
        <w:t>标书</w:t>
      </w:r>
      <w:r>
        <w:rPr>
          <w:rFonts w:hint="eastAsia" w:ascii="宋体" w:hAnsi="宋体" w:eastAsia="宋体" w:cs="宋体"/>
          <w:b/>
          <w:snapToGrid w:val="0"/>
          <w:color w:val="auto"/>
          <w:kern w:val="0"/>
          <w:sz w:val="48"/>
          <w:szCs w:val="48"/>
          <w:highlight w:val="none"/>
          <w:lang w:val="en-US" w:eastAsia="zh-CN"/>
        </w:rPr>
        <w:t>/定标文件</w:t>
      </w:r>
      <w:r>
        <w:rPr>
          <w:rFonts w:hint="eastAsia" w:ascii="宋体" w:hAnsi="宋体" w:eastAsia="宋体" w:cs="宋体"/>
          <w:b/>
          <w:snapToGrid w:val="0"/>
          <w:color w:val="auto"/>
          <w:kern w:val="0"/>
          <w:sz w:val="48"/>
          <w:szCs w:val="48"/>
          <w:highlight w:val="none"/>
        </w:rPr>
        <w:t>）</w:t>
      </w:r>
    </w:p>
    <w:p w14:paraId="15A79529">
      <w:pPr>
        <w:spacing w:line="360" w:lineRule="auto"/>
        <w:rPr>
          <w:rFonts w:hint="eastAsia" w:ascii="宋体" w:hAnsi="宋体" w:eastAsia="宋体" w:cs="宋体"/>
          <w:color w:val="auto"/>
          <w:sz w:val="24"/>
          <w:highlight w:val="none"/>
        </w:rPr>
      </w:pPr>
    </w:p>
    <w:p w14:paraId="47D7DD35">
      <w:pPr>
        <w:spacing w:line="360" w:lineRule="auto"/>
        <w:rPr>
          <w:rFonts w:hint="eastAsia" w:ascii="宋体" w:hAnsi="宋体" w:eastAsia="宋体" w:cs="宋体"/>
          <w:color w:val="auto"/>
          <w:sz w:val="24"/>
          <w:highlight w:val="none"/>
        </w:rPr>
      </w:pPr>
    </w:p>
    <w:p w14:paraId="027FCCA6">
      <w:pPr>
        <w:spacing w:line="360" w:lineRule="auto"/>
        <w:rPr>
          <w:rFonts w:hint="eastAsia" w:ascii="宋体" w:hAnsi="宋体" w:eastAsia="宋体" w:cs="宋体"/>
          <w:color w:val="auto"/>
          <w:sz w:val="24"/>
          <w:highlight w:val="none"/>
        </w:rPr>
      </w:pPr>
    </w:p>
    <w:p w14:paraId="7901955F">
      <w:pPr>
        <w:spacing w:line="360" w:lineRule="auto"/>
        <w:rPr>
          <w:rFonts w:hint="eastAsia" w:ascii="宋体" w:hAnsi="宋体" w:eastAsia="宋体" w:cs="宋体"/>
          <w:color w:val="auto"/>
          <w:sz w:val="24"/>
          <w:highlight w:val="none"/>
        </w:rPr>
      </w:pPr>
    </w:p>
    <w:p w14:paraId="71749EBA">
      <w:pPr>
        <w:spacing w:line="360" w:lineRule="auto"/>
        <w:rPr>
          <w:rFonts w:hint="eastAsia" w:ascii="宋体" w:hAnsi="宋体" w:eastAsia="宋体" w:cs="宋体"/>
          <w:color w:val="auto"/>
          <w:sz w:val="24"/>
          <w:highlight w:val="none"/>
        </w:rPr>
      </w:pPr>
    </w:p>
    <w:p w14:paraId="66971668">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投标人：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（盖单位章）</w:t>
      </w:r>
    </w:p>
    <w:p w14:paraId="311A6A58">
      <w:pPr>
        <w:spacing w:line="360" w:lineRule="auto"/>
        <w:rPr>
          <w:rFonts w:hint="eastAsia" w:ascii="宋体" w:hAnsi="宋体" w:eastAsia="宋体" w:cs="宋体"/>
          <w:color w:val="auto"/>
          <w:sz w:val="24"/>
          <w:highlight w:val="none"/>
        </w:rPr>
      </w:pPr>
    </w:p>
    <w:p w14:paraId="2AE1B9B6">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法定代表人或其委托代理人：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（签字或盖章）</w:t>
      </w:r>
    </w:p>
    <w:p w14:paraId="0B33357B">
      <w:pPr>
        <w:spacing w:line="360" w:lineRule="auto"/>
        <w:rPr>
          <w:rFonts w:hint="eastAsia" w:ascii="宋体" w:hAnsi="宋体" w:eastAsia="宋体" w:cs="宋体"/>
          <w:color w:val="auto"/>
          <w:sz w:val="24"/>
          <w:highlight w:val="none"/>
        </w:rPr>
      </w:pPr>
    </w:p>
    <w:p w14:paraId="21571AAE">
      <w:pPr>
        <w:wordWrap w:val="0"/>
        <w:adjustRightInd w:val="0"/>
        <w:snapToGrid w:val="0"/>
        <w:jc w:val="center"/>
        <w:rPr>
          <w:rFonts w:hint="eastAsia" w:ascii="宋体" w:hAnsi="宋体" w:eastAsia="宋体" w:cs="宋体"/>
          <w:bCs/>
          <w:snapToGrid w:val="0"/>
          <w:color w:val="auto"/>
          <w:kern w:val="0"/>
          <w:sz w:val="32"/>
          <w:highlight w:val="none"/>
        </w:rPr>
      </w:pP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年</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月</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日</w:t>
      </w:r>
    </w:p>
    <w:p w14:paraId="346C812B">
      <w:pPr>
        <w:rPr>
          <w:rFonts w:hint="eastAsia" w:ascii="宋体" w:hAnsi="宋体" w:eastAsia="宋体" w:cs="宋体"/>
        </w:rPr>
      </w:pPr>
    </w:p>
    <w:p w14:paraId="7D833244">
      <w:pPr>
        <w:rPr>
          <w:rFonts w:hint="eastAsia" w:ascii="宋体" w:hAnsi="宋体" w:eastAsia="宋体" w:cs="宋体"/>
        </w:rPr>
      </w:pPr>
    </w:p>
    <w:p w14:paraId="7996F281">
      <w:pPr>
        <w:rPr>
          <w:rFonts w:hint="eastAsia" w:ascii="宋体" w:hAnsi="宋体" w:eastAsia="宋体" w:cs="宋体"/>
        </w:rPr>
      </w:pPr>
    </w:p>
    <w:p w14:paraId="52BBDA34">
      <w:pPr>
        <w:rPr>
          <w:rFonts w:hint="eastAsia" w:ascii="宋体" w:hAnsi="宋体" w:eastAsia="宋体" w:cs="宋体"/>
        </w:rPr>
      </w:pPr>
    </w:p>
    <w:p w14:paraId="372F018C">
      <w:pPr>
        <w:rPr>
          <w:rFonts w:hint="eastAsia" w:ascii="宋体" w:hAnsi="宋体" w:eastAsia="宋体" w:cs="宋体"/>
        </w:rPr>
      </w:pPr>
    </w:p>
    <w:p w14:paraId="5644CF96">
      <w:pPr>
        <w:rPr>
          <w:rFonts w:hint="eastAsia" w:ascii="宋体" w:hAnsi="宋体" w:eastAsia="宋体" w:cs="宋体"/>
        </w:rPr>
      </w:pPr>
    </w:p>
    <w:p w14:paraId="21B0B698">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31" w:name="_Toc19707"/>
      <w:bookmarkStart w:id="232" w:name="_Toc8842"/>
      <w:bookmarkStart w:id="233" w:name="_Toc13452"/>
      <w:bookmarkStart w:id="234" w:name="_Toc104711098"/>
      <w:bookmarkStart w:id="235" w:name="_Toc106418843"/>
      <w:r>
        <w:rPr>
          <w:rFonts w:hint="eastAsia" w:ascii="宋体" w:hAnsi="宋体" w:eastAsia="宋体" w:cs="宋体"/>
          <w:b/>
          <w:color w:val="auto"/>
          <w:kern w:val="2"/>
          <w:sz w:val="28"/>
          <w:szCs w:val="24"/>
          <w:lang w:val="en-US" w:eastAsia="zh-CN"/>
        </w:rPr>
        <w:t>格式</w:t>
      </w:r>
      <w:bookmarkStart w:id="236" w:name="_Hlt97526007"/>
      <w:bookmarkEnd w:id="236"/>
      <w:r>
        <w:rPr>
          <w:rFonts w:hint="eastAsia" w:ascii="宋体" w:hAnsi="宋体" w:eastAsia="宋体" w:cs="宋体"/>
          <w:b/>
          <w:color w:val="auto"/>
          <w:kern w:val="2"/>
          <w:sz w:val="28"/>
          <w:szCs w:val="24"/>
          <w:lang w:val="en-US" w:eastAsia="zh-CN"/>
        </w:rPr>
        <w:t>二   投标函</w:t>
      </w:r>
      <w:bookmarkEnd w:id="231"/>
      <w:bookmarkEnd w:id="232"/>
      <w:bookmarkEnd w:id="233"/>
    </w:p>
    <w:p w14:paraId="041EB026">
      <w:pPr>
        <w:wordWrap w:val="0"/>
        <w:adjustRightInd w:val="0"/>
        <w:snapToGrid w:val="0"/>
        <w:spacing w:before="260" w:after="260" w:line="440" w:lineRule="exact"/>
        <w:jc w:val="center"/>
        <w:rPr>
          <w:rFonts w:hint="eastAsia" w:ascii="宋体" w:hAnsi="宋体" w:eastAsia="宋体" w:cs="宋体"/>
          <w:color w:val="auto"/>
          <w:sz w:val="24"/>
          <w:highlight w:val="none"/>
        </w:rPr>
      </w:pPr>
      <w:r>
        <w:rPr>
          <w:rFonts w:hint="eastAsia" w:ascii="宋体" w:hAnsi="宋体" w:eastAsia="宋体" w:cs="宋体"/>
          <w:b/>
          <w:snapToGrid w:val="0"/>
          <w:color w:val="auto"/>
          <w:kern w:val="0"/>
          <w:sz w:val="30"/>
          <w:highlight w:val="none"/>
        </w:rPr>
        <w:t>投  标  函</w:t>
      </w:r>
      <w:bookmarkEnd w:id="234"/>
      <w:bookmarkEnd w:id="235"/>
    </w:p>
    <w:p w14:paraId="52BBE5A6">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（招标人名称）</w:t>
      </w:r>
    </w:p>
    <w:p w14:paraId="11F4C9F0">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1. </w:t>
      </w:r>
      <w:r>
        <w:rPr>
          <w:rFonts w:hint="eastAsia" w:ascii="宋体" w:hAnsi="宋体" w:eastAsia="宋体" w:cs="宋体"/>
          <w:snapToGrid w:val="0"/>
          <w:color w:val="auto"/>
          <w:kern w:val="0"/>
          <w:sz w:val="24"/>
          <w:szCs w:val="22"/>
          <w:highlight w:val="none"/>
        </w:rPr>
        <w:t>我方</w:t>
      </w:r>
      <w:r>
        <w:rPr>
          <w:rFonts w:hint="eastAsia" w:ascii="宋体" w:hAnsi="宋体" w:eastAsia="宋体" w:cs="宋体"/>
          <w:snapToGrid w:val="0"/>
          <w:color w:val="auto"/>
          <w:kern w:val="0"/>
          <w:sz w:val="24"/>
          <w:highlight w:val="none"/>
        </w:rPr>
        <w:t>考察现场并充分研究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（项目名称）（以下简称“本项目”）招标文件</w:t>
      </w:r>
      <w:r>
        <w:rPr>
          <w:rFonts w:hint="eastAsia" w:ascii="宋体" w:hAnsi="宋体" w:eastAsia="宋体" w:cs="宋体"/>
          <w:snapToGrid w:val="0"/>
          <w:color w:val="auto"/>
          <w:kern w:val="0"/>
          <w:sz w:val="24"/>
          <w:szCs w:val="22"/>
          <w:highlight w:val="none"/>
        </w:rPr>
        <w:t>所有内容后</w:t>
      </w:r>
      <w:r>
        <w:rPr>
          <w:rFonts w:hint="eastAsia" w:ascii="宋体" w:hAnsi="宋体" w:eastAsia="宋体" w:cs="宋体"/>
          <w:snapToGrid w:val="0"/>
          <w:color w:val="auto"/>
          <w:kern w:val="0"/>
          <w:sz w:val="24"/>
          <w:highlight w:val="none"/>
        </w:rPr>
        <w:t>，结合自身资质、能力和特点，愿意接受招标文件的全部内容和条件，</w:t>
      </w:r>
      <w:r>
        <w:rPr>
          <w:rFonts w:hint="eastAsia" w:ascii="宋体" w:hAnsi="宋体" w:eastAsia="宋体" w:cs="宋体"/>
          <w:color w:val="auto"/>
          <w:sz w:val="24"/>
          <w:szCs w:val="32"/>
          <w:highlight w:val="none"/>
        </w:rPr>
        <w:t>愿以投标报价为（大写）：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（小写）：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作为酬金，竞投承包上述工程</w:t>
      </w:r>
      <w:r>
        <w:rPr>
          <w:rFonts w:hint="eastAsia" w:ascii="宋体" w:hAnsi="宋体" w:eastAsia="宋体" w:cs="宋体"/>
          <w:color w:val="auto"/>
          <w:sz w:val="24"/>
          <w:szCs w:val="32"/>
          <w:highlight w:val="none"/>
          <w:lang w:val="en-US" w:eastAsia="zh-CN"/>
        </w:rPr>
        <w:t>勘察设计</w:t>
      </w:r>
      <w:r>
        <w:rPr>
          <w:rFonts w:hint="eastAsia" w:ascii="宋体" w:hAnsi="宋体" w:eastAsia="宋体" w:cs="宋体"/>
          <w:snapToGrid w:val="0"/>
          <w:color w:val="auto"/>
          <w:kern w:val="0"/>
          <w:sz w:val="24"/>
          <w:highlight w:val="none"/>
        </w:rPr>
        <w:t>。</w:t>
      </w:r>
    </w:p>
    <w:p w14:paraId="17CB8120">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 </w:t>
      </w:r>
      <w:r>
        <w:rPr>
          <w:rFonts w:hint="eastAsia" w:ascii="宋体" w:hAnsi="宋体" w:eastAsia="宋体" w:cs="宋体"/>
          <w:color w:val="auto"/>
          <w:sz w:val="24"/>
          <w:szCs w:val="32"/>
          <w:highlight w:val="none"/>
        </w:rPr>
        <w:t>如我方中标，我方保证按合同条款、规范和附件要求，实施并完成上述工程</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设计。我方保证按照合同约定的开工日期开始本工程的</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设计，</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个日历天内完成合同约定的内容，并确保</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lang w:eastAsia="zh-CN"/>
        </w:rPr>
        <w:t>设计</w:t>
      </w:r>
      <w:r>
        <w:rPr>
          <w:rFonts w:hint="eastAsia" w:ascii="宋体" w:hAnsi="宋体" w:eastAsia="宋体" w:cs="宋体"/>
          <w:color w:val="auto"/>
          <w:sz w:val="24"/>
          <w:szCs w:val="32"/>
          <w:highlight w:val="none"/>
        </w:rPr>
        <w:t>成果文件</w:t>
      </w:r>
      <w:r>
        <w:rPr>
          <w:rFonts w:hint="eastAsia" w:ascii="宋体" w:hAnsi="宋体" w:eastAsia="宋体" w:cs="宋体"/>
          <w:snapToGrid w:val="0"/>
          <w:color w:val="auto"/>
          <w:kern w:val="0"/>
          <w:sz w:val="24"/>
          <w:highlight w:val="none"/>
        </w:rPr>
        <w:t>符合住建部颁布的现行有关规范要求、必须通过有关部门的审查及经有资质的审图机构审查合格</w:t>
      </w:r>
      <w:r>
        <w:rPr>
          <w:rFonts w:hint="eastAsia" w:ascii="宋体" w:hAnsi="宋体" w:eastAsia="宋体" w:cs="宋体"/>
          <w:color w:val="auto"/>
          <w:sz w:val="24"/>
          <w:szCs w:val="32"/>
          <w:highlight w:val="none"/>
        </w:rPr>
        <w:t>标准并修补其任何缺陷。</w:t>
      </w:r>
    </w:p>
    <w:p w14:paraId="16B6155E">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 本投标函在你方接收我方递交的投标文件之日起、到招标文件规定的投标有效期期满前对我方具有约束力。我方随时准备接受你方发出的中标通知书。</w:t>
      </w:r>
    </w:p>
    <w:p w14:paraId="2AD67134">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4．我方在此声明，我方不存在本项目招标文件第一章第三节第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条“禁止投标条款”所列出的任何一种情形，并愿意承担因我方就此弄虚作假所引起的一切法律后果。</w:t>
      </w:r>
    </w:p>
    <w:p w14:paraId="79AED77D">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5．我方在此承诺，所递交投标文件的全部内容均为真实、有效、准确的，并愿意承担因我方就此弄虚作假所引起的一切法律后果，同时理解和同意有可能被要求提供更多的资料。</w:t>
      </w:r>
    </w:p>
    <w:p w14:paraId="1BD99194">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bookmarkStart w:id="237" w:name="_Hlt68771070"/>
      <w:bookmarkEnd w:id="237"/>
      <w:r>
        <w:rPr>
          <w:rFonts w:hint="eastAsia" w:ascii="宋体" w:hAnsi="宋体" w:eastAsia="宋体" w:cs="宋体"/>
          <w:snapToGrid w:val="0"/>
          <w:color w:val="auto"/>
          <w:kern w:val="0"/>
          <w:sz w:val="24"/>
          <w:highlight w:val="none"/>
        </w:rPr>
        <w:t>6. 我方理解你方不一定要接纳收到的最低投标</w:t>
      </w:r>
      <w:r>
        <w:rPr>
          <w:rFonts w:hint="eastAsia" w:ascii="宋体" w:hAnsi="宋体" w:eastAsia="宋体" w:cs="宋体"/>
          <w:snapToGrid w:val="0"/>
          <w:color w:val="auto"/>
          <w:kern w:val="0"/>
          <w:sz w:val="24"/>
          <w:highlight w:val="none"/>
          <w:lang w:val="en-US" w:eastAsia="zh-CN"/>
        </w:rPr>
        <w:t>报价</w:t>
      </w:r>
      <w:r>
        <w:rPr>
          <w:rFonts w:hint="eastAsia" w:ascii="宋体" w:hAnsi="宋体" w:eastAsia="宋体" w:cs="宋体"/>
          <w:snapToGrid w:val="0"/>
          <w:color w:val="auto"/>
          <w:kern w:val="0"/>
          <w:sz w:val="24"/>
          <w:highlight w:val="none"/>
        </w:rPr>
        <w:t>的投标人中标，也不要求你方解释我方是否中标的原因。</w:t>
      </w:r>
    </w:p>
    <w:p w14:paraId="6446C91D">
      <w:pPr>
        <w:spacing w:line="360" w:lineRule="auto"/>
        <w:rPr>
          <w:rFonts w:hint="eastAsia" w:ascii="宋体" w:hAnsi="宋体" w:eastAsia="宋体" w:cs="宋体"/>
          <w:color w:val="auto"/>
          <w:sz w:val="24"/>
          <w:highlight w:val="none"/>
        </w:rPr>
      </w:pPr>
    </w:p>
    <w:p w14:paraId="05E4530A">
      <w:pPr>
        <w:spacing w:line="360" w:lineRule="auto"/>
        <w:rPr>
          <w:rFonts w:hint="eastAsia" w:ascii="宋体" w:hAnsi="宋体" w:eastAsia="宋体" w:cs="宋体"/>
          <w:color w:val="auto"/>
          <w:sz w:val="24"/>
          <w:highlight w:val="none"/>
        </w:rPr>
      </w:pPr>
    </w:p>
    <w:p w14:paraId="24DE2067">
      <w:pPr>
        <w:wordWrap w:val="0"/>
        <w:adjustRightInd w:val="0"/>
        <w:snapToGrid w:val="0"/>
        <w:spacing w:line="440" w:lineRule="exact"/>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投标人：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（盖单位章）</w:t>
      </w:r>
    </w:p>
    <w:p w14:paraId="4152F935">
      <w:pPr>
        <w:spacing w:line="360" w:lineRule="auto"/>
        <w:rPr>
          <w:rFonts w:hint="eastAsia" w:ascii="宋体" w:hAnsi="宋体" w:eastAsia="宋体" w:cs="宋体"/>
          <w:color w:val="auto"/>
          <w:sz w:val="24"/>
          <w:highlight w:val="none"/>
        </w:rPr>
      </w:pPr>
    </w:p>
    <w:p w14:paraId="49531672">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法定代表人或其委托代理人：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（签字或盖章）</w:t>
      </w:r>
    </w:p>
    <w:p w14:paraId="401C10DF">
      <w:pPr>
        <w:spacing w:line="360" w:lineRule="auto"/>
        <w:rPr>
          <w:rFonts w:hint="eastAsia" w:ascii="宋体" w:hAnsi="宋体" w:eastAsia="宋体" w:cs="宋体"/>
          <w:color w:val="auto"/>
          <w:sz w:val="24"/>
          <w:highlight w:val="none"/>
        </w:rPr>
      </w:pPr>
    </w:p>
    <w:p w14:paraId="475A1492">
      <w:pPr>
        <w:wordWrap w:val="0"/>
        <w:adjustRightInd w:val="0"/>
        <w:snapToGrid w:val="0"/>
        <w:spacing w:line="440" w:lineRule="exact"/>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bookmarkStart w:id="238" w:name="_Toc2467"/>
      <w:bookmarkStart w:id="239" w:name="_Toc32554"/>
      <w:bookmarkStart w:id="240" w:name="_Toc12997"/>
      <w:bookmarkStart w:id="241" w:name="_Toc14846"/>
    </w:p>
    <w:p w14:paraId="4BAAC93D">
      <w:pPr>
        <w:rPr>
          <w:rFonts w:hint="eastAsia" w:ascii="宋体" w:hAnsi="宋体" w:eastAsia="宋体" w:cs="宋体"/>
        </w:rPr>
      </w:pPr>
    </w:p>
    <w:p w14:paraId="1ACD6333">
      <w:pPr>
        <w:rPr>
          <w:rFonts w:hint="eastAsia" w:ascii="宋体" w:hAnsi="宋体" w:eastAsia="宋体" w:cs="宋体"/>
        </w:rPr>
      </w:pPr>
    </w:p>
    <w:p w14:paraId="3278DC7A">
      <w:pPr>
        <w:rPr>
          <w:rFonts w:hint="eastAsia" w:ascii="宋体" w:hAnsi="宋体" w:eastAsia="宋体" w:cs="宋体"/>
        </w:rPr>
      </w:pPr>
    </w:p>
    <w:p w14:paraId="33DA8438">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snapToGrid w:val="0"/>
          <w:color w:val="auto"/>
          <w:sz w:val="24"/>
          <w:highlight w:val="none"/>
        </w:rPr>
      </w:pPr>
      <w:bookmarkStart w:id="242" w:name="_Toc13446"/>
      <w:r>
        <w:rPr>
          <w:rFonts w:hint="eastAsia" w:ascii="宋体" w:hAnsi="宋体" w:eastAsia="宋体" w:cs="宋体"/>
          <w:b/>
          <w:color w:val="auto"/>
          <w:kern w:val="2"/>
          <w:sz w:val="28"/>
          <w:szCs w:val="24"/>
          <w:lang w:val="en-US" w:eastAsia="zh-CN"/>
        </w:rPr>
        <w:t>格式三   工程项目报价表</w:t>
      </w:r>
      <w:bookmarkEnd w:id="238"/>
      <w:bookmarkEnd w:id="239"/>
      <w:bookmarkEnd w:id="240"/>
      <w:bookmarkEnd w:id="242"/>
    </w:p>
    <w:p w14:paraId="582DD97F">
      <w:pPr>
        <w:wordWrap w:val="0"/>
        <w:adjustRightInd w:val="0"/>
        <w:snapToGrid w:val="0"/>
        <w:spacing w:before="260" w:after="260" w:line="240" w:lineRule="auto"/>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工程项目报价表</w:t>
      </w:r>
      <w:bookmarkEnd w:id="241"/>
      <w:bookmarkStart w:id="243" w:name="_附件十一：单位工程费汇总表"/>
      <w:bookmarkEnd w:id="243"/>
    </w:p>
    <w:tbl>
      <w:tblPr>
        <w:tblStyle w:val="33"/>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77"/>
        <w:gridCol w:w="1575"/>
        <w:gridCol w:w="1758"/>
        <w:gridCol w:w="1457"/>
        <w:gridCol w:w="2900"/>
      </w:tblGrid>
      <w:tr w14:paraId="2D4F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36" w:type="dxa"/>
            <w:noWrap w:val="0"/>
            <w:vAlign w:val="center"/>
          </w:tcPr>
          <w:p w14:paraId="02A727DD">
            <w:pPr>
              <w:jc w:val="center"/>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2277" w:type="dxa"/>
            <w:noWrap w:val="0"/>
            <w:vAlign w:val="center"/>
          </w:tcPr>
          <w:p w14:paraId="0A00EC66">
            <w:pPr>
              <w:jc w:val="center"/>
              <w:rPr>
                <w:rFonts w:hint="eastAsia" w:ascii="宋体" w:hAnsi="宋体" w:eastAsia="宋体" w:cs="宋体"/>
                <w:b/>
                <w:bCs/>
                <w:lang w:val="en-US" w:eastAsia="zh-CN"/>
              </w:rPr>
            </w:pPr>
            <w:r>
              <w:rPr>
                <w:rFonts w:hint="eastAsia" w:ascii="宋体" w:hAnsi="宋体" w:eastAsia="宋体" w:cs="宋体"/>
                <w:b/>
                <w:bCs/>
                <w:lang w:val="en-US" w:eastAsia="zh-CN"/>
              </w:rPr>
              <w:t>项目名称</w:t>
            </w:r>
          </w:p>
        </w:tc>
        <w:tc>
          <w:tcPr>
            <w:tcW w:w="1575" w:type="dxa"/>
            <w:noWrap w:val="0"/>
            <w:vAlign w:val="center"/>
          </w:tcPr>
          <w:p w14:paraId="04328786">
            <w:pPr>
              <w:jc w:val="center"/>
              <w:rPr>
                <w:rFonts w:hint="eastAsia" w:ascii="宋体" w:hAnsi="宋体" w:eastAsia="宋体" w:cs="宋体"/>
                <w:b/>
                <w:bCs/>
                <w:lang w:val="en-US" w:eastAsia="zh-CN"/>
              </w:rPr>
            </w:pPr>
            <w:r>
              <w:rPr>
                <w:rFonts w:hint="eastAsia" w:ascii="宋体" w:hAnsi="宋体" w:eastAsia="宋体" w:cs="宋体"/>
                <w:b/>
                <w:bCs/>
                <w:lang w:val="en-US" w:eastAsia="zh-CN"/>
              </w:rPr>
              <w:t>报价基数</w:t>
            </w:r>
          </w:p>
          <w:p w14:paraId="30089DE8">
            <w:pPr>
              <w:jc w:val="center"/>
              <w:rPr>
                <w:rFonts w:hint="eastAsia" w:ascii="宋体" w:hAnsi="宋体" w:eastAsia="宋体" w:cs="宋体"/>
                <w:b/>
                <w:bCs/>
                <w:lang w:val="en-US" w:eastAsia="zh-CN"/>
              </w:rPr>
            </w:pPr>
            <w:r>
              <w:rPr>
                <w:rFonts w:hint="eastAsia" w:ascii="宋体" w:hAnsi="宋体" w:eastAsia="宋体" w:cs="宋体"/>
                <w:b/>
                <w:bCs/>
                <w:lang w:val="en-US" w:eastAsia="zh-CN"/>
              </w:rPr>
              <w:t>（米/元）</w:t>
            </w:r>
          </w:p>
        </w:tc>
        <w:tc>
          <w:tcPr>
            <w:tcW w:w="1758" w:type="dxa"/>
            <w:noWrap w:val="0"/>
            <w:vAlign w:val="center"/>
          </w:tcPr>
          <w:p w14:paraId="255D351E">
            <w:pPr>
              <w:jc w:val="center"/>
              <w:rPr>
                <w:rFonts w:hint="eastAsia" w:ascii="宋体" w:hAnsi="宋体" w:eastAsia="宋体" w:cs="宋体"/>
                <w:b/>
                <w:bCs/>
                <w:lang w:val="en-US" w:eastAsia="zh-CN"/>
              </w:rPr>
            </w:pPr>
            <w:r>
              <w:rPr>
                <w:rFonts w:hint="eastAsia" w:ascii="宋体" w:hAnsi="宋体" w:eastAsia="宋体" w:cs="宋体"/>
                <w:b/>
                <w:bCs/>
                <w:lang w:val="en-US" w:eastAsia="zh-CN"/>
              </w:rPr>
              <w:t>综合单价上限/报价费率上限</w:t>
            </w:r>
          </w:p>
        </w:tc>
        <w:tc>
          <w:tcPr>
            <w:tcW w:w="1457" w:type="dxa"/>
            <w:noWrap w:val="0"/>
            <w:vAlign w:val="center"/>
          </w:tcPr>
          <w:p w14:paraId="47803336">
            <w:pPr>
              <w:jc w:val="center"/>
              <w:rPr>
                <w:rFonts w:hint="eastAsia" w:ascii="宋体" w:hAnsi="宋体" w:eastAsia="宋体" w:cs="宋体"/>
                <w:b/>
                <w:bCs/>
                <w:lang w:val="en-US" w:eastAsia="zh-CN"/>
              </w:rPr>
            </w:pPr>
            <w:r>
              <w:rPr>
                <w:rFonts w:hint="eastAsia" w:ascii="宋体" w:hAnsi="宋体" w:eastAsia="宋体" w:cs="宋体"/>
                <w:b/>
                <w:bCs/>
                <w:lang w:val="en-US" w:eastAsia="zh-CN"/>
              </w:rPr>
              <w:t>最高投标限价（元）</w:t>
            </w:r>
          </w:p>
        </w:tc>
        <w:tc>
          <w:tcPr>
            <w:tcW w:w="2900" w:type="dxa"/>
            <w:shd w:val="clear" w:color="auto" w:fill="auto"/>
            <w:noWrap w:val="0"/>
            <w:vAlign w:val="center"/>
          </w:tcPr>
          <w:p w14:paraId="1CF7812E">
            <w:pPr>
              <w:jc w:val="center"/>
              <w:rPr>
                <w:rFonts w:hint="eastAsia" w:ascii="宋体" w:hAnsi="宋体" w:eastAsia="宋体" w:cs="宋体"/>
                <w:b/>
                <w:bCs/>
                <w:lang w:val="en-US" w:eastAsia="zh-CN"/>
              </w:rPr>
            </w:pPr>
            <w:r>
              <w:rPr>
                <w:rFonts w:hint="eastAsia" w:ascii="宋体" w:hAnsi="宋体" w:eastAsia="宋体" w:cs="宋体"/>
                <w:b/>
                <w:bCs/>
                <w:lang w:val="en-US" w:eastAsia="zh-CN"/>
              </w:rPr>
              <w:t>备注</w:t>
            </w:r>
          </w:p>
        </w:tc>
      </w:tr>
      <w:tr w14:paraId="2CFC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536" w:type="dxa"/>
            <w:noWrap w:val="0"/>
            <w:vAlign w:val="center"/>
          </w:tcPr>
          <w:p w14:paraId="62D2F223">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2277" w:type="dxa"/>
            <w:noWrap w:val="0"/>
            <w:vAlign w:val="center"/>
          </w:tcPr>
          <w:p w14:paraId="551C33AD">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勘察费</w:t>
            </w:r>
          </w:p>
        </w:tc>
        <w:tc>
          <w:tcPr>
            <w:tcW w:w="1575" w:type="dxa"/>
            <w:noWrap w:val="0"/>
            <w:vAlign w:val="center"/>
          </w:tcPr>
          <w:p w14:paraId="1DC28ECE">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000米</w:t>
            </w:r>
          </w:p>
        </w:tc>
        <w:tc>
          <w:tcPr>
            <w:tcW w:w="1758" w:type="dxa"/>
            <w:noWrap w:val="0"/>
            <w:vAlign w:val="center"/>
          </w:tcPr>
          <w:p w14:paraId="4D835DB3">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元/米</w:t>
            </w:r>
          </w:p>
        </w:tc>
        <w:tc>
          <w:tcPr>
            <w:tcW w:w="1457" w:type="dxa"/>
            <w:noWrap w:val="0"/>
            <w:vAlign w:val="center"/>
          </w:tcPr>
          <w:p w14:paraId="6D0F8F5C">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p>
        </w:tc>
        <w:tc>
          <w:tcPr>
            <w:tcW w:w="2900" w:type="dxa"/>
            <w:shd w:val="clear" w:color="auto" w:fill="auto"/>
            <w:noWrap w:val="0"/>
            <w:vAlign w:val="center"/>
          </w:tcPr>
          <w:p w14:paraId="0264F06B">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lang w:val="en-US" w:eastAsia="zh-CN"/>
              </w:rPr>
              <w:t>投标人报综合单价和总价，勘察综合单价≤</w:t>
            </w:r>
            <w:r>
              <w:rPr>
                <w:rFonts w:hint="eastAsia" w:hAnsi="宋体" w:cs="宋体"/>
                <w:b w:val="0"/>
                <w:bCs w:val="0"/>
                <w:color w:val="auto"/>
                <w:kern w:val="2"/>
                <w:sz w:val="21"/>
                <w:szCs w:val="21"/>
                <w:highlight w:val="none"/>
                <w:lang w:val="en-US" w:eastAsia="zh-CN" w:bidi="ar-SA"/>
              </w:rPr>
              <w:t>120</w:t>
            </w:r>
            <w:r>
              <w:rPr>
                <w:rFonts w:hint="eastAsia" w:ascii="宋体" w:hAnsi="宋体" w:eastAsia="宋体" w:cs="宋体"/>
                <w:b w:val="0"/>
                <w:bCs w:val="0"/>
                <w:color w:val="auto"/>
                <w:kern w:val="2"/>
                <w:sz w:val="21"/>
                <w:szCs w:val="21"/>
                <w:highlight w:val="none"/>
                <w:lang w:val="en-US" w:eastAsia="zh-CN" w:bidi="ar-SA"/>
              </w:rPr>
              <w:t>元/米，勘察费最高投标限价以暂定得工程量</w:t>
            </w:r>
            <w:r>
              <w:rPr>
                <w:rFonts w:hint="eastAsia"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000米为基数计取，在勘察费最高投标限价范围内按实际工程量进行结算。</w:t>
            </w:r>
          </w:p>
        </w:tc>
      </w:tr>
      <w:tr w14:paraId="4057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36" w:type="dxa"/>
            <w:noWrap w:val="0"/>
            <w:vAlign w:val="center"/>
          </w:tcPr>
          <w:p w14:paraId="2F288204">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2</w:t>
            </w:r>
          </w:p>
        </w:tc>
        <w:tc>
          <w:tcPr>
            <w:tcW w:w="2277" w:type="dxa"/>
            <w:noWrap w:val="0"/>
            <w:vAlign w:val="center"/>
          </w:tcPr>
          <w:p w14:paraId="18566A68">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设计费</w:t>
            </w:r>
          </w:p>
        </w:tc>
        <w:tc>
          <w:tcPr>
            <w:tcW w:w="1575" w:type="dxa"/>
            <w:noWrap w:val="0"/>
            <w:vAlign w:val="center"/>
          </w:tcPr>
          <w:p w14:paraId="4C4E5DAB">
            <w:pPr>
              <w:pStyle w:val="80"/>
              <w:pageBreakBefore w:val="0"/>
              <w:widowControl w:val="0"/>
              <w:kinsoku/>
              <w:wordWrap/>
              <w:overflowPunct/>
              <w:topLinePunct w:val="0"/>
              <w:bidi w:val="0"/>
              <w:snapToGrid/>
              <w:spacing w:line="240" w:lineRule="auto"/>
              <w:jc w:val="center"/>
              <w:textAlignment w:val="auto"/>
              <w:rPr>
                <w:rFonts w:hint="default" w:hAnsi="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w:t>
            </w:r>
          </w:p>
        </w:tc>
        <w:tc>
          <w:tcPr>
            <w:tcW w:w="1758" w:type="dxa"/>
            <w:noWrap w:val="0"/>
            <w:vAlign w:val="center"/>
          </w:tcPr>
          <w:p w14:paraId="6FB2916A">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u w:val="single"/>
                <w:lang w:val="en-US" w:eastAsia="zh-CN" w:bidi="ar-SA"/>
              </w:rPr>
            </w:pPr>
            <w:r>
              <w:rPr>
                <w:rFonts w:hint="eastAsia" w:hAnsi="宋体" w:cs="宋体"/>
                <w:b w:val="0"/>
                <w:bCs w:val="0"/>
                <w:color w:val="auto"/>
                <w:kern w:val="2"/>
                <w:sz w:val="21"/>
                <w:szCs w:val="21"/>
                <w:highlight w:val="none"/>
                <w:u w:val="single"/>
                <w:lang w:val="en-US" w:eastAsia="zh-CN" w:bidi="ar-SA"/>
              </w:rPr>
              <w:t>/</w:t>
            </w:r>
          </w:p>
        </w:tc>
        <w:tc>
          <w:tcPr>
            <w:tcW w:w="1457" w:type="dxa"/>
            <w:noWrap w:val="0"/>
            <w:vAlign w:val="center"/>
          </w:tcPr>
          <w:p w14:paraId="40B071F1">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2900" w:type="dxa"/>
            <w:vMerge w:val="restart"/>
            <w:shd w:val="clear" w:color="auto" w:fill="auto"/>
            <w:noWrap w:val="0"/>
            <w:vAlign w:val="center"/>
          </w:tcPr>
          <w:p w14:paraId="32DAD698">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投标人报价费率和总价，设计报价费率=设计费投标报价/暂定建安工程费。结算时按已审定的建安工程费预算价为计费基数计算。</w:t>
            </w:r>
          </w:p>
        </w:tc>
      </w:tr>
      <w:tr w14:paraId="521D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536" w:type="dxa"/>
            <w:noWrap w:val="0"/>
            <w:vAlign w:val="center"/>
          </w:tcPr>
          <w:p w14:paraId="5A1E1269">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hAnsi="宋体" w:cs="宋体"/>
                <w:b w:val="0"/>
                <w:bCs w:val="0"/>
                <w:color w:val="auto"/>
                <w:kern w:val="2"/>
                <w:sz w:val="21"/>
                <w:szCs w:val="21"/>
                <w:highlight w:val="none"/>
                <w:lang w:val="en-US" w:eastAsia="zh-CN" w:bidi="ar-SA"/>
              </w:rPr>
              <w:t>.1</w:t>
            </w:r>
          </w:p>
        </w:tc>
        <w:tc>
          <w:tcPr>
            <w:tcW w:w="2277" w:type="dxa"/>
            <w:noWrap w:val="0"/>
            <w:vAlign w:val="center"/>
          </w:tcPr>
          <w:p w14:paraId="6A139218">
            <w:pPr>
              <w:jc w:val="center"/>
              <w:rPr>
                <w:rFonts w:hint="eastAsia" w:ascii="宋体" w:hAnsi="宋体" w:eastAsia="宋体" w:cs="宋体"/>
                <w:lang w:val="en-US" w:eastAsia="zh-CN"/>
              </w:rPr>
            </w:pPr>
            <w:r>
              <w:rPr>
                <w:rFonts w:hint="eastAsia" w:ascii="宋体" w:hAnsi="宋体" w:eastAsia="宋体" w:cs="宋体"/>
              </w:rPr>
              <w:t>场地平整、边坡支护、地基处理及临时排水工程</w:t>
            </w:r>
          </w:p>
        </w:tc>
        <w:tc>
          <w:tcPr>
            <w:tcW w:w="1575" w:type="dxa"/>
            <w:noWrap w:val="0"/>
            <w:vAlign w:val="center"/>
          </w:tcPr>
          <w:p w14:paraId="67238518">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393941500.00</w:t>
            </w:r>
          </w:p>
        </w:tc>
        <w:tc>
          <w:tcPr>
            <w:tcW w:w="1758" w:type="dxa"/>
            <w:noWrap w:val="0"/>
            <w:vAlign w:val="center"/>
          </w:tcPr>
          <w:p w14:paraId="192334E0">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w:t>
            </w:r>
          </w:p>
        </w:tc>
        <w:tc>
          <w:tcPr>
            <w:tcW w:w="1457" w:type="dxa"/>
            <w:noWrap w:val="0"/>
            <w:vAlign w:val="center"/>
          </w:tcPr>
          <w:p w14:paraId="240626CA">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p>
        </w:tc>
        <w:tc>
          <w:tcPr>
            <w:tcW w:w="2900" w:type="dxa"/>
            <w:vMerge w:val="continue"/>
            <w:shd w:val="clear" w:color="auto" w:fill="auto"/>
            <w:noWrap w:val="0"/>
            <w:vAlign w:val="center"/>
          </w:tcPr>
          <w:p w14:paraId="6F25335D">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p>
        </w:tc>
      </w:tr>
      <w:tr w14:paraId="7F81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6" w:type="dxa"/>
            <w:noWrap w:val="0"/>
            <w:vAlign w:val="center"/>
          </w:tcPr>
          <w:p w14:paraId="2610E41A">
            <w:pPr>
              <w:pStyle w:val="80"/>
              <w:pageBreakBefore w:val="0"/>
              <w:widowControl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2.2</w:t>
            </w:r>
          </w:p>
        </w:tc>
        <w:tc>
          <w:tcPr>
            <w:tcW w:w="2277" w:type="dxa"/>
            <w:noWrap w:val="0"/>
            <w:vAlign w:val="center"/>
          </w:tcPr>
          <w:p w14:paraId="75AA80E8">
            <w:pPr>
              <w:jc w:val="center"/>
              <w:rPr>
                <w:rFonts w:hint="eastAsia" w:ascii="宋体" w:hAnsi="宋体" w:eastAsia="宋体" w:cs="宋体"/>
                <w:lang w:val="en-US" w:eastAsia="zh-CN"/>
              </w:rPr>
            </w:pPr>
            <w:r>
              <w:rPr>
                <w:rFonts w:hint="eastAsia" w:ascii="宋体" w:hAnsi="宋体" w:eastAsia="宋体" w:cs="宋体"/>
                <w:lang w:val="en-US" w:eastAsia="zh-CN"/>
              </w:rPr>
              <w:t>道路及配套</w:t>
            </w:r>
            <w:r>
              <w:rPr>
                <w:rFonts w:hint="eastAsia" w:ascii="宋体" w:hAnsi="宋体" w:cs="宋体"/>
                <w:lang w:val="en-US" w:eastAsia="zh-CN"/>
              </w:rPr>
              <w:t>设施</w:t>
            </w:r>
            <w:r>
              <w:rPr>
                <w:rFonts w:hint="eastAsia" w:ascii="宋体" w:hAnsi="宋体" w:eastAsia="宋体" w:cs="宋体"/>
                <w:lang w:val="en-US" w:eastAsia="zh-CN"/>
              </w:rPr>
              <w:t>工程</w:t>
            </w:r>
          </w:p>
        </w:tc>
        <w:tc>
          <w:tcPr>
            <w:tcW w:w="1575" w:type="dxa"/>
            <w:noWrap w:val="0"/>
            <w:vAlign w:val="center"/>
          </w:tcPr>
          <w:p w14:paraId="5DA07C3A">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530532700.00</w:t>
            </w:r>
          </w:p>
        </w:tc>
        <w:tc>
          <w:tcPr>
            <w:tcW w:w="1758" w:type="dxa"/>
            <w:noWrap w:val="0"/>
            <w:vAlign w:val="center"/>
          </w:tcPr>
          <w:p w14:paraId="5CCA712B">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w:t>
            </w:r>
          </w:p>
        </w:tc>
        <w:tc>
          <w:tcPr>
            <w:tcW w:w="1457" w:type="dxa"/>
            <w:noWrap w:val="0"/>
            <w:vAlign w:val="center"/>
          </w:tcPr>
          <w:p w14:paraId="6E48471C">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p>
        </w:tc>
        <w:tc>
          <w:tcPr>
            <w:tcW w:w="2900" w:type="dxa"/>
            <w:vMerge w:val="continue"/>
            <w:shd w:val="clear" w:color="auto" w:fill="auto"/>
            <w:noWrap w:val="0"/>
            <w:vAlign w:val="center"/>
          </w:tcPr>
          <w:p w14:paraId="39870464">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p>
        </w:tc>
      </w:tr>
      <w:tr w14:paraId="1EAD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146" w:type="dxa"/>
            <w:gridSpan w:val="4"/>
            <w:noWrap w:val="0"/>
            <w:vAlign w:val="center"/>
          </w:tcPr>
          <w:p w14:paraId="656CC925">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合计</w:t>
            </w:r>
            <w:r>
              <w:rPr>
                <w:rFonts w:hint="eastAsia" w:hAnsi="宋体"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（元）</w:t>
            </w:r>
          </w:p>
        </w:tc>
        <w:tc>
          <w:tcPr>
            <w:tcW w:w="1457" w:type="dxa"/>
            <w:noWrap w:val="0"/>
            <w:vAlign w:val="center"/>
          </w:tcPr>
          <w:p w14:paraId="6CC84772">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 </w:t>
            </w:r>
          </w:p>
        </w:tc>
        <w:tc>
          <w:tcPr>
            <w:tcW w:w="2900" w:type="dxa"/>
            <w:shd w:val="clear" w:color="auto" w:fill="auto"/>
            <w:noWrap w:val="0"/>
            <w:vAlign w:val="center"/>
          </w:tcPr>
          <w:p w14:paraId="58D808EF">
            <w:pPr>
              <w:pStyle w:val="80"/>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p>
        </w:tc>
      </w:tr>
    </w:tbl>
    <w:p w14:paraId="00B4887D">
      <w:pPr>
        <w:pStyle w:val="80"/>
        <w:pageBreakBefore w:val="0"/>
        <w:widowControl w:val="0"/>
        <w:kinsoku/>
        <w:wordWrap/>
        <w:overflowPunct/>
        <w:topLinePunct w:val="0"/>
        <w:bidi w:val="0"/>
        <w:snapToGrid/>
        <w:spacing w:line="288" w:lineRule="auto"/>
        <w:textAlignment w:val="auto"/>
        <w:rPr>
          <w:rFonts w:hint="eastAsia" w:ascii="宋体" w:hAnsi="宋体" w:eastAsia="宋体" w:cs="宋体"/>
          <w:snapToGrid w:val="0"/>
          <w:color w:val="auto"/>
          <w:kern w:val="0"/>
          <w:sz w:val="24"/>
          <w:szCs w:val="22"/>
          <w:highlight w:val="none"/>
          <w:lang w:val="en-US" w:eastAsia="zh-CN" w:bidi="ar-SA"/>
        </w:rPr>
      </w:pPr>
      <w:r>
        <w:rPr>
          <w:rFonts w:hint="eastAsia" w:ascii="宋体" w:hAnsi="宋体" w:eastAsia="宋体" w:cs="宋体"/>
          <w:snapToGrid w:val="0"/>
          <w:color w:val="auto"/>
          <w:kern w:val="0"/>
          <w:sz w:val="24"/>
          <w:szCs w:val="22"/>
          <w:highlight w:val="none"/>
          <w:lang w:val="en-US" w:eastAsia="zh-CN" w:bidi="ar-SA"/>
        </w:rPr>
        <w:t>备注：1、各单项或合计投标报价超过最高投标限价为无效报价。</w:t>
      </w:r>
    </w:p>
    <w:p w14:paraId="55414875">
      <w:pPr>
        <w:pStyle w:val="80"/>
        <w:pageBreakBefore w:val="0"/>
        <w:widowControl w:val="0"/>
        <w:kinsoku/>
        <w:wordWrap/>
        <w:overflowPunct/>
        <w:topLinePunct w:val="0"/>
        <w:bidi w:val="0"/>
        <w:snapToGrid/>
        <w:spacing w:line="288" w:lineRule="auto"/>
        <w:ind w:firstLine="660" w:firstLineChars="275"/>
        <w:textAlignment w:val="auto"/>
        <w:rPr>
          <w:rFonts w:hint="eastAsia" w:ascii="宋体" w:hAnsi="宋体" w:eastAsia="宋体" w:cs="宋体"/>
          <w:snapToGrid w:val="0"/>
          <w:color w:val="auto"/>
          <w:kern w:val="0"/>
          <w:sz w:val="24"/>
          <w:szCs w:val="22"/>
          <w:highlight w:val="none"/>
          <w:lang w:val="en-US" w:eastAsia="zh-CN" w:bidi="ar-SA"/>
        </w:rPr>
      </w:pPr>
      <w:r>
        <w:rPr>
          <w:rFonts w:hint="eastAsia" w:ascii="宋体" w:hAnsi="宋体" w:eastAsia="宋体" w:cs="宋体"/>
          <w:snapToGrid w:val="0"/>
          <w:color w:val="auto"/>
          <w:kern w:val="0"/>
          <w:sz w:val="24"/>
          <w:szCs w:val="22"/>
          <w:highlight w:val="none"/>
          <w:lang w:val="en-US" w:eastAsia="zh-CN" w:bidi="ar-SA"/>
        </w:rPr>
        <w:t>2、各单项或合计投标报价均按“四舍五入”原则精确到两位小数；投标费率按“四舍五入”原则精确到三位小数。</w:t>
      </w:r>
    </w:p>
    <w:p w14:paraId="39E4CD78">
      <w:pPr>
        <w:pStyle w:val="80"/>
        <w:pageBreakBefore w:val="0"/>
        <w:widowControl w:val="0"/>
        <w:kinsoku/>
        <w:wordWrap/>
        <w:overflowPunct/>
        <w:topLinePunct w:val="0"/>
        <w:bidi w:val="0"/>
        <w:snapToGrid/>
        <w:spacing w:line="288" w:lineRule="auto"/>
        <w:ind w:firstLine="660" w:firstLineChars="275"/>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szCs w:val="22"/>
          <w:highlight w:val="none"/>
          <w:lang w:val="en-US" w:eastAsia="zh-CN" w:bidi="ar-SA"/>
        </w:rPr>
        <w:t>3、以上投标报价均为含税报价（增值税）。</w:t>
      </w:r>
    </w:p>
    <w:p w14:paraId="3685BD63">
      <w:pPr>
        <w:wordWrap/>
        <w:adjustRightInd w:val="0"/>
        <w:snapToGrid w:val="0"/>
        <w:spacing w:line="360" w:lineRule="auto"/>
        <w:jc w:val="right"/>
        <w:rPr>
          <w:rFonts w:hint="eastAsia" w:ascii="宋体" w:hAnsi="宋体" w:eastAsia="宋体" w:cs="宋体"/>
          <w:snapToGrid w:val="0"/>
          <w:color w:val="auto"/>
          <w:kern w:val="0"/>
          <w:sz w:val="24"/>
          <w:szCs w:val="24"/>
          <w:highlight w:val="none"/>
        </w:rPr>
      </w:pPr>
    </w:p>
    <w:p w14:paraId="16CEB28E">
      <w:pPr>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44D40D3">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p>
    <w:p w14:paraId="7A2371FD">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323B805C">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1EB5B285">
      <w:pPr>
        <w:wordWrap w:val="0"/>
        <w:adjustRightInd w:val="0"/>
        <w:snapToGrid w:val="0"/>
        <w:spacing w:line="360" w:lineRule="auto"/>
        <w:ind w:firstLine="4320" w:firstLineChars="1800"/>
        <w:jc w:val="left"/>
        <w:rPr>
          <w:rFonts w:hint="eastAsia" w:ascii="宋体" w:hAnsi="宋体" w:eastAsia="宋体" w:cs="宋体"/>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64542F5D">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44" w:name="_Toc24620"/>
      <w:bookmarkStart w:id="245" w:name="_Toc22218"/>
      <w:bookmarkStart w:id="246" w:name="_Toc13640"/>
      <w:r>
        <w:rPr>
          <w:rFonts w:hint="eastAsia" w:ascii="宋体" w:hAnsi="宋体" w:eastAsia="宋体" w:cs="宋体"/>
          <w:b/>
          <w:color w:val="auto"/>
          <w:kern w:val="2"/>
          <w:sz w:val="28"/>
          <w:szCs w:val="24"/>
          <w:lang w:val="en-US" w:eastAsia="zh-CN"/>
        </w:rPr>
        <w:t>格式四   各项承诺一览表</w:t>
      </w:r>
      <w:bookmarkEnd w:id="244"/>
      <w:bookmarkEnd w:id="245"/>
      <w:bookmarkEnd w:id="246"/>
    </w:p>
    <w:p w14:paraId="389EFBF9">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各项承诺一览表</w:t>
      </w:r>
    </w:p>
    <w:tbl>
      <w:tblPr>
        <w:tblStyle w:val="33"/>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1389"/>
        <w:gridCol w:w="3733"/>
        <w:gridCol w:w="4137"/>
      </w:tblGrid>
      <w:tr w14:paraId="7442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695" w:type="dxa"/>
            <w:noWrap w:val="0"/>
            <w:vAlign w:val="top"/>
          </w:tcPr>
          <w:p w14:paraId="5569F527">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89" w:type="dxa"/>
            <w:noWrap w:val="0"/>
            <w:vAlign w:val="top"/>
          </w:tcPr>
          <w:p w14:paraId="78256980">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733" w:type="dxa"/>
            <w:noWrap w:val="0"/>
            <w:vAlign w:val="top"/>
          </w:tcPr>
          <w:p w14:paraId="6ECD69C0">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4137" w:type="dxa"/>
            <w:tcBorders>
              <w:bottom w:val="single" w:color="auto" w:sz="4" w:space="0"/>
            </w:tcBorders>
            <w:noWrap w:val="0"/>
            <w:vAlign w:val="top"/>
          </w:tcPr>
          <w:p w14:paraId="5FEFF5A4">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631B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95" w:type="dxa"/>
            <w:noWrap w:val="0"/>
            <w:vAlign w:val="center"/>
          </w:tcPr>
          <w:p w14:paraId="1404DD34">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9" w:type="dxa"/>
            <w:noWrap w:val="0"/>
            <w:vAlign w:val="center"/>
          </w:tcPr>
          <w:p w14:paraId="0C5ED35A">
            <w:pPr>
              <w:pStyle w:val="14"/>
              <w:adjustRightInd w:val="0"/>
              <w:snapToGrid w:val="0"/>
              <w:spacing w:line="41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733" w:type="dxa"/>
            <w:noWrap w:val="0"/>
            <w:vAlign w:val="center"/>
          </w:tcPr>
          <w:p w14:paraId="3E9C7633">
            <w:pPr>
              <w:pStyle w:val="14"/>
              <w:adjustRightInd w:val="0"/>
              <w:snapToGrid w:val="0"/>
              <w:spacing w:line="41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我方保证接受招标文件的所有条款，响应招标文件的所有要求。</w:t>
            </w:r>
          </w:p>
        </w:tc>
        <w:tc>
          <w:tcPr>
            <w:tcW w:w="4137" w:type="dxa"/>
            <w:tcBorders>
              <w:tr2bl w:val="single" w:color="auto" w:sz="4" w:space="0"/>
            </w:tcBorders>
            <w:noWrap w:val="0"/>
            <w:vAlign w:val="center"/>
          </w:tcPr>
          <w:p w14:paraId="55316DB5">
            <w:pPr>
              <w:pStyle w:val="14"/>
              <w:adjustRightInd w:val="0"/>
              <w:snapToGrid w:val="0"/>
              <w:spacing w:line="410" w:lineRule="exact"/>
              <w:ind w:firstLine="480"/>
              <w:rPr>
                <w:rFonts w:hint="eastAsia" w:ascii="宋体" w:hAnsi="宋体" w:eastAsia="宋体" w:cs="宋体"/>
                <w:color w:val="auto"/>
                <w:sz w:val="24"/>
                <w:szCs w:val="24"/>
                <w:highlight w:val="none"/>
              </w:rPr>
            </w:pPr>
          </w:p>
        </w:tc>
      </w:tr>
      <w:tr w14:paraId="4A12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695" w:type="dxa"/>
            <w:noWrap w:val="0"/>
            <w:vAlign w:val="center"/>
          </w:tcPr>
          <w:p w14:paraId="4FA3C7A8">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89" w:type="dxa"/>
            <w:noWrap w:val="0"/>
            <w:vAlign w:val="center"/>
          </w:tcPr>
          <w:p w14:paraId="60990E10">
            <w:pPr>
              <w:pStyle w:val="14"/>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工期、进度承诺</w:t>
            </w:r>
          </w:p>
        </w:tc>
        <w:tc>
          <w:tcPr>
            <w:tcW w:w="3733" w:type="dxa"/>
            <w:noWrap w:val="0"/>
            <w:vAlign w:val="center"/>
          </w:tcPr>
          <w:p w14:paraId="3E23D923">
            <w:pPr>
              <w:pStyle w:val="14"/>
              <w:adjustRightInd w:val="0"/>
              <w:snapToGrid w:val="0"/>
              <w:spacing w:line="41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我方保证在与招标人签定勘察、设计合同后壹天内开工，并在招标文件规定要求的勘察、设计工期内完成全部招标工程。</w:t>
            </w:r>
          </w:p>
          <w:p w14:paraId="60FCB700">
            <w:pPr>
              <w:pStyle w:val="14"/>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我方保证按我方投标文件中的勘察、设计进度计划完成勘察、设计任务。</w:t>
            </w:r>
          </w:p>
        </w:tc>
        <w:tc>
          <w:tcPr>
            <w:tcW w:w="4137" w:type="dxa"/>
            <w:noWrap w:val="0"/>
            <w:vAlign w:val="center"/>
          </w:tcPr>
          <w:p w14:paraId="0EB5C22B">
            <w:pPr>
              <w:pStyle w:val="14"/>
              <w:adjustRightInd w:val="0"/>
              <w:snapToGrid w:val="0"/>
              <w:spacing w:line="41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若因我方原因，勘察、设计没有按期完成时，我方须在逾期第壹天起每天按</w:t>
            </w:r>
            <w:r>
              <w:rPr>
                <w:rFonts w:hint="eastAsia" w:ascii="宋体" w:hAnsi="宋体" w:eastAsia="宋体" w:cs="宋体"/>
                <w:color w:val="auto"/>
                <w:sz w:val="24"/>
                <w:szCs w:val="24"/>
                <w:highlight w:val="none"/>
                <w:u w:val="single"/>
              </w:rPr>
              <w:t xml:space="preserve"> 合同价款的1%</w:t>
            </w:r>
            <w:r>
              <w:rPr>
                <w:rFonts w:hint="eastAsia" w:ascii="宋体" w:hAnsi="宋体" w:eastAsia="宋体" w:cs="宋体"/>
                <w:color w:val="auto"/>
                <w:sz w:val="24"/>
                <w:szCs w:val="24"/>
                <w:highlight w:val="none"/>
              </w:rPr>
              <w:t>向招标人返纳逾期违约金。</w:t>
            </w:r>
          </w:p>
          <w:p w14:paraId="1EAB693F">
            <w:pPr>
              <w:pStyle w:val="14"/>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若因我方原因，勘察、设计的进度未能按我方投标文件中的设计进度计划完成勘察、设计任务，延期达到30日历天，招标人有权终止合同。我方愿意承担所有由此引起的责任及经济损失。</w:t>
            </w:r>
          </w:p>
        </w:tc>
      </w:tr>
      <w:tr w14:paraId="1777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695" w:type="dxa"/>
            <w:noWrap w:val="0"/>
            <w:vAlign w:val="center"/>
          </w:tcPr>
          <w:p w14:paraId="7104448D">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89" w:type="dxa"/>
            <w:noWrap w:val="0"/>
            <w:vAlign w:val="center"/>
          </w:tcPr>
          <w:p w14:paraId="57633252">
            <w:pPr>
              <w:pStyle w:val="14"/>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质量承诺</w:t>
            </w:r>
          </w:p>
        </w:tc>
        <w:tc>
          <w:tcPr>
            <w:tcW w:w="3733" w:type="dxa"/>
            <w:noWrap w:val="0"/>
            <w:vAlign w:val="center"/>
          </w:tcPr>
          <w:p w14:paraId="0D2A52D9">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我方保证按照现行的国家、广东省规定和合同约定的技术规范、标准进行</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设计，按本招标文件规定的内容、时间及份数向招标人交付</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highlight w:val="none"/>
                <w:lang w:val="en-US" w:eastAsia="zh-CN"/>
              </w:rPr>
              <w:t>成果</w:t>
            </w:r>
            <w:r>
              <w:rPr>
                <w:rFonts w:hint="eastAsia" w:ascii="宋体" w:hAnsi="宋体" w:eastAsia="宋体" w:cs="宋体"/>
                <w:color w:val="auto"/>
                <w:sz w:val="24"/>
                <w:szCs w:val="24"/>
                <w:highlight w:val="none"/>
              </w:rPr>
              <w:t>文件，并对提交的</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设计文件质量负责。</w:t>
            </w:r>
          </w:p>
          <w:p w14:paraId="577DD77B">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我方保证按经过批准的初步设计概算（建安费）进行限额设计，并对设计文件出现的遗漏或错误负责修改或补充。</w:t>
            </w:r>
          </w:p>
        </w:tc>
        <w:tc>
          <w:tcPr>
            <w:tcW w:w="4137" w:type="dxa"/>
            <w:noWrap w:val="0"/>
            <w:vAlign w:val="center"/>
          </w:tcPr>
          <w:p w14:paraId="1AE78798">
            <w:pPr>
              <w:pStyle w:val="14"/>
              <w:keepNext w:val="0"/>
              <w:keepLines w:val="0"/>
              <w:pageBreakBefore w:val="0"/>
              <w:kinsoku/>
              <w:overflowPunct/>
              <w:topLinePunct w:val="0"/>
              <w:autoSpaceDE/>
              <w:autoSpaceDN/>
              <w:bidi w:val="0"/>
              <w:adjustRightInd w:val="0"/>
              <w:snapToGrid w:val="0"/>
              <w:spacing w:line="41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设计错误造成工程质量事故损失，我方除负责采取补救措施外，并保证免收损失部分的设计费，并根据损失程度向发包人支付赔偿金，赔偿金为直接损失部分设计费的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%。造成第三方损失的，由</w:t>
            </w:r>
            <w:r>
              <w:rPr>
                <w:rFonts w:hint="eastAsia" w:ascii="宋体" w:hAnsi="宋体" w:eastAsia="宋体" w:cs="宋体"/>
                <w:color w:val="auto"/>
                <w:sz w:val="24"/>
                <w:szCs w:val="24"/>
                <w:highlight w:val="none"/>
                <w:lang w:eastAsia="zh-CN"/>
              </w:rPr>
              <w:t>项目所在地人民法院</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诉讼</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eastAsia="zh-CN"/>
              </w:rPr>
              <w:t>诉讼</w:t>
            </w:r>
            <w:r>
              <w:rPr>
                <w:rFonts w:hint="eastAsia" w:ascii="宋体" w:hAnsi="宋体" w:eastAsia="宋体" w:cs="宋体"/>
                <w:color w:val="auto"/>
                <w:sz w:val="24"/>
                <w:szCs w:val="24"/>
                <w:highlight w:val="none"/>
              </w:rPr>
              <w:t>结果承担责任。</w:t>
            </w:r>
          </w:p>
          <w:p w14:paraId="6DD0FB81">
            <w:pPr>
              <w:pStyle w:val="14"/>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我方同意所有违约金以及赔偿金在勘察、设计费中扣除或在履约保证金中扣除。</w:t>
            </w:r>
          </w:p>
        </w:tc>
      </w:tr>
      <w:tr w14:paraId="63BB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5" w:type="dxa"/>
            <w:noWrap w:val="0"/>
            <w:vAlign w:val="center"/>
          </w:tcPr>
          <w:p w14:paraId="2360697D">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89" w:type="dxa"/>
            <w:noWrap w:val="0"/>
            <w:vAlign w:val="center"/>
          </w:tcPr>
          <w:p w14:paraId="20CE5411">
            <w:pPr>
              <w:pStyle w:val="14"/>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违约承诺</w:t>
            </w:r>
          </w:p>
        </w:tc>
        <w:tc>
          <w:tcPr>
            <w:tcW w:w="3733" w:type="dxa"/>
            <w:noWrap w:val="0"/>
            <w:vAlign w:val="center"/>
          </w:tcPr>
          <w:p w14:paraId="54588119">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方违约，需向守约方支付违约金，违约金不足以弥补守约方损失的，违约方需承担守约方的全部损失，并承担守约方因主张权益导致的全部损失(包括但不限于诉讼费、保全费、鉴定费、律师费等)。</w:t>
            </w:r>
          </w:p>
        </w:tc>
        <w:tc>
          <w:tcPr>
            <w:tcW w:w="4137" w:type="dxa"/>
            <w:noWrap w:val="0"/>
            <w:vAlign w:val="center"/>
          </w:tcPr>
          <w:p w14:paraId="70994770">
            <w:pPr>
              <w:pStyle w:val="14"/>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lang w:eastAsia="zh-CN"/>
              </w:rPr>
              <w:t>若我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方违约，需向守约方支付违约金，违约金不足以弥补守约方损失的，违约方需承担守约方的全部损失，并承担守约方因主张权益导致的全部损失(包括但不限于诉讼费、保全费、鉴定费、律师费等)。</w:t>
            </w:r>
          </w:p>
        </w:tc>
      </w:tr>
      <w:tr w14:paraId="3CF3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95" w:type="dxa"/>
            <w:noWrap w:val="0"/>
            <w:vAlign w:val="center"/>
          </w:tcPr>
          <w:p w14:paraId="016B8B0C">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89" w:type="dxa"/>
            <w:noWrap w:val="0"/>
            <w:vAlign w:val="center"/>
          </w:tcPr>
          <w:p w14:paraId="2CD3D4F7">
            <w:pPr>
              <w:pStyle w:val="14"/>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账户承诺</w:t>
            </w:r>
          </w:p>
        </w:tc>
        <w:tc>
          <w:tcPr>
            <w:tcW w:w="3733" w:type="dxa"/>
            <w:noWrap w:val="0"/>
            <w:vAlign w:val="center"/>
          </w:tcPr>
          <w:p w14:paraId="7C88CD48">
            <w:pPr>
              <w:adjustRightInd w:val="0"/>
              <w:snapToGrid w:val="0"/>
              <w:spacing w:line="410" w:lineRule="exact"/>
              <w:ind w:firstLine="56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4137" w:type="dxa"/>
            <w:noWrap w:val="0"/>
            <w:vAlign w:val="center"/>
          </w:tcPr>
          <w:p w14:paraId="0AD7D243">
            <w:pPr>
              <w:pStyle w:val="14"/>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3954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jc w:val="center"/>
        </w:trPr>
        <w:tc>
          <w:tcPr>
            <w:tcW w:w="695" w:type="dxa"/>
            <w:noWrap w:val="0"/>
            <w:vAlign w:val="center"/>
          </w:tcPr>
          <w:p w14:paraId="343506E2">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89" w:type="dxa"/>
            <w:noWrap w:val="0"/>
            <w:vAlign w:val="center"/>
          </w:tcPr>
          <w:p w14:paraId="106CA922">
            <w:pPr>
              <w:pStyle w:val="14"/>
              <w:adjustRightInd w:val="0"/>
              <w:snapToGrid w:val="0"/>
              <w:spacing w:line="41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工程的配合服务承诺</w:t>
            </w:r>
          </w:p>
        </w:tc>
        <w:tc>
          <w:tcPr>
            <w:tcW w:w="3733" w:type="dxa"/>
            <w:noWrap w:val="0"/>
            <w:vAlign w:val="center"/>
          </w:tcPr>
          <w:p w14:paraId="25FAD02D">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我方保证安排各专业设计人员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施工现场或不定期到现场配合施工，并安排一名设计代表</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4137" w:type="dxa"/>
            <w:noWrap w:val="0"/>
            <w:vAlign w:val="center"/>
          </w:tcPr>
          <w:p w14:paraId="494D93C1">
            <w:pPr>
              <w:pStyle w:val="14"/>
              <w:adjustRightInd w:val="0"/>
              <w:snapToGrid w:val="0"/>
              <w:spacing w:line="41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若因我方原因，未及时配合与施工单位的工程施工，给招标人或施工单位造成损失的，我方承担所有的责任及经济损失。</w:t>
            </w:r>
          </w:p>
          <w:p w14:paraId="569695A1">
            <w:pPr>
              <w:pStyle w:val="14"/>
              <w:adjustRightInd w:val="0"/>
              <w:snapToGrid w:val="0"/>
              <w:spacing w:line="410" w:lineRule="exact"/>
              <w:ind w:firstLine="480"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各专业安排施工现场的专职设计人员</w:t>
            </w:r>
            <w:r>
              <w:rPr>
                <w:rFonts w:hint="eastAsia" w:ascii="宋体" w:hAnsi="宋体" w:eastAsia="宋体" w:cs="宋体"/>
                <w:color w:val="auto"/>
                <w:spacing w:val="-2"/>
                <w:sz w:val="24"/>
                <w:szCs w:val="24"/>
                <w:highlight w:val="none"/>
              </w:rPr>
              <w:t>未及时配合与施工单位的工程施工，每缺席一人次扣除500元,缺席累计达10人次的，招标人有权终止合同。我方承担由此造成的所有责任及经济损失。</w:t>
            </w:r>
          </w:p>
        </w:tc>
      </w:tr>
      <w:tr w14:paraId="1BC6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jc w:val="center"/>
        </w:trPr>
        <w:tc>
          <w:tcPr>
            <w:tcW w:w="695" w:type="dxa"/>
            <w:noWrap w:val="0"/>
            <w:vAlign w:val="center"/>
          </w:tcPr>
          <w:p w14:paraId="495F1765">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89" w:type="dxa"/>
            <w:noWrap w:val="0"/>
            <w:vAlign w:val="center"/>
          </w:tcPr>
          <w:p w14:paraId="5A3B4252">
            <w:pPr>
              <w:pStyle w:val="14"/>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项目管理班子人员承诺</w:t>
            </w:r>
          </w:p>
        </w:tc>
        <w:tc>
          <w:tcPr>
            <w:tcW w:w="3733" w:type="dxa"/>
            <w:noWrap w:val="0"/>
            <w:vAlign w:val="center"/>
          </w:tcPr>
          <w:p w14:paraId="177B07D2">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z w:val="24"/>
                <w:szCs w:val="24"/>
                <w:highlight w:val="none"/>
              </w:rPr>
              <w:t>人员全部到位，负责各自职责。</w:t>
            </w:r>
          </w:p>
        </w:tc>
        <w:tc>
          <w:tcPr>
            <w:tcW w:w="4137" w:type="dxa"/>
            <w:noWrap w:val="0"/>
            <w:vAlign w:val="center"/>
          </w:tcPr>
          <w:p w14:paraId="5E51409D">
            <w:pPr>
              <w:pStyle w:val="14"/>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若我方中标后，各负责人未按时参加招标人要求出席的会议（包括图纸会审和技术交底等，具体以招标人书面通知为准），每缺席一人次扣500元违约金。我方承担由此造成的所有责任及经济损失。</w:t>
            </w:r>
          </w:p>
        </w:tc>
      </w:tr>
      <w:tr w14:paraId="524E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695" w:type="dxa"/>
            <w:noWrap w:val="0"/>
            <w:vAlign w:val="center"/>
          </w:tcPr>
          <w:p w14:paraId="5FA00F32">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89" w:type="dxa"/>
            <w:noWrap w:val="0"/>
            <w:vAlign w:val="center"/>
          </w:tcPr>
          <w:p w14:paraId="30C1AEDD">
            <w:pPr>
              <w:pStyle w:val="14"/>
              <w:adjustRightInd w:val="0"/>
              <w:snapToGrid w:val="0"/>
              <w:spacing w:line="41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项目负责人承诺</w:t>
            </w:r>
          </w:p>
        </w:tc>
        <w:tc>
          <w:tcPr>
            <w:tcW w:w="3733" w:type="dxa"/>
            <w:noWrap w:val="0"/>
            <w:vAlign w:val="center"/>
          </w:tcPr>
          <w:p w14:paraId="245901D1">
            <w:pPr>
              <w:pStyle w:val="14"/>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负责本项目勘察设计全过程（包括初步设计评审、初步设计修编、施工图设计审查、施工图设计修编、图纸会审和技术交底）。</w:t>
            </w:r>
          </w:p>
        </w:tc>
        <w:tc>
          <w:tcPr>
            <w:tcW w:w="4137" w:type="dxa"/>
            <w:noWrap w:val="0"/>
            <w:vAlign w:val="center"/>
          </w:tcPr>
          <w:p w14:paraId="1FB1036E">
            <w:pPr>
              <w:pStyle w:val="14"/>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若因我方原因，项目负责人未准时参加本项目勘察设计全过程（包括初步设计评审、初步设计修编、施工图设计审查、施工图设计修编、图纸会审和技术交底）的，每缺席一次扣</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000元（以发包人发出的违约通知为准）。</w:t>
            </w:r>
          </w:p>
        </w:tc>
      </w:tr>
      <w:tr w14:paraId="217B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5" w:type="dxa"/>
            <w:noWrap w:val="0"/>
            <w:vAlign w:val="center"/>
          </w:tcPr>
          <w:p w14:paraId="593BBC83">
            <w:pPr>
              <w:adjustRightInd w:val="0"/>
              <w:snapToGrid w:val="0"/>
              <w:spacing w:line="41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389" w:type="dxa"/>
            <w:noWrap w:val="0"/>
            <w:vAlign w:val="center"/>
          </w:tcPr>
          <w:p w14:paraId="029A6F1E">
            <w:pPr>
              <w:pStyle w:val="14"/>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廉政承诺</w:t>
            </w:r>
          </w:p>
        </w:tc>
        <w:tc>
          <w:tcPr>
            <w:tcW w:w="3733" w:type="dxa"/>
            <w:noWrap w:val="0"/>
            <w:vAlign w:val="center"/>
          </w:tcPr>
          <w:p w14:paraId="6B6DA1E7">
            <w:pPr>
              <w:pStyle w:val="14"/>
              <w:adjustRightInd w:val="0"/>
              <w:snapToGrid w:val="0"/>
              <w:spacing w:line="410" w:lineRule="exact"/>
              <w:ind w:firstLine="240" w:firstLineChars="1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我方保证严格遵守有关法律法规及廉政规定。</w:t>
            </w:r>
          </w:p>
        </w:tc>
        <w:tc>
          <w:tcPr>
            <w:tcW w:w="4137" w:type="dxa"/>
            <w:noWrap w:val="0"/>
            <w:vAlign w:val="center"/>
          </w:tcPr>
          <w:p w14:paraId="15D399B3">
            <w:pPr>
              <w:widowControl/>
              <w:adjustRightInd w:val="0"/>
              <w:snapToGrid w:val="0"/>
              <w:spacing w:line="41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如我单位及其工作人员违反本承诺规定的，愿接受党纪、政纪处理直至追究法律责任；给招标单位造成经济损失的，依法给予赔偿。</w:t>
            </w:r>
          </w:p>
        </w:tc>
      </w:tr>
      <w:tr w14:paraId="68A0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5" w:type="dxa"/>
            <w:noWrap w:val="0"/>
            <w:vAlign w:val="center"/>
          </w:tcPr>
          <w:p w14:paraId="6C9F35E7">
            <w:pPr>
              <w:adjustRightInd w:val="0"/>
              <w:snapToGrid w:val="0"/>
              <w:spacing w:line="41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89" w:type="dxa"/>
            <w:noWrap w:val="0"/>
            <w:vAlign w:val="center"/>
          </w:tcPr>
          <w:p w14:paraId="741BD5EA">
            <w:pPr>
              <w:adjustRightInd w:val="0"/>
              <w:snapToGrid w:val="0"/>
              <w:spacing w:line="41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投标文件信息公开承诺</w:t>
            </w:r>
          </w:p>
        </w:tc>
        <w:tc>
          <w:tcPr>
            <w:tcW w:w="3733" w:type="dxa"/>
            <w:noWrap w:val="0"/>
            <w:vAlign w:val="center"/>
          </w:tcPr>
          <w:p w14:paraId="62B47CE6">
            <w:pPr>
              <w:pStyle w:val="115"/>
              <w:wordWrap w:val="0"/>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Cs w:val="24"/>
                <w:highlight w:val="none"/>
              </w:rPr>
              <w:t>如果我方成为本项目中标候选人，我方同意并授权招标人在评标结果公示期内公开我方商务经济部分的全部内容。</w:t>
            </w:r>
          </w:p>
        </w:tc>
        <w:tc>
          <w:tcPr>
            <w:tcW w:w="4137" w:type="dxa"/>
            <w:tcBorders>
              <w:tr2bl w:val="single" w:color="auto" w:sz="4" w:space="0"/>
            </w:tcBorders>
            <w:noWrap w:val="0"/>
            <w:vAlign w:val="center"/>
          </w:tcPr>
          <w:p w14:paraId="428581D0">
            <w:pPr>
              <w:pStyle w:val="115"/>
              <w:wordWrap w:val="0"/>
              <w:adjustRightInd w:val="0"/>
              <w:snapToGrid w:val="0"/>
              <w:spacing w:line="410" w:lineRule="exact"/>
              <w:ind w:firstLine="0" w:firstLineChars="0"/>
              <w:jc w:val="center"/>
              <w:rPr>
                <w:rFonts w:hint="eastAsia" w:ascii="宋体" w:hAnsi="宋体" w:eastAsia="宋体" w:cs="宋体"/>
                <w:color w:val="auto"/>
                <w:kern w:val="2"/>
                <w:sz w:val="24"/>
                <w:szCs w:val="24"/>
                <w:highlight w:val="none"/>
                <w:lang w:val="en-US" w:eastAsia="zh-CN" w:bidi="ar-SA"/>
              </w:rPr>
            </w:pPr>
          </w:p>
        </w:tc>
      </w:tr>
    </w:tbl>
    <w:p w14:paraId="03DA8EFF">
      <w:pPr>
        <w:rPr>
          <w:rFonts w:hint="eastAsia" w:ascii="宋体" w:hAnsi="宋体" w:eastAsia="宋体" w:cs="宋体"/>
          <w:color w:val="auto"/>
          <w:sz w:val="24"/>
          <w:szCs w:val="24"/>
          <w:highlight w:val="none"/>
        </w:rPr>
      </w:pPr>
    </w:p>
    <w:p w14:paraId="51550B43">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1D42369E">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11E6AC97">
      <w:pPr>
        <w:wordWrap w:val="0"/>
        <w:adjustRightInd w:val="0"/>
        <w:snapToGrid w:val="0"/>
        <w:spacing w:line="420" w:lineRule="exact"/>
        <w:ind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6A194C42">
      <w:pPr>
        <w:rPr>
          <w:rFonts w:hint="eastAsia" w:ascii="宋体" w:hAnsi="宋体" w:eastAsia="宋体" w:cs="宋体"/>
        </w:rPr>
      </w:pPr>
    </w:p>
    <w:p w14:paraId="4B150170">
      <w:pPr>
        <w:rPr>
          <w:rFonts w:hint="eastAsia" w:ascii="宋体" w:hAnsi="宋体" w:eastAsia="宋体" w:cs="宋体"/>
        </w:rPr>
      </w:pPr>
    </w:p>
    <w:p w14:paraId="11D991B0">
      <w:pPr>
        <w:rPr>
          <w:rFonts w:hint="eastAsia" w:ascii="宋体" w:hAnsi="宋体" w:eastAsia="宋体" w:cs="宋体"/>
        </w:rPr>
      </w:pPr>
    </w:p>
    <w:p w14:paraId="6697A547">
      <w:pPr>
        <w:rPr>
          <w:rFonts w:hint="eastAsia" w:ascii="宋体" w:hAnsi="宋体" w:eastAsia="宋体" w:cs="宋体"/>
        </w:rPr>
      </w:pPr>
    </w:p>
    <w:p w14:paraId="1ED7DD1E">
      <w:pPr>
        <w:rPr>
          <w:rFonts w:hint="eastAsia" w:ascii="宋体" w:hAnsi="宋体" w:eastAsia="宋体" w:cs="宋体"/>
        </w:rPr>
      </w:pPr>
    </w:p>
    <w:p w14:paraId="061ADBB3">
      <w:pPr>
        <w:rPr>
          <w:rFonts w:hint="eastAsia" w:ascii="宋体" w:hAnsi="宋体" w:eastAsia="宋体" w:cs="宋体"/>
        </w:rPr>
      </w:pPr>
    </w:p>
    <w:p w14:paraId="2C725FAD">
      <w:pPr>
        <w:rPr>
          <w:rFonts w:hint="eastAsia" w:ascii="宋体" w:hAnsi="宋体" w:eastAsia="宋体" w:cs="宋体"/>
        </w:rPr>
      </w:pPr>
    </w:p>
    <w:p w14:paraId="593F3916">
      <w:pPr>
        <w:rPr>
          <w:rFonts w:hint="eastAsia" w:ascii="宋体" w:hAnsi="宋体" w:eastAsia="宋体" w:cs="宋体"/>
        </w:rPr>
      </w:pPr>
    </w:p>
    <w:p w14:paraId="684C8008">
      <w:pPr>
        <w:rPr>
          <w:rFonts w:hint="eastAsia" w:ascii="宋体" w:hAnsi="宋体" w:eastAsia="宋体" w:cs="宋体"/>
        </w:rPr>
      </w:pPr>
    </w:p>
    <w:p w14:paraId="64AB0939">
      <w:pPr>
        <w:rPr>
          <w:rFonts w:hint="eastAsia" w:ascii="宋体" w:hAnsi="宋体" w:eastAsia="宋体" w:cs="宋体"/>
        </w:rPr>
      </w:pPr>
    </w:p>
    <w:p w14:paraId="376057BE">
      <w:pPr>
        <w:rPr>
          <w:rFonts w:hint="eastAsia" w:ascii="宋体" w:hAnsi="宋体" w:eastAsia="宋体" w:cs="宋体"/>
        </w:rPr>
      </w:pPr>
    </w:p>
    <w:p w14:paraId="6BB6FE5B">
      <w:pPr>
        <w:rPr>
          <w:rFonts w:hint="eastAsia" w:ascii="宋体" w:hAnsi="宋体" w:eastAsia="宋体" w:cs="宋体"/>
        </w:rPr>
      </w:pPr>
    </w:p>
    <w:p w14:paraId="08116FE9">
      <w:pPr>
        <w:rPr>
          <w:rFonts w:hint="eastAsia" w:ascii="宋体" w:hAnsi="宋体" w:eastAsia="宋体" w:cs="宋体"/>
        </w:rPr>
      </w:pPr>
    </w:p>
    <w:p w14:paraId="572A59D4">
      <w:pPr>
        <w:rPr>
          <w:rFonts w:hint="eastAsia" w:ascii="宋体" w:hAnsi="宋体" w:eastAsia="宋体" w:cs="宋体"/>
        </w:rPr>
      </w:pPr>
    </w:p>
    <w:p w14:paraId="62F441B9">
      <w:pPr>
        <w:rPr>
          <w:rFonts w:hint="eastAsia" w:ascii="宋体" w:hAnsi="宋体" w:eastAsia="宋体" w:cs="宋体"/>
        </w:rPr>
      </w:pPr>
    </w:p>
    <w:p w14:paraId="6039ACB1">
      <w:pPr>
        <w:rPr>
          <w:rFonts w:hint="eastAsia" w:ascii="宋体" w:hAnsi="宋体" w:eastAsia="宋体" w:cs="宋体"/>
        </w:rPr>
      </w:pPr>
    </w:p>
    <w:p w14:paraId="64ADD6BE">
      <w:pPr>
        <w:rPr>
          <w:rFonts w:hint="eastAsia" w:ascii="宋体" w:hAnsi="宋体" w:eastAsia="宋体" w:cs="宋体"/>
        </w:rPr>
      </w:pPr>
    </w:p>
    <w:p w14:paraId="660BB4FD">
      <w:pPr>
        <w:rPr>
          <w:rFonts w:hint="eastAsia" w:ascii="宋体" w:hAnsi="宋体" w:eastAsia="宋体" w:cs="宋体"/>
        </w:rPr>
      </w:pPr>
    </w:p>
    <w:p w14:paraId="4923126C">
      <w:pPr>
        <w:rPr>
          <w:rFonts w:hint="eastAsia" w:ascii="宋体" w:hAnsi="宋体" w:eastAsia="宋体" w:cs="宋体"/>
        </w:rPr>
      </w:pPr>
    </w:p>
    <w:p w14:paraId="26E7DCF1">
      <w:pPr>
        <w:rPr>
          <w:rFonts w:hint="eastAsia" w:ascii="宋体" w:hAnsi="宋体" w:eastAsia="宋体" w:cs="宋体"/>
        </w:rPr>
      </w:pPr>
    </w:p>
    <w:p w14:paraId="2F624657">
      <w:pPr>
        <w:pStyle w:val="31"/>
        <w:ind w:left="0" w:leftChars="0" w:firstLine="0" w:firstLineChars="0"/>
        <w:rPr>
          <w:rFonts w:hint="eastAsia" w:ascii="宋体" w:hAnsi="宋体" w:eastAsia="宋体" w:cs="宋体"/>
        </w:rPr>
      </w:pPr>
    </w:p>
    <w:p w14:paraId="2235D3EA">
      <w:pPr>
        <w:rPr>
          <w:rFonts w:hint="eastAsia" w:ascii="宋体" w:hAnsi="宋体" w:eastAsia="宋体" w:cs="宋体"/>
        </w:rPr>
      </w:pPr>
    </w:p>
    <w:p w14:paraId="21599B59">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47" w:name="_Toc10889"/>
      <w:bookmarkStart w:id="248" w:name="_Toc24870"/>
      <w:bookmarkStart w:id="249" w:name="_Toc2161"/>
      <w:r>
        <w:rPr>
          <w:rFonts w:hint="eastAsia" w:ascii="宋体" w:hAnsi="宋体" w:eastAsia="宋体" w:cs="宋体"/>
          <w:b/>
          <w:color w:val="auto"/>
          <w:kern w:val="2"/>
          <w:sz w:val="28"/>
          <w:szCs w:val="24"/>
          <w:lang w:val="en-US" w:eastAsia="zh-CN"/>
        </w:rPr>
        <w:t>格式五   授权委托书</w:t>
      </w:r>
      <w:bookmarkEnd w:id="247"/>
      <w:bookmarkEnd w:id="248"/>
      <w:bookmarkEnd w:id="249"/>
    </w:p>
    <w:p w14:paraId="1160D552">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授权委托书</w:t>
      </w:r>
    </w:p>
    <w:p w14:paraId="070F8AFE">
      <w:pPr>
        <w:spacing w:line="360" w:lineRule="auto"/>
        <w:rPr>
          <w:rFonts w:hint="eastAsia" w:ascii="宋体" w:hAnsi="宋体" w:eastAsia="宋体" w:cs="宋体"/>
          <w:color w:val="auto"/>
          <w:sz w:val="24"/>
          <w:highlight w:val="none"/>
        </w:rPr>
      </w:pPr>
    </w:p>
    <w:p w14:paraId="54B65DA5">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本人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（投标人名称）的法定代表人，现委托</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（项目名称）投标文件、签订合同和处理有关事宜，其法律后果由我方承担。</w:t>
      </w:r>
    </w:p>
    <w:p w14:paraId="0DF14A9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委托期限：</w:t>
      </w:r>
      <w:r>
        <w:rPr>
          <w:rFonts w:hint="eastAsia" w:ascii="宋体" w:hAnsi="宋体" w:eastAsia="宋体" w:cs="宋体"/>
          <w:color w:val="auto"/>
          <w:sz w:val="24"/>
          <w:szCs w:val="21"/>
          <w:highlight w:val="none"/>
        </w:rPr>
        <w:t>至投标有效期的期满之日止。</w:t>
      </w:r>
    </w:p>
    <w:p w14:paraId="36689683">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代理人无转委托权。</w:t>
      </w:r>
    </w:p>
    <w:p w14:paraId="26278735">
      <w:pPr>
        <w:spacing w:line="360" w:lineRule="auto"/>
        <w:rPr>
          <w:rFonts w:hint="eastAsia" w:ascii="宋体" w:hAnsi="宋体" w:eastAsia="宋体" w:cs="宋体"/>
          <w:color w:val="auto"/>
          <w:sz w:val="24"/>
          <w:highlight w:val="none"/>
        </w:rPr>
      </w:pPr>
    </w:p>
    <w:p w14:paraId="18F6BB64">
      <w:pPr>
        <w:spacing w:line="360" w:lineRule="auto"/>
        <w:rPr>
          <w:rFonts w:hint="eastAsia" w:ascii="宋体" w:hAnsi="宋体" w:eastAsia="宋体" w:cs="宋体"/>
          <w:color w:val="auto"/>
          <w:sz w:val="24"/>
          <w:highlight w:val="none"/>
        </w:rPr>
      </w:pPr>
    </w:p>
    <w:p w14:paraId="0B2B86D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投  标  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14:paraId="621E4018">
      <w:pPr>
        <w:spacing w:line="360" w:lineRule="auto"/>
        <w:rPr>
          <w:rFonts w:hint="eastAsia" w:ascii="宋体" w:hAnsi="宋体" w:eastAsia="宋体" w:cs="宋体"/>
          <w:color w:val="auto"/>
          <w:sz w:val="24"/>
          <w:highlight w:val="none"/>
        </w:rPr>
      </w:pPr>
    </w:p>
    <w:p w14:paraId="30C60CF8">
      <w:pPr>
        <w:spacing w:line="360" w:lineRule="auto"/>
        <w:rPr>
          <w:rFonts w:hint="eastAsia" w:ascii="宋体" w:hAnsi="宋体" w:eastAsia="宋体" w:cs="宋体"/>
          <w:color w:val="auto"/>
          <w:sz w:val="24"/>
          <w:highlight w:val="none"/>
        </w:rPr>
      </w:pPr>
    </w:p>
    <w:p w14:paraId="354B8136">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4D8AA7C5">
      <w:pPr>
        <w:spacing w:line="360" w:lineRule="auto"/>
        <w:rPr>
          <w:rFonts w:hint="eastAsia" w:ascii="宋体" w:hAnsi="宋体" w:eastAsia="宋体" w:cs="宋体"/>
          <w:color w:val="auto"/>
          <w:sz w:val="24"/>
          <w:highlight w:val="none"/>
        </w:rPr>
      </w:pPr>
    </w:p>
    <w:p w14:paraId="2AF5BAC2">
      <w:pPr>
        <w:spacing w:line="360" w:lineRule="auto"/>
        <w:rPr>
          <w:rFonts w:hint="eastAsia" w:ascii="宋体" w:hAnsi="宋体" w:eastAsia="宋体" w:cs="宋体"/>
          <w:color w:val="auto"/>
          <w:sz w:val="24"/>
          <w:highlight w:val="none"/>
        </w:rPr>
      </w:pPr>
    </w:p>
    <w:p w14:paraId="2C9782A6">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委托代理人：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2CB33230">
      <w:pPr>
        <w:spacing w:line="360" w:lineRule="auto"/>
        <w:rPr>
          <w:rFonts w:hint="eastAsia" w:ascii="宋体" w:hAnsi="宋体" w:eastAsia="宋体" w:cs="宋体"/>
          <w:snapToGrid w:val="0"/>
          <w:color w:val="auto"/>
          <w:kern w:val="0"/>
          <w:sz w:val="24"/>
          <w:szCs w:val="21"/>
          <w:highlight w:val="none"/>
        </w:rPr>
      </w:pPr>
    </w:p>
    <w:p w14:paraId="6920B4D2">
      <w:pPr>
        <w:spacing w:line="360" w:lineRule="auto"/>
        <w:rPr>
          <w:rFonts w:hint="eastAsia" w:ascii="宋体" w:hAnsi="宋体" w:eastAsia="宋体" w:cs="宋体"/>
          <w:color w:val="auto"/>
          <w:sz w:val="24"/>
          <w:highlight w:val="none"/>
        </w:rPr>
      </w:pPr>
    </w:p>
    <w:p w14:paraId="38B90303">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日</w:t>
      </w:r>
    </w:p>
    <w:p w14:paraId="331D3305">
      <w:pPr>
        <w:spacing w:line="360" w:lineRule="auto"/>
        <w:rPr>
          <w:rFonts w:hint="eastAsia" w:ascii="宋体" w:hAnsi="宋体" w:eastAsia="宋体" w:cs="宋体"/>
          <w:color w:val="auto"/>
          <w:sz w:val="24"/>
          <w:highlight w:val="none"/>
        </w:rPr>
      </w:pPr>
    </w:p>
    <w:p w14:paraId="7B08719F">
      <w:pPr>
        <w:spacing w:line="360" w:lineRule="auto"/>
        <w:rPr>
          <w:rFonts w:hint="eastAsia" w:ascii="宋体" w:hAnsi="宋体" w:eastAsia="宋体" w:cs="宋体"/>
          <w:color w:val="auto"/>
          <w:sz w:val="24"/>
          <w:highlight w:val="none"/>
        </w:rPr>
      </w:pPr>
    </w:p>
    <w:p w14:paraId="4AD57E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953686">
                            <w:pPr>
                              <w:spacing w:line="360" w:lineRule="auto"/>
                              <w:jc w:val="center"/>
                              <w:rPr>
                                <w:rFonts w:ascii="宋体"/>
                                <w:sz w:val="24"/>
                                <w:szCs w:val="21"/>
                              </w:rPr>
                            </w:pPr>
                            <w:r>
                              <w:rPr>
                                <w:rFonts w:hint="eastAsia" w:ascii="宋体"/>
                                <w:sz w:val="24"/>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sn06zYAAAACQEAAA8AAAAAAAAAAQAgAAAAIgAAAGRycy9kb3du&#10;cmV2LnhtbFBLAQIUABQAAAAIAIdO4kCncdM0OAIAAGwEAAAOAAAAAAAAAAEAIAAAACcBAABkcnMv&#10;ZTJvRG9jLnhtbFBLBQYAAAAABgAGAFkBAADRBQAAAAA=&#10;">
                <v:fill on="t" focussize="0,0"/>
                <v:stroke color="#000000" joinstyle="miter"/>
                <v:imagedata o:title=""/>
                <o:lock v:ext="edit" aspectratio="f"/>
                <v:textbox>
                  <w:txbxContent>
                    <w:p w14:paraId="75953686">
                      <w:pPr>
                        <w:spacing w:line="360" w:lineRule="auto"/>
                        <w:jc w:val="center"/>
                        <w:rPr>
                          <w:rFonts w:ascii="宋体"/>
                          <w:sz w:val="24"/>
                          <w:szCs w:val="21"/>
                        </w:rPr>
                      </w:pPr>
                      <w:r>
                        <w:rPr>
                          <w:rFonts w:hint="eastAsia" w:ascii="宋体"/>
                          <w:sz w:val="24"/>
                          <w:szCs w:val="21"/>
                        </w:rPr>
                        <w:t>委托代理人身份证彩色扫描件正、反面</w:t>
                      </w:r>
                    </w:p>
                  </w:txbxContent>
                </v:textbox>
              </v:shape>
            </w:pict>
          </mc:Fallback>
        </mc:AlternateContent>
      </w:r>
    </w:p>
    <w:p w14:paraId="75682BD8">
      <w:pPr>
        <w:spacing w:line="360" w:lineRule="auto"/>
        <w:rPr>
          <w:rFonts w:hint="eastAsia" w:ascii="宋体" w:hAnsi="宋体" w:eastAsia="宋体" w:cs="宋体"/>
          <w:color w:val="auto"/>
          <w:sz w:val="24"/>
          <w:highlight w:val="none"/>
        </w:rPr>
      </w:pPr>
    </w:p>
    <w:p w14:paraId="24C64684">
      <w:pPr>
        <w:rPr>
          <w:rFonts w:hint="eastAsia" w:ascii="宋体" w:hAnsi="宋体" w:eastAsia="宋体" w:cs="宋体"/>
        </w:rPr>
      </w:pPr>
    </w:p>
    <w:p w14:paraId="7F5552A2">
      <w:pPr>
        <w:rPr>
          <w:rFonts w:hint="eastAsia" w:ascii="宋体" w:hAnsi="宋体" w:eastAsia="宋体" w:cs="宋体"/>
        </w:rPr>
      </w:pPr>
    </w:p>
    <w:p w14:paraId="5AE3C908">
      <w:pPr>
        <w:rPr>
          <w:rFonts w:hint="eastAsia" w:ascii="宋体" w:hAnsi="宋体" w:eastAsia="宋体" w:cs="宋体"/>
        </w:rPr>
      </w:pPr>
    </w:p>
    <w:p w14:paraId="76591178">
      <w:pPr>
        <w:rPr>
          <w:rFonts w:hint="eastAsia" w:ascii="宋体" w:hAnsi="宋体" w:eastAsia="宋体" w:cs="宋体"/>
        </w:rPr>
      </w:pPr>
    </w:p>
    <w:p w14:paraId="30FB12F9">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50" w:name="_Toc30236"/>
      <w:bookmarkStart w:id="251" w:name="_Toc22502"/>
      <w:bookmarkStart w:id="252" w:name="_Toc650"/>
      <w:r>
        <w:rPr>
          <w:rFonts w:hint="eastAsia" w:ascii="宋体" w:hAnsi="宋体" w:eastAsia="宋体" w:cs="宋体"/>
          <w:b/>
          <w:color w:val="auto"/>
          <w:kern w:val="2"/>
          <w:sz w:val="28"/>
          <w:szCs w:val="24"/>
          <w:lang w:val="en-US" w:eastAsia="zh-CN"/>
        </w:rPr>
        <w:t>格式六   法定代表人身份证明</w:t>
      </w:r>
      <w:bookmarkEnd w:id="250"/>
      <w:bookmarkEnd w:id="251"/>
      <w:bookmarkEnd w:id="252"/>
    </w:p>
    <w:p w14:paraId="07B318A3">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法定代表人身份证明</w:t>
      </w:r>
    </w:p>
    <w:p w14:paraId="31BA26DE">
      <w:pPr>
        <w:spacing w:line="360" w:lineRule="auto"/>
        <w:rPr>
          <w:rFonts w:hint="eastAsia" w:ascii="宋体" w:hAnsi="宋体" w:eastAsia="宋体" w:cs="宋体"/>
          <w:color w:val="auto"/>
          <w:sz w:val="24"/>
          <w:highlight w:val="none"/>
        </w:rPr>
      </w:pPr>
    </w:p>
    <w:p w14:paraId="6C79B4CB">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投标人名称：</w:t>
      </w:r>
      <w:r>
        <w:rPr>
          <w:rFonts w:hint="eastAsia" w:ascii="宋体" w:hAnsi="宋体" w:eastAsia="宋体" w:cs="宋体"/>
          <w:snapToGrid w:val="0"/>
          <w:color w:val="auto"/>
          <w:kern w:val="0"/>
          <w:sz w:val="24"/>
          <w:szCs w:val="21"/>
          <w:highlight w:val="none"/>
          <w:u w:val="single"/>
        </w:rPr>
        <w:t xml:space="preserve">                  </w:t>
      </w:r>
    </w:p>
    <w:p w14:paraId="216854F4">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姓名：</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性别：</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年龄：</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职务：</w:t>
      </w:r>
      <w:r>
        <w:rPr>
          <w:rFonts w:hint="eastAsia" w:ascii="宋体" w:hAnsi="宋体" w:eastAsia="宋体" w:cs="宋体"/>
          <w:snapToGrid w:val="0"/>
          <w:color w:val="auto"/>
          <w:kern w:val="0"/>
          <w:sz w:val="24"/>
          <w:szCs w:val="21"/>
          <w:highlight w:val="none"/>
          <w:u w:val="none"/>
        </w:rPr>
        <w:t xml:space="preserve">           </w:t>
      </w:r>
    </w:p>
    <w:p w14:paraId="5BEA2F2F">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w:t>
      </w:r>
    </w:p>
    <w:p w14:paraId="34EA35CC">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特此证明。</w:t>
      </w:r>
    </w:p>
    <w:p w14:paraId="27A26189">
      <w:pPr>
        <w:rPr>
          <w:rFonts w:hint="eastAsia" w:ascii="宋体" w:hAnsi="宋体" w:eastAsia="宋体" w:cs="宋体"/>
        </w:rPr>
      </w:pPr>
    </w:p>
    <w:p w14:paraId="2DB42D47">
      <w:pPr>
        <w:spacing w:line="360" w:lineRule="auto"/>
        <w:rPr>
          <w:rFonts w:hint="eastAsia" w:ascii="宋体" w:hAnsi="宋体" w:eastAsia="宋体" w:cs="宋体"/>
          <w:color w:val="auto"/>
          <w:sz w:val="24"/>
          <w:highlight w:val="none"/>
        </w:rPr>
      </w:pPr>
    </w:p>
    <w:p w14:paraId="2B2C2214">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投标人：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14:paraId="0A3CE529">
      <w:pPr>
        <w:spacing w:line="360" w:lineRule="auto"/>
        <w:rPr>
          <w:rFonts w:hint="eastAsia" w:ascii="宋体" w:hAnsi="宋体" w:eastAsia="宋体" w:cs="宋体"/>
          <w:color w:val="auto"/>
          <w:sz w:val="24"/>
          <w:highlight w:val="none"/>
        </w:rPr>
      </w:pPr>
    </w:p>
    <w:p w14:paraId="74BC4E4D">
      <w:pPr>
        <w:spacing w:line="360" w:lineRule="auto"/>
        <w:rPr>
          <w:rFonts w:hint="eastAsia" w:ascii="宋体" w:hAnsi="宋体" w:eastAsia="宋体" w:cs="宋体"/>
          <w:color w:val="auto"/>
          <w:sz w:val="24"/>
          <w:highlight w:val="none"/>
        </w:rPr>
      </w:pPr>
    </w:p>
    <w:p w14:paraId="653D4D7F">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390C7C7F">
      <w:pPr>
        <w:spacing w:line="360" w:lineRule="auto"/>
        <w:rPr>
          <w:rFonts w:hint="eastAsia" w:ascii="宋体" w:hAnsi="宋体" w:eastAsia="宋体" w:cs="宋体"/>
          <w:color w:val="auto"/>
          <w:sz w:val="24"/>
          <w:highlight w:val="none"/>
        </w:rPr>
      </w:pPr>
    </w:p>
    <w:p w14:paraId="18545594">
      <w:pPr>
        <w:spacing w:line="360" w:lineRule="auto"/>
        <w:rPr>
          <w:rFonts w:hint="eastAsia" w:ascii="宋体" w:hAnsi="宋体" w:eastAsia="宋体" w:cs="宋体"/>
          <w:color w:val="auto"/>
          <w:sz w:val="24"/>
          <w:highlight w:val="none"/>
        </w:rPr>
      </w:pPr>
    </w:p>
    <w:p w14:paraId="4AF40311">
      <w:pPr>
        <w:wordWrap w:val="0"/>
        <w:adjustRightInd w:val="0"/>
        <w:snapToGrid w:val="0"/>
        <w:spacing w:line="440" w:lineRule="exact"/>
        <w:jc w:val="center"/>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 xml:space="preserve">日       </w:t>
      </w:r>
    </w:p>
    <w:p w14:paraId="6B8CEF1C">
      <w:pPr>
        <w:spacing w:line="360" w:lineRule="auto"/>
        <w:rPr>
          <w:rFonts w:hint="eastAsia" w:ascii="宋体" w:hAnsi="宋体" w:eastAsia="宋体" w:cs="宋体"/>
          <w:color w:val="auto"/>
          <w:sz w:val="24"/>
          <w:highlight w:val="none"/>
        </w:rPr>
      </w:pPr>
    </w:p>
    <w:p w14:paraId="58A6A1F2">
      <w:pPr>
        <w:spacing w:line="360" w:lineRule="auto"/>
        <w:rPr>
          <w:rFonts w:hint="eastAsia" w:ascii="宋体" w:hAnsi="宋体" w:eastAsia="宋体" w:cs="宋体"/>
          <w:color w:val="auto"/>
          <w:sz w:val="24"/>
          <w:highlight w:val="none"/>
        </w:rPr>
      </w:pPr>
    </w:p>
    <w:p w14:paraId="23A3F4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1376045</wp:posOffset>
                </wp:positionH>
                <wp:positionV relativeFrom="paragraph">
                  <wp:posOffset>236220</wp:posOffset>
                </wp:positionV>
                <wp:extent cx="3289935" cy="1890395"/>
                <wp:effectExtent l="4445" t="4445" r="20320" b="10160"/>
                <wp:wrapNone/>
                <wp:docPr id="3" name="流程图: 可选过程 3"/>
                <wp:cNvGraphicFramePr/>
                <a:graphic xmlns:a="http://schemas.openxmlformats.org/drawingml/2006/main">
                  <a:graphicData uri="http://schemas.microsoft.com/office/word/2010/wordprocessingShape">
                    <wps:wsp>
                      <wps:cNvSpPr/>
                      <wps:spPr>
                        <a:xfrm>
                          <a:off x="0" y="0"/>
                          <a:ext cx="3289935" cy="18903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5E2A00">
                            <w:pPr>
                              <w:spacing w:line="360" w:lineRule="auto"/>
                              <w:jc w:val="both"/>
                              <w:rPr>
                                <w:rFonts w:ascii="宋体"/>
                                <w:sz w:val="24"/>
                                <w:szCs w:val="21"/>
                              </w:rPr>
                            </w:pPr>
                            <w:r>
                              <w:rPr>
                                <w:rFonts w:hint="eastAsia" w:ascii="宋体"/>
                                <w:sz w:val="24"/>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08.35pt;margin-top:18.6pt;height:148.85pt;width:259.05pt;z-index:251659264;mso-width-relative:page;mso-height-relative:page;" fillcolor="#FFFFFF" filled="t" stroked="t" coordsize="21600,21600" o:gfxdata="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Q32QAAAAoBAAAPAAAAAAAAAAEAIAAAACIAAABkcnMvZG93&#10;bnJldi54bWxQSwECFAAUAAAACACHTuJAcdidiTgCAABsBAAADgAAAAAAAAABACAAAAAoAQAAZHJz&#10;L2Uyb0RvYy54bWxQSwUGAAAAAAYABgBZAQAA0gUAAAAA&#10;">
                <v:fill on="t" focussize="0,0"/>
                <v:stroke color="#000000" joinstyle="miter"/>
                <v:imagedata o:title=""/>
                <o:lock v:ext="edit" aspectratio="f"/>
                <v:textbox>
                  <w:txbxContent>
                    <w:p w14:paraId="625E2A00">
                      <w:pPr>
                        <w:spacing w:line="360" w:lineRule="auto"/>
                        <w:jc w:val="both"/>
                        <w:rPr>
                          <w:rFonts w:ascii="宋体"/>
                          <w:sz w:val="24"/>
                          <w:szCs w:val="21"/>
                        </w:rPr>
                      </w:pPr>
                      <w:r>
                        <w:rPr>
                          <w:rFonts w:hint="eastAsia" w:ascii="宋体"/>
                          <w:sz w:val="24"/>
                          <w:szCs w:val="21"/>
                        </w:rPr>
                        <w:t>法定代表人身份证彩色扫描件正、反面</w:t>
                      </w:r>
                    </w:p>
                  </w:txbxContent>
                </v:textbox>
              </v:shape>
            </w:pict>
          </mc:Fallback>
        </mc:AlternateContent>
      </w:r>
    </w:p>
    <w:p w14:paraId="557CB8FE">
      <w:pPr>
        <w:spacing w:line="360" w:lineRule="auto"/>
        <w:rPr>
          <w:rFonts w:hint="eastAsia" w:ascii="宋体" w:hAnsi="宋体" w:eastAsia="宋体" w:cs="宋体"/>
          <w:color w:val="auto"/>
          <w:sz w:val="24"/>
          <w:highlight w:val="none"/>
        </w:rPr>
      </w:pPr>
    </w:p>
    <w:p w14:paraId="1A0A3705">
      <w:pPr>
        <w:spacing w:line="360" w:lineRule="auto"/>
        <w:rPr>
          <w:rFonts w:hint="eastAsia" w:ascii="宋体" w:hAnsi="宋体" w:eastAsia="宋体" w:cs="宋体"/>
          <w:color w:val="auto"/>
          <w:sz w:val="24"/>
          <w:highlight w:val="none"/>
        </w:rPr>
      </w:pPr>
    </w:p>
    <w:p w14:paraId="721CCD15">
      <w:pPr>
        <w:spacing w:line="360" w:lineRule="auto"/>
        <w:rPr>
          <w:rFonts w:hint="eastAsia" w:ascii="宋体" w:hAnsi="宋体" w:eastAsia="宋体" w:cs="宋体"/>
          <w:color w:val="auto"/>
          <w:sz w:val="24"/>
          <w:highlight w:val="none"/>
        </w:rPr>
      </w:pPr>
    </w:p>
    <w:p w14:paraId="36F00617">
      <w:pPr>
        <w:pStyle w:val="31"/>
        <w:ind w:left="0" w:leftChars="0" w:firstLine="0" w:firstLineChars="0"/>
        <w:rPr>
          <w:rFonts w:hint="eastAsia" w:ascii="宋体" w:hAnsi="宋体" w:eastAsia="宋体" w:cs="宋体"/>
          <w:color w:val="auto"/>
          <w:sz w:val="24"/>
          <w:highlight w:val="none"/>
        </w:rPr>
      </w:pPr>
    </w:p>
    <w:p w14:paraId="53C7A752">
      <w:pPr>
        <w:rPr>
          <w:rFonts w:hint="eastAsia" w:ascii="宋体" w:hAnsi="宋体" w:eastAsia="宋体" w:cs="宋体"/>
        </w:rPr>
      </w:pPr>
    </w:p>
    <w:p w14:paraId="714ECFAC">
      <w:pPr>
        <w:rPr>
          <w:rFonts w:hint="eastAsia" w:ascii="宋体" w:hAnsi="宋体" w:eastAsia="宋体" w:cs="宋体"/>
        </w:rPr>
      </w:pPr>
    </w:p>
    <w:p w14:paraId="7CA77709">
      <w:pPr>
        <w:rPr>
          <w:rFonts w:hint="eastAsia" w:ascii="宋体" w:hAnsi="宋体" w:eastAsia="宋体" w:cs="宋体"/>
        </w:rPr>
      </w:pPr>
    </w:p>
    <w:p w14:paraId="53EF78BC">
      <w:pPr>
        <w:rPr>
          <w:rFonts w:hint="eastAsia" w:ascii="宋体" w:hAnsi="宋体" w:eastAsia="宋体" w:cs="宋体"/>
        </w:rPr>
      </w:pPr>
    </w:p>
    <w:p w14:paraId="2426D49C">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bCs/>
          <w:snapToGrid w:val="0"/>
          <w:color w:val="auto"/>
          <w:sz w:val="24"/>
          <w:szCs w:val="24"/>
          <w:highlight w:val="none"/>
        </w:rPr>
      </w:pPr>
      <w:bookmarkStart w:id="253" w:name="_Toc1706"/>
      <w:bookmarkStart w:id="254" w:name="_Toc12757"/>
      <w:bookmarkStart w:id="255" w:name="_Toc7076"/>
      <w:r>
        <w:rPr>
          <w:rFonts w:hint="eastAsia" w:ascii="宋体" w:hAnsi="宋体" w:eastAsia="宋体" w:cs="宋体"/>
          <w:b/>
          <w:color w:val="auto"/>
          <w:kern w:val="2"/>
          <w:sz w:val="28"/>
          <w:szCs w:val="24"/>
          <w:lang w:val="en-US" w:eastAsia="zh-CN"/>
        </w:rPr>
        <w:t>格式七   联合体协议书</w:t>
      </w:r>
      <w:bookmarkEnd w:id="253"/>
      <w:bookmarkEnd w:id="254"/>
      <w:bookmarkEnd w:id="255"/>
    </w:p>
    <w:p w14:paraId="5B4390FB">
      <w:pPr>
        <w:wordWrap w:val="0"/>
        <w:adjustRightInd w:val="0"/>
        <w:snapToGrid w:val="0"/>
        <w:spacing w:before="240" w:after="24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30"/>
          <w:highlight w:val="none"/>
        </w:rPr>
        <w:t>联合体协议书</w:t>
      </w:r>
    </w:p>
    <w:p w14:paraId="74CFD50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（所有成员单位名称）自愿组成联合体，共同参加</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投标。现就联合体投标事宜订立如下协议：</w:t>
      </w:r>
    </w:p>
    <w:p w14:paraId="00E7FF0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（联合体名称）牵头人。</w:t>
      </w:r>
    </w:p>
    <w:p w14:paraId="759C989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DE1483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14:paraId="52C5C21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4.联合体各成员单位内部的职责分工如下：</w:t>
      </w:r>
      <w:r>
        <w:rPr>
          <w:rFonts w:hint="eastAsia" w:ascii="宋体" w:hAnsi="宋体" w:eastAsia="宋体" w:cs="宋体"/>
          <w:color w:val="auto"/>
          <w:sz w:val="24"/>
          <w:highlight w:val="none"/>
          <w:u w:val="single"/>
        </w:rPr>
        <w:t>联合体牵头人   （单位名称）    除负责本协议第2条的工作外，还负责承担       工作，联合体成员（单位名称）___________                 承担      工作，联合体成员（单位名称）___________                 承担      工作。</w:t>
      </w:r>
    </w:p>
    <w:p w14:paraId="096C7F1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5.本协议书自签署之日起生效，合同履行完毕后自动失效。</w:t>
      </w:r>
    </w:p>
    <w:p w14:paraId="1EE1B3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6.本协议书一式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份，联合体各成员和招标人各执一份。</w:t>
      </w:r>
    </w:p>
    <w:p w14:paraId="543978D8">
      <w:pPr>
        <w:spacing w:line="360" w:lineRule="auto"/>
        <w:rPr>
          <w:rFonts w:hint="eastAsia" w:ascii="宋体" w:hAnsi="宋体" w:eastAsia="宋体" w:cs="宋体"/>
          <w:color w:val="auto"/>
          <w:sz w:val="24"/>
          <w:highlight w:val="none"/>
        </w:rPr>
      </w:pPr>
    </w:p>
    <w:p w14:paraId="31B84022">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牵头人名称：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1CFA1F24">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1D91D21B">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成员一名称：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19733B5">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78CC35EA">
      <w:pPr>
        <w:wordWrap w:val="0"/>
        <w:adjustRightInd w:val="0"/>
        <w:snapToGrid w:val="0"/>
        <w:spacing w:line="440" w:lineRule="exact"/>
        <w:ind w:firstLine="42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14:paraId="2FDFBFF7">
      <w:pPr>
        <w:spacing w:line="360" w:lineRule="auto"/>
        <w:rPr>
          <w:rFonts w:hint="eastAsia" w:ascii="宋体" w:hAnsi="宋体" w:eastAsia="宋体" w:cs="宋体"/>
          <w:color w:val="auto"/>
          <w:sz w:val="24"/>
          <w:highlight w:val="none"/>
        </w:rPr>
      </w:pPr>
    </w:p>
    <w:p w14:paraId="3CC7E30B">
      <w:pPr>
        <w:wordWrap w:val="0"/>
        <w:adjustRightInd w:val="0"/>
        <w:snapToGrid w:val="0"/>
        <w:spacing w:line="440" w:lineRule="exact"/>
        <w:ind w:firstLine="42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1E435FE">
      <w:pPr>
        <w:spacing w:line="360" w:lineRule="auto"/>
        <w:rPr>
          <w:rFonts w:hint="eastAsia" w:ascii="宋体" w:hAnsi="宋体" w:eastAsia="宋体" w:cs="宋体"/>
          <w:color w:val="auto"/>
          <w:sz w:val="24"/>
          <w:highlight w:val="none"/>
        </w:rPr>
      </w:pPr>
    </w:p>
    <w:p w14:paraId="58B5B94A">
      <w:pPr>
        <w:wordWrap w:val="0"/>
        <w:adjustRightInd w:val="0"/>
        <w:snapToGrid w:val="0"/>
        <w:spacing w:line="44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说明：《联合体协议书》由委托代理人签字或盖章的，应附法定代表人签字或盖章的授权委托书。</w:t>
      </w:r>
    </w:p>
    <w:p w14:paraId="39BF0BF2">
      <w:pPr>
        <w:spacing w:line="360" w:lineRule="auto"/>
        <w:rPr>
          <w:rFonts w:hint="eastAsia" w:ascii="宋体" w:hAnsi="宋体" w:eastAsia="宋体" w:cs="宋体"/>
          <w:color w:val="auto"/>
          <w:sz w:val="24"/>
          <w:highlight w:val="none"/>
        </w:rPr>
      </w:pPr>
    </w:p>
    <w:p w14:paraId="0AAE0886">
      <w:pPr>
        <w:rPr>
          <w:rFonts w:hint="eastAsia" w:ascii="宋体" w:hAnsi="宋体" w:eastAsia="宋体" w:cs="宋体"/>
        </w:rPr>
      </w:pPr>
    </w:p>
    <w:p w14:paraId="4DF24155">
      <w:pPr>
        <w:rPr>
          <w:rFonts w:hint="eastAsia" w:ascii="宋体" w:hAnsi="宋体" w:eastAsia="宋体" w:cs="宋体"/>
        </w:rPr>
      </w:pPr>
    </w:p>
    <w:p w14:paraId="0C508028">
      <w:pPr>
        <w:rPr>
          <w:rFonts w:hint="eastAsia" w:ascii="宋体" w:hAnsi="宋体" w:eastAsia="宋体" w:cs="宋体"/>
        </w:rPr>
      </w:pPr>
    </w:p>
    <w:p w14:paraId="61E60B75">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color w:val="auto"/>
          <w:sz w:val="24"/>
          <w:highlight w:val="none"/>
        </w:rPr>
      </w:pPr>
      <w:bookmarkStart w:id="256" w:name="_Toc295"/>
      <w:bookmarkStart w:id="257" w:name="_Toc8768"/>
      <w:bookmarkStart w:id="258" w:name="_Toc15415"/>
      <w:r>
        <w:rPr>
          <w:rFonts w:hint="eastAsia" w:ascii="宋体" w:hAnsi="宋体" w:eastAsia="宋体" w:cs="宋体"/>
          <w:b/>
          <w:color w:val="auto"/>
          <w:kern w:val="2"/>
          <w:sz w:val="28"/>
          <w:szCs w:val="24"/>
          <w:lang w:val="en-US" w:eastAsia="zh-CN"/>
        </w:rPr>
        <w:t>格式八   投标人基本情况表</w:t>
      </w:r>
      <w:bookmarkEnd w:id="256"/>
      <w:bookmarkEnd w:id="257"/>
      <w:bookmarkEnd w:id="258"/>
    </w:p>
    <w:p w14:paraId="245A9AF0">
      <w:pPr>
        <w:wordWrap w:val="0"/>
        <w:adjustRightInd w:val="0"/>
        <w:snapToGrid w:val="0"/>
        <w:spacing w:before="260" w:after="260"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30"/>
          <w:highlight w:val="none"/>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20E1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E5FBBD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投标人名称</w:t>
            </w:r>
          </w:p>
        </w:tc>
        <w:tc>
          <w:tcPr>
            <w:tcW w:w="7020" w:type="dxa"/>
            <w:gridSpan w:val="8"/>
            <w:noWrap w:val="0"/>
            <w:vAlign w:val="center"/>
          </w:tcPr>
          <w:p w14:paraId="34D8F68E">
            <w:pPr>
              <w:wordWrap w:val="0"/>
              <w:adjustRightInd w:val="0"/>
              <w:snapToGrid w:val="0"/>
              <w:jc w:val="center"/>
              <w:rPr>
                <w:rFonts w:hint="eastAsia" w:ascii="宋体" w:hAnsi="宋体" w:eastAsia="宋体" w:cs="宋体"/>
                <w:snapToGrid w:val="0"/>
                <w:color w:val="auto"/>
                <w:kern w:val="0"/>
                <w:szCs w:val="21"/>
                <w:highlight w:val="none"/>
              </w:rPr>
            </w:pPr>
          </w:p>
        </w:tc>
      </w:tr>
      <w:tr w14:paraId="607B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5D4FAE5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89" w:type="dxa"/>
            <w:gridSpan w:val="3"/>
            <w:noWrap w:val="0"/>
            <w:vAlign w:val="center"/>
          </w:tcPr>
          <w:p w14:paraId="43BD0AE0">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38854D5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85" w:type="dxa"/>
            <w:gridSpan w:val="3"/>
            <w:noWrap w:val="0"/>
            <w:vAlign w:val="center"/>
          </w:tcPr>
          <w:p w14:paraId="756B8FA9">
            <w:pPr>
              <w:wordWrap w:val="0"/>
              <w:adjustRightInd w:val="0"/>
              <w:snapToGrid w:val="0"/>
              <w:jc w:val="center"/>
              <w:rPr>
                <w:rFonts w:hint="eastAsia" w:ascii="宋体" w:hAnsi="宋体" w:eastAsia="宋体" w:cs="宋体"/>
                <w:snapToGrid w:val="0"/>
                <w:color w:val="auto"/>
                <w:kern w:val="0"/>
                <w:szCs w:val="21"/>
                <w:highlight w:val="none"/>
              </w:rPr>
            </w:pPr>
          </w:p>
        </w:tc>
      </w:tr>
      <w:tr w14:paraId="452F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1C22C9AB">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97" w:type="dxa"/>
            <w:noWrap w:val="0"/>
            <w:vAlign w:val="center"/>
          </w:tcPr>
          <w:p w14:paraId="144AB29A">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92" w:type="dxa"/>
            <w:gridSpan w:val="2"/>
            <w:noWrap w:val="0"/>
            <w:vAlign w:val="center"/>
          </w:tcPr>
          <w:p w14:paraId="344C6A5D">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21871DA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85" w:type="dxa"/>
            <w:gridSpan w:val="3"/>
            <w:noWrap w:val="0"/>
            <w:vAlign w:val="center"/>
          </w:tcPr>
          <w:p w14:paraId="04775DE5">
            <w:pPr>
              <w:wordWrap w:val="0"/>
              <w:adjustRightInd w:val="0"/>
              <w:snapToGrid w:val="0"/>
              <w:jc w:val="center"/>
              <w:rPr>
                <w:rFonts w:hint="eastAsia" w:ascii="宋体" w:hAnsi="宋体" w:eastAsia="宋体" w:cs="宋体"/>
                <w:snapToGrid w:val="0"/>
                <w:color w:val="auto"/>
                <w:kern w:val="0"/>
                <w:szCs w:val="21"/>
                <w:highlight w:val="none"/>
              </w:rPr>
            </w:pPr>
          </w:p>
        </w:tc>
      </w:tr>
      <w:tr w14:paraId="4251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3A9F6B07">
            <w:pPr>
              <w:wordWrap w:val="0"/>
              <w:adjustRightInd w:val="0"/>
              <w:snapToGrid w:val="0"/>
              <w:jc w:val="center"/>
              <w:rPr>
                <w:rFonts w:hint="eastAsia" w:ascii="宋体" w:hAnsi="宋体" w:eastAsia="宋体" w:cs="宋体"/>
                <w:snapToGrid w:val="0"/>
                <w:color w:val="auto"/>
                <w:kern w:val="0"/>
                <w:szCs w:val="21"/>
                <w:highlight w:val="none"/>
              </w:rPr>
            </w:pPr>
          </w:p>
        </w:tc>
        <w:tc>
          <w:tcPr>
            <w:tcW w:w="897" w:type="dxa"/>
            <w:noWrap w:val="0"/>
            <w:vAlign w:val="center"/>
          </w:tcPr>
          <w:p w14:paraId="59CA685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92" w:type="dxa"/>
            <w:gridSpan w:val="2"/>
            <w:noWrap w:val="0"/>
            <w:vAlign w:val="center"/>
          </w:tcPr>
          <w:p w14:paraId="4BCBC15F">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7F10ED0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电子邮箱</w:t>
            </w:r>
          </w:p>
        </w:tc>
        <w:tc>
          <w:tcPr>
            <w:tcW w:w="2385" w:type="dxa"/>
            <w:gridSpan w:val="3"/>
            <w:noWrap w:val="0"/>
            <w:vAlign w:val="center"/>
          </w:tcPr>
          <w:p w14:paraId="5DDD6C8E">
            <w:pPr>
              <w:wordWrap w:val="0"/>
              <w:adjustRightInd w:val="0"/>
              <w:snapToGrid w:val="0"/>
              <w:jc w:val="center"/>
              <w:rPr>
                <w:rFonts w:hint="eastAsia" w:ascii="宋体" w:hAnsi="宋体" w:eastAsia="宋体" w:cs="宋体"/>
                <w:snapToGrid w:val="0"/>
                <w:color w:val="auto"/>
                <w:kern w:val="0"/>
                <w:szCs w:val="21"/>
                <w:highlight w:val="none"/>
              </w:rPr>
            </w:pPr>
          </w:p>
        </w:tc>
      </w:tr>
      <w:tr w14:paraId="3225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36735C5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单位性质</w:t>
            </w:r>
          </w:p>
        </w:tc>
        <w:tc>
          <w:tcPr>
            <w:tcW w:w="7020" w:type="dxa"/>
            <w:gridSpan w:val="8"/>
            <w:noWrap w:val="0"/>
            <w:vAlign w:val="center"/>
          </w:tcPr>
          <w:p w14:paraId="2EDA55AC">
            <w:pPr>
              <w:wordWrap w:val="0"/>
              <w:adjustRightInd w:val="0"/>
              <w:snapToGrid w:val="0"/>
              <w:jc w:val="center"/>
              <w:rPr>
                <w:rFonts w:hint="eastAsia" w:ascii="宋体" w:hAnsi="宋体" w:eastAsia="宋体" w:cs="宋体"/>
                <w:snapToGrid w:val="0"/>
                <w:color w:val="auto"/>
                <w:kern w:val="0"/>
                <w:szCs w:val="21"/>
                <w:highlight w:val="none"/>
              </w:rPr>
            </w:pPr>
          </w:p>
        </w:tc>
      </w:tr>
      <w:tr w14:paraId="7DD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BA1EBD1">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97" w:type="dxa"/>
            <w:noWrap w:val="0"/>
            <w:vAlign w:val="center"/>
          </w:tcPr>
          <w:p w14:paraId="12CFEF05">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noWrap w:val="0"/>
            <w:vAlign w:val="center"/>
          </w:tcPr>
          <w:p w14:paraId="024F7040">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noWrap w:val="0"/>
            <w:vAlign w:val="center"/>
          </w:tcPr>
          <w:p w14:paraId="33548F0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noWrap w:val="0"/>
            <w:vAlign w:val="center"/>
          </w:tcPr>
          <w:p w14:paraId="012C30BF">
            <w:pPr>
              <w:wordWrap w:val="0"/>
              <w:adjustRightInd w:val="0"/>
              <w:snapToGrid w:val="0"/>
              <w:jc w:val="center"/>
              <w:rPr>
                <w:rFonts w:hint="eastAsia" w:ascii="宋体" w:hAnsi="宋体" w:eastAsia="宋体" w:cs="宋体"/>
                <w:snapToGrid w:val="0"/>
                <w:color w:val="auto"/>
                <w:kern w:val="0"/>
                <w:szCs w:val="21"/>
                <w:highlight w:val="none"/>
              </w:rPr>
            </w:pPr>
          </w:p>
        </w:tc>
        <w:tc>
          <w:tcPr>
            <w:tcW w:w="709" w:type="dxa"/>
            <w:noWrap w:val="0"/>
            <w:vAlign w:val="center"/>
          </w:tcPr>
          <w:p w14:paraId="53E40C4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noWrap w:val="0"/>
            <w:vAlign w:val="center"/>
          </w:tcPr>
          <w:p w14:paraId="6A30F898">
            <w:pPr>
              <w:wordWrap w:val="0"/>
              <w:adjustRightInd w:val="0"/>
              <w:snapToGrid w:val="0"/>
              <w:jc w:val="center"/>
              <w:rPr>
                <w:rFonts w:hint="eastAsia" w:ascii="宋体" w:hAnsi="宋体" w:eastAsia="宋体" w:cs="宋体"/>
                <w:snapToGrid w:val="0"/>
                <w:color w:val="auto"/>
                <w:kern w:val="0"/>
                <w:szCs w:val="21"/>
                <w:highlight w:val="none"/>
              </w:rPr>
            </w:pPr>
          </w:p>
        </w:tc>
      </w:tr>
      <w:tr w14:paraId="2008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EF580F8">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成立时间</w:t>
            </w:r>
          </w:p>
        </w:tc>
        <w:tc>
          <w:tcPr>
            <w:tcW w:w="2586" w:type="dxa"/>
            <w:gridSpan w:val="2"/>
            <w:noWrap w:val="0"/>
            <w:vAlign w:val="center"/>
          </w:tcPr>
          <w:p w14:paraId="21F839E3">
            <w:pPr>
              <w:wordWrap w:val="0"/>
              <w:adjustRightInd w:val="0"/>
              <w:snapToGrid w:val="0"/>
              <w:jc w:val="center"/>
              <w:rPr>
                <w:rFonts w:hint="eastAsia" w:ascii="宋体" w:hAnsi="宋体" w:eastAsia="宋体" w:cs="宋体"/>
                <w:snapToGrid w:val="0"/>
                <w:color w:val="auto"/>
                <w:kern w:val="0"/>
                <w:szCs w:val="21"/>
                <w:highlight w:val="none"/>
              </w:rPr>
            </w:pPr>
          </w:p>
        </w:tc>
        <w:tc>
          <w:tcPr>
            <w:tcW w:w="4434" w:type="dxa"/>
            <w:gridSpan w:val="6"/>
            <w:noWrap w:val="0"/>
            <w:vAlign w:val="center"/>
          </w:tcPr>
          <w:p w14:paraId="37959774">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员工总人数（个）：</w:t>
            </w:r>
          </w:p>
        </w:tc>
      </w:tr>
      <w:tr w14:paraId="1EDC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14:paraId="0E6EAC4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企业资质</w:t>
            </w:r>
          </w:p>
          <w:p w14:paraId="0C006E73">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类型和等级</w:t>
            </w:r>
          </w:p>
        </w:tc>
        <w:tc>
          <w:tcPr>
            <w:tcW w:w="2586" w:type="dxa"/>
            <w:gridSpan w:val="2"/>
            <w:noWrap w:val="0"/>
            <w:vAlign w:val="center"/>
          </w:tcPr>
          <w:p w14:paraId="08BC1079">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restart"/>
            <w:noWrap w:val="0"/>
            <w:vAlign w:val="center"/>
          </w:tcPr>
          <w:p w14:paraId="003622F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其中</w:t>
            </w:r>
          </w:p>
        </w:tc>
        <w:tc>
          <w:tcPr>
            <w:tcW w:w="1929" w:type="dxa"/>
            <w:gridSpan w:val="3"/>
            <w:noWrap w:val="0"/>
            <w:vAlign w:val="center"/>
          </w:tcPr>
          <w:p w14:paraId="282AC858">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项目经理</w:t>
            </w:r>
          </w:p>
        </w:tc>
        <w:tc>
          <w:tcPr>
            <w:tcW w:w="1416" w:type="dxa"/>
            <w:noWrap w:val="0"/>
            <w:vAlign w:val="center"/>
          </w:tcPr>
          <w:p w14:paraId="481EDA72">
            <w:pPr>
              <w:wordWrap w:val="0"/>
              <w:adjustRightInd w:val="0"/>
              <w:snapToGrid w:val="0"/>
              <w:jc w:val="center"/>
              <w:rPr>
                <w:rFonts w:hint="eastAsia" w:ascii="宋体" w:hAnsi="宋体" w:eastAsia="宋体" w:cs="宋体"/>
                <w:snapToGrid w:val="0"/>
                <w:color w:val="auto"/>
                <w:kern w:val="0"/>
                <w:szCs w:val="21"/>
                <w:highlight w:val="none"/>
              </w:rPr>
            </w:pPr>
          </w:p>
        </w:tc>
      </w:tr>
      <w:tr w14:paraId="7F2B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3252DD3">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营业执照号</w:t>
            </w:r>
          </w:p>
        </w:tc>
        <w:tc>
          <w:tcPr>
            <w:tcW w:w="2586" w:type="dxa"/>
            <w:gridSpan w:val="2"/>
            <w:noWrap w:val="0"/>
            <w:vAlign w:val="center"/>
          </w:tcPr>
          <w:p w14:paraId="37A0B942">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156E32C2">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31EC1E5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高级职称人员</w:t>
            </w:r>
          </w:p>
        </w:tc>
        <w:tc>
          <w:tcPr>
            <w:tcW w:w="1416" w:type="dxa"/>
            <w:noWrap w:val="0"/>
            <w:vAlign w:val="center"/>
          </w:tcPr>
          <w:p w14:paraId="7CCD61AB">
            <w:pPr>
              <w:wordWrap w:val="0"/>
              <w:adjustRightInd w:val="0"/>
              <w:snapToGrid w:val="0"/>
              <w:jc w:val="center"/>
              <w:rPr>
                <w:rFonts w:hint="eastAsia" w:ascii="宋体" w:hAnsi="宋体" w:eastAsia="宋体" w:cs="宋体"/>
                <w:snapToGrid w:val="0"/>
                <w:color w:val="auto"/>
                <w:kern w:val="0"/>
                <w:szCs w:val="21"/>
                <w:highlight w:val="none"/>
              </w:rPr>
            </w:pPr>
          </w:p>
        </w:tc>
      </w:tr>
      <w:tr w14:paraId="430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7FD5FE14">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注册资金</w:t>
            </w:r>
          </w:p>
        </w:tc>
        <w:tc>
          <w:tcPr>
            <w:tcW w:w="2586" w:type="dxa"/>
            <w:gridSpan w:val="2"/>
            <w:noWrap w:val="0"/>
            <w:vAlign w:val="center"/>
          </w:tcPr>
          <w:p w14:paraId="2077A77B">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48722A01">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26566B0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中级职称人员</w:t>
            </w:r>
          </w:p>
        </w:tc>
        <w:tc>
          <w:tcPr>
            <w:tcW w:w="1416" w:type="dxa"/>
            <w:noWrap w:val="0"/>
            <w:vAlign w:val="center"/>
          </w:tcPr>
          <w:p w14:paraId="4A4E6E8D">
            <w:pPr>
              <w:wordWrap w:val="0"/>
              <w:adjustRightInd w:val="0"/>
              <w:snapToGrid w:val="0"/>
              <w:jc w:val="center"/>
              <w:rPr>
                <w:rFonts w:hint="eastAsia" w:ascii="宋体" w:hAnsi="宋体" w:eastAsia="宋体" w:cs="宋体"/>
                <w:snapToGrid w:val="0"/>
                <w:color w:val="auto"/>
                <w:kern w:val="0"/>
                <w:szCs w:val="21"/>
                <w:highlight w:val="none"/>
              </w:rPr>
            </w:pPr>
          </w:p>
        </w:tc>
      </w:tr>
      <w:tr w14:paraId="05FC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14:paraId="69F79DDA">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120021F1">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开户银行</w:t>
            </w:r>
          </w:p>
        </w:tc>
        <w:tc>
          <w:tcPr>
            <w:tcW w:w="2586" w:type="dxa"/>
            <w:gridSpan w:val="2"/>
            <w:noWrap w:val="0"/>
            <w:vAlign w:val="center"/>
          </w:tcPr>
          <w:p w14:paraId="7BF6DFBF">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6051AFDE">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2A242FF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初级职称人员</w:t>
            </w:r>
          </w:p>
        </w:tc>
        <w:tc>
          <w:tcPr>
            <w:tcW w:w="1416" w:type="dxa"/>
            <w:noWrap w:val="0"/>
            <w:vAlign w:val="center"/>
          </w:tcPr>
          <w:p w14:paraId="2B301DA7">
            <w:pPr>
              <w:wordWrap w:val="0"/>
              <w:adjustRightInd w:val="0"/>
              <w:snapToGrid w:val="0"/>
              <w:jc w:val="center"/>
              <w:rPr>
                <w:rFonts w:hint="eastAsia" w:ascii="宋体" w:hAnsi="宋体" w:eastAsia="宋体" w:cs="宋体"/>
                <w:snapToGrid w:val="0"/>
                <w:color w:val="auto"/>
                <w:kern w:val="0"/>
                <w:szCs w:val="21"/>
                <w:highlight w:val="none"/>
              </w:rPr>
            </w:pPr>
          </w:p>
        </w:tc>
      </w:tr>
      <w:tr w14:paraId="0CE2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14:paraId="5009996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12E3E38C">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银行账号</w:t>
            </w:r>
          </w:p>
        </w:tc>
        <w:tc>
          <w:tcPr>
            <w:tcW w:w="2586" w:type="dxa"/>
            <w:gridSpan w:val="2"/>
            <w:noWrap w:val="0"/>
            <w:vAlign w:val="center"/>
          </w:tcPr>
          <w:p w14:paraId="56A9FB1D">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22E3C96C">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03913A88">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技术员</w:t>
            </w:r>
          </w:p>
        </w:tc>
        <w:tc>
          <w:tcPr>
            <w:tcW w:w="1416" w:type="dxa"/>
            <w:noWrap w:val="0"/>
            <w:vAlign w:val="center"/>
          </w:tcPr>
          <w:p w14:paraId="302404C1">
            <w:pPr>
              <w:wordWrap w:val="0"/>
              <w:adjustRightInd w:val="0"/>
              <w:snapToGrid w:val="0"/>
              <w:jc w:val="center"/>
              <w:rPr>
                <w:rFonts w:hint="eastAsia" w:ascii="宋体" w:hAnsi="宋体" w:eastAsia="宋体" w:cs="宋体"/>
                <w:snapToGrid w:val="0"/>
                <w:color w:val="auto"/>
                <w:kern w:val="0"/>
                <w:szCs w:val="21"/>
                <w:highlight w:val="none"/>
              </w:rPr>
            </w:pPr>
          </w:p>
        </w:tc>
      </w:tr>
      <w:tr w14:paraId="0751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14:paraId="19BF3997">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7020" w:type="dxa"/>
            <w:gridSpan w:val="8"/>
            <w:noWrap w:val="0"/>
            <w:vAlign w:val="center"/>
          </w:tcPr>
          <w:p w14:paraId="5DA14115">
            <w:pPr>
              <w:wordWrap w:val="0"/>
              <w:adjustRightInd w:val="0"/>
              <w:snapToGrid w:val="0"/>
              <w:jc w:val="left"/>
              <w:rPr>
                <w:rFonts w:hint="eastAsia" w:ascii="宋体" w:hAnsi="宋体" w:eastAsia="宋体" w:cs="宋体"/>
                <w:snapToGrid w:val="0"/>
                <w:color w:val="auto"/>
                <w:kern w:val="0"/>
                <w:szCs w:val="21"/>
                <w:highlight w:val="none"/>
              </w:rPr>
            </w:pPr>
          </w:p>
        </w:tc>
      </w:tr>
      <w:tr w14:paraId="62D7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14:paraId="5ABBCD27">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关联企业情况</w:t>
            </w:r>
          </w:p>
        </w:tc>
        <w:tc>
          <w:tcPr>
            <w:tcW w:w="7020" w:type="dxa"/>
            <w:gridSpan w:val="8"/>
            <w:noWrap w:val="0"/>
            <w:vAlign w:val="center"/>
          </w:tcPr>
          <w:p w14:paraId="20F9E971">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包括但不限于与投标人存在以下关系的不同单位：</w:t>
            </w:r>
          </w:p>
          <w:p w14:paraId="74F7D935">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1．法定代表人为同一人的。</w:t>
            </w:r>
          </w:p>
          <w:p w14:paraId="2FC6226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2．存在控股、管理关系的。</w:t>
            </w:r>
          </w:p>
          <w:p w14:paraId="1F78526C">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3．主要人员相互任职的。</w:t>
            </w:r>
          </w:p>
        </w:tc>
      </w:tr>
      <w:tr w14:paraId="7F4D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14:paraId="2B890EC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7020" w:type="dxa"/>
            <w:gridSpan w:val="8"/>
            <w:noWrap w:val="0"/>
            <w:vAlign w:val="center"/>
          </w:tcPr>
          <w:p w14:paraId="4C3F0CF4">
            <w:pPr>
              <w:wordWrap w:val="0"/>
              <w:adjustRightInd w:val="0"/>
              <w:snapToGrid w:val="0"/>
              <w:jc w:val="center"/>
              <w:rPr>
                <w:rFonts w:hint="eastAsia" w:ascii="宋体" w:hAnsi="宋体" w:eastAsia="宋体" w:cs="宋体"/>
                <w:snapToGrid w:val="0"/>
                <w:color w:val="auto"/>
                <w:kern w:val="0"/>
                <w:szCs w:val="21"/>
                <w:highlight w:val="none"/>
              </w:rPr>
            </w:pPr>
          </w:p>
        </w:tc>
      </w:tr>
    </w:tbl>
    <w:p w14:paraId="5914E5FB">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p w14:paraId="123B9F99">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1．《投标人基本情况表》后应附以下资料：</w:t>
      </w:r>
    </w:p>
    <w:p w14:paraId="124FD097">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（1）企业营业执照、资质证书的证书彩色扫描件；</w:t>
      </w:r>
    </w:p>
    <w:p w14:paraId="115817F3">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（2）“进粤企业和人员诚信信息登记平台”企业信息情况彩色扫描件。（适用于省外建筑企业）；</w:t>
      </w:r>
    </w:p>
    <w:p w14:paraId="26BE5545">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（3）《法人和非法人组织公共信用信息报告》扫描件(在“信用中国”网站企业查询界面中下载) 。</w:t>
      </w:r>
    </w:p>
    <w:p w14:paraId="72F4DC31">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2．联合体投标的，联合体成员单位均应填写《投标人基本情况表》并提供以上所需资料。</w:t>
      </w:r>
    </w:p>
    <w:p w14:paraId="1F7D1E3D">
      <w:pPr>
        <w:rPr>
          <w:rFonts w:hint="eastAsia" w:ascii="宋体" w:hAnsi="宋体" w:eastAsia="宋体" w:cs="宋体"/>
        </w:rPr>
      </w:pPr>
    </w:p>
    <w:p w14:paraId="4D8394B3">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59" w:name="_Toc27657"/>
      <w:bookmarkStart w:id="260" w:name="_Toc8897"/>
      <w:bookmarkStart w:id="261" w:name="_Toc26925"/>
      <w:r>
        <w:rPr>
          <w:rFonts w:hint="eastAsia" w:ascii="宋体" w:hAnsi="宋体" w:eastAsia="宋体" w:cs="宋体"/>
          <w:b/>
          <w:color w:val="auto"/>
          <w:kern w:val="2"/>
          <w:sz w:val="28"/>
          <w:szCs w:val="24"/>
          <w:lang w:val="en-US" w:eastAsia="zh-CN"/>
        </w:rPr>
        <w:t xml:space="preserve">格式九   </w:t>
      </w:r>
      <w:bookmarkEnd w:id="259"/>
      <w:bookmarkEnd w:id="260"/>
      <w:r>
        <w:rPr>
          <w:rFonts w:hint="eastAsia" w:ascii="宋体" w:hAnsi="宋体" w:eastAsia="宋体" w:cs="宋体"/>
          <w:b/>
          <w:color w:val="auto"/>
          <w:kern w:val="2"/>
          <w:sz w:val="28"/>
          <w:szCs w:val="24"/>
          <w:lang w:val="en-US" w:eastAsia="zh-CN"/>
        </w:rPr>
        <w:t>设计/勘察负责人简历表</w:t>
      </w:r>
      <w:bookmarkEnd w:id="261"/>
    </w:p>
    <w:p w14:paraId="4454FA0D">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lang w:eastAsia="zh-CN"/>
        </w:rPr>
      </w:pPr>
      <w:r>
        <w:rPr>
          <w:rFonts w:hint="eastAsia" w:ascii="宋体" w:hAnsi="宋体" w:eastAsia="宋体" w:cs="宋体"/>
          <w:b/>
          <w:snapToGrid w:val="0"/>
          <w:color w:val="auto"/>
          <w:kern w:val="0"/>
          <w:sz w:val="30"/>
          <w:highlight w:val="none"/>
          <w:lang w:eastAsia="zh-CN"/>
        </w:rPr>
        <w:t>设计/勘察负责人简历表</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14:paraId="69E56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09" w:type="dxa"/>
            <w:gridSpan w:val="10"/>
            <w:noWrap w:val="0"/>
            <w:vAlign w:val="center"/>
          </w:tcPr>
          <w:p w14:paraId="0040E5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66641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15E94F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87" w:type="dxa"/>
            <w:noWrap w:val="0"/>
            <w:vAlign w:val="center"/>
          </w:tcPr>
          <w:p w14:paraId="43ED1E5E">
            <w:pPr>
              <w:spacing w:line="360" w:lineRule="auto"/>
              <w:jc w:val="center"/>
              <w:rPr>
                <w:rFonts w:hint="eastAsia" w:ascii="宋体" w:hAnsi="宋体" w:eastAsia="宋体" w:cs="宋体"/>
                <w:color w:val="auto"/>
                <w:sz w:val="24"/>
                <w:szCs w:val="24"/>
                <w:highlight w:val="none"/>
              </w:rPr>
            </w:pPr>
          </w:p>
        </w:tc>
        <w:tc>
          <w:tcPr>
            <w:tcW w:w="704" w:type="dxa"/>
            <w:noWrap w:val="0"/>
            <w:vAlign w:val="center"/>
          </w:tcPr>
          <w:p w14:paraId="3F878F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73" w:type="dxa"/>
            <w:noWrap w:val="0"/>
            <w:vAlign w:val="center"/>
          </w:tcPr>
          <w:p w14:paraId="311F9215">
            <w:pPr>
              <w:spacing w:line="360" w:lineRule="auto"/>
              <w:jc w:val="center"/>
              <w:rPr>
                <w:rFonts w:hint="eastAsia" w:ascii="宋体" w:hAnsi="宋体" w:eastAsia="宋体" w:cs="宋体"/>
                <w:color w:val="auto"/>
                <w:sz w:val="24"/>
                <w:szCs w:val="24"/>
                <w:highlight w:val="none"/>
              </w:rPr>
            </w:pPr>
          </w:p>
        </w:tc>
        <w:tc>
          <w:tcPr>
            <w:tcW w:w="922" w:type="dxa"/>
            <w:noWrap w:val="0"/>
            <w:vAlign w:val="center"/>
          </w:tcPr>
          <w:p w14:paraId="02F77F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257" w:type="dxa"/>
            <w:gridSpan w:val="2"/>
            <w:noWrap w:val="0"/>
            <w:vAlign w:val="center"/>
          </w:tcPr>
          <w:p w14:paraId="4B49167D">
            <w:pPr>
              <w:spacing w:line="360" w:lineRule="auto"/>
              <w:jc w:val="center"/>
              <w:rPr>
                <w:rFonts w:hint="eastAsia" w:ascii="宋体" w:hAnsi="宋体" w:eastAsia="宋体" w:cs="宋体"/>
                <w:color w:val="auto"/>
                <w:sz w:val="24"/>
                <w:szCs w:val="24"/>
                <w:highlight w:val="none"/>
              </w:rPr>
            </w:pPr>
          </w:p>
        </w:tc>
        <w:tc>
          <w:tcPr>
            <w:tcW w:w="986" w:type="dxa"/>
            <w:gridSpan w:val="2"/>
            <w:noWrap w:val="0"/>
            <w:vAlign w:val="center"/>
          </w:tcPr>
          <w:p w14:paraId="437996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749" w:type="dxa"/>
            <w:noWrap w:val="0"/>
            <w:vAlign w:val="center"/>
          </w:tcPr>
          <w:p w14:paraId="6B57D7CB">
            <w:pPr>
              <w:spacing w:line="360" w:lineRule="auto"/>
              <w:jc w:val="center"/>
              <w:rPr>
                <w:rFonts w:hint="eastAsia" w:ascii="宋体" w:hAnsi="宋体" w:eastAsia="宋体" w:cs="宋体"/>
                <w:color w:val="auto"/>
                <w:sz w:val="24"/>
                <w:szCs w:val="24"/>
                <w:highlight w:val="none"/>
              </w:rPr>
            </w:pPr>
          </w:p>
        </w:tc>
      </w:tr>
      <w:tr w14:paraId="2E70F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351596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87" w:type="dxa"/>
            <w:noWrap w:val="0"/>
            <w:vAlign w:val="center"/>
          </w:tcPr>
          <w:p w14:paraId="27BABDAD">
            <w:pPr>
              <w:spacing w:line="360" w:lineRule="auto"/>
              <w:jc w:val="center"/>
              <w:rPr>
                <w:rFonts w:hint="eastAsia" w:ascii="宋体" w:hAnsi="宋体" w:eastAsia="宋体" w:cs="宋体"/>
                <w:color w:val="auto"/>
                <w:sz w:val="24"/>
                <w:szCs w:val="24"/>
                <w:highlight w:val="none"/>
              </w:rPr>
            </w:pPr>
          </w:p>
        </w:tc>
        <w:tc>
          <w:tcPr>
            <w:tcW w:w="2177" w:type="dxa"/>
            <w:gridSpan w:val="2"/>
            <w:noWrap w:val="0"/>
            <w:vAlign w:val="center"/>
          </w:tcPr>
          <w:p w14:paraId="74C6CD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22" w:type="dxa"/>
            <w:noWrap w:val="0"/>
            <w:vAlign w:val="center"/>
          </w:tcPr>
          <w:p w14:paraId="29AC1C90">
            <w:pPr>
              <w:spacing w:line="360" w:lineRule="auto"/>
              <w:jc w:val="center"/>
              <w:rPr>
                <w:rFonts w:hint="eastAsia" w:ascii="宋体" w:hAnsi="宋体" w:eastAsia="宋体" w:cs="宋体"/>
                <w:color w:val="auto"/>
                <w:sz w:val="24"/>
                <w:szCs w:val="24"/>
                <w:highlight w:val="none"/>
              </w:rPr>
            </w:pPr>
          </w:p>
        </w:tc>
        <w:tc>
          <w:tcPr>
            <w:tcW w:w="2243" w:type="dxa"/>
            <w:gridSpan w:val="4"/>
            <w:noWrap w:val="0"/>
            <w:vAlign w:val="center"/>
          </w:tcPr>
          <w:p w14:paraId="1609DFD3">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在本合同中拟任职</w:t>
            </w:r>
          </w:p>
        </w:tc>
        <w:tc>
          <w:tcPr>
            <w:tcW w:w="1749" w:type="dxa"/>
            <w:noWrap w:val="0"/>
            <w:vAlign w:val="center"/>
          </w:tcPr>
          <w:p w14:paraId="3C832068">
            <w:pPr>
              <w:spacing w:line="360" w:lineRule="auto"/>
              <w:jc w:val="center"/>
              <w:rPr>
                <w:rFonts w:hint="eastAsia" w:ascii="宋体" w:hAnsi="宋体" w:eastAsia="宋体" w:cs="宋体"/>
                <w:color w:val="auto"/>
                <w:sz w:val="24"/>
                <w:szCs w:val="24"/>
                <w:highlight w:val="none"/>
              </w:rPr>
            </w:pPr>
          </w:p>
        </w:tc>
      </w:tr>
      <w:tr w14:paraId="6E8D6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65760A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478" w:type="dxa"/>
            <w:gridSpan w:val="9"/>
            <w:noWrap w:val="0"/>
            <w:vAlign w:val="center"/>
          </w:tcPr>
          <w:p w14:paraId="7D8BA2F1">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79228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19B810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1993A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4CFD07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585" w:type="dxa"/>
            <w:gridSpan w:val="5"/>
            <w:noWrap w:val="0"/>
            <w:vAlign w:val="center"/>
          </w:tcPr>
          <w:p w14:paraId="1C1B0C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1961" w:type="dxa"/>
            <w:gridSpan w:val="2"/>
            <w:noWrap w:val="0"/>
            <w:vAlign w:val="center"/>
          </w:tcPr>
          <w:p w14:paraId="73AAA6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932" w:type="dxa"/>
            <w:gridSpan w:val="2"/>
            <w:noWrap w:val="0"/>
            <w:vAlign w:val="center"/>
          </w:tcPr>
          <w:p w14:paraId="7D5569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0C30B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2E0027FA">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01D31106">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48B25587">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1BBB6571">
            <w:pPr>
              <w:spacing w:line="360" w:lineRule="auto"/>
              <w:jc w:val="center"/>
              <w:rPr>
                <w:rFonts w:hint="eastAsia" w:ascii="宋体" w:hAnsi="宋体" w:eastAsia="宋体" w:cs="宋体"/>
                <w:color w:val="auto"/>
                <w:sz w:val="24"/>
                <w:szCs w:val="24"/>
                <w:highlight w:val="none"/>
              </w:rPr>
            </w:pPr>
          </w:p>
        </w:tc>
      </w:tr>
      <w:tr w14:paraId="03E8B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noWrap w:val="0"/>
            <w:vAlign w:val="center"/>
          </w:tcPr>
          <w:p w14:paraId="4CFF5DF3">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0D5274F7">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798F99A1">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7BB0FB07">
            <w:pPr>
              <w:spacing w:line="360" w:lineRule="auto"/>
              <w:jc w:val="center"/>
              <w:rPr>
                <w:rFonts w:hint="eastAsia" w:ascii="宋体" w:hAnsi="宋体" w:eastAsia="宋体" w:cs="宋体"/>
                <w:color w:val="auto"/>
                <w:sz w:val="24"/>
                <w:szCs w:val="24"/>
                <w:highlight w:val="none"/>
              </w:rPr>
            </w:pPr>
          </w:p>
        </w:tc>
      </w:tr>
      <w:tr w14:paraId="7AB99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noWrap w:val="0"/>
            <w:vAlign w:val="center"/>
          </w:tcPr>
          <w:p w14:paraId="7D9240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045A8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noWrap w:val="0"/>
            <w:vAlign w:val="center"/>
          </w:tcPr>
          <w:p w14:paraId="153C63B3">
            <w:pPr>
              <w:spacing w:line="360" w:lineRule="auto"/>
              <w:jc w:val="center"/>
              <w:rPr>
                <w:rFonts w:hint="eastAsia" w:ascii="宋体" w:hAnsi="宋体" w:eastAsia="宋体" w:cs="宋体"/>
                <w:color w:val="auto"/>
                <w:sz w:val="24"/>
                <w:szCs w:val="24"/>
                <w:highlight w:val="none"/>
              </w:rPr>
            </w:pPr>
          </w:p>
        </w:tc>
      </w:tr>
      <w:tr w14:paraId="1BD9C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51888D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21B4C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noWrap w:val="0"/>
            <w:vAlign w:val="center"/>
          </w:tcPr>
          <w:p w14:paraId="5E093EC6">
            <w:pPr>
              <w:spacing w:line="360" w:lineRule="auto"/>
              <w:jc w:val="center"/>
              <w:rPr>
                <w:rFonts w:hint="eastAsia" w:ascii="宋体" w:hAnsi="宋体" w:eastAsia="宋体" w:cs="宋体"/>
                <w:color w:val="auto"/>
                <w:sz w:val="24"/>
                <w:szCs w:val="24"/>
                <w:highlight w:val="none"/>
              </w:rPr>
            </w:pPr>
          </w:p>
        </w:tc>
      </w:tr>
    </w:tbl>
    <w:p w14:paraId="7CB78966">
      <w:pPr>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注：本表不够时自制</w:t>
      </w:r>
    </w:p>
    <w:p w14:paraId="6C6720F5">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r>
        <w:rPr>
          <w:rFonts w:hint="eastAsia" w:ascii="宋体" w:hAnsi="宋体" w:eastAsia="宋体" w:cs="宋体"/>
          <w:snapToGrid w:val="0"/>
          <w:color w:val="auto"/>
          <w:kern w:val="0"/>
          <w:sz w:val="24"/>
          <w:szCs w:val="24"/>
          <w:highlight w:val="none"/>
          <w:lang w:eastAsia="zh-CN"/>
        </w:rPr>
        <w:t>设计/勘察负责人简历表</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设计负责人和勘察负责人每人一张分别填写，并</w:t>
      </w:r>
      <w:r>
        <w:rPr>
          <w:rFonts w:hint="eastAsia" w:ascii="宋体" w:hAnsi="宋体" w:eastAsia="宋体" w:cs="宋体"/>
          <w:snapToGrid w:val="0"/>
          <w:color w:val="auto"/>
          <w:kern w:val="0"/>
          <w:sz w:val="24"/>
          <w:szCs w:val="24"/>
          <w:highlight w:val="none"/>
        </w:rPr>
        <w:t>应后附拟派项目（设计</w:t>
      </w:r>
      <w:r>
        <w:rPr>
          <w:rFonts w:hint="eastAsia" w:ascii="宋体" w:hAnsi="宋体" w:eastAsia="宋体" w:cs="宋体"/>
          <w:snapToGrid w:val="0"/>
          <w:color w:val="auto"/>
          <w:kern w:val="0"/>
          <w:sz w:val="24"/>
          <w:szCs w:val="24"/>
          <w:highlight w:val="none"/>
          <w:lang w:val="en-US" w:eastAsia="zh-CN"/>
        </w:rPr>
        <w:t>/勘察</w:t>
      </w:r>
      <w:r>
        <w:rPr>
          <w:rFonts w:hint="eastAsia" w:ascii="宋体" w:hAnsi="宋体" w:eastAsia="宋体" w:cs="宋体"/>
          <w:snapToGrid w:val="0"/>
          <w:color w:val="auto"/>
          <w:kern w:val="0"/>
          <w:sz w:val="24"/>
          <w:szCs w:val="24"/>
          <w:highlight w:val="none"/>
        </w:rPr>
        <w:t>）负责人以下资料：</w:t>
      </w:r>
    </w:p>
    <w:p w14:paraId="5641463B">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1．有效的身份证扫描件；</w:t>
      </w:r>
    </w:p>
    <w:p w14:paraId="5AEF4AA2">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2．所需相关证书彩色扫描件；</w:t>
      </w:r>
    </w:p>
    <w:p w14:paraId="2CD9D68F">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cs="宋体"/>
          <w:snapToGrid w:val="0"/>
          <w:color w:val="auto"/>
          <w:kern w:val="0"/>
          <w:sz w:val="24"/>
          <w:szCs w:val="24"/>
          <w:highlight w:val="none"/>
          <w:lang w:val="en-US" w:eastAsia="zh-CN"/>
        </w:rPr>
        <w:t>三个月</w:t>
      </w:r>
      <w:r>
        <w:rPr>
          <w:rFonts w:hint="eastAsia" w:ascii="宋体" w:hAnsi="宋体" w:eastAsia="宋体" w:cs="宋体"/>
          <w:snapToGrid w:val="0"/>
          <w:color w:val="auto"/>
          <w:kern w:val="0"/>
          <w:sz w:val="24"/>
          <w:szCs w:val="24"/>
          <w:highlight w:val="none"/>
          <w:lang w:val="en-US" w:eastAsia="zh-CN"/>
        </w:rPr>
        <w:t>社保</w:t>
      </w:r>
      <w:r>
        <w:rPr>
          <w:rFonts w:hint="eastAsia" w:ascii="宋体" w:hAnsi="宋体" w:eastAsia="宋体" w:cs="宋体"/>
          <w:snapToGrid w:val="0"/>
          <w:color w:val="auto"/>
          <w:kern w:val="0"/>
          <w:sz w:val="24"/>
          <w:szCs w:val="24"/>
          <w:highlight w:val="none"/>
          <w:lang w:eastAsia="zh-CN"/>
        </w:rPr>
        <w:t>，其中必须有2026年</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）彩色扫描件（非独立法人分支机构出具社保，予以认可）；拟派设计</w:t>
      </w:r>
      <w:r>
        <w:rPr>
          <w:rFonts w:hint="eastAsia" w:ascii="宋体" w:hAnsi="宋体" w:eastAsia="宋体" w:cs="宋体"/>
          <w:snapToGrid w:val="0"/>
          <w:color w:val="auto"/>
          <w:kern w:val="0"/>
          <w:sz w:val="24"/>
          <w:szCs w:val="24"/>
          <w:highlight w:val="none"/>
          <w:lang w:eastAsia="zh-CN"/>
        </w:rPr>
        <w:t>/勘察</w:t>
      </w:r>
      <w:r>
        <w:rPr>
          <w:rFonts w:hint="eastAsia" w:ascii="宋体" w:hAnsi="宋体" w:eastAsia="宋体" w:cs="宋体"/>
          <w:snapToGrid w:val="0"/>
          <w:color w:val="auto"/>
          <w:kern w:val="0"/>
          <w:sz w:val="24"/>
          <w:szCs w:val="24"/>
          <w:highlight w:val="none"/>
        </w:rPr>
        <w:t>负责人为退休返聘人员无法提供社保证明的，提供退休证明和劳动合同彩色扫描件。</w:t>
      </w:r>
    </w:p>
    <w:p w14:paraId="3020D7F5">
      <w:pPr>
        <w:pStyle w:val="31"/>
        <w:ind w:left="0" w:leftChars="0" w:firstLine="0" w:firstLineChars="0"/>
        <w:rPr>
          <w:rFonts w:hint="eastAsia" w:ascii="宋体" w:hAnsi="宋体" w:eastAsia="宋体" w:cs="宋体"/>
          <w:snapToGrid w:val="0"/>
          <w:color w:val="auto"/>
          <w:kern w:val="0"/>
          <w:szCs w:val="21"/>
          <w:highlight w:val="none"/>
        </w:rPr>
      </w:pPr>
    </w:p>
    <w:p w14:paraId="18F68A7B">
      <w:pPr>
        <w:rPr>
          <w:rFonts w:hint="eastAsia" w:ascii="宋体" w:hAnsi="宋体" w:eastAsia="宋体" w:cs="宋体"/>
        </w:rPr>
      </w:pPr>
    </w:p>
    <w:p w14:paraId="095FE3DE">
      <w:pPr>
        <w:rPr>
          <w:rFonts w:hint="eastAsia" w:ascii="宋体" w:hAnsi="宋体" w:eastAsia="宋体" w:cs="宋体"/>
        </w:rPr>
      </w:pPr>
    </w:p>
    <w:p w14:paraId="33DFAD87">
      <w:pPr>
        <w:rPr>
          <w:rFonts w:hint="eastAsia" w:ascii="宋体" w:hAnsi="宋体" w:eastAsia="宋体" w:cs="宋体"/>
        </w:rPr>
      </w:pPr>
    </w:p>
    <w:p w14:paraId="173FC16A">
      <w:pPr>
        <w:rPr>
          <w:rFonts w:hint="eastAsia" w:ascii="宋体" w:hAnsi="宋体" w:eastAsia="宋体" w:cs="宋体"/>
        </w:rPr>
      </w:pPr>
    </w:p>
    <w:p w14:paraId="4A2E5044">
      <w:pPr>
        <w:rPr>
          <w:rFonts w:hint="eastAsia" w:ascii="宋体" w:hAnsi="宋体" w:eastAsia="宋体" w:cs="宋体"/>
        </w:rPr>
      </w:pPr>
    </w:p>
    <w:bookmarkEnd w:id="224"/>
    <w:bookmarkEnd w:id="225"/>
    <w:p w14:paraId="1A68958C">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62" w:name="_Toc14261309"/>
      <w:bookmarkStart w:id="263" w:name="_Toc20506"/>
      <w:bookmarkStart w:id="264" w:name="_Toc23155"/>
      <w:bookmarkStart w:id="265" w:name="_Toc15295"/>
      <w:bookmarkStart w:id="266" w:name="_Toc12205"/>
      <w:bookmarkStart w:id="267" w:name="_Toc200338098"/>
      <w:bookmarkStart w:id="268" w:name="_Toc8264"/>
      <w:r>
        <w:rPr>
          <w:rFonts w:hint="eastAsia" w:ascii="宋体" w:hAnsi="宋体" w:eastAsia="宋体" w:cs="宋体"/>
          <w:b/>
          <w:color w:val="auto"/>
          <w:kern w:val="2"/>
          <w:sz w:val="28"/>
          <w:szCs w:val="24"/>
          <w:lang w:val="en-US" w:eastAsia="zh-CN"/>
        </w:rPr>
        <w:t>格式</w:t>
      </w:r>
      <w:bookmarkStart w:id="269" w:name="_Hlt287950384"/>
      <w:bookmarkEnd w:id="269"/>
      <w:r>
        <w:rPr>
          <w:rFonts w:hint="eastAsia" w:ascii="宋体" w:hAnsi="宋体" w:eastAsia="宋体" w:cs="宋体"/>
          <w:b/>
          <w:color w:val="auto"/>
          <w:kern w:val="2"/>
          <w:sz w:val="28"/>
          <w:szCs w:val="24"/>
          <w:lang w:val="en-US" w:eastAsia="zh-CN"/>
        </w:rPr>
        <w:t xml:space="preserve">十 </w:t>
      </w:r>
      <w:bookmarkEnd w:id="262"/>
      <w:bookmarkEnd w:id="263"/>
      <w:r>
        <w:rPr>
          <w:rFonts w:hint="eastAsia" w:ascii="宋体" w:hAnsi="宋体" w:eastAsia="宋体" w:cs="宋体"/>
          <w:b/>
          <w:color w:val="auto"/>
          <w:kern w:val="2"/>
          <w:sz w:val="28"/>
          <w:szCs w:val="24"/>
          <w:lang w:val="en-US" w:eastAsia="zh-CN"/>
        </w:rPr>
        <w:t xml:space="preserve">  本项目拟投入的人员基本情况表</w:t>
      </w:r>
      <w:bookmarkEnd w:id="264"/>
      <w:bookmarkEnd w:id="265"/>
      <w:bookmarkEnd w:id="266"/>
    </w:p>
    <w:p w14:paraId="72EC123E">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bookmarkStart w:id="270" w:name="_Toc14261751"/>
    </w:p>
    <w:p w14:paraId="03703139">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本项目拟投入的人员基本情况表</w:t>
      </w:r>
      <w:bookmarkEnd w:id="270"/>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116"/>
        <w:gridCol w:w="1317"/>
        <w:gridCol w:w="3546"/>
      </w:tblGrid>
      <w:tr w14:paraId="56B2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35" w:type="dxa"/>
            <w:noWrap w:val="0"/>
            <w:vAlign w:val="center"/>
          </w:tcPr>
          <w:p w14:paraId="0FEE8ED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116" w:type="dxa"/>
            <w:noWrap w:val="0"/>
            <w:vAlign w:val="center"/>
          </w:tcPr>
          <w:p w14:paraId="68317A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17" w:type="dxa"/>
            <w:noWrap w:val="0"/>
            <w:vAlign w:val="center"/>
          </w:tcPr>
          <w:p w14:paraId="0CEE09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546" w:type="dxa"/>
            <w:noWrap w:val="0"/>
            <w:vAlign w:val="center"/>
          </w:tcPr>
          <w:p w14:paraId="7206BCB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0371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335" w:type="dxa"/>
            <w:noWrap w:val="0"/>
            <w:vAlign w:val="center"/>
          </w:tcPr>
          <w:p w14:paraId="5D73895F">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项目负责人（即设计负责人）</w:t>
            </w:r>
          </w:p>
        </w:tc>
        <w:tc>
          <w:tcPr>
            <w:tcW w:w="1116" w:type="dxa"/>
            <w:noWrap w:val="0"/>
            <w:vAlign w:val="center"/>
          </w:tcPr>
          <w:p w14:paraId="308A810E">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5A0AA00B">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01C92C6">
            <w:pPr>
              <w:adjustRightInd w:val="0"/>
              <w:snapToGrid w:val="0"/>
              <w:spacing w:line="360" w:lineRule="auto"/>
              <w:rPr>
                <w:rFonts w:hint="eastAsia" w:ascii="宋体" w:hAnsi="宋体" w:eastAsia="宋体" w:cs="宋体"/>
                <w:color w:val="auto"/>
                <w:sz w:val="24"/>
                <w:szCs w:val="24"/>
                <w:highlight w:val="none"/>
              </w:rPr>
            </w:pPr>
          </w:p>
        </w:tc>
      </w:tr>
      <w:tr w14:paraId="02E5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44240BE3">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勘察负责人</w:t>
            </w:r>
          </w:p>
        </w:tc>
        <w:tc>
          <w:tcPr>
            <w:tcW w:w="1116" w:type="dxa"/>
            <w:noWrap w:val="0"/>
            <w:vAlign w:val="center"/>
          </w:tcPr>
          <w:p w14:paraId="3A030BFD">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67A143E8">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74F58D1B">
            <w:pPr>
              <w:adjustRightInd w:val="0"/>
              <w:snapToGrid w:val="0"/>
              <w:spacing w:line="360" w:lineRule="auto"/>
              <w:rPr>
                <w:rFonts w:hint="eastAsia" w:ascii="宋体" w:hAnsi="宋体" w:eastAsia="宋体" w:cs="宋体"/>
                <w:color w:val="auto"/>
                <w:sz w:val="24"/>
                <w:szCs w:val="24"/>
                <w:highlight w:val="none"/>
              </w:rPr>
            </w:pPr>
          </w:p>
        </w:tc>
      </w:tr>
      <w:tr w14:paraId="0962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32DFEFD0">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54278DBB">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11B021B1">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06E73785">
            <w:pPr>
              <w:adjustRightInd w:val="0"/>
              <w:snapToGrid w:val="0"/>
              <w:spacing w:line="360" w:lineRule="auto"/>
              <w:rPr>
                <w:rFonts w:hint="eastAsia" w:ascii="宋体" w:hAnsi="宋体" w:eastAsia="宋体" w:cs="宋体"/>
                <w:color w:val="auto"/>
                <w:sz w:val="24"/>
                <w:szCs w:val="24"/>
                <w:highlight w:val="none"/>
              </w:rPr>
            </w:pPr>
          </w:p>
        </w:tc>
      </w:tr>
      <w:tr w14:paraId="1C9C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CF4E661">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74B2E946">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119C0750">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7C79D629">
            <w:pPr>
              <w:adjustRightInd w:val="0"/>
              <w:snapToGrid w:val="0"/>
              <w:spacing w:line="360" w:lineRule="auto"/>
              <w:rPr>
                <w:rFonts w:hint="eastAsia" w:ascii="宋体" w:hAnsi="宋体" w:eastAsia="宋体" w:cs="宋体"/>
                <w:color w:val="auto"/>
                <w:sz w:val="24"/>
                <w:szCs w:val="24"/>
                <w:highlight w:val="none"/>
              </w:rPr>
            </w:pPr>
          </w:p>
        </w:tc>
      </w:tr>
      <w:tr w14:paraId="0199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69C514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....各专业负责人</w:t>
            </w:r>
          </w:p>
        </w:tc>
        <w:tc>
          <w:tcPr>
            <w:tcW w:w="1116" w:type="dxa"/>
            <w:noWrap w:val="0"/>
            <w:vAlign w:val="center"/>
          </w:tcPr>
          <w:p w14:paraId="317CBE90">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2F13BD1B">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C678BFE">
            <w:pPr>
              <w:adjustRightInd w:val="0"/>
              <w:snapToGrid w:val="0"/>
              <w:spacing w:line="360" w:lineRule="auto"/>
              <w:rPr>
                <w:rFonts w:hint="eastAsia" w:ascii="宋体" w:hAnsi="宋体" w:eastAsia="宋体" w:cs="宋体"/>
                <w:color w:val="auto"/>
                <w:sz w:val="24"/>
                <w:szCs w:val="24"/>
                <w:highlight w:val="none"/>
              </w:rPr>
            </w:pPr>
          </w:p>
        </w:tc>
      </w:tr>
      <w:tr w14:paraId="1E0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35BF04F6">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63AA237A">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5F3BF495">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6509A419">
            <w:pPr>
              <w:adjustRightInd w:val="0"/>
              <w:snapToGrid w:val="0"/>
              <w:spacing w:line="360" w:lineRule="auto"/>
              <w:rPr>
                <w:rFonts w:hint="eastAsia" w:ascii="宋体" w:hAnsi="宋体" w:eastAsia="宋体" w:cs="宋体"/>
                <w:color w:val="auto"/>
                <w:sz w:val="24"/>
                <w:szCs w:val="24"/>
                <w:highlight w:val="none"/>
              </w:rPr>
            </w:pPr>
          </w:p>
        </w:tc>
      </w:tr>
      <w:tr w14:paraId="5927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6AA5AF90">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113FA3B0">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68225E56">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2748AD12">
            <w:pPr>
              <w:adjustRightInd w:val="0"/>
              <w:snapToGrid w:val="0"/>
              <w:spacing w:line="360" w:lineRule="auto"/>
              <w:rPr>
                <w:rFonts w:hint="eastAsia" w:ascii="宋体" w:hAnsi="宋体" w:eastAsia="宋体" w:cs="宋体"/>
                <w:color w:val="auto"/>
                <w:sz w:val="24"/>
                <w:szCs w:val="24"/>
                <w:highlight w:val="none"/>
              </w:rPr>
            </w:pPr>
          </w:p>
        </w:tc>
      </w:tr>
      <w:tr w14:paraId="5739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FEE3E52">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7D898430">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061E614A">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71401236">
            <w:pPr>
              <w:adjustRightInd w:val="0"/>
              <w:snapToGrid w:val="0"/>
              <w:spacing w:line="360" w:lineRule="auto"/>
              <w:rPr>
                <w:rFonts w:hint="eastAsia" w:ascii="宋体" w:hAnsi="宋体" w:eastAsia="宋体" w:cs="宋体"/>
                <w:color w:val="auto"/>
                <w:sz w:val="24"/>
                <w:szCs w:val="24"/>
                <w:highlight w:val="none"/>
              </w:rPr>
            </w:pPr>
          </w:p>
        </w:tc>
      </w:tr>
      <w:tr w14:paraId="5A5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333833D">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2DC6E5A6">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603809F6">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63AE06C">
            <w:pPr>
              <w:adjustRightInd w:val="0"/>
              <w:snapToGrid w:val="0"/>
              <w:spacing w:line="360" w:lineRule="auto"/>
              <w:rPr>
                <w:rFonts w:hint="eastAsia" w:ascii="宋体" w:hAnsi="宋体" w:eastAsia="宋体" w:cs="宋体"/>
                <w:color w:val="auto"/>
                <w:sz w:val="24"/>
                <w:szCs w:val="24"/>
                <w:highlight w:val="none"/>
              </w:rPr>
            </w:pPr>
          </w:p>
        </w:tc>
      </w:tr>
      <w:tr w14:paraId="2319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A305902">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2C15F3FD">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5605A127">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299E777A">
            <w:pPr>
              <w:adjustRightInd w:val="0"/>
              <w:snapToGrid w:val="0"/>
              <w:spacing w:line="360" w:lineRule="auto"/>
              <w:rPr>
                <w:rFonts w:hint="eastAsia" w:ascii="宋体" w:hAnsi="宋体" w:eastAsia="宋体" w:cs="宋体"/>
                <w:color w:val="auto"/>
                <w:sz w:val="24"/>
                <w:szCs w:val="24"/>
                <w:highlight w:val="none"/>
              </w:rPr>
            </w:pPr>
          </w:p>
        </w:tc>
      </w:tr>
    </w:tbl>
    <w:p w14:paraId="13461BAB">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p w14:paraId="4699370F">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1.投标人应根据招标文件要求和招标项目的实际需要，列出项目负责人及各专业负责人，如结构专业负责人、给排水专业负责人等专业负责人。</w:t>
      </w:r>
    </w:p>
    <w:bookmarkEnd w:id="267"/>
    <w:bookmarkEnd w:id="268"/>
    <w:p w14:paraId="17DE4351">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bookmarkStart w:id="271" w:name="_Hlt68774664"/>
      <w:bookmarkEnd w:id="271"/>
      <w:bookmarkStart w:id="272" w:name="_附件二十四：技术标提问单"/>
      <w:bookmarkEnd w:id="272"/>
      <w:bookmarkStart w:id="273" w:name="_附件十：单项工程费汇总表"/>
      <w:bookmarkEnd w:id="273"/>
      <w:bookmarkStart w:id="274" w:name="_Hlt69116778"/>
      <w:bookmarkEnd w:id="274"/>
      <w:bookmarkStart w:id="275" w:name="_附件二十五：综合评审合理低价法"/>
      <w:bookmarkEnd w:id="275"/>
      <w:r>
        <w:rPr>
          <w:rFonts w:hint="eastAsia" w:ascii="宋体" w:hAnsi="宋体" w:eastAsia="宋体" w:cs="宋体"/>
          <w:snapToGrid w:val="0"/>
          <w:color w:val="auto"/>
          <w:kern w:val="0"/>
          <w:sz w:val="24"/>
          <w:szCs w:val="24"/>
          <w:highlight w:val="none"/>
        </w:rPr>
        <w:t>2.《本项目拟投入的人员基本情况表》后应附拟派其他主要人员（设计负责人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勘察负责人</w:t>
      </w:r>
      <w:r>
        <w:rPr>
          <w:rFonts w:hint="eastAsia" w:ascii="宋体" w:hAnsi="宋体" w:eastAsia="宋体" w:cs="宋体"/>
          <w:snapToGrid w:val="0"/>
          <w:color w:val="auto"/>
          <w:kern w:val="0"/>
          <w:sz w:val="24"/>
          <w:szCs w:val="24"/>
          <w:highlight w:val="none"/>
        </w:rPr>
        <w:t>除外）以下资料：</w:t>
      </w:r>
    </w:p>
    <w:p w14:paraId="4C3B7A44">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（1）有效的身份证扫描件；</w:t>
      </w:r>
    </w:p>
    <w:p w14:paraId="391B1BB4">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（2）毕业证（如需）、职称证（如需）、有效期内注册证书（如需）的扫描件；投标人所提供的注册证书不能体现有效期的，必须提供住建部门相关网站的显示有效期的网页截图作为证明材料；</w:t>
      </w:r>
    </w:p>
    <w:p w14:paraId="2B9CC37B">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cs="宋体"/>
          <w:snapToGrid w:val="0"/>
          <w:color w:val="auto"/>
          <w:kern w:val="0"/>
          <w:sz w:val="24"/>
          <w:szCs w:val="24"/>
          <w:highlight w:val="none"/>
          <w:lang w:val="en-US" w:eastAsia="zh-CN"/>
        </w:rPr>
        <w:t>三个月</w:t>
      </w:r>
      <w:r>
        <w:rPr>
          <w:rFonts w:hint="eastAsia" w:ascii="宋体" w:hAnsi="宋体" w:eastAsia="宋体" w:cs="宋体"/>
          <w:snapToGrid w:val="0"/>
          <w:color w:val="auto"/>
          <w:kern w:val="0"/>
          <w:sz w:val="24"/>
          <w:szCs w:val="24"/>
          <w:highlight w:val="none"/>
          <w:lang w:val="en-US" w:eastAsia="zh-CN"/>
        </w:rPr>
        <w:t>社保</w:t>
      </w:r>
      <w:r>
        <w:rPr>
          <w:rFonts w:hint="eastAsia" w:ascii="宋体" w:hAnsi="宋体" w:eastAsia="宋体" w:cs="宋体"/>
          <w:snapToGrid w:val="0"/>
          <w:color w:val="auto"/>
          <w:kern w:val="0"/>
          <w:sz w:val="24"/>
          <w:szCs w:val="24"/>
          <w:highlight w:val="none"/>
          <w:lang w:eastAsia="zh-CN"/>
        </w:rPr>
        <w:t>，其中必须有2026年</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）彩色扫描件（非独立法人分支机构出具社保，予以认可）。拟派人员为退休返聘人员无法提供社保证明的，提供退休证明和劳动合同彩色扫描件；</w:t>
      </w:r>
    </w:p>
    <w:p w14:paraId="72B40774">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3．联合体投标的，《本项目拟投入的人员基本情况表》应包括联合体成员单位参与项目管理机构的人员，并提供以上所需资料。</w:t>
      </w:r>
      <w:bookmarkEnd w:id="5"/>
      <w:bookmarkEnd w:id="226"/>
      <w:bookmarkEnd w:id="227"/>
      <w:bookmarkStart w:id="276" w:name="_附件二十一：土建工程、电气工程、给排水工程工程清单项目费汇总表"/>
      <w:bookmarkEnd w:id="276"/>
      <w:bookmarkStart w:id="277" w:name="_Hlt87783244"/>
      <w:bookmarkEnd w:id="277"/>
      <w:bookmarkStart w:id="278" w:name="_附件十六：措施项目清单计价表"/>
      <w:bookmarkEnd w:id="278"/>
      <w:bookmarkStart w:id="279" w:name="_Hlt87793582"/>
      <w:bookmarkEnd w:id="279"/>
    </w:p>
    <w:p w14:paraId="2305A6A0">
      <w:pPr>
        <w:rPr>
          <w:rFonts w:hint="eastAsia" w:ascii="宋体" w:hAnsi="宋体" w:eastAsia="宋体" w:cs="宋体"/>
          <w:lang w:val="en-US" w:eastAsia="zh-CN"/>
        </w:rPr>
      </w:pPr>
    </w:p>
    <w:p w14:paraId="12402792">
      <w:pPr>
        <w:rPr>
          <w:rFonts w:hint="eastAsia" w:ascii="宋体" w:hAnsi="宋体" w:eastAsia="宋体" w:cs="宋体"/>
          <w:lang w:val="en-US" w:eastAsia="zh-CN"/>
        </w:rPr>
      </w:pPr>
    </w:p>
    <w:p w14:paraId="329F451B">
      <w:pPr>
        <w:pStyle w:val="5"/>
        <w:keepNext/>
        <w:tabs>
          <w:tab w:val="left" w:pos="1995"/>
        </w:tabs>
        <w:autoSpaceDE/>
        <w:autoSpaceDN/>
        <w:bidi w:val="0"/>
        <w:adjustRightInd/>
        <w:spacing w:line="480" w:lineRule="exact"/>
        <w:ind w:left="0" w:leftChars="0" w:firstLine="0" w:firstLineChars="0"/>
        <w:rPr>
          <w:rFonts w:hint="eastAsia" w:ascii="宋体" w:hAnsi="宋体" w:eastAsia="宋体" w:cs="宋体"/>
          <w:b/>
          <w:color w:val="auto"/>
          <w:kern w:val="2"/>
          <w:sz w:val="28"/>
          <w:szCs w:val="24"/>
          <w:lang w:val="en-US" w:eastAsia="zh-CN"/>
        </w:rPr>
      </w:pPr>
      <w:bookmarkStart w:id="280" w:name="_Toc18361"/>
      <w:r>
        <w:rPr>
          <w:rFonts w:hint="eastAsia" w:ascii="宋体" w:hAnsi="宋体" w:eastAsia="宋体" w:cs="宋体"/>
          <w:b/>
          <w:color w:val="auto"/>
          <w:kern w:val="2"/>
          <w:sz w:val="28"/>
          <w:szCs w:val="24"/>
          <w:lang w:val="en-US" w:eastAsia="zh-CN"/>
        </w:rPr>
        <w:t>格式十一   定标因素评审资料</w:t>
      </w:r>
      <w:bookmarkEnd w:id="280"/>
    </w:p>
    <w:p w14:paraId="3F49619A">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b/>
          <w:bCs/>
          <w:color w:val="auto"/>
          <w:sz w:val="30"/>
          <w:szCs w:val="30"/>
          <w:highlight w:val="none"/>
          <w:lang w:eastAsia="zh-CN"/>
        </w:rPr>
        <w:t>定标因素评审资料</w:t>
      </w:r>
    </w:p>
    <w:p w14:paraId="7CB38BEB">
      <w:pPr>
        <w:spacing w:line="500" w:lineRule="exact"/>
        <w:ind w:firstLine="56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b w:val="0"/>
          <w:bCs w:val="0"/>
          <w:color w:val="auto"/>
          <w:sz w:val="28"/>
          <w:szCs w:val="28"/>
          <w:highlight w:val="none"/>
          <w:lang w:val="en-US" w:eastAsia="zh-CN"/>
        </w:rPr>
        <w:t xml:space="preserve">投标人根据“第一章 </w:t>
      </w:r>
      <w:r>
        <w:rPr>
          <w:rFonts w:hint="eastAsia" w:ascii="宋体" w:hAnsi="宋体" w:eastAsia="宋体" w:cs="宋体"/>
          <w:b w:val="0"/>
          <w:bCs w:val="0"/>
          <w:color w:val="auto"/>
          <w:sz w:val="28"/>
          <w:szCs w:val="28"/>
          <w:highlight w:val="none"/>
        </w:rPr>
        <w:t>第六节 定标规定及细则</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sectPr>
      <w:footerReference r:id="rId7" w:type="default"/>
      <w:endnotePr>
        <w:numFmt w:val="decimal"/>
      </w:endnotePr>
      <w:pgSz w:w="11907" w:h="16840"/>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E882">
    <w:pPr>
      <w:pStyle w:val="22"/>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E2DC">
    <w:pPr>
      <w:pStyle w:val="22"/>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9F01">
    <w:pPr>
      <w:pStyle w:val="22"/>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6C51D6">
                          <w:pPr>
                            <w:pStyle w:val="22"/>
                            <w:rPr>
                              <w:rFonts w:hint="eastAsia" w:ascii="宋体" w:hAnsi="宋体" w:eastAsia="宋体" w:cs="宋体"/>
                              <w:sz w:val="21"/>
                              <w:szCs w:val="21"/>
                            </w:rPr>
                          </w:pPr>
                          <w:r>
                            <w:fldChar w:fldCharType="begin"/>
                          </w:r>
                          <w:r>
                            <w:instrText xml:space="preserve"> PAGE  \* MERGEFORMAT </w:instrText>
                          </w:r>
                          <w:r>
                            <w:fldChar w:fldCharType="separate"/>
                          </w:r>
                          <w:r>
                            <w:t>- 36 -</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5F/3ucB&#10;AADJAwAADgAAAAAAAAABACAAAAAiAQAAZHJzL2Uyb0RvYy54bWxQSwUGAAAAAAYABgBZAQAAewUA&#10;AAAA&#10;">
              <v:fill on="f" focussize="0,0"/>
              <v:stroke on="f" weight="1.25pt"/>
              <v:imagedata o:title=""/>
              <o:lock v:ext="edit" aspectratio="f"/>
              <v:textbox inset="0mm,0mm,0mm,0mm" style="mso-fit-shape-to-text:t;">
                <w:txbxContent>
                  <w:p w14:paraId="6F6C51D6">
                    <w:pPr>
                      <w:pStyle w:val="22"/>
                      <w:rPr>
                        <w:rFonts w:hint="eastAsia" w:ascii="宋体" w:hAnsi="宋体" w:eastAsia="宋体" w:cs="宋体"/>
                        <w:sz w:val="21"/>
                        <w:szCs w:val="21"/>
                      </w:rPr>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504A">
    <w:pPr>
      <w:pStyle w:val="22"/>
      <w:jc w:val="both"/>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5D52DC">
                          <w:pPr>
                            <w:pStyle w:val="22"/>
                            <w:rPr>
                              <w:rFonts w:hint="eastAsia" w:ascii="宋体" w:hAnsi="宋体" w:eastAsia="宋体" w:cs="宋体"/>
                              <w:sz w:val="21"/>
                              <w:szCs w:val="21"/>
                            </w:rPr>
                          </w:pPr>
                          <w:r>
                            <w:fldChar w:fldCharType="begin"/>
                          </w:r>
                          <w:r>
                            <w:instrText xml:space="preserve"> PAGE  \* MERGEFORMAT </w:instrText>
                          </w:r>
                          <w:r>
                            <w:fldChar w:fldCharType="separate"/>
                          </w:r>
                          <w:r>
                            <w:t>- 36 -</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ByU85gEA&#10;AMkDAAAOAAAAAAAAAAEAIAAAACIBAABkcnMvZTJvRG9jLnhtbFBLBQYAAAAABgAGAFkBAAB6BQAA&#10;AAA=&#10;">
              <v:fill on="f" focussize="0,0"/>
              <v:stroke on="f" weight="1.25pt"/>
              <v:imagedata o:title=""/>
              <o:lock v:ext="edit" aspectratio="f"/>
              <v:textbox inset="0mm,0mm,0mm,0mm" style="mso-fit-shape-to-text:t;">
                <w:txbxContent>
                  <w:p w14:paraId="685D52DC">
                    <w:pPr>
                      <w:pStyle w:val="22"/>
                      <w:rPr>
                        <w:rFonts w:hint="eastAsia" w:ascii="宋体" w:hAnsi="宋体" w:eastAsia="宋体" w:cs="宋体"/>
                        <w:sz w:val="21"/>
                        <w:szCs w:val="21"/>
                      </w:rPr>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9428">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D4B3E"/>
    <w:multiLevelType w:val="singleLevel"/>
    <w:tmpl w:val="917D4B3E"/>
    <w:lvl w:ilvl="0" w:tentative="0">
      <w:start w:val="1"/>
      <w:numFmt w:val="decimal"/>
      <w:lvlText w:val="%1."/>
      <w:lvlJc w:val="left"/>
      <w:pPr>
        <w:tabs>
          <w:tab w:val="left" w:pos="312"/>
        </w:tabs>
      </w:pPr>
    </w:lvl>
  </w:abstractNum>
  <w:abstractNum w:abstractNumId="1">
    <w:nsid w:val="00000000"/>
    <w:multiLevelType w:val="multilevel"/>
    <w:tmpl w:val="0000000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
    <w:nsid w:val="29BEF2C6"/>
    <w:multiLevelType w:val="singleLevel"/>
    <w:tmpl w:val="29BEF2C6"/>
    <w:lvl w:ilvl="0" w:tentative="0">
      <w:start w:val="1"/>
      <w:numFmt w:val="decimal"/>
      <w:lvlText w:val="%1."/>
      <w:lvlJc w:val="left"/>
      <w:pPr>
        <w:tabs>
          <w:tab w:val="left" w:pos="312"/>
        </w:tabs>
      </w:pPr>
    </w:lvl>
  </w:abstractNum>
  <w:abstractNum w:abstractNumId="3">
    <w:nsid w:val="48955F2F"/>
    <w:multiLevelType w:val="singleLevel"/>
    <w:tmpl w:val="48955F2F"/>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endnotePr>
    <w:numFmt w:val="decimal"/>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OGI3Nzk1YzM2Yzc0NGVmZmViM2ZmNWRkNTcxYTkifQ=="/>
  </w:docVars>
  <w:rsids>
    <w:rsidRoot w:val="00172A27"/>
    <w:rsid w:val="0000710A"/>
    <w:rsid w:val="0001416E"/>
    <w:rsid w:val="00021A19"/>
    <w:rsid w:val="00084253"/>
    <w:rsid w:val="000D1566"/>
    <w:rsid w:val="0010310E"/>
    <w:rsid w:val="00106301"/>
    <w:rsid w:val="00113C99"/>
    <w:rsid w:val="001211B1"/>
    <w:rsid w:val="001A2FB7"/>
    <w:rsid w:val="001C3D1C"/>
    <w:rsid w:val="00222274"/>
    <w:rsid w:val="002A3359"/>
    <w:rsid w:val="00327414"/>
    <w:rsid w:val="00374796"/>
    <w:rsid w:val="003815BA"/>
    <w:rsid w:val="00390AEA"/>
    <w:rsid w:val="0042502B"/>
    <w:rsid w:val="00490294"/>
    <w:rsid w:val="004B0EAC"/>
    <w:rsid w:val="004C2699"/>
    <w:rsid w:val="0052074E"/>
    <w:rsid w:val="0055397E"/>
    <w:rsid w:val="00576B14"/>
    <w:rsid w:val="005D4EC9"/>
    <w:rsid w:val="00654F8B"/>
    <w:rsid w:val="0066264E"/>
    <w:rsid w:val="006948F4"/>
    <w:rsid w:val="006E13DA"/>
    <w:rsid w:val="006F49E6"/>
    <w:rsid w:val="00740F39"/>
    <w:rsid w:val="00760C6F"/>
    <w:rsid w:val="00782CDD"/>
    <w:rsid w:val="00860B1D"/>
    <w:rsid w:val="00881332"/>
    <w:rsid w:val="008A51CD"/>
    <w:rsid w:val="008C6B4D"/>
    <w:rsid w:val="008D28C7"/>
    <w:rsid w:val="008E53EE"/>
    <w:rsid w:val="00941C6C"/>
    <w:rsid w:val="009471EC"/>
    <w:rsid w:val="009827A2"/>
    <w:rsid w:val="00997D18"/>
    <w:rsid w:val="00A11426"/>
    <w:rsid w:val="00A144D6"/>
    <w:rsid w:val="00A15974"/>
    <w:rsid w:val="00B05314"/>
    <w:rsid w:val="00B15DD7"/>
    <w:rsid w:val="00B726A1"/>
    <w:rsid w:val="00B8536E"/>
    <w:rsid w:val="00BD1EAB"/>
    <w:rsid w:val="00C06FA4"/>
    <w:rsid w:val="00C20AB5"/>
    <w:rsid w:val="00C22D51"/>
    <w:rsid w:val="00C41BBB"/>
    <w:rsid w:val="00C67B8F"/>
    <w:rsid w:val="00CD5C14"/>
    <w:rsid w:val="00CE5DBA"/>
    <w:rsid w:val="00D57915"/>
    <w:rsid w:val="00DE5743"/>
    <w:rsid w:val="00E46210"/>
    <w:rsid w:val="00E5202C"/>
    <w:rsid w:val="00ED39DD"/>
    <w:rsid w:val="00EE438A"/>
    <w:rsid w:val="00EF0AEA"/>
    <w:rsid w:val="00EF6EAC"/>
    <w:rsid w:val="00F247A9"/>
    <w:rsid w:val="00F61FEF"/>
    <w:rsid w:val="00F62BBD"/>
    <w:rsid w:val="00F82376"/>
    <w:rsid w:val="00FB383A"/>
    <w:rsid w:val="00FB52A4"/>
    <w:rsid w:val="00FC1865"/>
    <w:rsid w:val="0107676F"/>
    <w:rsid w:val="012706AB"/>
    <w:rsid w:val="01523E0F"/>
    <w:rsid w:val="016027F7"/>
    <w:rsid w:val="017924E8"/>
    <w:rsid w:val="01885E0B"/>
    <w:rsid w:val="018B1696"/>
    <w:rsid w:val="01A326DD"/>
    <w:rsid w:val="01A95C2A"/>
    <w:rsid w:val="02022957"/>
    <w:rsid w:val="020F4ADB"/>
    <w:rsid w:val="021420B8"/>
    <w:rsid w:val="021533E7"/>
    <w:rsid w:val="025B329E"/>
    <w:rsid w:val="02603343"/>
    <w:rsid w:val="026E3A37"/>
    <w:rsid w:val="027F7A07"/>
    <w:rsid w:val="02856339"/>
    <w:rsid w:val="028B483E"/>
    <w:rsid w:val="02B349AE"/>
    <w:rsid w:val="02C22538"/>
    <w:rsid w:val="02E5159B"/>
    <w:rsid w:val="02EC0AEB"/>
    <w:rsid w:val="02EF3948"/>
    <w:rsid w:val="03061F71"/>
    <w:rsid w:val="03077ED0"/>
    <w:rsid w:val="032420A3"/>
    <w:rsid w:val="03461C7A"/>
    <w:rsid w:val="03515DE6"/>
    <w:rsid w:val="03592F99"/>
    <w:rsid w:val="036451F4"/>
    <w:rsid w:val="03710AF1"/>
    <w:rsid w:val="0390197C"/>
    <w:rsid w:val="03952CA3"/>
    <w:rsid w:val="03977511"/>
    <w:rsid w:val="039A01F5"/>
    <w:rsid w:val="039E6F5E"/>
    <w:rsid w:val="03CD17D7"/>
    <w:rsid w:val="03D8741A"/>
    <w:rsid w:val="03F30C00"/>
    <w:rsid w:val="03F614DB"/>
    <w:rsid w:val="03FD5F08"/>
    <w:rsid w:val="0402799B"/>
    <w:rsid w:val="040A77E4"/>
    <w:rsid w:val="041A581C"/>
    <w:rsid w:val="042E65AA"/>
    <w:rsid w:val="043E5DB6"/>
    <w:rsid w:val="0466617C"/>
    <w:rsid w:val="047610B5"/>
    <w:rsid w:val="04915280"/>
    <w:rsid w:val="049A5B85"/>
    <w:rsid w:val="04A2697C"/>
    <w:rsid w:val="04A320AD"/>
    <w:rsid w:val="04A6649B"/>
    <w:rsid w:val="04B72E12"/>
    <w:rsid w:val="04C85836"/>
    <w:rsid w:val="04D360AB"/>
    <w:rsid w:val="04D522FD"/>
    <w:rsid w:val="04F361E1"/>
    <w:rsid w:val="05005F4F"/>
    <w:rsid w:val="05026B36"/>
    <w:rsid w:val="052043CA"/>
    <w:rsid w:val="052D0291"/>
    <w:rsid w:val="05445D91"/>
    <w:rsid w:val="056D7096"/>
    <w:rsid w:val="057A0FAE"/>
    <w:rsid w:val="057A1AE4"/>
    <w:rsid w:val="058A1352"/>
    <w:rsid w:val="05921402"/>
    <w:rsid w:val="05A141E1"/>
    <w:rsid w:val="05AD0423"/>
    <w:rsid w:val="05BC7618"/>
    <w:rsid w:val="05CD5D86"/>
    <w:rsid w:val="05E631C8"/>
    <w:rsid w:val="05F60066"/>
    <w:rsid w:val="05F9707D"/>
    <w:rsid w:val="061B1B6D"/>
    <w:rsid w:val="062E067F"/>
    <w:rsid w:val="063F4ED6"/>
    <w:rsid w:val="06433BB9"/>
    <w:rsid w:val="064A387B"/>
    <w:rsid w:val="064A73D7"/>
    <w:rsid w:val="064D52BF"/>
    <w:rsid w:val="06545C68"/>
    <w:rsid w:val="068F76D6"/>
    <w:rsid w:val="069410ED"/>
    <w:rsid w:val="0697383C"/>
    <w:rsid w:val="06D01FD2"/>
    <w:rsid w:val="06DA700D"/>
    <w:rsid w:val="06E33408"/>
    <w:rsid w:val="06E873D3"/>
    <w:rsid w:val="07040256"/>
    <w:rsid w:val="0714685F"/>
    <w:rsid w:val="07582DB5"/>
    <w:rsid w:val="07686C82"/>
    <w:rsid w:val="077412B5"/>
    <w:rsid w:val="07747295"/>
    <w:rsid w:val="07765862"/>
    <w:rsid w:val="07B32E6E"/>
    <w:rsid w:val="07BD7EF4"/>
    <w:rsid w:val="07C82CA9"/>
    <w:rsid w:val="07CC1D83"/>
    <w:rsid w:val="07ED2A15"/>
    <w:rsid w:val="07F675FA"/>
    <w:rsid w:val="080C55F5"/>
    <w:rsid w:val="08186C75"/>
    <w:rsid w:val="082322B0"/>
    <w:rsid w:val="0830442A"/>
    <w:rsid w:val="0839769A"/>
    <w:rsid w:val="083F1C28"/>
    <w:rsid w:val="085836AE"/>
    <w:rsid w:val="08752E31"/>
    <w:rsid w:val="087B0F5C"/>
    <w:rsid w:val="087C4E72"/>
    <w:rsid w:val="088D2719"/>
    <w:rsid w:val="08987EF8"/>
    <w:rsid w:val="089B6610"/>
    <w:rsid w:val="08A53180"/>
    <w:rsid w:val="08A65993"/>
    <w:rsid w:val="08B43452"/>
    <w:rsid w:val="08B61918"/>
    <w:rsid w:val="08B76F0B"/>
    <w:rsid w:val="08D232AA"/>
    <w:rsid w:val="08D52ABF"/>
    <w:rsid w:val="08D55065"/>
    <w:rsid w:val="08DF3359"/>
    <w:rsid w:val="08EC554C"/>
    <w:rsid w:val="08ED6D63"/>
    <w:rsid w:val="08F63846"/>
    <w:rsid w:val="08F95F04"/>
    <w:rsid w:val="08FF1663"/>
    <w:rsid w:val="0900016B"/>
    <w:rsid w:val="09002522"/>
    <w:rsid w:val="09031D95"/>
    <w:rsid w:val="090345E1"/>
    <w:rsid w:val="09190A28"/>
    <w:rsid w:val="09491BC8"/>
    <w:rsid w:val="0957742A"/>
    <w:rsid w:val="09627F55"/>
    <w:rsid w:val="09660931"/>
    <w:rsid w:val="09687FF2"/>
    <w:rsid w:val="096C00F5"/>
    <w:rsid w:val="098453A1"/>
    <w:rsid w:val="098B5CEC"/>
    <w:rsid w:val="09A261FB"/>
    <w:rsid w:val="09B30D57"/>
    <w:rsid w:val="09B40D25"/>
    <w:rsid w:val="09BF32EA"/>
    <w:rsid w:val="09CB5D9C"/>
    <w:rsid w:val="09D27E0F"/>
    <w:rsid w:val="09D678FF"/>
    <w:rsid w:val="09D92F9D"/>
    <w:rsid w:val="09E75FE1"/>
    <w:rsid w:val="09E94260"/>
    <w:rsid w:val="09F064E7"/>
    <w:rsid w:val="09F907FD"/>
    <w:rsid w:val="09FC1466"/>
    <w:rsid w:val="0A0271D7"/>
    <w:rsid w:val="0A041994"/>
    <w:rsid w:val="0A145FD6"/>
    <w:rsid w:val="0A16274D"/>
    <w:rsid w:val="0A312D88"/>
    <w:rsid w:val="0A3F1F5A"/>
    <w:rsid w:val="0A594D65"/>
    <w:rsid w:val="0A742D50"/>
    <w:rsid w:val="0A771D5D"/>
    <w:rsid w:val="0A777D83"/>
    <w:rsid w:val="0A7F3D19"/>
    <w:rsid w:val="0A912070"/>
    <w:rsid w:val="0A93124E"/>
    <w:rsid w:val="0AAA0D0D"/>
    <w:rsid w:val="0ABE6123"/>
    <w:rsid w:val="0ACA2D1F"/>
    <w:rsid w:val="0ACD76E7"/>
    <w:rsid w:val="0AD24798"/>
    <w:rsid w:val="0AD82B2D"/>
    <w:rsid w:val="0ADD2955"/>
    <w:rsid w:val="0ADE752C"/>
    <w:rsid w:val="0AE3428C"/>
    <w:rsid w:val="0AF94C36"/>
    <w:rsid w:val="0B0315E0"/>
    <w:rsid w:val="0B0B07B8"/>
    <w:rsid w:val="0B0E781A"/>
    <w:rsid w:val="0B102142"/>
    <w:rsid w:val="0B1B0BD9"/>
    <w:rsid w:val="0B312AFA"/>
    <w:rsid w:val="0B3E647F"/>
    <w:rsid w:val="0B3F7726"/>
    <w:rsid w:val="0B697370"/>
    <w:rsid w:val="0B711B60"/>
    <w:rsid w:val="0B737F05"/>
    <w:rsid w:val="0B743182"/>
    <w:rsid w:val="0B80322F"/>
    <w:rsid w:val="0B8E2115"/>
    <w:rsid w:val="0BA21003"/>
    <w:rsid w:val="0BDA2FA5"/>
    <w:rsid w:val="0BE12E8D"/>
    <w:rsid w:val="0BE5715D"/>
    <w:rsid w:val="0BF03727"/>
    <w:rsid w:val="0BF53750"/>
    <w:rsid w:val="0C004AAC"/>
    <w:rsid w:val="0C045D9E"/>
    <w:rsid w:val="0C05627A"/>
    <w:rsid w:val="0C087B18"/>
    <w:rsid w:val="0C0913A5"/>
    <w:rsid w:val="0C0E76EB"/>
    <w:rsid w:val="0C150F74"/>
    <w:rsid w:val="0C166753"/>
    <w:rsid w:val="0C1E7F11"/>
    <w:rsid w:val="0C2A69A2"/>
    <w:rsid w:val="0C390F2B"/>
    <w:rsid w:val="0C3E6B99"/>
    <w:rsid w:val="0C4832BA"/>
    <w:rsid w:val="0C4B64CA"/>
    <w:rsid w:val="0C4E0F6F"/>
    <w:rsid w:val="0C501260"/>
    <w:rsid w:val="0C5F7D2C"/>
    <w:rsid w:val="0C612223"/>
    <w:rsid w:val="0C71390F"/>
    <w:rsid w:val="0C8A39F0"/>
    <w:rsid w:val="0C9F1477"/>
    <w:rsid w:val="0CA85B84"/>
    <w:rsid w:val="0CAE3939"/>
    <w:rsid w:val="0CD725F3"/>
    <w:rsid w:val="0CE21773"/>
    <w:rsid w:val="0CF433B4"/>
    <w:rsid w:val="0CF574CA"/>
    <w:rsid w:val="0CF83908"/>
    <w:rsid w:val="0D257820"/>
    <w:rsid w:val="0D281556"/>
    <w:rsid w:val="0D2A368D"/>
    <w:rsid w:val="0D2E10AB"/>
    <w:rsid w:val="0D2E6299"/>
    <w:rsid w:val="0D315E36"/>
    <w:rsid w:val="0D336A7B"/>
    <w:rsid w:val="0D3967C9"/>
    <w:rsid w:val="0D507F73"/>
    <w:rsid w:val="0D627B73"/>
    <w:rsid w:val="0D6C2329"/>
    <w:rsid w:val="0D850B0B"/>
    <w:rsid w:val="0D880645"/>
    <w:rsid w:val="0D97753E"/>
    <w:rsid w:val="0D9A0C44"/>
    <w:rsid w:val="0DB86DD1"/>
    <w:rsid w:val="0DBC4284"/>
    <w:rsid w:val="0DC24E06"/>
    <w:rsid w:val="0DC26090"/>
    <w:rsid w:val="0DC3445B"/>
    <w:rsid w:val="0DC61F47"/>
    <w:rsid w:val="0DDE394C"/>
    <w:rsid w:val="0E193695"/>
    <w:rsid w:val="0E1B5B8D"/>
    <w:rsid w:val="0E323572"/>
    <w:rsid w:val="0E3609DB"/>
    <w:rsid w:val="0E367427"/>
    <w:rsid w:val="0E3735DB"/>
    <w:rsid w:val="0E3A34DA"/>
    <w:rsid w:val="0E4F5FBD"/>
    <w:rsid w:val="0E6F10C7"/>
    <w:rsid w:val="0E912047"/>
    <w:rsid w:val="0E9438E5"/>
    <w:rsid w:val="0E954BFC"/>
    <w:rsid w:val="0E9A5A47"/>
    <w:rsid w:val="0EB63E60"/>
    <w:rsid w:val="0EC51CF1"/>
    <w:rsid w:val="0EF97BEC"/>
    <w:rsid w:val="0F014B1F"/>
    <w:rsid w:val="0F015D2A"/>
    <w:rsid w:val="0F104080"/>
    <w:rsid w:val="0F270CBB"/>
    <w:rsid w:val="0F47568F"/>
    <w:rsid w:val="0F51370F"/>
    <w:rsid w:val="0F7732EC"/>
    <w:rsid w:val="0F9943C0"/>
    <w:rsid w:val="0FA71E9B"/>
    <w:rsid w:val="0FA91612"/>
    <w:rsid w:val="0FB52CD8"/>
    <w:rsid w:val="0FD81B47"/>
    <w:rsid w:val="0FDE2D7D"/>
    <w:rsid w:val="10001035"/>
    <w:rsid w:val="10002F26"/>
    <w:rsid w:val="100D557C"/>
    <w:rsid w:val="101F096D"/>
    <w:rsid w:val="1025693D"/>
    <w:rsid w:val="102968E9"/>
    <w:rsid w:val="1039622F"/>
    <w:rsid w:val="10560184"/>
    <w:rsid w:val="107B78F8"/>
    <w:rsid w:val="107F0B8D"/>
    <w:rsid w:val="10844AC4"/>
    <w:rsid w:val="10950DE7"/>
    <w:rsid w:val="109723AB"/>
    <w:rsid w:val="10A20F7A"/>
    <w:rsid w:val="10A40B54"/>
    <w:rsid w:val="10A51079"/>
    <w:rsid w:val="10AC285E"/>
    <w:rsid w:val="10BE733F"/>
    <w:rsid w:val="10DE709A"/>
    <w:rsid w:val="10F97774"/>
    <w:rsid w:val="11060C2B"/>
    <w:rsid w:val="110E4329"/>
    <w:rsid w:val="113F7FDE"/>
    <w:rsid w:val="11473F4B"/>
    <w:rsid w:val="114E09AD"/>
    <w:rsid w:val="1176557F"/>
    <w:rsid w:val="1184707C"/>
    <w:rsid w:val="11920C12"/>
    <w:rsid w:val="11982CE3"/>
    <w:rsid w:val="11B211CD"/>
    <w:rsid w:val="11B31A31"/>
    <w:rsid w:val="11C56EB6"/>
    <w:rsid w:val="11DA20E1"/>
    <w:rsid w:val="11DB545B"/>
    <w:rsid w:val="11DE2999"/>
    <w:rsid w:val="11F14126"/>
    <w:rsid w:val="11F75AC1"/>
    <w:rsid w:val="123328A9"/>
    <w:rsid w:val="1234204C"/>
    <w:rsid w:val="1235718D"/>
    <w:rsid w:val="12521669"/>
    <w:rsid w:val="125735A8"/>
    <w:rsid w:val="126A63FD"/>
    <w:rsid w:val="12761509"/>
    <w:rsid w:val="12A56C0A"/>
    <w:rsid w:val="12A61E39"/>
    <w:rsid w:val="12AB56A1"/>
    <w:rsid w:val="12C60D8E"/>
    <w:rsid w:val="12CE14B9"/>
    <w:rsid w:val="12D5043C"/>
    <w:rsid w:val="12FC318B"/>
    <w:rsid w:val="130A73A9"/>
    <w:rsid w:val="130C4781"/>
    <w:rsid w:val="130C4E36"/>
    <w:rsid w:val="132D1357"/>
    <w:rsid w:val="132F6187"/>
    <w:rsid w:val="134B0802"/>
    <w:rsid w:val="134D32E9"/>
    <w:rsid w:val="13644406"/>
    <w:rsid w:val="1379760B"/>
    <w:rsid w:val="139879D4"/>
    <w:rsid w:val="13A51B3A"/>
    <w:rsid w:val="13AC347F"/>
    <w:rsid w:val="13BF7656"/>
    <w:rsid w:val="13C61970"/>
    <w:rsid w:val="13D839AF"/>
    <w:rsid w:val="13DA3309"/>
    <w:rsid w:val="14000D13"/>
    <w:rsid w:val="14082317"/>
    <w:rsid w:val="141624E1"/>
    <w:rsid w:val="14225D9C"/>
    <w:rsid w:val="14300282"/>
    <w:rsid w:val="14330140"/>
    <w:rsid w:val="14453936"/>
    <w:rsid w:val="144B3AE7"/>
    <w:rsid w:val="144F22B5"/>
    <w:rsid w:val="145537B7"/>
    <w:rsid w:val="145D29CB"/>
    <w:rsid w:val="145E6E6F"/>
    <w:rsid w:val="145F70B5"/>
    <w:rsid w:val="14872E01"/>
    <w:rsid w:val="14A4678E"/>
    <w:rsid w:val="14AE457A"/>
    <w:rsid w:val="14C6698B"/>
    <w:rsid w:val="14CE0788"/>
    <w:rsid w:val="150B5E25"/>
    <w:rsid w:val="152711FD"/>
    <w:rsid w:val="15332448"/>
    <w:rsid w:val="153D3E2D"/>
    <w:rsid w:val="154010ED"/>
    <w:rsid w:val="15405318"/>
    <w:rsid w:val="1548367B"/>
    <w:rsid w:val="155342D7"/>
    <w:rsid w:val="1557616A"/>
    <w:rsid w:val="159B4BE9"/>
    <w:rsid w:val="15A14628"/>
    <w:rsid w:val="15AC2ADB"/>
    <w:rsid w:val="15BB5509"/>
    <w:rsid w:val="15CF67CF"/>
    <w:rsid w:val="15E11B06"/>
    <w:rsid w:val="15EC31A0"/>
    <w:rsid w:val="16094704"/>
    <w:rsid w:val="16183931"/>
    <w:rsid w:val="1618573C"/>
    <w:rsid w:val="161C62F4"/>
    <w:rsid w:val="162821A7"/>
    <w:rsid w:val="162E3FE3"/>
    <w:rsid w:val="163D2AB4"/>
    <w:rsid w:val="1662251B"/>
    <w:rsid w:val="166E0EC0"/>
    <w:rsid w:val="1678206D"/>
    <w:rsid w:val="168A14A8"/>
    <w:rsid w:val="168B3820"/>
    <w:rsid w:val="1697415B"/>
    <w:rsid w:val="169B33EF"/>
    <w:rsid w:val="16A60B8F"/>
    <w:rsid w:val="16B61523"/>
    <w:rsid w:val="16BE67D9"/>
    <w:rsid w:val="16C06DBA"/>
    <w:rsid w:val="16D61FC6"/>
    <w:rsid w:val="16F07B27"/>
    <w:rsid w:val="16FD323B"/>
    <w:rsid w:val="171D6234"/>
    <w:rsid w:val="17255A22"/>
    <w:rsid w:val="172F6753"/>
    <w:rsid w:val="17362928"/>
    <w:rsid w:val="17577BA6"/>
    <w:rsid w:val="175F6772"/>
    <w:rsid w:val="17664D86"/>
    <w:rsid w:val="17693D82"/>
    <w:rsid w:val="176E42D0"/>
    <w:rsid w:val="17785390"/>
    <w:rsid w:val="177C7932"/>
    <w:rsid w:val="178A4A5E"/>
    <w:rsid w:val="178B7795"/>
    <w:rsid w:val="17A4093A"/>
    <w:rsid w:val="17A84232"/>
    <w:rsid w:val="17BC0000"/>
    <w:rsid w:val="17C638D7"/>
    <w:rsid w:val="17CE11B0"/>
    <w:rsid w:val="17D23939"/>
    <w:rsid w:val="17D7560C"/>
    <w:rsid w:val="17FD2638"/>
    <w:rsid w:val="180D79FC"/>
    <w:rsid w:val="181D77E2"/>
    <w:rsid w:val="18260AC0"/>
    <w:rsid w:val="1836526C"/>
    <w:rsid w:val="1842764A"/>
    <w:rsid w:val="18830167"/>
    <w:rsid w:val="189C00F1"/>
    <w:rsid w:val="18AB65E7"/>
    <w:rsid w:val="18D23948"/>
    <w:rsid w:val="18E24C39"/>
    <w:rsid w:val="1939761E"/>
    <w:rsid w:val="196B6714"/>
    <w:rsid w:val="196D53A9"/>
    <w:rsid w:val="197F7F5E"/>
    <w:rsid w:val="19864814"/>
    <w:rsid w:val="198C0CFA"/>
    <w:rsid w:val="19944074"/>
    <w:rsid w:val="19946E8F"/>
    <w:rsid w:val="19BA2A1E"/>
    <w:rsid w:val="19BB3783"/>
    <w:rsid w:val="19C07C84"/>
    <w:rsid w:val="19C41271"/>
    <w:rsid w:val="19C55C5D"/>
    <w:rsid w:val="19CD7DB6"/>
    <w:rsid w:val="19D26C09"/>
    <w:rsid w:val="19DA2EB6"/>
    <w:rsid w:val="19FC79C1"/>
    <w:rsid w:val="19FF7EB4"/>
    <w:rsid w:val="1A0274BC"/>
    <w:rsid w:val="1A096667"/>
    <w:rsid w:val="1A121F89"/>
    <w:rsid w:val="1A1C69E7"/>
    <w:rsid w:val="1A226249"/>
    <w:rsid w:val="1A226726"/>
    <w:rsid w:val="1A291FEB"/>
    <w:rsid w:val="1A29728D"/>
    <w:rsid w:val="1A35316D"/>
    <w:rsid w:val="1A4334AB"/>
    <w:rsid w:val="1A615927"/>
    <w:rsid w:val="1A7B7AFA"/>
    <w:rsid w:val="1A972280"/>
    <w:rsid w:val="1A9F46AF"/>
    <w:rsid w:val="1AAB4D8E"/>
    <w:rsid w:val="1AAE5D2F"/>
    <w:rsid w:val="1AAF591C"/>
    <w:rsid w:val="1AB328E5"/>
    <w:rsid w:val="1AB6762A"/>
    <w:rsid w:val="1AB709EE"/>
    <w:rsid w:val="1ADF238C"/>
    <w:rsid w:val="1AEE09C5"/>
    <w:rsid w:val="1AF565FC"/>
    <w:rsid w:val="1B0921C1"/>
    <w:rsid w:val="1B0B3181"/>
    <w:rsid w:val="1B2C4F18"/>
    <w:rsid w:val="1B3077F5"/>
    <w:rsid w:val="1B376E54"/>
    <w:rsid w:val="1B3E5821"/>
    <w:rsid w:val="1BBE25E0"/>
    <w:rsid w:val="1BC73F72"/>
    <w:rsid w:val="1BCB0C0C"/>
    <w:rsid w:val="1BEE6150"/>
    <w:rsid w:val="1BFC27B9"/>
    <w:rsid w:val="1C05162B"/>
    <w:rsid w:val="1C1D7C3F"/>
    <w:rsid w:val="1C23795C"/>
    <w:rsid w:val="1C3265E3"/>
    <w:rsid w:val="1C392331"/>
    <w:rsid w:val="1C497DA3"/>
    <w:rsid w:val="1C4D0F8B"/>
    <w:rsid w:val="1C5C6846"/>
    <w:rsid w:val="1C763B24"/>
    <w:rsid w:val="1C7756BA"/>
    <w:rsid w:val="1C7A583D"/>
    <w:rsid w:val="1C803F58"/>
    <w:rsid w:val="1C8B74DB"/>
    <w:rsid w:val="1C9C7529"/>
    <w:rsid w:val="1C9E3FCC"/>
    <w:rsid w:val="1CA078F9"/>
    <w:rsid w:val="1CBD6CD4"/>
    <w:rsid w:val="1CC16E42"/>
    <w:rsid w:val="1CC62F6D"/>
    <w:rsid w:val="1CCC06EE"/>
    <w:rsid w:val="1CE30AFA"/>
    <w:rsid w:val="1CE974F2"/>
    <w:rsid w:val="1CFB334C"/>
    <w:rsid w:val="1D4A3A50"/>
    <w:rsid w:val="1D5D0701"/>
    <w:rsid w:val="1D5F733B"/>
    <w:rsid w:val="1D74677E"/>
    <w:rsid w:val="1D840FC9"/>
    <w:rsid w:val="1D930211"/>
    <w:rsid w:val="1D99763F"/>
    <w:rsid w:val="1DBC0D48"/>
    <w:rsid w:val="1DC80363"/>
    <w:rsid w:val="1DC85C18"/>
    <w:rsid w:val="1DED0595"/>
    <w:rsid w:val="1E0523E4"/>
    <w:rsid w:val="1E065386"/>
    <w:rsid w:val="1E124EC2"/>
    <w:rsid w:val="1E3A01D5"/>
    <w:rsid w:val="1E426959"/>
    <w:rsid w:val="1E4D3BBF"/>
    <w:rsid w:val="1E4D5AA1"/>
    <w:rsid w:val="1E621C38"/>
    <w:rsid w:val="1E6358B6"/>
    <w:rsid w:val="1E67331A"/>
    <w:rsid w:val="1E756669"/>
    <w:rsid w:val="1E7D6144"/>
    <w:rsid w:val="1E9935E2"/>
    <w:rsid w:val="1EA8054F"/>
    <w:rsid w:val="1EC10789"/>
    <w:rsid w:val="1EC3067E"/>
    <w:rsid w:val="1EC83421"/>
    <w:rsid w:val="1EDB6CE0"/>
    <w:rsid w:val="1F36764E"/>
    <w:rsid w:val="1F3C725C"/>
    <w:rsid w:val="1F3D06D2"/>
    <w:rsid w:val="1F3D1B7A"/>
    <w:rsid w:val="1F6C4B85"/>
    <w:rsid w:val="1F7172F1"/>
    <w:rsid w:val="1F7A7BF4"/>
    <w:rsid w:val="1F8D77EF"/>
    <w:rsid w:val="1F986CD2"/>
    <w:rsid w:val="1F9F06F3"/>
    <w:rsid w:val="1FA83C86"/>
    <w:rsid w:val="1FAD7985"/>
    <w:rsid w:val="1FB039BC"/>
    <w:rsid w:val="1FB8022F"/>
    <w:rsid w:val="1FBE47D0"/>
    <w:rsid w:val="1FC40A2F"/>
    <w:rsid w:val="1FC97E21"/>
    <w:rsid w:val="1FD532DB"/>
    <w:rsid w:val="1FE447FC"/>
    <w:rsid w:val="1FF443B2"/>
    <w:rsid w:val="1FF8581C"/>
    <w:rsid w:val="2006579B"/>
    <w:rsid w:val="200D08DC"/>
    <w:rsid w:val="2011334B"/>
    <w:rsid w:val="202331F2"/>
    <w:rsid w:val="202552D7"/>
    <w:rsid w:val="202E32ED"/>
    <w:rsid w:val="204527AF"/>
    <w:rsid w:val="207374E9"/>
    <w:rsid w:val="20812FE9"/>
    <w:rsid w:val="20860DA1"/>
    <w:rsid w:val="2097213B"/>
    <w:rsid w:val="20A53730"/>
    <w:rsid w:val="20AA660B"/>
    <w:rsid w:val="20BB11A5"/>
    <w:rsid w:val="20C25A15"/>
    <w:rsid w:val="20E60268"/>
    <w:rsid w:val="20EF03A0"/>
    <w:rsid w:val="20F321A8"/>
    <w:rsid w:val="21005017"/>
    <w:rsid w:val="21214A55"/>
    <w:rsid w:val="21221225"/>
    <w:rsid w:val="212E0A02"/>
    <w:rsid w:val="21342F91"/>
    <w:rsid w:val="213B1415"/>
    <w:rsid w:val="21485CA5"/>
    <w:rsid w:val="21863A5C"/>
    <w:rsid w:val="2192686F"/>
    <w:rsid w:val="219A172E"/>
    <w:rsid w:val="21B005DE"/>
    <w:rsid w:val="21BD6CA3"/>
    <w:rsid w:val="21D5652A"/>
    <w:rsid w:val="21DB7773"/>
    <w:rsid w:val="21E47391"/>
    <w:rsid w:val="21E86236"/>
    <w:rsid w:val="222E31ED"/>
    <w:rsid w:val="223244CB"/>
    <w:rsid w:val="22384371"/>
    <w:rsid w:val="224D37D0"/>
    <w:rsid w:val="22755657"/>
    <w:rsid w:val="227B0386"/>
    <w:rsid w:val="228127CE"/>
    <w:rsid w:val="228D6FEE"/>
    <w:rsid w:val="22CA7293"/>
    <w:rsid w:val="22CE2893"/>
    <w:rsid w:val="22EE7610"/>
    <w:rsid w:val="22F30C8A"/>
    <w:rsid w:val="22F90A2E"/>
    <w:rsid w:val="22FB0D99"/>
    <w:rsid w:val="22FE020A"/>
    <w:rsid w:val="230324D5"/>
    <w:rsid w:val="231B08E0"/>
    <w:rsid w:val="23502CAF"/>
    <w:rsid w:val="235326D8"/>
    <w:rsid w:val="23554DC8"/>
    <w:rsid w:val="2369313B"/>
    <w:rsid w:val="236B51E7"/>
    <w:rsid w:val="237008C4"/>
    <w:rsid w:val="238A110E"/>
    <w:rsid w:val="23B82764"/>
    <w:rsid w:val="23C86DAB"/>
    <w:rsid w:val="23D50FD6"/>
    <w:rsid w:val="23D5104D"/>
    <w:rsid w:val="23DE15E8"/>
    <w:rsid w:val="23E145CD"/>
    <w:rsid w:val="23F009BB"/>
    <w:rsid w:val="23FE163F"/>
    <w:rsid w:val="240C6E87"/>
    <w:rsid w:val="2418246B"/>
    <w:rsid w:val="2423386F"/>
    <w:rsid w:val="242377C2"/>
    <w:rsid w:val="244A0CA5"/>
    <w:rsid w:val="24507E57"/>
    <w:rsid w:val="246456B0"/>
    <w:rsid w:val="246A4EEA"/>
    <w:rsid w:val="246E0A3F"/>
    <w:rsid w:val="249B3770"/>
    <w:rsid w:val="24A27661"/>
    <w:rsid w:val="24B93BAF"/>
    <w:rsid w:val="24F5416A"/>
    <w:rsid w:val="251C6096"/>
    <w:rsid w:val="252A6ED8"/>
    <w:rsid w:val="252B77EB"/>
    <w:rsid w:val="252D117E"/>
    <w:rsid w:val="254556A5"/>
    <w:rsid w:val="255D1714"/>
    <w:rsid w:val="257D67F0"/>
    <w:rsid w:val="25853B30"/>
    <w:rsid w:val="25877303"/>
    <w:rsid w:val="258D504F"/>
    <w:rsid w:val="25B41248"/>
    <w:rsid w:val="25B54415"/>
    <w:rsid w:val="25C83030"/>
    <w:rsid w:val="25DD396C"/>
    <w:rsid w:val="25E66CC5"/>
    <w:rsid w:val="25F25669"/>
    <w:rsid w:val="25F27D4D"/>
    <w:rsid w:val="25FD5DBC"/>
    <w:rsid w:val="264947BA"/>
    <w:rsid w:val="264A6022"/>
    <w:rsid w:val="26577D7A"/>
    <w:rsid w:val="266B1D2A"/>
    <w:rsid w:val="268559BA"/>
    <w:rsid w:val="26A040F2"/>
    <w:rsid w:val="26A32D39"/>
    <w:rsid w:val="26A362D9"/>
    <w:rsid w:val="26A7674B"/>
    <w:rsid w:val="26B97F35"/>
    <w:rsid w:val="26C02DFC"/>
    <w:rsid w:val="26C62116"/>
    <w:rsid w:val="26CB123C"/>
    <w:rsid w:val="26F927DC"/>
    <w:rsid w:val="26FE003E"/>
    <w:rsid w:val="270159E8"/>
    <w:rsid w:val="271512A4"/>
    <w:rsid w:val="272411EE"/>
    <w:rsid w:val="274C4F1B"/>
    <w:rsid w:val="2753038A"/>
    <w:rsid w:val="275358FE"/>
    <w:rsid w:val="27574DCA"/>
    <w:rsid w:val="27580A18"/>
    <w:rsid w:val="27654312"/>
    <w:rsid w:val="277E2C99"/>
    <w:rsid w:val="27822471"/>
    <w:rsid w:val="2785728F"/>
    <w:rsid w:val="27876585"/>
    <w:rsid w:val="278A1672"/>
    <w:rsid w:val="279544FE"/>
    <w:rsid w:val="27982240"/>
    <w:rsid w:val="279C3655"/>
    <w:rsid w:val="279C697E"/>
    <w:rsid w:val="27AC39A7"/>
    <w:rsid w:val="27CA4388"/>
    <w:rsid w:val="27CE6258"/>
    <w:rsid w:val="27D90BC9"/>
    <w:rsid w:val="27EB7D23"/>
    <w:rsid w:val="27EC60E8"/>
    <w:rsid w:val="27F47FB7"/>
    <w:rsid w:val="27F76F67"/>
    <w:rsid w:val="28070D37"/>
    <w:rsid w:val="28295F2D"/>
    <w:rsid w:val="28483A6C"/>
    <w:rsid w:val="28495AD5"/>
    <w:rsid w:val="2857212E"/>
    <w:rsid w:val="28575047"/>
    <w:rsid w:val="28591640"/>
    <w:rsid w:val="28601ADA"/>
    <w:rsid w:val="28666D4B"/>
    <w:rsid w:val="286A3D5A"/>
    <w:rsid w:val="286D1BDB"/>
    <w:rsid w:val="286E17A3"/>
    <w:rsid w:val="289C7FDA"/>
    <w:rsid w:val="28A36429"/>
    <w:rsid w:val="28A92DDA"/>
    <w:rsid w:val="28BE7A85"/>
    <w:rsid w:val="28C07077"/>
    <w:rsid w:val="28C332ED"/>
    <w:rsid w:val="290044AF"/>
    <w:rsid w:val="29114E68"/>
    <w:rsid w:val="291D0EC5"/>
    <w:rsid w:val="291F1FEF"/>
    <w:rsid w:val="292759B7"/>
    <w:rsid w:val="2934056D"/>
    <w:rsid w:val="293D1A4A"/>
    <w:rsid w:val="29411A4D"/>
    <w:rsid w:val="29496228"/>
    <w:rsid w:val="29523730"/>
    <w:rsid w:val="295E0603"/>
    <w:rsid w:val="296A6E28"/>
    <w:rsid w:val="297005F7"/>
    <w:rsid w:val="29712625"/>
    <w:rsid w:val="29996CC8"/>
    <w:rsid w:val="299D092B"/>
    <w:rsid w:val="29A7338E"/>
    <w:rsid w:val="29C332B0"/>
    <w:rsid w:val="29D2640A"/>
    <w:rsid w:val="29D3071B"/>
    <w:rsid w:val="29DC64F5"/>
    <w:rsid w:val="29FD435D"/>
    <w:rsid w:val="2A0A3F1D"/>
    <w:rsid w:val="2A0F079C"/>
    <w:rsid w:val="2A1F1B82"/>
    <w:rsid w:val="2A2210D2"/>
    <w:rsid w:val="2A3615AB"/>
    <w:rsid w:val="2A3E2D09"/>
    <w:rsid w:val="2A4943E1"/>
    <w:rsid w:val="2A602F58"/>
    <w:rsid w:val="2A6F2533"/>
    <w:rsid w:val="2A7F1EB9"/>
    <w:rsid w:val="2A8379A8"/>
    <w:rsid w:val="2A8C4388"/>
    <w:rsid w:val="2AB35959"/>
    <w:rsid w:val="2AD21F1A"/>
    <w:rsid w:val="2AE2508E"/>
    <w:rsid w:val="2AF111A5"/>
    <w:rsid w:val="2B063753"/>
    <w:rsid w:val="2B1376DD"/>
    <w:rsid w:val="2B1C4789"/>
    <w:rsid w:val="2B2E7456"/>
    <w:rsid w:val="2B391EB6"/>
    <w:rsid w:val="2B5B04A2"/>
    <w:rsid w:val="2B6F4EB9"/>
    <w:rsid w:val="2B7C45EA"/>
    <w:rsid w:val="2B982212"/>
    <w:rsid w:val="2BA707AB"/>
    <w:rsid w:val="2BBC360E"/>
    <w:rsid w:val="2BC066B9"/>
    <w:rsid w:val="2BC8197A"/>
    <w:rsid w:val="2BCB638B"/>
    <w:rsid w:val="2BCB686C"/>
    <w:rsid w:val="2BDC5957"/>
    <w:rsid w:val="2BE5716D"/>
    <w:rsid w:val="2C0145D6"/>
    <w:rsid w:val="2C077995"/>
    <w:rsid w:val="2C1026AE"/>
    <w:rsid w:val="2C3879D4"/>
    <w:rsid w:val="2C3B100C"/>
    <w:rsid w:val="2C555779"/>
    <w:rsid w:val="2C59507C"/>
    <w:rsid w:val="2C5F24CD"/>
    <w:rsid w:val="2C7A4197"/>
    <w:rsid w:val="2C7D4B63"/>
    <w:rsid w:val="2C8F0E96"/>
    <w:rsid w:val="2C906044"/>
    <w:rsid w:val="2CAF0B48"/>
    <w:rsid w:val="2CB43679"/>
    <w:rsid w:val="2CC01497"/>
    <w:rsid w:val="2CC325BA"/>
    <w:rsid w:val="2CC93688"/>
    <w:rsid w:val="2CDF067A"/>
    <w:rsid w:val="2CF15585"/>
    <w:rsid w:val="2D0B206B"/>
    <w:rsid w:val="2D0B32C7"/>
    <w:rsid w:val="2D284168"/>
    <w:rsid w:val="2D2F1A13"/>
    <w:rsid w:val="2D3D6649"/>
    <w:rsid w:val="2D3E7B17"/>
    <w:rsid w:val="2D4B0D12"/>
    <w:rsid w:val="2D4D3891"/>
    <w:rsid w:val="2D4E6789"/>
    <w:rsid w:val="2D6F134E"/>
    <w:rsid w:val="2D7706C4"/>
    <w:rsid w:val="2D7F601F"/>
    <w:rsid w:val="2D8C0171"/>
    <w:rsid w:val="2D93363A"/>
    <w:rsid w:val="2DAB375A"/>
    <w:rsid w:val="2DB667C0"/>
    <w:rsid w:val="2DBB71E7"/>
    <w:rsid w:val="2DCA4EAD"/>
    <w:rsid w:val="2DD218DC"/>
    <w:rsid w:val="2DD53B93"/>
    <w:rsid w:val="2E083213"/>
    <w:rsid w:val="2E085BAD"/>
    <w:rsid w:val="2E0C4DEE"/>
    <w:rsid w:val="2E144F84"/>
    <w:rsid w:val="2E71047E"/>
    <w:rsid w:val="2E717697"/>
    <w:rsid w:val="2E793903"/>
    <w:rsid w:val="2E910BE6"/>
    <w:rsid w:val="2E921798"/>
    <w:rsid w:val="2E9B579F"/>
    <w:rsid w:val="2E9D7722"/>
    <w:rsid w:val="2E9E3ECA"/>
    <w:rsid w:val="2EA17C2D"/>
    <w:rsid w:val="2EA878B3"/>
    <w:rsid w:val="2EAB21F1"/>
    <w:rsid w:val="2EFC24BA"/>
    <w:rsid w:val="2F083808"/>
    <w:rsid w:val="2F172203"/>
    <w:rsid w:val="2F17369A"/>
    <w:rsid w:val="2F247F31"/>
    <w:rsid w:val="2F33576A"/>
    <w:rsid w:val="2F383732"/>
    <w:rsid w:val="2F3B29A9"/>
    <w:rsid w:val="2F40539D"/>
    <w:rsid w:val="2F422672"/>
    <w:rsid w:val="2F4C2A75"/>
    <w:rsid w:val="2F574929"/>
    <w:rsid w:val="2F7357C9"/>
    <w:rsid w:val="2F765391"/>
    <w:rsid w:val="2F7C4347"/>
    <w:rsid w:val="2F855811"/>
    <w:rsid w:val="2FA24D14"/>
    <w:rsid w:val="2FA32884"/>
    <w:rsid w:val="2FAD3C4C"/>
    <w:rsid w:val="2FC11AFC"/>
    <w:rsid w:val="2FCC5473"/>
    <w:rsid w:val="2FD31D5A"/>
    <w:rsid w:val="2FD4085F"/>
    <w:rsid w:val="2FD743AB"/>
    <w:rsid w:val="2FE50131"/>
    <w:rsid w:val="2FE66278"/>
    <w:rsid w:val="2FE9157A"/>
    <w:rsid w:val="2FEB3C1D"/>
    <w:rsid w:val="300F506A"/>
    <w:rsid w:val="30603F54"/>
    <w:rsid w:val="306C0596"/>
    <w:rsid w:val="3072125F"/>
    <w:rsid w:val="307D411A"/>
    <w:rsid w:val="309061AB"/>
    <w:rsid w:val="309D537A"/>
    <w:rsid w:val="30B0741D"/>
    <w:rsid w:val="30B728B1"/>
    <w:rsid w:val="30BC6129"/>
    <w:rsid w:val="30D74A46"/>
    <w:rsid w:val="30E45881"/>
    <w:rsid w:val="30E76373"/>
    <w:rsid w:val="30E7770A"/>
    <w:rsid w:val="30E947AF"/>
    <w:rsid w:val="30FF3D6C"/>
    <w:rsid w:val="3112096E"/>
    <w:rsid w:val="31152E07"/>
    <w:rsid w:val="312A5858"/>
    <w:rsid w:val="312F7234"/>
    <w:rsid w:val="313D3B3C"/>
    <w:rsid w:val="31442AF1"/>
    <w:rsid w:val="31477752"/>
    <w:rsid w:val="314B71FC"/>
    <w:rsid w:val="31684C4E"/>
    <w:rsid w:val="31B639EF"/>
    <w:rsid w:val="31BF02DE"/>
    <w:rsid w:val="31C034B8"/>
    <w:rsid w:val="31C143D8"/>
    <w:rsid w:val="31CD7146"/>
    <w:rsid w:val="31D02BE8"/>
    <w:rsid w:val="31DB3455"/>
    <w:rsid w:val="31DD1ED5"/>
    <w:rsid w:val="31DF3992"/>
    <w:rsid w:val="31E062AC"/>
    <w:rsid w:val="32127FC3"/>
    <w:rsid w:val="32187A23"/>
    <w:rsid w:val="321A114B"/>
    <w:rsid w:val="321C4ABE"/>
    <w:rsid w:val="321D0CF7"/>
    <w:rsid w:val="32225021"/>
    <w:rsid w:val="32376DBB"/>
    <w:rsid w:val="324646FE"/>
    <w:rsid w:val="325B4596"/>
    <w:rsid w:val="32693339"/>
    <w:rsid w:val="32903511"/>
    <w:rsid w:val="32A2793C"/>
    <w:rsid w:val="32A95302"/>
    <w:rsid w:val="32AE6EC0"/>
    <w:rsid w:val="32C674BA"/>
    <w:rsid w:val="32F07CD0"/>
    <w:rsid w:val="32FA191D"/>
    <w:rsid w:val="332156F8"/>
    <w:rsid w:val="33234BF4"/>
    <w:rsid w:val="33290122"/>
    <w:rsid w:val="332901F1"/>
    <w:rsid w:val="332E5807"/>
    <w:rsid w:val="333C2D82"/>
    <w:rsid w:val="335014CF"/>
    <w:rsid w:val="33631954"/>
    <w:rsid w:val="33651CA7"/>
    <w:rsid w:val="33694A91"/>
    <w:rsid w:val="336F3761"/>
    <w:rsid w:val="337E6130"/>
    <w:rsid w:val="339666F9"/>
    <w:rsid w:val="339E007A"/>
    <w:rsid w:val="33A51AED"/>
    <w:rsid w:val="33BA3F0E"/>
    <w:rsid w:val="33BD4769"/>
    <w:rsid w:val="33C26121"/>
    <w:rsid w:val="33C341A1"/>
    <w:rsid w:val="33DB4845"/>
    <w:rsid w:val="33E5326A"/>
    <w:rsid w:val="33E55C81"/>
    <w:rsid w:val="33F300DB"/>
    <w:rsid w:val="3418237F"/>
    <w:rsid w:val="344A0004"/>
    <w:rsid w:val="345F3B06"/>
    <w:rsid w:val="34796F56"/>
    <w:rsid w:val="34814AD7"/>
    <w:rsid w:val="34932400"/>
    <w:rsid w:val="34957D8E"/>
    <w:rsid w:val="349800B3"/>
    <w:rsid w:val="34A32532"/>
    <w:rsid w:val="34A60312"/>
    <w:rsid w:val="34AA6E52"/>
    <w:rsid w:val="34B216DE"/>
    <w:rsid w:val="34CC6AF3"/>
    <w:rsid w:val="34D10B40"/>
    <w:rsid w:val="34E91773"/>
    <w:rsid w:val="35035ED5"/>
    <w:rsid w:val="3519606C"/>
    <w:rsid w:val="351C4B52"/>
    <w:rsid w:val="35241607"/>
    <w:rsid w:val="352B46F4"/>
    <w:rsid w:val="352C656A"/>
    <w:rsid w:val="353D0B03"/>
    <w:rsid w:val="356A107A"/>
    <w:rsid w:val="356E638F"/>
    <w:rsid w:val="35731BF7"/>
    <w:rsid w:val="3575771D"/>
    <w:rsid w:val="357C0AAC"/>
    <w:rsid w:val="35807E88"/>
    <w:rsid w:val="359A2AB4"/>
    <w:rsid w:val="35A2317E"/>
    <w:rsid w:val="35A40895"/>
    <w:rsid w:val="35BA1F45"/>
    <w:rsid w:val="35F35464"/>
    <w:rsid w:val="36201DE9"/>
    <w:rsid w:val="36280C33"/>
    <w:rsid w:val="362A675A"/>
    <w:rsid w:val="362C0724"/>
    <w:rsid w:val="363249C4"/>
    <w:rsid w:val="36485E9F"/>
    <w:rsid w:val="364C2B74"/>
    <w:rsid w:val="365E2595"/>
    <w:rsid w:val="366065C0"/>
    <w:rsid w:val="36721F9F"/>
    <w:rsid w:val="369C656A"/>
    <w:rsid w:val="369F1F52"/>
    <w:rsid w:val="36CC0FD2"/>
    <w:rsid w:val="36E463DD"/>
    <w:rsid w:val="36EF3E0D"/>
    <w:rsid w:val="370D2E47"/>
    <w:rsid w:val="371B12D5"/>
    <w:rsid w:val="372D77C8"/>
    <w:rsid w:val="375142A8"/>
    <w:rsid w:val="375A0BBB"/>
    <w:rsid w:val="37616336"/>
    <w:rsid w:val="376932B2"/>
    <w:rsid w:val="3778164F"/>
    <w:rsid w:val="377A726D"/>
    <w:rsid w:val="378B76CC"/>
    <w:rsid w:val="379A644B"/>
    <w:rsid w:val="37A463C5"/>
    <w:rsid w:val="37AD13F0"/>
    <w:rsid w:val="37CB1C4F"/>
    <w:rsid w:val="37CC635E"/>
    <w:rsid w:val="37D129FA"/>
    <w:rsid w:val="37DE37E1"/>
    <w:rsid w:val="3805122C"/>
    <w:rsid w:val="381A01C6"/>
    <w:rsid w:val="3828676A"/>
    <w:rsid w:val="382A10B6"/>
    <w:rsid w:val="382A30F6"/>
    <w:rsid w:val="382B67B9"/>
    <w:rsid w:val="383877B7"/>
    <w:rsid w:val="383E38E8"/>
    <w:rsid w:val="384855BD"/>
    <w:rsid w:val="38575BCD"/>
    <w:rsid w:val="385D1B58"/>
    <w:rsid w:val="38630F50"/>
    <w:rsid w:val="386941EF"/>
    <w:rsid w:val="3872138D"/>
    <w:rsid w:val="388F515E"/>
    <w:rsid w:val="38926846"/>
    <w:rsid w:val="38A1098D"/>
    <w:rsid w:val="38B15DBE"/>
    <w:rsid w:val="38B5074F"/>
    <w:rsid w:val="38B60778"/>
    <w:rsid w:val="38BE13DB"/>
    <w:rsid w:val="38D0023D"/>
    <w:rsid w:val="38EB35D9"/>
    <w:rsid w:val="38EE3566"/>
    <w:rsid w:val="38EF1306"/>
    <w:rsid w:val="38FC4DCB"/>
    <w:rsid w:val="391D4354"/>
    <w:rsid w:val="39202BDF"/>
    <w:rsid w:val="39277AF9"/>
    <w:rsid w:val="394C5E9F"/>
    <w:rsid w:val="394E7C29"/>
    <w:rsid w:val="39551544"/>
    <w:rsid w:val="39755F3E"/>
    <w:rsid w:val="3979181D"/>
    <w:rsid w:val="398E578D"/>
    <w:rsid w:val="39A5557C"/>
    <w:rsid w:val="39C462B9"/>
    <w:rsid w:val="39C81445"/>
    <w:rsid w:val="39F75C98"/>
    <w:rsid w:val="3A176FF5"/>
    <w:rsid w:val="3A2A167E"/>
    <w:rsid w:val="3A3519D1"/>
    <w:rsid w:val="3A40531D"/>
    <w:rsid w:val="3A4B4FBC"/>
    <w:rsid w:val="3A684532"/>
    <w:rsid w:val="3A690131"/>
    <w:rsid w:val="3A6A1AF4"/>
    <w:rsid w:val="3A936E05"/>
    <w:rsid w:val="3A9C5C5F"/>
    <w:rsid w:val="3A9F4E8C"/>
    <w:rsid w:val="3AAE6BB0"/>
    <w:rsid w:val="3AC1698E"/>
    <w:rsid w:val="3AD5069F"/>
    <w:rsid w:val="3ADB0022"/>
    <w:rsid w:val="3B01667D"/>
    <w:rsid w:val="3B0A38C2"/>
    <w:rsid w:val="3B0E2A6F"/>
    <w:rsid w:val="3B271CCA"/>
    <w:rsid w:val="3B6157C4"/>
    <w:rsid w:val="3B7A596E"/>
    <w:rsid w:val="3B884075"/>
    <w:rsid w:val="3B9B259E"/>
    <w:rsid w:val="3B9C2C67"/>
    <w:rsid w:val="3BA41CDA"/>
    <w:rsid w:val="3BBC4322"/>
    <w:rsid w:val="3BD04FEB"/>
    <w:rsid w:val="3BDD1B00"/>
    <w:rsid w:val="3C016052"/>
    <w:rsid w:val="3C1617B3"/>
    <w:rsid w:val="3C2A5888"/>
    <w:rsid w:val="3C2E0828"/>
    <w:rsid w:val="3C2F2485"/>
    <w:rsid w:val="3C2F616B"/>
    <w:rsid w:val="3C397580"/>
    <w:rsid w:val="3C423350"/>
    <w:rsid w:val="3C4F3659"/>
    <w:rsid w:val="3C503C99"/>
    <w:rsid w:val="3C6061B5"/>
    <w:rsid w:val="3C6600A4"/>
    <w:rsid w:val="3C697005"/>
    <w:rsid w:val="3C7666B5"/>
    <w:rsid w:val="3C780106"/>
    <w:rsid w:val="3C7D76BD"/>
    <w:rsid w:val="3C7E335B"/>
    <w:rsid w:val="3C8666B4"/>
    <w:rsid w:val="3C8C0008"/>
    <w:rsid w:val="3C976B5F"/>
    <w:rsid w:val="3C9F28E1"/>
    <w:rsid w:val="3CA0084E"/>
    <w:rsid w:val="3CB43236"/>
    <w:rsid w:val="3CCC7420"/>
    <w:rsid w:val="3CDC52E1"/>
    <w:rsid w:val="3CDD24E6"/>
    <w:rsid w:val="3CE03707"/>
    <w:rsid w:val="3D170FAE"/>
    <w:rsid w:val="3D316BD6"/>
    <w:rsid w:val="3D4855E8"/>
    <w:rsid w:val="3D75085B"/>
    <w:rsid w:val="3D820E64"/>
    <w:rsid w:val="3D8D2697"/>
    <w:rsid w:val="3DA718F8"/>
    <w:rsid w:val="3DB5650C"/>
    <w:rsid w:val="3DBE2A4D"/>
    <w:rsid w:val="3DD5425E"/>
    <w:rsid w:val="3DE569AC"/>
    <w:rsid w:val="3DE80438"/>
    <w:rsid w:val="3E25559B"/>
    <w:rsid w:val="3E2F677D"/>
    <w:rsid w:val="3E2F6BEF"/>
    <w:rsid w:val="3E3A2B52"/>
    <w:rsid w:val="3E4947F6"/>
    <w:rsid w:val="3E5D50E7"/>
    <w:rsid w:val="3E6F0041"/>
    <w:rsid w:val="3E933110"/>
    <w:rsid w:val="3E97040F"/>
    <w:rsid w:val="3E9931B6"/>
    <w:rsid w:val="3E9A61BC"/>
    <w:rsid w:val="3E9A6808"/>
    <w:rsid w:val="3E9E6B6F"/>
    <w:rsid w:val="3EB9443D"/>
    <w:rsid w:val="3ED9319B"/>
    <w:rsid w:val="3EF45053"/>
    <w:rsid w:val="3F050B15"/>
    <w:rsid w:val="3F067CEB"/>
    <w:rsid w:val="3F075CC4"/>
    <w:rsid w:val="3F4307BD"/>
    <w:rsid w:val="3F501ED8"/>
    <w:rsid w:val="3F55745C"/>
    <w:rsid w:val="3F5712BE"/>
    <w:rsid w:val="3F5C7F8B"/>
    <w:rsid w:val="3F62215E"/>
    <w:rsid w:val="3F6A39E3"/>
    <w:rsid w:val="3F8E7D59"/>
    <w:rsid w:val="3F9236EA"/>
    <w:rsid w:val="3FA21E20"/>
    <w:rsid w:val="3FAB67E3"/>
    <w:rsid w:val="3FBC32C7"/>
    <w:rsid w:val="3FBD0608"/>
    <w:rsid w:val="3FDC2D64"/>
    <w:rsid w:val="3FDD56C2"/>
    <w:rsid w:val="3FE135AA"/>
    <w:rsid w:val="3FFB4CC3"/>
    <w:rsid w:val="3FFF5178"/>
    <w:rsid w:val="40116B29"/>
    <w:rsid w:val="402931A2"/>
    <w:rsid w:val="402F0E5C"/>
    <w:rsid w:val="40302CA3"/>
    <w:rsid w:val="403420DF"/>
    <w:rsid w:val="4034295E"/>
    <w:rsid w:val="404A2D44"/>
    <w:rsid w:val="404E4E30"/>
    <w:rsid w:val="405D5CF5"/>
    <w:rsid w:val="406C56BA"/>
    <w:rsid w:val="40754A75"/>
    <w:rsid w:val="40784565"/>
    <w:rsid w:val="407A652F"/>
    <w:rsid w:val="408155FA"/>
    <w:rsid w:val="40944994"/>
    <w:rsid w:val="409B3295"/>
    <w:rsid w:val="409C463B"/>
    <w:rsid w:val="409F73FA"/>
    <w:rsid w:val="40A11D0E"/>
    <w:rsid w:val="40D41AB1"/>
    <w:rsid w:val="40EB4D37"/>
    <w:rsid w:val="40F17018"/>
    <w:rsid w:val="40F214B7"/>
    <w:rsid w:val="40F24F08"/>
    <w:rsid w:val="40FD4B69"/>
    <w:rsid w:val="410215D7"/>
    <w:rsid w:val="410302D3"/>
    <w:rsid w:val="41095C4A"/>
    <w:rsid w:val="41206CC1"/>
    <w:rsid w:val="41254209"/>
    <w:rsid w:val="41362EAC"/>
    <w:rsid w:val="413E5D98"/>
    <w:rsid w:val="41580FE7"/>
    <w:rsid w:val="415959F4"/>
    <w:rsid w:val="417879A9"/>
    <w:rsid w:val="417D0085"/>
    <w:rsid w:val="418577D5"/>
    <w:rsid w:val="41961100"/>
    <w:rsid w:val="419966ED"/>
    <w:rsid w:val="41B64DFE"/>
    <w:rsid w:val="41B700BE"/>
    <w:rsid w:val="41B8417E"/>
    <w:rsid w:val="41FE32F3"/>
    <w:rsid w:val="422564C8"/>
    <w:rsid w:val="42307025"/>
    <w:rsid w:val="4249446A"/>
    <w:rsid w:val="42530915"/>
    <w:rsid w:val="425F3C8C"/>
    <w:rsid w:val="426C62D9"/>
    <w:rsid w:val="42776DF5"/>
    <w:rsid w:val="427B23F3"/>
    <w:rsid w:val="42925DB2"/>
    <w:rsid w:val="429571BA"/>
    <w:rsid w:val="42A044DE"/>
    <w:rsid w:val="42A4461E"/>
    <w:rsid w:val="42A6013F"/>
    <w:rsid w:val="42AC7DBF"/>
    <w:rsid w:val="42AD096B"/>
    <w:rsid w:val="42C96BE6"/>
    <w:rsid w:val="42CF7492"/>
    <w:rsid w:val="42D918D2"/>
    <w:rsid w:val="42E04496"/>
    <w:rsid w:val="42E82D9C"/>
    <w:rsid w:val="432C3635"/>
    <w:rsid w:val="433C0D8F"/>
    <w:rsid w:val="43410D90"/>
    <w:rsid w:val="436037BB"/>
    <w:rsid w:val="43633D45"/>
    <w:rsid w:val="437153F4"/>
    <w:rsid w:val="438F2E78"/>
    <w:rsid w:val="439B7758"/>
    <w:rsid w:val="43A044FF"/>
    <w:rsid w:val="43A72D42"/>
    <w:rsid w:val="43AE25D9"/>
    <w:rsid w:val="43B256D5"/>
    <w:rsid w:val="43BA2B9E"/>
    <w:rsid w:val="43C22388"/>
    <w:rsid w:val="43C2293A"/>
    <w:rsid w:val="43C63D09"/>
    <w:rsid w:val="43D11656"/>
    <w:rsid w:val="43D3464D"/>
    <w:rsid w:val="43E7547D"/>
    <w:rsid w:val="43F27DEC"/>
    <w:rsid w:val="43F403A7"/>
    <w:rsid w:val="440143FA"/>
    <w:rsid w:val="44242A3A"/>
    <w:rsid w:val="442B40D0"/>
    <w:rsid w:val="442E4283"/>
    <w:rsid w:val="442E7970"/>
    <w:rsid w:val="444D2FD0"/>
    <w:rsid w:val="445157F9"/>
    <w:rsid w:val="4456019A"/>
    <w:rsid w:val="445F1CC4"/>
    <w:rsid w:val="44640E69"/>
    <w:rsid w:val="4467556E"/>
    <w:rsid w:val="44690083"/>
    <w:rsid w:val="44717DA3"/>
    <w:rsid w:val="447A7C55"/>
    <w:rsid w:val="448C5F9C"/>
    <w:rsid w:val="449B69D0"/>
    <w:rsid w:val="44B51B10"/>
    <w:rsid w:val="44CC35B2"/>
    <w:rsid w:val="44D10102"/>
    <w:rsid w:val="44D87DBA"/>
    <w:rsid w:val="44DA3664"/>
    <w:rsid w:val="44E12D11"/>
    <w:rsid w:val="44E406BF"/>
    <w:rsid w:val="44FC7AAF"/>
    <w:rsid w:val="451E56CA"/>
    <w:rsid w:val="451E56DB"/>
    <w:rsid w:val="45393F4C"/>
    <w:rsid w:val="453E7601"/>
    <w:rsid w:val="455F2A4B"/>
    <w:rsid w:val="456125ED"/>
    <w:rsid w:val="457412D9"/>
    <w:rsid w:val="45922FA8"/>
    <w:rsid w:val="45C0755D"/>
    <w:rsid w:val="45E143DF"/>
    <w:rsid w:val="45E26209"/>
    <w:rsid w:val="45EF0E26"/>
    <w:rsid w:val="4605093B"/>
    <w:rsid w:val="461309BF"/>
    <w:rsid w:val="463A645D"/>
    <w:rsid w:val="463B5EBB"/>
    <w:rsid w:val="464506DD"/>
    <w:rsid w:val="46455393"/>
    <w:rsid w:val="464C2158"/>
    <w:rsid w:val="46597DDD"/>
    <w:rsid w:val="466F7C85"/>
    <w:rsid w:val="46713F31"/>
    <w:rsid w:val="467B212D"/>
    <w:rsid w:val="46AF11EE"/>
    <w:rsid w:val="46B51AF9"/>
    <w:rsid w:val="46BB09F6"/>
    <w:rsid w:val="46C640E7"/>
    <w:rsid w:val="46DB65AB"/>
    <w:rsid w:val="46EB7055"/>
    <w:rsid w:val="46EF4B8F"/>
    <w:rsid w:val="46F247F2"/>
    <w:rsid w:val="46F43517"/>
    <w:rsid w:val="46F801AE"/>
    <w:rsid w:val="46FC1A4C"/>
    <w:rsid w:val="46FF6C92"/>
    <w:rsid w:val="470A78C6"/>
    <w:rsid w:val="47272598"/>
    <w:rsid w:val="47343C1B"/>
    <w:rsid w:val="473C39E1"/>
    <w:rsid w:val="473F6246"/>
    <w:rsid w:val="47537846"/>
    <w:rsid w:val="47562C90"/>
    <w:rsid w:val="47580E59"/>
    <w:rsid w:val="475A6773"/>
    <w:rsid w:val="475D4F8B"/>
    <w:rsid w:val="47637D1D"/>
    <w:rsid w:val="47692BE9"/>
    <w:rsid w:val="476D7132"/>
    <w:rsid w:val="47755B43"/>
    <w:rsid w:val="4775799F"/>
    <w:rsid w:val="47774690"/>
    <w:rsid w:val="478101A3"/>
    <w:rsid w:val="47816780"/>
    <w:rsid w:val="47C45EEA"/>
    <w:rsid w:val="47CB0F98"/>
    <w:rsid w:val="47D05D62"/>
    <w:rsid w:val="47E17348"/>
    <w:rsid w:val="47E93327"/>
    <w:rsid w:val="480E4C1F"/>
    <w:rsid w:val="48254FD3"/>
    <w:rsid w:val="48452BB5"/>
    <w:rsid w:val="48591EB9"/>
    <w:rsid w:val="48743864"/>
    <w:rsid w:val="4875049A"/>
    <w:rsid w:val="4880045B"/>
    <w:rsid w:val="48856527"/>
    <w:rsid w:val="48966751"/>
    <w:rsid w:val="48996585"/>
    <w:rsid w:val="48B1559F"/>
    <w:rsid w:val="48C90054"/>
    <w:rsid w:val="48CE02E5"/>
    <w:rsid w:val="48E20F8B"/>
    <w:rsid w:val="48FB1DB1"/>
    <w:rsid w:val="49456486"/>
    <w:rsid w:val="4948574D"/>
    <w:rsid w:val="49520E7A"/>
    <w:rsid w:val="495C03CA"/>
    <w:rsid w:val="495D254A"/>
    <w:rsid w:val="49673F41"/>
    <w:rsid w:val="496F1A7D"/>
    <w:rsid w:val="497421D5"/>
    <w:rsid w:val="49743A75"/>
    <w:rsid w:val="497C6A6A"/>
    <w:rsid w:val="4981763E"/>
    <w:rsid w:val="499113C0"/>
    <w:rsid w:val="49973E03"/>
    <w:rsid w:val="49B66980"/>
    <w:rsid w:val="49DE3ABD"/>
    <w:rsid w:val="49E04067"/>
    <w:rsid w:val="49E15068"/>
    <w:rsid w:val="49ED300D"/>
    <w:rsid w:val="49F25E55"/>
    <w:rsid w:val="49FB2EC4"/>
    <w:rsid w:val="49FB423D"/>
    <w:rsid w:val="4A274F46"/>
    <w:rsid w:val="4A3941F9"/>
    <w:rsid w:val="4A3B0411"/>
    <w:rsid w:val="4A5A7206"/>
    <w:rsid w:val="4A9A7E33"/>
    <w:rsid w:val="4AA26E1A"/>
    <w:rsid w:val="4AB6751C"/>
    <w:rsid w:val="4AC37D95"/>
    <w:rsid w:val="4AD47351"/>
    <w:rsid w:val="4AF50D47"/>
    <w:rsid w:val="4B024C20"/>
    <w:rsid w:val="4B0714D1"/>
    <w:rsid w:val="4B146144"/>
    <w:rsid w:val="4B15561D"/>
    <w:rsid w:val="4B176736"/>
    <w:rsid w:val="4B1B446B"/>
    <w:rsid w:val="4B6418E3"/>
    <w:rsid w:val="4B756271"/>
    <w:rsid w:val="4B8155DB"/>
    <w:rsid w:val="4B871C83"/>
    <w:rsid w:val="4B971D44"/>
    <w:rsid w:val="4BA31E68"/>
    <w:rsid w:val="4BA440B0"/>
    <w:rsid w:val="4BC51CB5"/>
    <w:rsid w:val="4BCE319F"/>
    <w:rsid w:val="4BD7329D"/>
    <w:rsid w:val="4BDB0077"/>
    <w:rsid w:val="4BE344D1"/>
    <w:rsid w:val="4BF85D76"/>
    <w:rsid w:val="4C463838"/>
    <w:rsid w:val="4C480FB2"/>
    <w:rsid w:val="4C567AC4"/>
    <w:rsid w:val="4C7D2B1A"/>
    <w:rsid w:val="4C7F1958"/>
    <w:rsid w:val="4C9269AF"/>
    <w:rsid w:val="4CA62CE1"/>
    <w:rsid w:val="4CAE6394"/>
    <w:rsid w:val="4CBC0F2B"/>
    <w:rsid w:val="4CBF0399"/>
    <w:rsid w:val="4CF13B19"/>
    <w:rsid w:val="4D0D7563"/>
    <w:rsid w:val="4D2D0027"/>
    <w:rsid w:val="4D2F41FE"/>
    <w:rsid w:val="4D44218D"/>
    <w:rsid w:val="4D8F12D1"/>
    <w:rsid w:val="4DA317D2"/>
    <w:rsid w:val="4DAB0942"/>
    <w:rsid w:val="4DCA2B2F"/>
    <w:rsid w:val="4DF50813"/>
    <w:rsid w:val="4DF8603A"/>
    <w:rsid w:val="4E1119F8"/>
    <w:rsid w:val="4E181259"/>
    <w:rsid w:val="4E335FFF"/>
    <w:rsid w:val="4E3E294A"/>
    <w:rsid w:val="4E466B47"/>
    <w:rsid w:val="4E4C75D0"/>
    <w:rsid w:val="4E643432"/>
    <w:rsid w:val="4E7474AA"/>
    <w:rsid w:val="4E78270C"/>
    <w:rsid w:val="4E790FA8"/>
    <w:rsid w:val="4E880069"/>
    <w:rsid w:val="4EAE3E03"/>
    <w:rsid w:val="4EB51E09"/>
    <w:rsid w:val="4ED31EAC"/>
    <w:rsid w:val="4EE0713C"/>
    <w:rsid w:val="4EE22F7C"/>
    <w:rsid w:val="4EE549FD"/>
    <w:rsid w:val="4EE8199A"/>
    <w:rsid w:val="4EF16E5B"/>
    <w:rsid w:val="4F195C8C"/>
    <w:rsid w:val="4F3D131E"/>
    <w:rsid w:val="4F466847"/>
    <w:rsid w:val="4F4A5B2E"/>
    <w:rsid w:val="4F4B5F4A"/>
    <w:rsid w:val="4F6E7478"/>
    <w:rsid w:val="4F7D1600"/>
    <w:rsid w:val="4F900A0B"/>
    <w:rsid w:val="4FA56078"/>
    <w:rsid w:val="4FB20A21"/>
    <w:rsid w:val="4FDA4DA4"/>
    <w:rsid w:val="4FE956E2"/>
    <w:rsid w:val="4FEF1F54"/>
    <w:rsid w:val="5003775F"/>
    <w:rsid w:val="50144F89"/>
    <w:rsid w:val="50256FBF"/>
    <w:rsid w:val="503046CF"/>
    <w:rsid w:val="504467EA"/>
    <w:rsid w:val="5051105B"/>
    <w:rsid w:val="505C2373"/>
    <w:rsid w:val="50643E76"/>
    <w:rsid w:val="506D1027"/>
    <w:rsid w:val="507D4C94"/>
    <w:rsid w:val="508605D9"/>
    <w:rsid w:val="50AB7E0E"/>
    <w:rsid w:val="50AF5D81"/>
    <w:rsid w:val="50B272A0"/>
    <w:rsid w:val="50C54780"/>
    <w:rsid w:val="50C83311"/>
    <w:rsid w:val="50D372FC"/>
    <w:rsid w:val="50F83689"/>
    <w:rsid w:val="50FC752C"/>
    <w:rsid w:val="51002ECA"/>
    <w:rsid w:val="51015E64"/>
    <w:rsid w:val="510231D8"/>
    <w:rsid w:val="51151FE3"/>
    <w:rsid w:val="51273B6A"/>
    <w:rsid w:val="51351F88"/>
    <w:rsid w:val="513B5867"/>
    <w:rsid w:val="513C6A33"/>
    <w:rsid w:val="5145527C"/>
    <w:rsid w:val="514E0FD7"/>
    <w:rsid w:val="51586345"/>
    <w:rsid w:val="51643BFE"/>
    <w:rsid w:val="51656440"/>
    <w:rsid w:val="51856AE2"/>
    <w:rsid w:val="518613B5"/>
    <w:rsid w:val="51BD627C"/>
    <w:rsid w:val="51C52D66"/>
    <w:rsid w:val="51CA5A13"/>
    <w:rsid w:val="51DC639F"/>
    <w:rsid w:val="51E63A25"/>
    <w:rsid w:val="51F07302"/>
    <w:rsid w:val="5237783C"/>
    <w:rsid w:val="52716521"/>
    <w:rsid w:val="52865A20"/>
    <w:rsid w:val="52A21553"/>
    <w:rsid w:val="52B551A5"/>
    <w:rsid w:val="52C0392A"/>
    <w:rsid w:val="52CD7D2A"/>
    <w:rsid w:val="52CE4611"/>
    <w:rsid w:val="52D61DCD"/>
    <w:rsid w:val="52E26721"/>
    <w:rsid w:val="52FE71AD"/>
    <w:rsid w:val="531E0F9C"/>
    <w:rsid w:val="5336421B"/>
    <w:rsid w:val="533E5918"/>
    <w:rsid w:val="53582700"/>
    <w:rsid w:val="535C18DD"/>
    <w:rsid w:val="53660F92"/>
    <w:rsid w:val="536A41E2"/>
    <w:rsid w:val="538E7ED0"/>
    <w:rsid w:val="5398690D"/>
    <w:rsid w:val="53AD27F0"/>
    <w:rsid w:val="53B55DE2"/>
    <w:rsid w:val="53CE621C"/>
    <w:rsid w:val="53CF41BF"/>
    <w:rsid w:val="53D14261"/>
    <w:rsid w:val="53E2021C"/>
    <w:rsid w:val="53E76315"/>
    <w:rsid w:val="53EA73F7"/>
    <w:rsid w:val="53F00AD8"/>
    <w:rsid w:val="54022672"/>
    <w:rsid w:val="540A48F5"/>
    <w:rsid w:val="54327411"/>
    <w:rsid w:val="54347790"/>
    <w:rsid w:val="5435659E"/>
    <w:rsid w:val="5444038B"/>
    <w:rsid w:val="545128D7"/>
    <w:rsid w:val="54605CB9"/>
    <w:rsid w:val="54707B46"/>
    <w:rsid w:val="54862736"/>
    <w:rsid w:val="549E05E7"/>
    <w:rsid w:val="54CF6FAC"/>
    <w:rsid w:val="54D71CAC"/>
    <w:rsid w:val="54DB2AD1"/>
    <w:rsid w:val="54E6161F"/>
    <w:rsid w:val="54E75C97"/>
    <w:rsid w:val="54F93C92"/>
    <w:rsid w:val="55050D6F"/>
    <w:rsid w:val="550C19B3"/>
    <w:rsid w:val="551B1EA3"/>
    <w:rsid w:val="553D1BAE"/>
    <w:rsid w:val="55477FC9"/>
    <w:rsid w:val="554D5EDF"/>
    <w:rsid w:val="555349D7"/>
    <w:rsid w:val="555B1C8F"/>
    <w:rsid w:val="556C39FA"/>
    <w:rsid w:val="556E2F16"/>
    <w:rsid w:val="55806F35"/>
    <w:rsid w:val="55951E37"/>
    <w:rsid w:val="55A87CCB"/>
    <w:rsid w:val="55BD684B"/>
    <w:rsid w:val="55D72A08"/>
    <w:rsid w:val="55E71B19"/>
    <w:rsid w:val="55FB3FEE"/>
    <w:rsid w:val="56020870"/>
    <w:rsid w:val="56127C71"/>
    <w:rsid w:val="561E5DC8"/>
    <w:rsid w:val="561F3B66"/>
    <w:rsid w:val="563A4EC2"/>
    <w:rsid w:val="563F0693"/>
    <w:rsid w:val="56490A60"/>
    <w:rsid w:val="564B4B24"/>
    <w:rsid w:val="564F6360"/>
    <w:rsid w:val="565509E2"/>
    <w:rsid w:val="565E5140"/>
    <w:rsid w:val="56707142"/>
    <w:rsid w:val="568D4760"/>
    <w:rsid w:val="5693494A"/>
    <w:rsid w:val="56A45C5C"/>
    <w:rsid w:val="56B51CDC"/>
    <w:rsid w:val="56BE6488"/>
    <w:rsid w:val="56C27360"/>
    <w:rsid w:val="56C74F0A"/>
    <w:rsid w:val="56D13F4F"/>
    <w:rsid w:val="56EA509E"/>
    <w:rsid w:val="56F641C0"/>
    <w:rsid w:val="56FF17D3"/>
    <w:rsid w:val="57007337"/>
    <w:rsid w:val="570A060B"/>
    <w:rsid w:val="57170E89"/>
    <w:rsid w:val="571D01D4"/>
    <w:rsid w:val="57280FEB"/>
    <w:rsid w:val="57350E49"/>
    <w:rsid w:val="57472C70"/>
    <w:rsid w:val="57636C91"/>
    <w:rsid w:val="57676C87"/>
    <w:rsid w:val="576D604E"/>
    <w:rsid w:val="576E5213"/>
    <w:rsid w:val="576F4DDC"/>
    <w:rsid w:val="577D5B93"/>
    <w:rsid w:val="578277DD"/>
    <w:rsid w:val="578313D3"/>
    <w:rsid w:val="5789077C"/>
    <w:rsid w:val="578F4296"/>
    <w:rsid w:val="57915214"/>
    <w:rsid w:val="57BC0799"/>
    <w:rsid w:val="57C81D75"/>
    <w:rsid w:val="57DE484E"/>
    <w:rsid w:val="57EC78BB"/>
    <w:rsid w:val="58034F78"/>
    <w:rsid w:val="58095D77"/>
    <w:rsid w:val="580C7B2F"/>
    <w:rsid w:val="581F15FC"/>
    <w:rsid w:val="582C330E"/>
    <w:rsid w:val="58362289"/>
    <w:rsid w:val="58371503"/>
    <w:rsid w:val="58435C13"/>
    <w:rsid w:val="58490869"/>
    <w:rsid w:val="586D09FC"/>
    <w:rsid w:val="58746EE7"/>
    <w:rsid w:val="58777462"/>
    <w:rsid w:val="587B2287"/>
    <w:rsid w:val="58926A23"/>
    <w:rsid w:val="58972C69"/>
    <w:rsid w:val="58AB0A25"/>
    <w:rsid w:val="58BA4EAF"/>
    <w:rsid w:val="58BD4ADB"/>
    <w:rsid w:val="58C92823"/>
    <w:rsid w:val="58D32D85"/>
    <w:rsid w:val="58DA1B7D"/>
    <w:rsid w:val="58F559B3"/>
    <w:rsid w:val="58FF045A"/>
    <w:rsid w:val="590C1AB3"/>
    <w:rsid w:val="59111892"/>
    <w:rsid w:val="59170116"/>
    <w:rsid w:val="59183D8F"/>
    <w:rsid w:val="593D2BEE"/>
    <w:rsid w:val="594231E8"/>
    <w:rsid w:val="59455708"/>
    <w:rsid w:val="594B1120"/>
    <w:rsid w:val="59537495"/>
    <w:rsid w:val="59567C22"/>
    <w:rsid w:val="59602EFC"/>
    <w:rsid w:val="596C7680"/>
    <w:rsid w:val="59830D34"/>
    <w:rsid w:val="59883A46"/>
    <w:rsid w:val="599A7EFB"/>
    <w:rsid w:val="599D59DF"/>
    <w:rsid w:val="59A33FA9"/>
    <w:rsid w:val="59A541C5"/>
    <w:rsid w:val="59D0652D"/>
    <w:rsid w:val="59E3209C"/>
    <w:rsid w:val="5A1D3386"/>
    <w:rsid w:val="5A285D60"/>
    <w:rsid w:val="5A296BA4"/>
    <w:rsid w:val="5A407A4A"/>
    <w:rsid w:val="5A4E3D02"/>
    <w:rsid w:val="5AA3731E"/>
    <w:rsid w:val="5AAA6E1A"/>
    <w:rsid w:val="5AB8737A"/>
    <w:rsid w:val="5AD76E92"/>
    <w:rsid w:val="5AED36B0"/>
    <w:rsid w:val="5B0132E0"/>
    <w:rsid w:val="5B1E7D8B"/>
    <w:rsid w:val="5B2C26E2"/>
    <w:rsid w:val="5B4058E3"/>
    <w:rsid w:val="5B44356A"/>
    <w:rsid w:val="5B465119"/>
    <w:rsid w:val="5B544766"/>
    <w:rsid w:val="5B586F2D"/>
    <w:rsid w:val="5B742292"/>
    <w:rsid w:val="5B77749C"/>
    <w:rsid w:val="5B7E6A7C"/>
    <w:rsid w:val="5B800248"/>
    <w:rsid w:val="5B981AAF"/>
    <w:rsid w:val="5BA43402"/>
    <w:rsid w:val="5BAA44A9"/>
    <w:rsid w:val="5BB33D3C"/>
    <w:rsid w:val="5BBD10BA"/>
    <w:rsid w:val="5BC87CF7"/>
    <w:rsid w:val="5BD02586"/>
    <w:rsid w:val="5BD30443"/>
    <w:rsid w:val="5BD52813"/>
    <w:rsid w:val="5BDE39BF"/>
    <w:rsid w:val="5BDF3A1A"/>
    <w:rsid w:val="5BEC30F5"/>
    <w:rsid w:val="5BFD00BB"/>
    <w:rsid w:val="5C007E2A"/>
    <w:rsid w:val="5C51268C"/>
    <w:rsid w:val="5C5D6807"/>
    <w:rsid w:val="5C641296"/>
    <w:rsid w:val="5C7565CA"/>
    <w:rsid w:val="5C803BB7"/>
    <w:rsid w:val="5C8E7193"/>
    <w:rsid w:val="5CA22C3E"/>
    <w:rsid w:val="5CA25359"/>
    <w:rsid w:val="5CAB0D19"/>
    <w:rsid w:val="5CB158EA"/>
    <w:rsid w:val="5CBA220A"/>
    <w:rsid w:val="5CC606D0"/>
    <w:rsid w:val="5CE27857"/>
    <w:rsid w:val="5CE53DAD"/>
    <w:rsid w:val="5CE768A3"/>
    <w:rsid w:val="5CEF6D78"/>
    <w:rsid w:val="5CF00DD0"/>
    <w:rsid w:val="5CF47D98"/>
    <w:rsid w:val="5D202179"/>
    <w:rsid w:val="5D4B0D6A"/>
    <w:rsid w:val="5D564B75"/>
    <w:rsid w:val="5D5C4B9B"/>
    <w:rsid w:val="5D5E75F7"/>
    <w:rsid w:val="5D96761C"/>
    <w:rsid w:val="5D995DEF"/>
    <w:rsid w:val="5D9C58DF"/>
    <w:rsid w:val="5DB6074F"/>
    <w:rsid w:val="5DBC6178"/>
    <w:rsid w:val="5DBE641F"/>
    <w:rsid w:val="5DEB5F1F"/>
    <w:rsid w:val="5DEF5A0E"/>
    <w:rsid w:val="5DF0765F"/>
    <w:rsid w:val="5DFD4F07"/>
    <w:rsid w:val="5E3E6996"/>
    <w:rsid w:val="5E4A2442"/>
    <w:rsid w:val="5E675E31"/>
    <w:rsid w:val="5E960374"/>
    <w:rsid w:val="5E9C24F3"/>
    <w:rsid w:val="5EA1718D"/>
    <w:rsid w:val="5EB3509A"/>
    <w:rsid w:val="5EBD78BB"/>
    <w:rsid w:val="5EC7073A"/>
    <w:rsid w:val="5EF7171B"/>
    <w:rsid w:val="5F011E9E"/>
    <w:rsid w:val="5F015F42"/>
    <w:rsid w:val="5F03339C"/>
    <w:rsid w:val="5F0E2DDC"/>
    <w:rsid w:val="5F1414C0"/>
    <w:rsid w:val="5F1D464E"/>
    <w:rsid w:val="5F2715C2"/>
    <w:rsid w:val="5F2A79EC"/>
    <w:rsid w:val="5F2B45DC"/>
    <w:rsid w:val="5F2D5C10"/>
    <w:rsid w:val="5F4C7161"/>
    <w:rsid w:val="5F4F2418"/>
    <w:rsid w:val="5F6B2DFC"/>
    <w:rsid w:val="5F6E1573"/>
    <w:rsid w:val="5F816759"/>
    <w:rsid w:val="5F8325E0"/>
    <w:rsid w:val="5F9245DB"/>
    <w:rsid w:val="5F937EE8"/>
    <w:rsid w:val="5FA033D2"/>
    <w:rsid w:val="5FB27537"/>
    <w:rsid w:val="5FB703B9"/>
    <w:rsid w:val="5FBC4304"/>
    <w:rsid w:val="5FC34763"/>
    <w:rsid w:val="5FDA29A8"/>
    <w:rsid w:val="5FDE21DF"/>
    <w:rsid w:val="5FE1426D"/>
    <w:rsid w:val="5FE90490"/>
    <w:rsid w:val="5FF13F85"/>
    <w:rsid w:val="5FFA55D0"/>
    <w:rsid w:val="5FFB282F"/>
    <w:rsid w:val="5FFC4413"/>
    <w:rsid w:val="5FFE6BF5"/>
    <w:rsid w:val="601328FB"/>
    <w:rsid w:val="60142302"/>
    <w:rsid w:val="60285168"/>
    <w:rsid w:val="603B3A3A"/>
    <w:rsid w:val="605E0C2A"/>
    <w:rsid w:val="606371D1"/>
    <w:rsid w:val="607B68FE"/>
    <w:rsid w:val="607C4F7E"/>
    <w:rsid w:val="60940D5F"/>
    <w:rsid w:val="609B1ADE"/>
    <w:rsid w:val="60D34AE4"/>
    <w:rsid w:val="60E2708F"/>
    <w:rsid w:val="60E32FFC"/>
    <w:rsid w:val="61365030"/>
    <w:rsid w:val="6140662A"/>
    <w:rsid w:val="61492DD9"/>
    <w:rsid w:val="614D4307"/>
    <w:rsid w:val="61522551"/>
    <w:rsid w:val="61571345"/>
    <w:rsid w:val="617C3C1D"/>
    <w:rsid w:val="617D5EF1"/>
    <w:rsid w:val="619B4D59"/>
    <w:rsid w:val="61B04B98"/>
    <w:rsid w:val="61B2778B"/>
    <w:rsid w:val="61BC0D56"/>
    <w:rsid w:val="61CB104D"/>
    <w:rsid w:val="61D15FA6"/>
    <w:rsid w:val="6227756E"/>
    <w:rsid w:val="62404A8B"/>
    <w:rsid w:val="624A13D6"/>
    <w:rsid w:val="62832073"/>
    <w:rsid w:val="628520D9"/>
    <w:rsid w:val="628D0F61"/>
    <w:rsid w:val="62AD115F"/>
    <w:rsid w:val="62AF6C36"/>
    <w:rsid w:val="62B02D63"/>
    <w:rsid w:val="62BD432E"/>
    <w:rsid w:val="62C31218"/>
    <w:rsid w:val="62CD0FAB"/>
    <w:rsid w:val="62DB608D"/>
    <w:rsid w:val="62E11030"/>
    <w:rsid w:val="62E172BD"/>
    <w:rsid w:val="62FB76E3"/>
    <w:rsid w:val="632779AD"/>
    <w:rsid w:val="63283CC7"/>
    <w:rsid w:val="632932ED"/>
    <w:rsid w:val="632A40DA"/>
    <w:rsid w:val="63313CF1"/>
    <w:rsid w:val="63366A5D"/>
    <w:rsid w:val="633F4D43"/>
    <w:rsid w:val="634F2A9F"/>
    <w:rsid w:val="63513B80"/>
    <w:rsid w:val="63601ED7"/>
    <w:rsid w:val="636833BA"/>
    <w:rsid w:val="637E574A"/>
    <w:rsid w:val="638623F7"/>
    <w:rsid w:val="639332E3"/>
    <w:rsid w:val="639702D9"/>
    <w:rsid w:val="639A38C0"/>
    <w:rsid w:val="63A9646B"/>
    <w:rsid w:val="63AE3AA0"/>
    <w:rsid w:val="63BA261B"/>
    <w:rsid w:val="63CC375B"/>
    <w:rsid w:val="63DA4380"/>
    <w:rsid w:val="63EE0D15"/>
    <w:rsid w:val="63F23C78"/>
    <w:rsid w:val="64027633"/>
    <w:rsid w:val="64155273"/>
    <w:rsid w:val="64336278"/>
    <w:rsid w:val="64362F3E"/>
    <w:rsid w:val="64376A16"/>
    <w:rsid w:val="6448156A"/>
    <w:rsid w:val="644973E5"/>
    <w:rsid w:val="64530212"/>
    <w:rsid w:val="64584FCA"/>
    <w:rsid w:val="6469244C"/>
    <w:rsid w:val="64696A5B"/>
    <w:rsid w:val="646B7CF1"/>
    <w:rsid w:val="64A13D83"/>
    <w:rsid w:val="64A61985"/>
    <w:rsid w:val="64B9521C"/>
    <w:rsid w:val="64CC310D"/>
    <w:rsid w:val="64CC7D82"/>
    <w:rsid w:val="64D5577D"/>
    <w:rsid w:val="64D94532"/>
    <w:rsid w:val="64DD2F78"/>
    <w:rsid w:val="64E55B0E"/>
    <w:rsid w:val="64F90C4E"/>
    <w:rsid w:val="64FE23A0"/>
    <w:rsid w:val="65134DC6"/>
    <w:rsid w:val="65272E71"/>
    <w:rsid w:val="653D3AED"/>
    <w:rsid w:val="65497187"/>
    <w:rsid w:val="6552281F"/>
    <w:rsid w:val="655C7EA5"/>
    <w:rsid w:val="655F49B8"/>
    <w:rsid w:val="656349CE"/>
    <w:rsid w:val="658645FB"/>
    <w:rsid w:val="65A557EB"/>
    <w:rsid w:val="65AA2091"/>
    <w:rsid w:val="65C15BA4"/>
    <w:rsid w:val="65D0539F"/>
    <w:rsid w:val="65D939B7"/>
    <w:rsid w:val="65DC6139"/>
    <w:rsid w:val="65E52CF3"/>
    <w:rsid w:val="65EA604A"/>
    <w:rsid w:val="65F8693F"/>
    <w:rsid w:val="66061AD4"/>
    <w:rsid w:val="661070D1"/>
    <w:rsid w:val="66297639"/>
    <w:rsid w:val="663F130D"/>
    <w:rsid w:val="663F19B6"/>
    <w:rsid w:val="663F28D8"/>
    <w:rsid w:val="6656698A"/>
    <w:rsid w:val="66664CDC"/>
    <w:rsid w:val="6673297D"/>
    <w:rsid w:val="66841601"/>
    <w:rsid w:val="66A7404A"/>
    <w:rsid w:val="66B3296E"/>
    <w:rsid w:val="66E833E8"/>
    <w:rsid w:val="66F52E78"/>
    <w:rsid w:val="66FA3298"/>
    <w:rsid w:val="67032B1A"/>
    <w:rsid w:val="670E3F84"/>
    <w:rsid w:val="67136BF0"/>
    <w:rsid w:val="671A5D5E"/>
    <w:rsid w:val="67381BDA"/>
    <w:rsid w:val="67606C70"/>
    <w:rsid w:val="677671A1"/>
    <w:rsid w:val="67801DCE"/>
    <w:rsid w:val="678B2239"/>
    <w:rsid w:val="67970A99"/>
    <w:rsid w:val="67AC6919"/>
    <w:rsid w:val="67CC599C"/>
    <w:rsid w:val="67D01686"/>
    <w:rsid w:val="67EA66C6"/>
    <w:rsid w:val="67F65D6D"/>
    <w:rsid w:val="67FD2073"/>
    <w:rsid w:val="68000819"/>
    <w:rsid w:val="683651C6"/>
    <w:rsid w:val="683D4129"/>
    <w:rsid w:val="6840658B"/>
    <w:rsid w:val="68415E2F"/>
    <w:rsid w:val="68460921"/>
    <w:rsid w:val="68493AFA"/>
    <w:rsid w:val="684D4FDA"/>
    <w:rsid w:val="68642991"/>
    <w:rsid w:val="686B0388"/>
    <w:rsid w:val="686B27ED"/>
    <w:rsid w:val="686E74B7"/>
    <w:rsid w:val="68707C99"/>
    <w:rsid w:val="687A54CA"/>
    <w:rsid w:val="687C2D5D"/>
    <w:rsid w:val="68890C27"/>
    <w:rsid w:val="688B4064"/>
    <w:rsid w:val="6894236C"/>
    <w:rsid w:val="68994EF5"/>
    <w:rsid w:val="689A2236"/>
    <w:rsid w:val="68B33A45"/>
    <w:rsid w:val="68BE476E"/>
    <w:rsid w:val="68D67E24"/>
    <w:rsid w:val="68E11D92"/>
    <w:rsid w:val="68EF6F8D"/>
    <w:rsid w:val="69140D7D"/>
    <w:rsid w:val="691652F6"/>
    <w:rsid w:val="6922234E"/>
    <w:rsid w:val="69230C63"/>
    <w:rsid w:val="69320EA6"/>
    <w:rsid w:val="69461282"/>
    <w:rsid w:val="696E6058"/>
    <w:rsid w:val="69734D4C"/>
    <w:rsid w:val="697C497B"/>
    <w:rsid w:val="697C53C4"/>
    <w:rsid w:val="697D5E14"/>
    <w:rsid w:val="698108D9"/>
    <w:rsid w:val="69881641"/>
    <w:rsid w:val="69A35DE1"/>
    <w:rsid w:val="69A4491A"/>
    <w:rsid w:val="69C759E7"/>
    <w:rsid w:val="69C954EA"/>
    <w:rsid w:val="69CA10DE"/>
    <w:rsid w:val="69CA184C"/>
    <w:rsid w:val="69DD1324"/>
    <w:rsid w:val="69E3184F"/>
    <w:rsid w:val="69E40345"/>
    <w:rsid w:val="69F30D32"/>
    <w:rsid w:val="69F917C6"/>
    <w:rsid w:val="69FB15F8"/>
    <w:rsid w:val="6A072198"/>
    <w:rsid w:val="6A0B1334"/>
    <w:rsid w:val="6A4849BC"/>
    <w:rsid w:val="6A570995"/>
    <w:rsid w:val="6A683732"/>
    <w:rsid w:val="6A6F7D67"/>
    <w:rsid w:val="6A9C7F89"/>
    <w:rsid w:val="6AAA0BF3"/>
    <w:rsid w:val="6AB0766B"/>
    <w:rsid w:val="6AB56951"/>
    <w:rsid w:val="6AB803B0"/>
    <w:rsid w:val="6ADA151E"/>
    <w:rsid w:val="6AED5247"/>
    <w:rsid w:val="6B01771D"/>
    <w:rsid w:val="6B034A8C"/>
    <w:rsid w:val="6B070BD1"/>
    <w:rsid w:val="6B082A99"/>
    <w:rsid w:val="6B3F724F"/>
    <w:rsid w:val="6B4836FF"/>
    <w:rsid w:val="6B4B3B36"/>
    <w:rsid w:val="6B4D3E89"/>
    <w:rsid w:val="6B553A66"/>
    <w:rsid w:val="6B5A620B"/>
    <w:rsid w:val="6B5F6511"/>
    <w:rsid w:val="6B717934"/>
    <w:rsid w:val="6B7846F6"/>
    <w:rsid w:val="6B7B7ED8"/>
    <w:rsid w:val="6B9D4CFC"/>
    <w:rsid w:val="6BAF67DE"/>
    <w:rsid w:val="6BB84FEC"/>
    <w:rsid w:val="6BC2462A"/>
    <w:rsid w:val="6BE41F2F"/>
    <w:rsid w:val="6BF113CB"/>
    <w:rsid w:val="6BF11E03"/>
    <w:rsid w:val="6C1F43D9"/>
    <w:rsid w:val="6C2C4CB3"/>
    <w:rsid w:val="6C3311BD"/>
    <w:rsid w:val="6C3B793A"/>
    <w:rsid w:val="6C3E5941"/>
    <w:rsid w:val="6C416C00"/>
    <w:rsid w:val="6C445178"/>
    <w:rsid w:val="6C537304"/>
    <w:rsid w:val="6C6B112D"/>
    <w:rsid w:val="6C6D1E1E"/>
    <w:rsid w:val="6C6F27D8"/>
    <w:rsid w:val="6C9360FF"/>
    <w:rsid w:val="6CBA368C"/>
    <w:rsid w:val="6CD209D6"/>
    <w:rsid w:val="6CDE126B"/>
    <w:rsid w:val="6CFB55E2"/>
    <w:rsid w:val="6D0772D6"/>
    <w:rsid w:val="6D1A3AF6"/>
    <w:rsid w:val="6D21447B"/>
    <w:rsid w:val="6D2A4D0F"/>
    <w:rsid w:val="6D2A6A64"/>
    <w:rsid w:val="6D2E0002"/>
    <w:rsid w:val="6D2E1FA8"/>
    <w:rsid w:val="6D3B6503"/>
    <w:rsid w:val="6D5121C9"/>
    <w:rsid w:val="6D77160F"/>
    <w:rsid w:val="6D7A45BA"/>
    <w:rsid w:val="6D9379EC"/>
    <w:rsid w:val="6D9C7802"/>
    <w:rsid w:val="6DBF3BD6"/>
    <w:rsid w:val="6DCD59F1"/>
    <w:rsid w:val="6DCF6065"/>
    <w:rsid w:val="6DD15131"/>
    <w:rsid w:val="6DDF7DF7"/>
    <w:rsid w:val="6DFC1680"/>
    <w:rsid w:val="6E036ABA"/>
    <w:rsid w:val="6E054DDB"/>
    <w:rsid w:val="6E18298E"/>
    <w:rsid w:val="6E2F7865"/>
    <w:rsid w:val="6E3F653F"/>
    <w:rsid w:val="6E4C5C05"/>
    <w:rsid w:val="6E926520"/>
    <w:rsid w:val="6E993134"/>
    <w:rsid w:val="6E9A19C7"/>
    <w:rsid w:val="6EBF4F8A"/>
    <w:rsid w:val="6ECB2339"/>
    <w:rsid w:val="6EE01F2C"/>
    <w:rsid w:val="6EF02AC2"/>
    <w:rsid w:val="6EFD47BC"/>
    <w:rsid w:val="6F046A54"/>
    <w:rsid w:val="6F1165C9"/>
    <w:rsid w:val="6F1E52B4"/>
    <w:rsid w:val="6F24015F"/>
    <w:rsid w:val="6F41687E"/>
    <w:rsid w:val="6F4E647E"/>
    <w:rsid w:val="6F5D5C7F"/>
    <w:rsid w:val="6F62357A"/>
    <w:rsid w:val="6F7406BD"/>
    <w:rsid w:val="6F901925"/>
    <w:rsid w:val="6FAF71A4"/>
    <w:rsid w:val="6FAF79C5"/>
    <w:rsid w:val="6FB07C38"/>
    <w:rsid w:val="6FB3629F"/>
    <w:rsid w:val="6FB72E5F"/>
    <w:rsid w:val="6FD20DD5"/>
    <w:rsid w:val="6FF45E8C"/>
    <w:rsid w:val="701240E1"/>
    <w:rsid w:val="70214F84"/>
    <w:rsid w:val="7025492C"/>
    <w:rsid w:val="702D0CD7"/>
    <w:rsid w:val="702E0619"/>
    <w:rsid w:val="703151A3"/>
    <w:rsid w:val="70433998"/>
    <w:rsid w:val="70481D1E"/>
    <w:rsid w:val="70533142"/>
    <w:rsid w:val="70807F9B"/>
    <w:rsid w:val="70814BED"/>
    <w:rsid w:val="708C263B"/>
    <w:rsid w:val="708F1CC4"/>
    <w:rsid w:val="709661BE"/>
    <w:rsid w:val="70B52540"/>
    <w:rsid w:val="70CB6D51"/>
    <w:rsid w:val="70CD6F49"/>
    <w:rsid w:val="70DD3639"/>
    <w:rsid w:val="70FA674D"/>
    <w:rsid w:val="710D6480"/>
    <w:rsid w:val="710E253D"/>
    <w:rsid w:val="711128A7"/>
    <w:rsid w:val="711772FF"/>
    <w:rsid w:val="711B2FBA"/>
    <w:rsid w:val="712A5284"/>
    <w:rsid w:val="71456942"/>
    <w:rsid w:val="714E5C26"/>
    <w:rsid w:val="71596C1A"/>
    <w:rsid w:val="715B1A60"/>
    <w:rsid w:val="715B6F1D"/>
    <w:rsid w:val="715C6278"/>
    <w:rsid w:val="717A3C13"/>
    <w:rsid w:val="717B3239"/>
    <w:rsid w:val="71803828"/>
    <w:rsid w:val="718C1B45"/>
    <w:rsid w:val="718F1A3C"/>
    <w:rsid w:val="71AF00CC"/>
    <w:rsid w:val="71B05419"/>
    <w:rsid w:val="71C11940"/>
    <w:rsid w:val="71D96DB1"/>
    <w:rsid w:val="71E31DC5"/>
    <w:rsid w:val="71E573FD"/>
    <w:rsid w:val="71EB2670"/>
    <w:rsid w:val="71EF5588"/>
    <w:rsid w:val="71F77495"/>
    <w:rsid w:val="72041482"/>
    <w:rsid w:val="720D184D"/>
    <w:rsid w:val="7215759C"/>
    <w:rsid w:val="723548F0"/>
    <w:rsid w:val="72464FAC"/>
    <w:rsid w:val="72486C48"/>
    <w:rsid w:val="7251239D"/>
    <w:rsid w:val="72633843"/>
    <w:rsid w:val="726C2249"/>
    <w:rsid w:val="726C4B8D"/>
    <w:rsid w:val="727F6B17"/>
    <w:rsid w:val="728111DC"/>
    <w:rsid w:val="72907540"/>
    <w:rsid w:val="72927C0F"/>
    <w:rsid w:val="7298621E"/>
    <w:rsid w:val="72A27EA1"/>
    <w:rsid w:val="72B017B9"/>
    <w:rsid w:val="72B65B1B"/>
    <w:rsid w:val="72C25F8A"/>
    <w:rsid w:val="72CD2EF8"/>
    <w:rsid w:val="72E077CA"/>
    <w:rsid w:val="72E1548E"/>
    <w:rsid w:val="72E300A5"/>
    <w:rsid w:val="72F376E8"/>
    <w:rsid w:val="72F614B0"/>
    <w:rsid w:val="72FE0315"/>
    <w:rsid w:val="73042059"/>
    <w:rsid w:val="7309151C"/>
    <w:rsid w:val="73535E93"/>
    <w:rsid w:val="73696D05"/>
    <w:rsid w:val="736F25F5"/>
    <w:rsid w:val="737215F8"/>
    <w:rsid w:val="73897853"/>
    <w:rsid w:val="738A0FF9"/>
    <w:rsid w:val="7390347D"/>
    <w:rsid w:val="73A30D3E"/>
    <w:rsid w:val="73AA0504"/>
    <w:rsid w:val="73B06349"/>
    <w:rsid w:val="73C848E1"/>
    <w:rsid w:val="73E174B1"/>
    <w:rsid w:val="73E564F8"/>
    <w:rsid w:val="741528FF"/>
    <w:rsid w:val="74171D6B"/>
    <w:rsid w:val="74190B91"/>
    <w:rsid w:val="741D3B1E"/>
    <w:rsid w:val="742064CB"/>
    <w:rsid w:val="74253E6F"/>
    <w:rsid w:val="74364BAE"/>
    <w:rsid w:val="746A10E2"/>
    <w:rsid w:val="747F322B"/>
    <w:rsid w:val="747F3DA7"/>
    <w:rsid w:val="74804BC8"/>
    <w:rsid w:val="748E78D8"/>
    <w:rsid w:val="748F3835"/>
    <w:rsid w:val="749B5A83"/>
    <w:rsid w:val="74A6237F"/>
    <w:rsid w:val="74A84833"/>
    <w:rsid w:val="74AE7F7A"/>
    <w:rsid w:val="74D24E9E"/>
    <w:rsid w:val="74DF4FCC"/>
    <w:rsid w:val="74E03EAC"/>
    <w:rsid w:val="74E1742C"/>
    <w:rsid w:val="74E751A2"/>
    <w:rsid w:val="75060696"/>
    <w:rsid w:val="75180C19"/>
    <w:rsid w:val="753171A0"/>
    <w:rsid w:val="753309CD"/>
    <w:rsid w:val="7540002D"/>
    <w:rsid w:val="755A7FF6"/>
    <w:rsid w:val="755C3F5F"/>
    <w:rsid w:val="755E4601"/>
    <w:rsid w:val="756B642B"/>
    <w:rsid w:val="75720461"/>
    <w:rsid w:val="757401F5"/>
    <w:rsid w:val="75861AB1"/>
    <w:rsid w:val="758B51B3"/>
    <w:rsid w:val="758F3F41"/>
    <w:rsid w:val="75A1464A"/>
    <w:rsid w:val="75A44B1B"/>
    <w:rsid w:val="75A4793E"/>
    <w:rsid w:val="75B10A71"/>
    <w:rsid w:val="75BE301B"/>
    <w:rsid w:val="75BF6422"/>
    <w:rsid w:val="75D035E3"/>
    <w:rsid w:val="75E0667F"/>
    <w:rsid w:val="75E207CF"/>
    <w:rsid w:val="75E55C1E"/>
    <w:rsid w:val="75E56258"/>
    <w:rsid w:val="75F031E4"/>
    <w:rsid w:val="75F74770"/>
    <w:rsid w:val="75FD398F"/>
    <w:rsid w:val="760B6D06"/>
    <w:rsid w:val="76240A81"/>
    <w:rsid w:val="76271A68"/>
    <w:rsid w:val="762E68C6"/>
    <w:rsid w:val="764346F2"/>
    <w:rsid w:val="76437003"/>
    <w:rsid w:val="764531E9"/>
    <w:rsid w:val="76497EC6"/>
    <w:rsid w:val="76610F85"/>
    <w:rsid w:val="76884D79"/>
    <w:rsid w:val="768C6170"/>
    <w:rsid w:val="768E0A09"/>
    <w:rsid w:val="76A0108A"/>
    <w:rsid w:val="76A75CE5"/>
    <w:rsid w:val="76AD5E75"/>
    <w:rsid w:val="76C64B7A"/>
    <w:rsid w:val="76D04A02"/>
    <w:rsid w:val="76D62103"/>
    <w:rsid w:val="76D85277"/>
    <w:rsid w:val="76DE792E"/>
    <w:rsid w:val="76E50523"/>
    <w:rsid w:val="76EA523D"/>
    <w:rsid w:val="76F714B1"/>
    <w:rsid w:val="76FF6781"/>
    <w:rsid w:val="77190F0B"/>
    <w:rsid w:val="771B65F0"/>
    <w:rsid w:val="773F53B4"/>
    <w:rsid w:val="77400EE8"/>
    <w:rsid w:val="77444BC6"/>
    <w:rsid w:val="778B4D6C"/>
    <w:rsid w:val="779D6301"/>
    <w:rsid w:val="779F004E"/>
    <w:rsid w:val="779F6909"/>
    <w:rsid w:val="77B02F14"/>
    <w:rsid w:val="77B533CE"/>
    <w:rsid w:val="77B61FDD"/>
    <w:rsid w:val="77DC71E4"/>
    <w:rsid w:val="77F57C6E"/>
    <w:rsid w:val="780B3D48"/>
    <w:rsid w:val="78183C24"/>
    <w:rsid w:val="781C0B3D"/>
    <w:rsid w:val="781D355F"/>
    <w:rsid w:val="784D6F9E"/>
    <w:rsid w:val="78564BB1"/>
    <w:rsid w:val="78671615"/>
    <w:rsid w:val="786728C9"/>
    <w:rsid w:val="786731BB"/>
    <w:rsid w:val="787222E6"/>
    <w:rsid w:val="787B4832"/>
    <w:rsid w:val="78844C87"/>
    <w:rsid w:val="788E471D"/>
    <w:rsid w:val="78912056"/>
    <w:rsid w:val="78A90F77"/>
    <w:rsid w:val="78B50321"/>
    <w:rsid w:val="78C02E72"/>
    <w:rsid w:val="78C44DB6"/>
    <w:rsid w:val="78D8692C"/>
    <w:rsid w:val="78DC6139"/>
    <w:rsid w:val="78E36009"/>
    <w:rsid w:val="78F83896"/>
    <w:rsid w:val="78FC577C"/>
    <w:rsid w:val="790C7366"/>
    <w:rsid w:val="79201025"/>
    <w:rsid w:val="79212A47"/>
    <w:rsid w:val="79215E5D"/>
    <w:rsid w:val="7928674B"/>
    <w:rsid w:val="792E51E6"/>
    <w:rsid w:val="794E2D6C"/>
    <w:rsid w:val="79795612"/>
    <w:rsid w:val="79874153"/>
    <w:rsid w:val="798E588D"/>
    <w:rsid w:val="798F6D6D"/>
    <w:rsid w:val="799F7E92"/>
    <w:rsid w:val="79AD214E"/>
    <w:rsid w:val="79BA116F"/>
    <w:rsid w:val="79D94F16"/>
    <w:rsid w:val="79DC27FB"/>
    <w:rsid w:val="7A086AC6"/>
    <w:rsid w:val="7A1D69B9"/>
    <w:rsid w:val="7A266805"/>
    <w:rsid w:val="7A283826"/>
    <w:rsid w:val="7A2B115A"/>
    <w:rsid w:val="7A2D610B"/>
    <w:rsid w:val="7A38223B"/>
    <w:rsid w:val="7A3C5519"/>
    <w:rsid w:val="7A4E5D19"/>
    <w:rsid w:val="7A4E6CFB"/>
    <w:rsid w:val="7A503A69"/>
    <w:rsid w:val="7A5B57AA"/>
    <w:rsid w:val="7A702637"/>
    <w:rsid w:val="7A730A7C"/>
    <w:rsid w:val="7A8718A7"/>
    <w:rsid w:val="7A9058E9"/>
    <w:rsid w:val="7AA74DCC"/>
    <w:rsid w:val="7AB874D3"/>
    <w:rsid w:val="7ABD59E5"/>
    <w:rsid w:val="7AC208AB"/>
    <w:rsid w:val="7AD57572"/>
    <w:rsid w:val="7AEC23EF"/>
    <w:rsid w:val="7B074BD9"/>
    <w:rsid w:val="7B0B276E"/>
    <w:rsid w:val="7B0D5D57"/>
    <w:rsid w:val="7B1B75B1"/>
    <w:rsid w:val="7B4547B2"/>
    <w:rsid w:val="7B4A3049"/>
    <w:rsid w:val="7B537186"/>
    <w:rsid w:val="7B605DDE"/>
    <w:rsid w:val="7B652CCA"/>
    <w:rsid w:val="7B752A66"/>
    <w:rsid w:val="7B773337"/>
    <w:rsid w:val="7B7B66DC"/>
    <w:rsid w:val="7B8958EB"/>
    <w:rsid w:val="7B901FF8"/>
    <w:rsid w:val="7BB454FD"/>
    <w:rsid w:val="7BD30691"/>
    <w:rsid w:val="7BFC2F20"/>
    <w:rsid w:val="7C330859"/>
    <w:rsid w:val="7C425523"/>
    <w:rsid w:val="7C480B6D"/>
    <w:rsid w:val="7C480CB4"/>
    <w:rsid w:val="7C4901BE"/>
    <w:rsid w:val="7C505E0E"/>
    <w:rsid w:val="7C6F5DE5"/>
    <w:rsid w:val="7C7F193B"/>
    <w:rsid w:val="7C8D7C29"/>
    <w:rsid w:val="7C920181"/>
    <w:rsid w:val="7C961A20"/>
    <w:rsid w:val="7C98412F"/>
    <w:rsid w:val="7CA5399E"/>
    <w:rsid w:val="7CB202CF"/>
    <w:rsid w:val="7CB542DB"/>
    <w:rsid w:val="7CC06A6C"/>
    <w:rsid w:val="7CD82038"/>
    <w:rsid w:val="7CE81B50"/>
    <w:rsid w:val="7CF16265"/>
    <w:rsid w:val="7CFD6567"/>
    <w:rsid w:val="7D042897"/>
    <w:rsid w:val="7D052502"/>
    <w:rsid w:val="7D2453C6"/>
    <w:rsid w:val="7D3A2E8A"/>
    <w:rsid w:val="7D3E5797"/>
    <w:rsid w:val="7D41287B"/>
    <w:rsid w:val="7D5D2479"/>
    <w:rsid w:val="7D5F1145"/>
    <w:rsid w:val="7D6155A6"/>
    <w:rsid w:val="7D662523"/>
    <w:rsid w:val="7D6836F8"/>
    <w:rsid w:val="7D6E7027"/>
    <w:rsid w:val="7D7134E6"/>
    <w:rsid w:val="7D744704"/>
    <w:rsid w:val="7D747B63"/>
    <w:rsid w:val="7D7578C1"/>
    <w:rsid w:val="7D98166C"/>
    <w:rsid w:val="7D9971F5"/>
    <w:rsid w:val="7DB56669"/>
    <w:rsid w:val="7DCD663C"/>
    <w:rsid w:val="7DE67BD0"/>
    <w:rsid w:val="7DFD32EC"/>
    <w:rsid w:val="7E0367D3"/>
    <w:rsid w:val="7E0F61B9"/>
    <w:rsid w:val="7E2E3480"/>
    <w:rsid w:val="7E456AC6"/>
    <w:rsid w:val="7E4D115D"/>
    <w:rsid w:val="7E4E3093"/>
    <w:rsid w:val="7E57171C"/>
    <w:rsid w:val="7E5D0E85"/>
    <w:rsid w:val="7E7336B3"/>
    <w:rsid w:val="7E787AF6"/>
    <w:rsid w:val="7E8603C0"/>
    <w:rsid w:val="7E8D6062"/>
    <w:rsid w:val="7E984846"/>
    <w:rsid w:val="7EA877E8"/>
    <w:rsid w:val="7EAC24A1"/>
    <w:rsid w:val="7EBD3672"/>
    <w:rsid w:val="7EBF15AF"/>
    <w:rsid w:val="7EC46D62"/>
    <w:rsid w:val="7ECC004E"/>
    <w:rsid w:val="7EEB606A"/>
    <w:rsid w:val="7EED7C04"/>
    <w:rsid w:val="7EF23159"/>
    <w:rsid w:val="7EF74757"/>
    <w:rsid w:val="7EFB35DB"/>
    <w:rsid w:val="7F2330D5"/>
    <w:rsid w:val="7F2B6068"/>
    <w:rsid w:val="7F2E68B6"/>
    <w:rsid w:val="7F4E6E32"/>
    <w:rsid w:val="7F585D96"/>
    <w:rsid w:val="7F590AE3"/>
    <w:rsid w:val="7F5C7915"/>
    <w:rsid w:val="7F665903"/>
    <w:rsid w:val="7F802603"/>
    <w:rsid w:val="7F844902"/>
    <w:rsid w:val="7F8A5140"/>
    <w:rsid w:val="7F912972"/>
    <w:rsid w:val="7FA17FB4"/>
    <w:rsid w:val="7FDFC6BC"/>
    <w:rsid w:val="7FFF3276"/>
    <w:rsid w:val="F3E7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0"/>
    <w:pPr>
      <w:autoSpaceDE w:val="0"/>
      <w:autoSpaceDN w:val="0"/>
      <w:adjustRightInd w:val="0"/>
      <w:jc w:val="left"/>
      <w:outlineLvl w:val="0"/>
    </w:pPr>
    <w:rPr>
      <w:kern w:val="0"/>
      <w:sz w:val="30"/>
    </w:rPr>
  </w:style>
  <w:style w:type="paragraph" w:styleId="5">
    <w:name w:val="heading 2"/>
    <w:basedOn w:val="1"/>
    <w:next w:val="1"/>
    <w:link w:val="50"/>
    <w:qFormat/>
    <w:uiPriority w:val="0"/>
    <w:pPr>
      <w:autoSpaceDE w:val="0"/>
      <w:autoSpaceDN w:val="0"/>
      <w:adjustRightInd w:val="0"/>
      <w:jc w:val="left"/>
      <w:outlineLvl w:val="1"/>
    </w:pPr>
    <w:rPr>
      <w:kern w:val="0"/>
      <w:sz w:val="20"/>
    </w:rPr>
  </w:style>
  <w:style w:type="paragraph" w:styleId="6">
    <w:name w:val="heading 3"/>
    <w:basedOn w:val="7"/>
    <w:next w:val="7"/>
    <w:qFormat/>
    <w:uiPriority w:val="0"/>
    <w:pPr>
      <w:keepNext/>
      <w:keepLines/>
      <w:spacing w:before="120" w:beforeLines="0" w:after="120" w:afterLines="0"/>
      <w:outlineLvl w:val="2"/>
    </w:pPr>
    <w:rPr>
      <w:b/>
      <w:kern w:val="2"/>
      <w:sz w:val="24"/>
    </w:rPr>
  </w:style>
  <w:style w:type="paragraph" w:styleId="8">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宋体" w:cs="Times New Roman"/>
      <w:sz w:val="24"/>
    </w:rPr>
  </w:style>
  <w:style w:type="paragraph" w:styleId="9">
    <w:name w:val="heading 8"/>
    <w:basedOn w:val="1"/>
    <w:next w:val="1"/>
    <w:qFormat/>
    <w:uiPriority w:val="0"/>
    <w:pPr>
      <w:keepNext/>
      <w:keepLines/>
      <w:spacing w:before="240" w:beforeLines="0" w:after="64" w:afterLines="0"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beforeLines="0" w:after="64" w:afterLines="0" w:line="320" w:lineRule="auto"/>
      <w:outlineLvl w:val="8"/>
    </w:pPr>
    <w:rPr>
      <w:rFonts w:ascii="Cambria" w:hAnsi="Cambria"/>
      <w:szCs w:val="21"/>
    </w:rPr>
  </w:style>
  <w:style w:type="character" w:default="1" w:styleId="35">
    <w:name w:val="Default Paragraph Font"/>
    <w:qFormat/>
    <w:uiPriority w:val="0"/>
    <w:rPr>
      <w:rFonts w:ascii="Tahoma" w:hAnsi="Tahoma"/>
      <w:szCs w:val="24"/>
    </w:rPr>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rPr>
  </w:style>
  <w:style w:type="paragraph" w:styleId="3">
    <w:name w:val="Body Text"/>
    <w:basedOn w:val="1"/>
    <w:qFormat/>
    <w:uiPriority w:val="0"/>
    <w:pPr>
      <w:spacing w:after="120" w:afterLines="0" w:afterAutospacing="0"/>
    </w:pPr>
  </w:style>
  <w:style w:type="paragraph" w:styleId="7">
    <w:name w:val="Normal Indent"/>
    <w:basedOn w:val="1"/>
    <w:qFormat/>
    <w:uiPriority w:val="0"/>
    <w:pPr>
      <w:widowControl/>
      <w:ind w:firstLine="420"/>
      <w:jc w:val="left"/>
    </w:pPr>
    <w:rPr>
      <w:kern w:val="0"/>
      <w:sz w:val="20"/>
    </w:rPr>
  </w:style>
  <w:style w:type="paragraph" w:styleId="11">
    <w:name w:val="Document Map"/>
    <w:basedOn w:val="1"/>
    <w:link w:val="51"/>
    <w:qFormat/>
    <w:uiPriority w:val="0"/>
    <w:pPr>
      <w:shd w:val="clear" w:color="auto" w:fill="000080"/>
    </w:pPr>
  </w:style>
  <w:style w:type="paragraph" w:styleId="12">
    <w:name w:val="annotation text"/>
    <w:basedOn w:val="1"/>
    <w:link w:val="52"/>
    <w:qFormat/>
    <w:uiPriority w:val="0"/>
    <w:pPr>
      <w:jc w:val="left"/>
    </w:pPr>
  </w:style>
  <w:style w:type="paragraph" w:styleId="13">
    <w:name w:val="Salutation"/>
    <w:basedOn w:val="1"/>
    <w:next w:val="1"/>
    <w:qFormat/>
    <w:uiPriority w:val="0"/>
  </w:style>
  <w:style w:type="paragraph" w:styleId="14">
    <w:name w:val="Body Text Indent"/>
    <w:basedOn w:val="1"/>
    <w:next w:val="15"/>
    <w:qFormat/>
    <w:uiPriority w:val="0"/>
    <w:pPr>
      <w:ind w:firstLine="560" w:firstLineChars="200"/>
    </w:pPr>
  </w:style>
  <w:style w:type="paragraph" w:styleId="15">
    <w:name w:val="envelope return"/>
    <w:basedOn w:val="1"/>
    <w:qFormat/>
    <w:uiPriority w:val="0"/>
    <w:pPr>
      <w:snapToGrid w:val="0"/>
    </w:pPr>
    <w:rPr>
      <w:rFonts w:ascii="Arial" w:hAnsi="Arial"/>
    </w:rPr>
  </w:style>
  <w:style w:type="paragraph" w:styleId="16">
    <w:name w:val="toc 3"/>
    <w:basedOn w:val="1"/>
    <w:next w:val="1"/>
    <w:qFormat/>
    <w:uiPriority w:val="39"/>
    <w:pPr>
      <w:ind w:left="840" w:leftChars="400"/>
    </w:pPr>
  </w:style>
  <w:style w:type="paragraph" w:styleId="17">
    <w:name w:val="Plain Text"/>
    <w:basedOn w:val="1"/>
    <w:unhideWhenUsed/>
    <w:qFormat/>
    <w:uiPriority w:val="0"/>
    <w:rPr>
      <w:rFonts w:hint="eastAsia" w:hAnsi="Courier New" w:eastAsia="Times New Roman"/>
      <w:sz w:val="21"/>
    </w:rPr>
  </w:style>
  <w:style w:type="paragraph" w:styleId="18">
    <w:name w:val="Date"/>
    <w:basedOn w:val="1"/>
    <w:next w:val="1"/>
    <w:link w:val="53"/>
    <w:qFormat/>
    <w:uiPriority w:val="0"/>
    <w:pPr>
      <w:ind w:left="100" w:leftChars="2500"/>
    </w:pPr>
  </w:style>
  <w:style w:type="paragraph" w:styleId="19">
    <w:name w:val="Body Text Indent 2"/>
    <w:basedOn w:val="1"/>
    <w:qFormat/>
    <w:uiPriority w:val="0"/>
    <w:pPr>
      <w:spacing w:line="480" w:lineRule="auto"/>
      <w:ind w:firstLine="561"/>
    </w:pPr>
    <w:rPr>
      <w:rFonts w:ascii="宋体"/>
    </w:rPr>
  </w:style>
  <w:style w:type="paragraph" w:styleId="20">
    <w:name w:val="endnote text"/>
    <w:basedOn w:val="1"/>
    <w:qFormat/>
    <w:uiPriority w:val="0"/>
    <w:pPr>
      <w:snapToGrid w:val="0"/>
      <w:jc w:val="left"/>
    </w:pPr>
  </w:style>
  <w:style w:type="paragraph" w:styleId="21">
    <w:name w:val="Balloon Text"/>
    <w:basedOn w:val="1"/>
    <w:link w:val="54"/>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4">
    <w:name w:val="toc 1"/>
    <w:basedOn w:val="1"/>
    <w:next w:val="1"/>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qFormat/>
    <w:uiPriority w:val="39"/>
    <w:pPr>
      <w:ind w:left="420" w:leftChars="200"/>
    </w:pPr>
  </w:style>
  <w:style w:type="paragraph" w:styleId="27">
    <w:name w:val="Body Text 2"/>
    <w:basedOn w:val="1"/>
    <w:next w:val="3"/>
    <w:qFormat/>
    <w:uiPriority w:val="0"/>
    <w:pPr>
      <w:spacing w:line="500" w:lineRule="exact"/>
    </w:pPr>
    <w:rPr>
      <w:rFonts w:ascii="宋体"/>
      <w:sz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widowControl/>
      <w:spacing w:before="100" w:beforeLines="0" w:beforeAutospacing="1" w:after="100" w:afterLines="0" w:afterAutospacing="1" w:line="240" w:lineRule="auto"/>
      <w:jc w:val="left"/>
    </w:pPr>
    <w:rPr>
      <w:rFonts w:hAnsi="宋体" w:cs="宋体"/>
      <w:color w:val="000000"/>
      <w:kern w:val="0"/>
      <w:szCs w:val="24"/>
    </w:rPr>
  </w:style>
  <w:style w:type="paragraph" w:styleId="30">
    <w:name w:val="annotation subject"/>
    <w:basedOn w:val="12"/>
    <w:next w:val="12"/>
    <w:link w:val="55"/>
    <w:qFormat/>
    <w:uiPriority w:val="0"/>
    <w:rPr>
      <w:b/>
      <w:bCs/>
    </w:rPr>
  </w:style>
  <w:style w:type="paragraph" w:styleId="31">
    <w:name w:val="Body Text First Indent 2"/>
    <w:basedOn w:val="14"/>
    <w:next w:val="32"/>
    <w:qFormat/>
    <w:uiPriority w:val="0"/>
    <w:pPr>
      <w:ind w:firstLine="420" w:firstLineChars="200"/>
    </w:pPr>
    <w:rPr>
      <w:rFonts w:ascii="宋体" w:hAnsi="宋体"/>
      <w:spacing w:val="-20"/>
      <w:kern w:val="21"/>
      <w:sz w:val="28"/>
    </w:rPr>
  </w:style>
  <w:style w:type="paragraph" w:customStyle="1" w:styleId="32">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endnote reference"/>
    <w:qFormat/>
    <w:uiPriority w:val="0"/>
    <w:rPr>
      <w:vertAlign w:val="superscript"/>
    </w:rPr>
  </w:style>
  <w:style w:type="character" w:styleId="38">
    <w:name w:val="page number"/>
    <w:qFormat/>
    <w:uiPriority w:val="0"/>
  </w:style>
  <w:style w:type="character" w:styleId="39">
    <w:name w:val="FollowedHyperlink"/>
    <w:qFormat/>
    <w:uiPriority w:val="0"/>
    <w:rPr>
      <w:color w:val="000000"/>
      <w:u w:val="none"/>
    </w:rPr>
  </w:style>
  <w:style w:type="character" w:styleId="40">
    <w:name w:val="Emphasis"/>
    <w:basedOn w:val="35"/>
    <w:qFormat/>
    <w:uiPriority w:val="0"/>
  </w:style>
  <w:style w:type="character" w:styleId="41">
    <w:name w:val="HTML Definition"/>
    <w:qFormat/>
    <w:uiPriority w:val="0"/>
  </w:style>
  <w:style w:type="character" w:styleId="42">
    <w:name w:val="HTML Variable"/>
    <w:qFormat/>
    <w:uiPriority w:val="0"/>
  </w:style>
  <w:style w:type="character" w:styleId="43">
    <w:name w:val="Hyperlink"/>
    <w:qFormat/>
    <w:uiPriority w:val="99"/>
    <w:rPr>
      <w:color w:val="000000"/>
      <w:u w:val="none"/>
    </w:rPr>
  </w:style>
  <w:style w:type="character" w:styleId="44">
    <w:name w:val="HTML Code"/>
    <w:qFormat/>
    <w:uiPriority w:val="0"/>
    <w:rPr>
      <w:rFonts w:hint="default" w:ascii="Arial" w:hAnsi="Arial" w:cs="Arial"/>
      <w:sz w:val="20"/>
    </w:rPr>
  </w:style>
  <w:style w:type="character" w:styleId="45">
    <w:name w:val="annotation reference"/>
    <w:qFormat/>
    <w:uiPriority w:val="0"/>
    <w:rPr>
      <w:sz w:val="21"/>
      <w:szCs w:val="21"/>
    </w:rPr>
  </w:style>
  <w:style w:type="character" w:styleId="46">
    <w:name w:val="HTML Cite"/>
    <w:qFormat/>
    <w:uiPriority w:val="0"/>
  </w:style>
  <w:style w:type="character" w:styleId="47">
    <w:name w:val="HTML Keyboard"/>
    <w:qFormat/>
    <w:uiPriority w:val="0"/>
    <w:rPr>
      <w:rFonts w:hint="eastAsia" w:ascii="Arial" w:hAnsi="Arial" w:cs="Arial"/>
      <w:sz w:val="20"/>
    </w:rPr>
  </w:style>
  <w:style w:type="character" w:styleId="48">
    <w:name w:val="HTML Sample"/>
    <w:qFormat/>
    <w:uiPriority w:val="0"/>
    <w:rPr>
      <w:rFonts w:hint="default" w:ascii="Arial" w:hAnsi="Arial" w:cs="Arial"/>
    </w:rPr>
  </w:style>
  <w:style w:type="character" w:customStyle="1" w:styleId="49">
    <w:name w:val="标题 1 字符"/>
    <w:link w:val="4"/>
    <w:qFormat/>
    <w:uiPriority w:val="0"/>
    <w:rPr>
      <w:kern w:val="0"/>
      <w:sz w:val="30"/>
    </w:rPr>
  </w:style>
  <w:style w:type="character" w:customStyle="1" w:styleId="50">
    <w:name w:val="标题 2 字符"/>
    <w:link w:val="5"/>
    <w:qFormat/>
    <w:uiPriority w:val="0"/>
    <w:rPr>
      <w:kern w:val="0"/>
    </w:rPr>
  </w:style>
  <w:style w:type="character" w:customStyle="1" w:styleId="51">
    <w:name w:val="文档结构图 字符"/>
    <w:link w:val="11"/>
    <w:qFormat/>
    <w:uiPriority w:val="0"/>
    <w:rPr>
      <w:kern w:val="2"/>
      <w:sz w:val="21"/>
      <w:shd w:val="clear" w:color="auto" w:fill="000080"/>
    </w:rPr>
  </w:style>
  <w:style w:type="character" w:customStyle="1" w:styleId="52">
    <w:name w:val="批注文字 字符"/>
    <w:link w:val="12"/>
    <w:qFormat/>
    <w:uiPriority w:val="0"/>
    <w:rPr>
      <w:kern w:val="2"/>
      <w:sz w:val="21"/>
    </w:rPr>
  </w:style>
  <w:style w:type="character" w:customStyle="1" w:styleId="53">
    <w:name w:val="日期 字符"/>
    <w:link w:val="18"/>
    <w:qFormat/>
    <w:uiPriority w:val="0"/>
    <w:rPr>
      <w:kern w:val="2"/>
      <w:sz w:val="21"/>
    </w:rPr>
  </w:style>
  <w:style w:type="character" w:customStyle="1" w:styleId="54">
    <w:name w:val="批注框文本 字符"/>
    <w:link w:val="21"/>
    <w:qFormat/>
    <w:uiPriority w:val="0"/>
    <w:rPr>
      <w:kern w:val="2"/>
      <w:sz w:val="18"/>
      <w:szCs w:val="18"/>
    </w:rPr>
  </w:style>
  <w:style w:type="character" w:customStyle="1" w:styleId="55">
    <w:name w:val="批注主题 字符"/>
    <w:link w:val="30"/>
    <w:qFormat/>
    <w:uiPriority w:val="0"/>
    <w:rPr>
      <w:b/>
      <w:bCs/>
      <w:kern w:val="2"/>
      <w:sz w:val="21"/>
    </w:rPr>
  </w:style>
  <w:style w:type="paragraph" w:customStyle="1" w:styleId="56">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character" w:customStyle="1" w:styleId="57">
    <w:name w:val="页码 New New New New New New New New New New New"/>
    <w:qFormat/>
    <w:uiPriority w:val="0"/>
  </w:style>
  <w:style w:type="character" w:customStyle="1" w:styleId="58">
    <w:name w:val="font51"/>
    <w:qFormat/>
    <w:uiPriority w:val="0"/>
    <w:rPr>
      <w:rFonts w:hint="eastAsia" w:ascii="宋体" w:hAnsi="宋体" w:eastAsia="宋体" w:cs="宋体"/>
      <w:color w:val="000000"/>
      <w:sz w:val="24"/>
      <w:szCs w:val="24"/>
      <w:u w:val="none"/>
    </w:rPr>
  </w:style>
  <w:style w:type="character" w:customStyle="1" w:styleId="59">
    <w:name w:val="页码 New New New New New New New New New"/>
    <w:qFormat/>
    <w:uiPriority w:val="0"/>
  </w:style>
  <w:style w:type="character" w:customStyle="1" w:styleId="60">
    <w:name w:val="页码 New New"/>
    <w:qFormat/>
    <w:uiPriority w:val="0"/>
  </w:style>
  <w:style w:type="character" w:customStyle="1" w:styleId="61">
    <w:name w:val="页码 New New New New New New New New New New"/>
    <w:qFormat/>
    <w:uiPriority w:val="0"/>
  </w:style>
  <w:style w:type="character" w:customStyle="1" w:styleId="62">
    <w:name w:val="页码 New New New New New New New"/>
    <w:qFormat/>
    <w:uiPriority w:val="0"/>
  </w:style>
  <w:style w:type="character" w:customStyle="1" w:styleId="63">
    <w:name w:val="页码 New New New New"/>
    <w:qFormat/>
    <w:uiPriority w:val="0"/>
  </w:style>
  <w:style w:type="character" w:customStyle="1" w:styleId="64">
    <w:name w:val="NormalCharacter"/>
    <w:semiHidden/>
    <w:qFormat/>
    <w:uiPriority w:val="0"/>
    <w:rPr>
      <w:rFonts w:ascii="宋体"/>
      <w:kern w:val="2"/>
      <w:sz w:val="24"/>
      <w:lang w:val="en-US" w:eastAsia="zh-CN" w:bidi="ar-SA"/>
    </w:rPr>
  </w:style>
  <w:style w:type="character" w:customStyle="1" w:styleId="65">
    <w:name w:val="正文文本 (2) + 间距 0 pt3"/>
    <w:qFormat/>
    <w:uiPriority w:val="99"/>
    <w:rPr>
      <w:rFonts w:ascii="MingLiU" w:eastAsia="MingLiU" w:cs="MingLiU"/>
      <w:spacing w:val="0"/>
      <w:sz w:val="22"/>
      <w:szCs w:val="22"/>
      <w:u w:val="none"/>
    </w:rPr>
  </w:style>
  <w:style w:type="character" w:customStyle="1" w:styleId="66">
    <w:name w:val="font21"/>
    <w:qFormat/>
    <w:uiPriority w:val="0"/>
    <w:rPr>
      <w:rFonts w:ascii="Calibri" w:hAnsi="Calibri" w:cs="Calibri"/>
      <w:color w:val="000000"/>
      <w:sz w:val="24"/>
      <w:szCs w:val="24"/>
      <w:u w:val="none"/>
    </w:rPr>
  </w:style>
  <w:style w:type="character" w:customStyle="1" w:styleId="67">
    <w:name w:val="页码 New New New"/>
    <w:qFormat/>
    <w:uiPriority w:val="0"/>
  </w:style>
  <w:style w:type="character" w:customStyle="1" w:styleId="68">
    <w:name w:val="font41"/>
    <w:qFormat/>
    <w:uiPriority w:val="0"/>
    <w:rPr>
      <w:rFonts w:hint="eastAsia" w:ascii="宋体" w:hAnsi="宋体" w:eastAsia="宋体" w:cs="宋体"/>
      <w:color w:val="000000"/>
      <w:sz w:val="24"/>
      <w:szCs w:val="24"/>
      <w:u w:val="none"/>
    </w:rPr>
  </w:style>
  <w:style w:type="character" w:customStyle="1" w:styleId="69">
    <w:name w:val="font11"/>
    <w:qFormat/>
    <w:uiPriority w:val="0"/>
    <w:rPr>
      <w:rFonts w:ascii="����" w:hAnsi="����" w:eastAsia="����" w:cs="����"/>
      <w:color w:val="000000"/>
      <w:sz w:val="24"/>
      <w:szCs w:val="24"/>
      <w:u w:val="none"/>
    </w:rPr>
  </w:style>
  <w:style w:type="character" w:customStyle="1" w:styleId="70">
    <w:name w:val="超链接 New New"/>
    <w:qFormat/>
    <w:uiPriority w:val="0"/>
    <w:rPr>
      <w:color w:val="000000"/>
      <w:sz w:val="18"/>
      <w:szCs w:val="18"/>
      <w:u w:val="none"/>
    </w:rPr>
  </w:style>
  <w:style w:type="character" w:customStyle="1" w:styleId="71">
    <w:name w:val="页码 New New New New New New New New"/>
    <w:qFormat/>
    <w:uiPriority w:val="0"/>
  </w:style>
  <w:style w:type="character" w:customStyle="1" w:styleId="72">
    <w:name w:val="超链接 New"/>
    <w:qFormat/>
    <w:uiPriority w:val="0"/>
    <w:rPr>
      <w:color w:val="0000FF"/>
      <w:u w:val="single"/>
    </w:rPr>
  </w:style>
  <w:style w:type="character" w:customStyle="1" w:styleId="73">
    <w:name w:val="页码 New New New New New New"/>
    <w:qFormat/>
    <w:uiPriority w:val="0"/>
  </w:style>
  <w:style w:type="character" w:customStyle="1" w:styleId="74">
    <w:name w:val="fontstyle01"/>
    <w:qFormat/>
    <w:uiPriority w:val="99"/>
    <w:rPr>
      <w:rFonts w:ascii="宋体" w:hAnsi="宋体" w:eastAsia="宋体" w:cs="Times New Roman"/>
      <w:color w:val="000000"/>
      <w:sz w:val="22"/>
      <w:szCs w:val="22"/>
    </w:rPr>
  </w:style>
  <w:style w:type="character" w:customStyle="1" w:styleId="75">
    <w:name w:val="页码 New New New New New New New New New New New New"/>
    <w:qFormat/>
    <w:uiPriority w:val="0"/>
  </w:style>
  <w:style w:type="character" w:customStyle="1" w:styleId="76">
    <w:name w:val="hover35"/>
    <w:qFormat/>
    <w:uiPriority w:val="0"/>
  </w:style>
  <w:style w:type="character" w:customStyle="1" w:styleId="77">
    <w:name w:val="页码 New"/>
    <w:qFormat/>
    <w:uiPriority w:val="0"/>
  </w:style>
  <w:style w:type="character" w:customStyle="1" w:styleId="78">
    <w:name w:val="正文文本缩进 2 New Char Char"/>
    <w:link w:val="79"/>
    <w:qFormat/>
    <w:uiPriority w:val="0"/>
    <w:rPr>
      <w:rFonts w:ascii="宋体"/>
    </w:rPr>
  </w:style>
  <w:style w:type="paragraph" w:customStyle="1" w:styleId="79">
    <w:name w:val="正文文本缩进 2 New"/>
    <w:basedOn w:val="80"/>
    <w:link w:val="78"/>
    <w:qFormat/>
    <w:uiPriority w:val="0"/>
    <w:pPr>
      <w:spacing w:line="480" w:lineRule="auto"/>
      <w:ind w:firstLine="561"/>
    </w:pPr>
    <w:rPr>
      <w:kern w:val="0"/>
      <w:sz w:val="20"/>
    </w:rPr>
  </w:style>
  <w:style w:type="paragraph" w:customStyle="1" w:styleId="80">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81">
    <w:name w:val="标题 2 New New Char Char"/>
    <w:link w:val="82"/>
    <w:qFormat/>
    <w:uiPriority w:val="0"/>
    <w:rPr>
      <w:kern w:val="0"/>
      <w:sz w:val="24"/>
    </w:rPr>
  </w:style>
  <w:style w:type="paragraph" w:customStyle="1" w:styleId="82">
    <w:name w:val="标题 2 New New"/>
    <w:basedOn w:val="80"/>
    <w:next w:val="80"/>
    <w:link w:val="81"/>
    <w:qFormat/>
    <w:uiPriority w:val="0"/>
    <w:pPr>
      <w:autoSpaceDE w:val="0"/>
      <w:autoSpaceDN w:val="0"/>
      <w:adjustRightInd w:val="0"/>
      <w:jc w:val="left"/>
      <w:outlineLvl w:val="1"/>
    </w:pPr>
    <w:rPr>
      <w:rFonts w:ascii="Times New Roman"/>
      <w:kern w:val="0"/>
    </w:rPr>
  </w:style>
  <w:style w:type="character" w:customStyle="1" w:styleId="83">
    <w:name w:val="页码 New New New New New"/>
    <w:qFormat/>
    <w:uiPriority w:val="0"/>
  </w:style>
  <w:style w:type="paragraph" w:customStyle="1" w:styleId="84">
    <w:name w:val="正文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文档结构图 New"/>
    <w:basedOn w:val="80"/>
    <w:qFormat/>
    <w:uiPriority w:val="0"/>
    <w:pPr>
      <w:shd w:val="clear" w:color="auto" w:fill="000080"/>
    </w:pPr>
  </w:style>
  <w:style w:type="paragraph" w:customStyle="1" w:styleId="8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7">
    <w:name w:val="正文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文本缩进 New New New New New New New"/>
    <w:basedOn w:val="89"/>
    <w:qFormat/>
    <w:uiPriority w:val="0"/>
    <w:pPr>
      <w:spacing w:after="120" w:afterLines="0"/>
      <w:ind w:left="420" w:leftChars="200"/>
    </w:pPr>
    <w:rPr>
      <w:rFonts w:eastAsia="宋体"/>
      <w:szCs w:val="24"/>
      <w:lang w:bidi="ar-SA"/>
    </w:rPr>
  </w:style>
  <w:style w:type="paragraph" w:customStyle="1" w:styleId="89">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1">
    <w:name w:val="正文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2">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3">
    <w:name w:val="页眉 New"/>
    <w:basedOn w:val="94"/>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缩进 New New"/>
    <w:basedOn w:val="91"/>
    <w:qFormat/>
    <w:uiPriority w:val="0"/>
    <w:pPr>
      <w:widowControl/>
      <w:ind w:firstLine="420"/>
      <w:jc w:val="left"/>
    </w:pPr>
    <w:rPr>
      <w:rFonts w:ascii="宋体" w:eastAsia="宋体"/>
      <w:lang w:val="en-US" w:eastAsia="zh-CN" w:bidi="ar-SA"/>
    </w:rPr>
  </w:style>
  <w:style w:type="paragraph" w:customStyle="1" w:styleId="96">
    <w:name w:val="正文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7">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8">
    <w:name w:val="索引 1 New"/>
    <w:basedOn w:val="1"/>
    <w:next w:val="1"/>
    <w:qFormat/>
    <w:uiPriority w:val="0"/>
  </w:style>
  <w:style w:type="paragraph" w:customStyle="1" w:styleId="99">
    <w:name w:val="页脚 New New New New New New New New New New New New New New New New New New New New New"/>
    <w:basedOn w:val="100"/>
    <w:qFormat/>
    <w:uiPriority w:val="0"/>
    <w:pPr>
      <w:widowControl/>
      <w:tabs>
        <w:tab w:val="center" w:pos="4153"/>
        <w:tab w:val="right" w:pos="8306"/>
      </w:tabs>
      <w:snapToGrid w:val="0"/>
      <w:jc w:val="left"/>
    </w:pPr>
    <w:rPr>
      <w:kern w:val="0"/>
      <w:sz w:val="18"/>
    </w:rPr>
  </w:style>
  <w:style w:type="paragraph" w:customStyle="1" w:styleId="100">
    <w:name w:val="正文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目录 1 New"/>
    <w:basedOn w:val="80"/>
    <w:next w:val="80"/>
    <w:qFormat/>
    <w:uiPriority w:val="0"/>
    <w:pPr>
      <w:spacing w:before="120" w:beforeLines="0" w:beforeAutospacing="0" w:after="120" w:afterLines="0" w:afterAutospacing="0"/>
      <w:jc w:val="left"/>
    </w:pPr>
    <w:rPr>
      <w:caps/>
      <w:sz w:val="24"/>
    </w:rPr>
  </w:style>
  <w:style w:type="paragraph" w:customStyle="1" w:styleId="102">
    <w:name w:val="正文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4">
    <w:name w:val="正文缩进 New New New New"/>
    <w:basedOn w:val="105"/>
    <w:qFormat/>
    <w:uiPriority w:val="0"/>
    <w:pPr>
      <w:widowControl/>
      <w:ind w:firstLine="420"/>
      <w:jc w:val="left"/>
    </w:pPr>
    <w:rPr>
      <w:rFonts w:ascii="宋体" w:eastAsia="宋体"/>
      <w:lang w:val="en-US" w:eastAsia="zh-CN" w:bidi="ar-SA"/>
    </w:rPr>
  </w:style>
  <w:style w:type="paragraph" w:customStyle="1" w:styleId="105">
    <w:name w:val="正文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6">
    <w:name w:val="页脚 New New New New New New New"/>
    <w:basedOn w:val="84"/>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07">
    <w:name w:val="标题 2 New"/>
    <w:basedOn w:val="94"/>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customStyle="1" w:styleId="108">
    <w:name w:val="正文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9">
    <w:name w:val="正文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0">
    <w:name w:val="正文缩进 New New New"/>
    <w:basedOn w:val="111"/>
    <w:qFormat/>
    <w:uiPriority w:val="0"/>
    <w:pPr>
      <w:widowControl/>
      <w:ind w:firstLine="420"/>
      <w:jc w:val="left"/>
    </w:pPr>
    <w:rPr>
      <w:rFonts w:ascii="宋体" w:eastAsia="宋体"/>
      <w:lang w:val="en-US" w:eastAsia="zh-CN" w:bidi="ar-SA"/>
    </w:rPr>
  </w:style>
  <w:style w:type="paragraph" w:customStyle="1" w:styleId="111">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页眉 New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14">
    <w:name w:val=" Char Char2"/>
    <w:basedOn w:val="85"/>
    <w:qFormat/>
    <w:uiPriority w:val="0"/>
    <w:pPr>
      <w:spacing w:line="240" w:lineRule="auto"/>
    </w:pPr>
  </w:style>
  <w:style w:type="paragraph" w:customStyle="1" w:styleId="115">
    <w:name w:val="正文文本缩进 New"/>
    <w:basedOn w:val="116"/>
    <w:qFormat/>
    <w:uiPriority w:val="0"/>
    <w:pPr>
      <w:ind w:firstLine="560" w:firstLineChars="200"/>
    </w:pPr>
    <w:rPr>
      <w:rFonts w:ascii="宋体"/>
      <w:kern w:val="2"/>
      <w:sz w:val="24"/>
    </w:rPr>
  </w:style>
  <w:style w:type="paragraph" w:customStyle="1" w:styleId="116">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缩进 New"/>
    <w:basedOn w:val="116"/>
    <w:qFormat/>
    <w:uiPriority w:val="0"/>
    <w:pPr>
      <w:widowControl/>
      <w:ind w:firstLine="420"/>
      <w:jc w:val="left"/>
    </w:pPr>
    <w:rPr>
      <w:kern w:val="0"/>
      <w:sz w:val="20"/>
    </w:rPr>
  </w:style>
  <w:style w:type="paragraph" w:customStyle="1" w:styleId="118">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9">
    <w:name w:val="目录 2 New"/>
    <w:basedOn w:val="80"/>
    <w:next w:val="80"/>
    <w:qFormat/>
    <w:uiPriority w:val="0"/>
    <w:pPr>
      <w:ind w:left="278"/>
      <w:jc w:val="left"/>
    </w:pPr>
    <w:rPr>
      <w:smallCaps/>
      <w:sz w:val="24"/>
    </w:rPr>
  </w:style>
  <w:style w:type="paragraph" w:customStyle="1" w:styleId="120">
    <w:name w:val="UserStyle_0"/>
    <w:basedOn w:val="1"/>
    <w:next w:val="1"/>
    <w:qFormat/>
    <w:uiPriority w:val="0"/>
    <w:pPr>
      <w:jc w:val="center"/>
      <w:textAlignment w:val="baseline"/>
    </w:pPr>
    <w:rPr>
      <w:rFonts w:ascii="Times New Roman"/>
      <w:b/>
    </w:rPr>
  </w:style>
  <w:style w:type="paragraph" w:customStyle="1" w:styleId="121">
    <w:name w:val="正文文本缩进 New New New New New New New New"/>
    <w:basedOn w:val="122"/>
    <w:qFormat/>
    <w:uiPriority w:val="0"/>
    <w:pPr>
      <w:spacing w:after="120" w:afterLines="0"/>
      <w:ind w:left="420" w:leftChars="200"/>
    </w:pPr>
    <w:rPr>
      <w:rFonts w:eastAsia="宋体"/>
      <w:szCs w:val="24"/>
      <w:lang w:bidi="ar-SA"/>
    </w:rPr>
  </w:style>
  <w:style w:type="paragraph" w:customStyle="1" w:styleId="122">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3">
    <w:name w:val="文档结构图 New New New New"/>
    <w:basedOn w:val="102"/>
    <w:qFormat/>
    <w:uiPriority w:val="0"/>
    <w:pPr>
      <w:shd w:val="clear" w:color="auto" w:fill="000080"/>
    </w:pPr>
  </w:style>
  <w:style w:type="paragraph" w:customStyle="1" w:styleId="124">
    <w:name w:val="正文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5">
    <w:name w:val="样式 WG标题3 + 行距: 固定值 18 磅"/>
    <w:basedOn w:val="1"/>
    <w:qFormat/>
    <w:uiPriority w:val="0"/>
    <w:pPr>
      <w:autoSpaceDE w:val="0"/>
      <w:autoSpaceDN w:val="0"/>
      <w:adjustRightInd w:val="0"/>
      <w:spacing w:line="360" w:lineRule="exact"/>
      <w:textAlignment w:val="baseline"/>
      <w:outlineLvl w:val="2"/>
    </w:pPr>
    <w:rPr>
      <w:rFonts w:hAnsi="宋体" w:cs="宋体"/>
      <w:b/>
      <w:bCs/>
      <w:color w:val="000000"/>
      <w:kern w:val="20"/>
      <w:sz w:val="21"/>
    </w:rPr>
  </w:style>
  <w:style w:type="paragraph" w:customStyle="1" w:styleId="126">
    <w:name w:val="页脚 New New New New New"/>
    <w:basedOn w:val="1"/>
    <w:qFormat/>
    <w:uiPriority w:val="0"/>
    <w:pPr>
      <w:widowControl/>
      <w:tabs>
        <w:tab w:val="center" w:pos="4153"/>
        <w:tab w:val="right" w:pos="8306"/>
      </w:tabs>
      <w:snapToGrid w:val="0"/>
      <w:jc w:val="left"/>
    </w:pPr>
    <w:rPr>
      <w:rFonts w:ascii="宋体"/>
      <w:sz w:val="18"/>
    </w:rPr>
  </w:style>
  <w:style w:type="paragraph" w:customStyle="1" w:styleId="127">
    <w:name w:val="页脚 New New New New New New New New New New New New New New New New"/>
    <w:basedOn w:val="128"/>
    <w:qFormat/>
    <w:uiPriority w:val="0"/>
    <w:pPr>
      <w:widowControl/>
      <w:tabs>
        <w:tab w:val="center" w:pos="4153"/>
        <w:tab w:val="right" w:pos="8306"/>
      </w:tabs>
      <w:snapToGrid w:val="0"/>
      <w:jc w:val="left"/>
    </w:pPr>
    <w:rPr>
      <w:kern w:val="0"/>
      <w:sz w:val="18"/>
    </w:rPr>
  </w:style>
  <w:style w:type="paragraph" w:customStyle="1" w:styleId="128">
    <w:name w:val="正文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1"/>
    <w:qFormat/>
    <w:uiPriority w:val="0"/>
    <w:pPr>
      <w:widowControl w:val="0"/>
      <w:jc w:val="both"/>
    </w:pPr>
    <w:rPr>
      <w:rFonts w:ascii="Calibri" w:hAnsi="Calibri" w:eastAsia="宋体" w:cs="黑体"/>
      <w:kern w:val="2"/>
      <w:sz w:val="21"/>
      <w:szCs w:val="24"/>
      <w:lang w:val="en-US" w:eastAsia="zh-CN" w:bidi="ar-SA"/>
    </w:rPr>
  </w:style>
  <w:style w:type="paragraph" w:customStyle="1" w:styleId="131">
    <w:name w:val="样式 宋体 行距: 1.5 倍行距"/>
    <w:basedOn w:val="130"/>
    <w:qFormat/>
    <w:uiPriority w:val="0"/>
    <w:pPr>
      <w:jc w:val="center"/>
    </w:pPr>
    <w:rPr>
      <w:rFonts w:ascii="Times New Roman" w:hAnsi="Times New Roman"/>
      <w:b/>
    </w:rPr>
  </w:style>
  <w:style w:type="paragraph" w:customStyle="1" w:styleId="1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1"/>
    <w:qFormat/>
    <w:uiPriority w:val="0"/>
    <w:pPr>
      <w:widowControl w:val="0"/>
      <w:jc w:val="both"/>
    </w:pPr>
    <w:rPr>
      <w:rFonts w:ascii="Calibri" w:hAnsi="Calibri" w:eastAsia="宋体" w:cs="黑体"/>
      <w:kern w:val="2"/>
      <w:sz w:val="21"/>
      <w:szCs w:val="24"/>
      <w:lang w:val="en-US" w:eastAsia="zh-CN" w:bidi="ar-SA"/>
    </w:rPr>
  </w:style>
  <w:style w:type="paragraph" w:customStyle="1" w:styleId="133">
    <w:name w:val="页脚 New New New New"/>
    <w:basedOn w:val="1"/>
    <w:qFormat/>
    <w:uiPriority w:val="0"/>
    <w:pPr>
      <w:widowControl/>
      <w:tabs>
        <w:tab w:val="center" w:pos="4153"/>
        <w:tab w:val="right" w:pos="8306"/>
      </w:tabs>
      <w:snapToGrid w:val="0"/>
      <w:jc w:val="left"/>
    </w:pPr>
    <w:rPr>
      <w:rFonts w:ascii="宋体"/>
      <w:sz w:val="18"/>
    </w:rPr>
  </w:style>
  <w:style w:type="paragraph" w:customStyle="1" w:styleId="134">
    <w:name w:val="页脚 New New"/>
    <w:basedOn w:val="1"/>
    <w:qFormat/>
    <w:uiPriority w:val="0"/>
    <w:pPr>
      <w:widowControl/>
      <w:tabs>
        <w:tab w:val="center" w:pos="4153"/>
        <w:tab w:val="right" w:pos="8306"/>
      </w:tabs>
      <w:snapToGrid w:val="0"/>
      <w:jc w:val="left"/>
    </w:pPr>
    <w:rPr>
      <w:rFonts w:ascii="宋体"/>
      <w:sz w:val="18"/>
    </w:rPr>
  </w:style>
  <w:style w:type="paragraph" w:customStyle="1" w:styleId="135">
    <w:name w:val="正文文本缩进 New New New New New New New New New"/>
    <w:basedOn w:val="87"/>
    <w:qFormat/>
    <w:uiPriority w:val="0"/>
    <w:pPr>
      <w:spacing w:after="120" w:afterLines="0"/>
      <w:ind w:left="420" w:leftChars="200"/>
    </w:pPr>
    <w:rPr>
      <w:rFonts w:eastAsia="宋体"/>
      <w:szCs w:val="24"/>
      <w:lang w:bidi="ar-SA"/>
    </w:rPr>
  </w:style>
  <w:style w:type="paragraph" w:customStyle="1" w:styleId="136">
    <w:name w:val="页脚 New New New New New New New New New New New New New New New"/>
    <w:basedOn w:val="137"/>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37">
    <w:name w:val="正文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8">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9">
    <w:name w:val="Body text|221"/>
    <w:basedOn w:val="1"/>
    <w:qFormat/>
    <w:uiPriority w:val="0"/>
    <w:pPr>
      <w:widowControl w:val="0"/>
      <w:shd w:val="clear" w:color="auto" w:fill="FFFFFF"/>
      <w:spacing w:before="700" w:line="396" w:lineRule="exact"/>
      <w:ind w:hanging="860"/>
      <w:jc w:val="distribute"/>
    </w:pPr>
    <w:rPr>
      <w:rFonts w:ascii="PMingLiU" w:hAnsi="PMingLiU" w:eastAsia="PMingLiU" w:cs="PMingLiU"/>
      <w:sz w:val="20"/>
      <w:szCs w:val="20"/>
      <w:u w:val="none"/>
    </w:rPr>
  </w:style>
  <w:style w:type="paragraph" w:customStyle="1" w:styleId="140">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2">
    <w:name w:val="页脚 New New New New New New New New New"/>
    <w:basedOn w:val="143"/>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43">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文本缩进 New New"/>
    <w:basedOn w:val="80"/>
    <w:qFormat/>
    <w:uiPriority w:val="0"/>
    <w:pPr>
      <w:ind w:firstLine="560" w:firstLineChars="200"/>
    </w:pPr>
    <w:rPr>
      <w:rFonts w:ascii="宋体"/>
      <w:kern w:val="2"/>
      <w:sz w:val="24"/>
    </w:rPr>
  </w:style>
  <w:style w:type="paragraph" w:customStyle="1" w:styleId="145">
    <w:name w:val="页脚 New New New New New New"/>
    <w:basedOn w:val="97"/>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147">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页眉 New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49">
    <w:name w:val="页脚 New New New New New New New New New New New New New"/>
    <w:basedOn w:val="96"/>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50">
    <w:name w:val="列出段落3"/>
    <w:basedOn w:val="1"/>
    <w:qFormat/>
    <w:uiPriority w:val="0"/>
    <w:pPr>
      <w:ind w:firstLine="420" w:firstLineChars="200"/>
    </w:pPr>
    <w:rPr>
      <w:szCs w:val="20"/>
    </w:rPr>
  </w:style>
  <w:style w:type="paragraph" w:customStyle="1" w:styleId="151">
    <w:name w:val="页脚 New New New New New New New New New New New New New New"/>
    <w:basedOn w:val="152"/>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52">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4">
    <w:name w:val="列出段落1"/>
    <w:basedOn w:val="1"/>
    <w:qFormat/>
    <w:uiPriority w:val="0"/>
    <w:pPr>
      <w:adjustRightInd w:val="0"/>
      <w:snapToGrid w:val="0"/>
      <w:spacing w:line="312" w:lineRule="auto"/>
      <w:ind w:firstLine="420" w:firstLineChars="200"/>
    </w:pPr>
    <w:rPr>
      <w:sz w:val="20"/>
    </w:rPr>
  </w:style>
  <w:style w:type="paragraph" w:customStyle="1" w:styleId="155">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156">
    <w:name w:val="List Paragraph"/>
    <w:basedOn w:val="1"/>
    <w:qFormat/>
    <w:uiPriority w:val="99"/>
    <w:pPr>
      <w:ind w:firstLine="420"/>
    </w:pPr>
  </w:style>
  <w:style w:type="paragraph" w:customStyle="1" w:styleId="157">
    <w:name w:val="普通(网站) New"/>
    <w:basedOn w:val="158"/>
    <w:qFormat/>
    <w:uiPriority w:val="0"/>
    <w:rPr>
      <w:sz w:val="24"/>
    </w:rPr>
  </w:style>
  <w:style w:type="paragraph" w:customStyle="1" w:styleId="15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文档结构图 New New New New New"/>
    <w:basedOn w:val="100"/>
    <w:qFormat/>
    <w:uiPriority w:val="0"/>
    <w:pPr>
      <w:shd w:val="clear" w:color="auto" w:fill="000080"/>
    </w:pPr>
  </w:style>
  <w:style w:type="paragraph" w:customStyle="1" w:styleId="160">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61">
    <w:name w:val="正文缩进1"/>
    <w:basedOn w:val="1"/>
    <w:qFormat/>
    <w:uiPriority w:val="0"/>
    <w:pPr>
      <w:widowControl/>
      <w:ind w:firstLine="420"/>
      <w:jc w:val="left"/>
    </w:pPr>
    <w:rPr>
      <w:kern w:val="0"/>
    </w:rPr>
  </w:style>
  <w:style w:type="paragraph" w:customStyle="1" w:styleId="162">
    <w:name w:val="页脚 New New New New New New New New New New New New New New New New New"/>
    <w:basedOn w:val="163"/>
    <w:qFormat/>
    <w:uiPriority w:val="0"/>
    <w:pPr>
      <w:widowControl/>
      <w:tabs>
        <w:tab w:val="center" w:pos="4153"/>
        <w:tab w:val="right" w:pos="8306"/>
      </w:tabs>
      <w:snapToGrid w:val="0"/>
      <w:jc w:val="left"/>
    </w:pPr>
    <w:rPr>
      <w:kern w:val="0"/>
      <w:sz w:val="18"/>
    </w:rPr>
  </w:style>
  <w:style w:type="paragraph" w:customStyle="1" w:styleId="163">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4">
    <w:name w:val="标题三"/>
    <w:basedOn w:val="5"/>
    <w:qFormat/>
    <w:uiPriority w:val="0"/>
    <w:pPr>
      <w:keepNext w:val="0"/>
      <w:keepLines w:val="0"/>
      <w:spacing w:before="240" w:beforeLines="0" w:after="240" w:afterLines="0" w:line="480" w:lineRule="exact"/>
    </w:pPr>
    <w:rPr>
      <w:rFonts w:ascii="Times New Roman" w:hAnsi="Times New Roman" w:eastAsia="宋体" w:cs="宋体"/>
      <w:sz w:val="28"/>
      <w:szCs w:val="20"/>
    </w:rPr>
  </w:style>
  <w:style w:type="paragraph" w:customStyle="1" w:styleId="165">
    <w:name w:val="正文文本 New New"/>
    <w:basedOn w:val="128"/>
    <w:qFormat/>
    <w:uiPriority w:val="0"/>
    <w:pPr>
      <w:spacing w:after="120" w:afterLines="0" w:afterAutospacing="0"/>
    </w:pPr>
  </w:style>
  <w:style w:type="paragraph" w:customStyle="1" w:styleId="166">
    <w:name w:val="正文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7">
    <w:name w:val="标题 3 New New New New New"/>
    <w:basedOn w:val="110"/>
    <w:next w:val="110"/>
    <w:qFormat/>
    <w:uiPriority w:val="0"/>
    <w:pPr>
      <w:keepNext/>
      <w:keepLines/>
      <w:spacing w:before="120" w:beforeLines="0" w:beforeAutospacing="0" w:after="120" w:afterLines="0" w:afterAutospacing="0"/>
      <w:jc w:val="center"/>
      <w:outlineLvl w:val="2"/>
    </w:pPr>
    <w:rPr>
      <w:rFonts w:ascii="宋体" w:eastAsia="宋体"/>
      <w:sz w:val="24"/>
      <w:lang w:val="en-US" w:eastAsia="zh-CN" w:bidi="ar-SA"/>
    </w:rPr>
  </w:style>
  <w:style w:type="paragraph" w:customStyle="1" w:styleId="168">
    <w:name w:val="标题 3 New New"/>
    <w:basedOn w:val="117"/>
    <w:next w:val="117"/>
    <w:qFormat/>
    <w:uiPriority w:val="0"/>
    <w:pPr>
      <w:keepNext/>
      <w:keepLines/>
      <w:spacing w:before="120" w:beforeLines="0" w:beforeAutospacing="0" w:after="120" w:afterLines="0" w:afterAutospacing="0"/>
      <w:jc w:val="center"/>
      <w:outlineLvl w:val="2"/>
    </w:pPr>
    <w:rPr>
      <w:sz w:val="24"/>
    </w:rPr>
  </w:style>
  <w:style w:type="paragraph" w:customStyle="1" w:styleId="169">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0">
    <w:name w:val="Normal Indent1"/>
    <w:basedOn w:val="1"/>
    <w:qFormat/>
    <w:uiPriority w:val="0"/>
    <w:pPr>
      <w:widowControl/>
      <w:ind w:firstLine="420"/>
      <w:jc w:val="left"/>
    </w:pPr>
    <w:rPr>
      <w:rFonts w:ascii="Times New Roman" w:hAnsi="Times New Roman"/>
      <w:kern w:val="0"/>
      <w:szCs w:val="20"/>
    </w:rPr>
  </w:style>
  <w:style w:type="paragraph" w:customStyle="1" w:styleId="17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2">
    <w:name w:val="正文文本 New"/>
    <w:basedOn w:val="80"/>
    <w:qFormat/>
    <w:uiPriority w:val="0"/>
    <w:pPr>
      <w:spacing w:after="120" w:afterLines="0" w:afterAutospacing="0"/>
    </w:pPr>
  </w:style>
  <w:style w:type="paragraph" w:customStyle="1" w:styleId="173">
    <w:name w:val="页脚 New New New New New New New New New New New New New New New New New New"/>
    <w:basedOn w:val="174"/>
    <w:qFormat/>
    <w:uiPriority w:val="0"/>
    <w:pPr>
      <w:widowControl/>
      <w:tabs>
        <w:tab w:val="center" w:pos="4153"/>
        <w:tab w:val="right" w:pos="8306"/>
      </w:tabs>
      <w:snapToGrid w:val="0"/>
      <w:jc w:val="left"/>
    </w:pPr>
    <w:rPr>
      <w:kern w:val="0"/>
      <w:sz w:val="18"/>
    </w:rPr>
  </w:style>
  <w:style w:type="paragraph" w:customStyle="1" w:styleId="174">
    <w:name w:val="正文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77">
    <w:name w:val="页脚 New New New New New New New New New New"/>
    <w:basedOn w:val="108"/>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78">
    <w:name w:val="图"/>
    <w:basedOn w:val="1"/>
    <w:qFormat/>
    <w:uiPriority w:val="0"/>
    <w:pPr>
      <w:keepNext/>
      <w:adjustRightInd w:val="0"/>
      <w:spacing w:before="60" w:beforeLines="0" w:after="60" w:afterLines="0" w:line="300" w:lineRule="auto"/>
      <w:jc w:val="center"/>
      <w:textAlignment w:val="center"/>
    </w:pPr>
    <w:rPr>
      <w:rFonts w:ascii="Times New Roman"/>
      <w:snapToGrid w:val="0"/>
      <w:spacing w:val="20"/>
      <w:kern w:val="0"/>
    </w:rPr>
  </w:style>
  <w:style w:type="paragraph" w:customStyle="1" w:styleId="179">
    <w:name w:val="标题 1 New"/>
    <w:basedOn w:val="80"/>
    <w:next w:val="80"/>
    <w:qFormat/>
    <w:uiPriority w:val="0"/>
    <w:pPr>
      <w:autoSpaceDE w:val="0"/>
      <w:autoSpaceDN w:val="0"/>
      <w:adjustRightInd w:val="0"/>
      <w:jc w:val="left"/>
      <w:outlineLvl w:val="0"/>
    </w:pPr>
    <w:rPr>
      <w:kern w:val="0"/>
      <w:sz w:val="30"/>
    </w:rPr>
  </w:style>
  <w:style w:type="paragraph" w:customStyle="1" w:styleId="180">
    <w:name w:val="页脚 New New New New New New New New"/>
    <w:basedOn w:val="181"/>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81">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2">
    <w:name w:val="TOC 标题1"/>
    <w:basedOn w:val="4"/>
    <w:next w:val="1"/>
    <w:qFormat/>
    <w:uiPriority w:val="0"/>
    <w:pPr>
      <w:widowControl/>
      <w:spacing w:before="480" w:beforeLines="0" w:line="276" w:lineRule="auto"/>
      <w:outlineLvl w:val="9"/>
    </w:pPr>
    <w:rPr>
      <w:rFonts w:ascii="Cambria" w:hAnsi="Cambria"/>
      <w:color w:val="366091"/>
      <w:sz w:val="28"/>
      <w:szCs w:val="28"/>
    </w:rPr>
  </w:style>
  <w:style w:type="paragraph" w:customStyle="1" w:styleId="183">
    <w:name w:val="标题 3 New"/>
    <w:basedOn w:val="117"/>
    <w:next w:val="117"/>
    <w:qFormat/>
    <w:uiPriority w:val="0"/>
    <w:pPr>
      <w:keepNext/>
      <w:keepLines/>
      <w:spacing w:before="120" w:beforeLines="0" w:after="120" w:afterLines="0"/>
      <w:jc w:val="center"/>
      <w:outlineLvl w:val="2"/>
    </w:pPr>
    <w:rPr>
      <w:sz w:val="24"/>
    </w:rPr>
  </w:style>
  <w:style w:type="paragraph" w:customStyle="1" w:styleId="184">
    <w:name w:val="xl24"/>
    <w:basedOn w:val="1"/>
    <w:qFormat/>
    <w:uiPriority w:val="0"/>
    <w:pPr>
      <w:widowControl/>
      <w:spacing w:before="100" w:beforeLines="0" w:after="100" w:afterLines="0"/>
      <w:jc w:val="center"/>
      <w:textAlignment w:val="center"/>
    </w:pPr>
    <w:rPr>
      <w:rFonts w:ascii="宋体" w:hAnsi="宋体"/>
      <w:kern w:val="0"/>
      <w:sz w:val="24"/>
    </w:rPr>
  </w:style>
  <w:style w:type="paragraph" w:customStyle="1" w:styleId="185">
    <w:name w:val="标题 3 New New New"/>
    <w:basedOn w:val="117"/>
    <w:next w:val="117"/>
    <w:qFormat/>
    <w:uiPriority w:val="0"/>
    <w:pPr>
      <w:keepNext/>
      <w:keepLines/>
      <w:spacing w:before="120" w:beforeLines="0" w:beforeAutospacing="0" w:after="120" w:afterLines="0" w:afterAutospacing="0"/>
      <w:jc w:val="center"/>
      <w:outlineLvl w:val="2"/>
    </w:pPr>
    <w:rPr>
      <w:sz w:val="24"/>
    </w:rPr>
  </w:style>
  <w:style w:type="paragraph" w:customStyle="1" w:styleId="186">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7">
    <w:name w:val="标题 3 New New New New New New"/>
    <w:basedOn w:val="104"/>
    <w:next w:val="104"/>
    <w:qFormat/>
    <w:uiPriority w:val="0"/>
    <w:pPr>
      <w:keepNext/>
      <w:keepLines/>
      <w:spacing w:before="120" w:beforeLines="0" w:beforeAutospacing="0" w:after="120" w:afterLines="0" w:afterAutospacing="0"/>
      <w:jc w:val="center"/>
      <w:outlineLvl w:val="2"/>
    </w:pPr>
    <w:rPr>
      <w:rFonts w:ascii="宋体" w:eastAsia="宋体"/>
      <w:sz w:val="24"/>
      <w:lang w:val="en-US" w:eastAsia="zh-CN" w:bidi="ar-SA"/>
    </w:rPr>
  </w:style>
  <w:style w:type="paragraph" w:customStyle="1" w:styleId="188">
    <w:name w:val="正文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9">
    <w:name w:val="页脚 New New New New New New New New New New New"/>
    <w:basedOn w:val="124"/>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190">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2">
    <w:name w:val="正文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3">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94">
    <w:name w:val="正文正"/>
    <w:basedOn w:val="91"/>
    <w:qFormat/>
    <w:uiPriority w:val="99"/>
    <w:pPr>
      <w:spacing w:line="560" w:lineRule="exact"/>
      <w:ind w:firstLine="561"/>
    </w:pPr>
    <w:rPr>
      <w:rFonts w:ascii="Calibri" w:hAnsi="Calibri" w:cs="Calibri"/>
      <w:sz w:val="28"/>
      <w:szCs w:val="28"/>
    </w:rPr>
  </w:style>
  <w:style w:type="paragraph" w:customStyle="1" w:styleId="195">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6">
    <w:name w:val="页脚 New New New New New New New New New New New New New New New New New New New"/>
    <w:basedOn w:val="146"/>
    <w:qFormat/>
    <w:uiPriority w:val="0"/>
    <w:pPr>
      <w:tabs>
        <w:tab w:val="center" w:pos="4153"/>
        <w:tab w:val="right" w:pos="8306"/>
      </w:tabs>
      <w:snapToGrid w:val="0"/>
      <w:jc w:val="left"/>
    </w:pPr>
    <w:rPr>
      <w:sz w:val="18"/>
      <w:szCs w:val="18"/>
    </w:rPr>
  </w:style>
  <w:style w:type="paragraph" w:customStyle="1" w:styleId="197">
    <w:name w:val="页脚 New New New New New New New New New New New New New New New New New New New New"/>
    <w:basedOn w:val="102"/>
    <w:qFormat/>
    <w:uiPriority w:val="0"/>
    <w:pPr>
      <w:widowControl/>
      <w:tabs>
        <w:tab w:val="center" w:pos="4153"/>
        <w:tab w:val="right" w:pos="8306"/>
      </w:tabs>
      <w:snapToGrid w:val="0"/>
      <w:jc w:val="left"/>
    </w:pPr>
    <w:rPr>
      <w:kern w:val="0"/>
      <w:sz w:val="18"/>
    </w:rPr>
  </w:style>
  <w:style w:type="paragraph" w:customStyle="1" w:styleId="198">
    <w:name w:val="正文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9">
    <w:name w:val="正文文本缩进 3 New"/>
    <w:basedOn w:val="80"/>
    <w:qFormat/>
    <w:uiPriority w:val="0"/>
    <w:pPr>
      <w:ind w:firstLine="560"/>
    </w:pPr>
    <w:rPr>
      <w:rFonts w:ascii="宋体" w:eastAsia="宋体"/>
      <w:color w:val="FF0000"/>
      <w:kern w:val="2"/>
      <w:sz w:val="24"/>
      <w:lang w:val="en-US" w:eastAsia="zh-CN" w:bidi="ar-SA"/>
    </w:rPr>
  </w:style>
  <w:style w:type="paragraph" w:customStyle="1" w:styleId="200">
    <w:name w:val="标题 2 New New New"/>
    <w:basedOn w:val="90"/>
    <w:next w:val="90"/>
    <w:qFormat/>
    <w:uiPriority w:val="0"/>
    <w:pPr>
      <w:autoSpaceDE w:val="0"/>
      <w:autoSpaceDN w:val="0"/>
      <w:adjustRightInd w:val="0"/>
      <w:jc w:val="left"/>
      <w:outlineLvl w:val="1"/>
    </w:pPr>
    <w:rPr>
      <w:rFonts w:ascii="宋体" w:eastAsia="宋体"/>
      <w:sz w:val="24"/>
      <w:lang w:val="en-US" w:eastAsia="zh-CN" w:bidi="ar-SA"/>
    </w:rPr>
  </w:style>
  <w:style w:type="paragraph" w:customStyle="1" w:styleId="201">
    <w:name w:val="Normal Indent"/>
    <w:basedOn w:val="1"/>
    <w:qFormat/>
    <w:uiPriority w:val="0"/>
    <w:pPr>
      <w:widowControl/>
      <w:ind w:firstLine="420"/>
      <w:jc w:val="left"/>
    </w:pPr>
    <w:rPr>
      <w:rFonts w:ascii="Times New Roman" w:hAnsi="Times New Roman"/>
      <w:kern w:val="0"/>
      <w:szCs w:val="20"/>
    </w:rPr>
  </w:style>
  <w:style w:type="paragraph" w:customStyle="1" w:styleId="202">
    <w:name w:val="正文文本缩进 New New New New"/>
    <w:basedOn w:val="193"/>
    <w:qFormat/>
    <w:uiPriority w:val="0"/>
    <w:pPr>
      <w:ind w:firstLine="560" w:firstLineChars="200"/>
    </w:pPr>
    <w:rPr>
      <w:rFonts w:ascii="宋体"/>
      <w:kern w:val="2"/>
      <w:sz w:val="24"/>
      <w:szCs w:val="28"/>
    </w:rPr>
  </w:style>
  <w:style w:type="paragraph" w:customStyle="1" w:styleId="203">
    <w:name w:val="批注文字 New"/>
    <w:basedOn w:val="198"/>
    <w:qFormat/>
    <w:uiPriority w:val="0"/>
    <w:pPr>
      <w:adjustRightInd w:val="0"/>
      <w:spacing w:line="360" w:lineRule="atLeast"/>
      <w:jc w:val="left"/>
      <w:textAlignment w:val="baseline"/>
    </w:pPr>
    <w:rPr>
      <w:rFonts w:ascii="宋体" w:eastAsia="宋体"/>
      <w:sz w:val="24"/>
      <w:lang w:val="en-US" w:eastAsia="zh-CN" w:bidi="ar-SA"/>
    </w:rPr>
  </w:style>
  <w:style w:type="paragraph" w:customStyle="1" w:styleId="204">
    <w:name w:val="文档结构图 New New New"/>
    <w:basedOn w:val="174"/>
    <w:qFormat/>
    <w:uiPriority w:val="0"/>
    <w:pPr>
      <w:shd w:val="clear" w:color="auto" w:fill="000080"/>
    </w:pPr>
  </w:style>
  <w:style w:type="paragraph" w:customStyle="1" w:styleId="205">
    <w:name w:val="页眉 New New"/>
    <w:basedOn w:val="1"/>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206">
    <w:name w:val="文档结构图 New New"/>
    <w:basedOn w:val="128"/>
    <w:qFormat/>
    <w:uiPriority w:val="0"/>
    <w:pPr>
      <w:shd w:val="clear" w:color="auto" w:fill="000080"/>
    </w:pPr>
  </w:style>
  <w:style w:type="paragraph" w:customStyle="1" w:styleId="207">
    <w:name w:val="页脚 New New New New New New New New New New New New"/>
    <w:basedOn w:val="186"/>
    <w:qFormat/>
    <w:uiPriority w:val="0"/>
    <w:pPr>
      <w:widowControl/>
      <w:tabs>
        <w:tab w:val="center" w:pos="4153"/>
        <w:tab w:val="right" w:pos="8306"/>
      </w:tabs>
      <w:snapToGrid w:val="0"/>
      <w:jc w:val="left"/>
    </w:pPr>
    <w:rPr>
      <w:rFonts w:ascii="宋体" w:eastAsia="宋体"/>
      <w:sz w:val="18"/>
      <w:lang w:val="en-US" w:eastAsia="zh-CN" w:bidi="ar-SA"/>
    </w:rPr>
  </w:style>
  <w:style w:type="paragraph" w:customStyle="1" w:styleId="208">
    <w:name w:val="页脚 New"/>
    <w:basedOn w:val="80"/>
    <w:qFormat/>
    <w:uiPriority w:val="0"/>
    <w:pPr>
      <w:widowControl/>
      <w:tabs>
        <w:tab w:val="center" w:pos="4153"/>
        <w:tab w:val="right" w:pos="8306"/>
      </w:tabs>
      <w:snapToGrid w:val="0"/>
      <w:jc w:val="left"/>
    </w:pPr>
    <w:rPr>
      <w:kern w:val="0"/>
      <w:sz w:val="18"/>
    </w:rPr>
  </w:style>
  <w:style w:type="paragraph" w:customStyle="1" w:styleId="209">
    <w:name w:val="页脚 New New New"/>
    <w:basedOn w:val="1"/>
    <w:qFormat/>
    <w:uiPriority w:val="0"/>
    <w:pPr>
      <w:widowControl/>
      <w:tabs>
        <w:tab w:val="center" w:pos="4153"/>
        <w:tab w:val="right" w:pos="8306"/>
      </w:tabs>
      <w:snapToGrid w:val="0"/>
      <w:jc w:val="left"/>
    </w:pPr>
    <w:rPr>
      <w:rFonts w:ascii="宋体"/>
      <w:sz w:val="18"/>
    </w:rPr>
  </w:style>
  <w:style w:type="paragraph" w:customStyle="1" w:styleId="210">
    <w:name w:val=" Char"/>
    <w:basedOn w:val="1"/>
    <w:qFormat/>
    <w:uiPriority w:val="0"/>
    <w:pPr>
      <w:spacing w:line="240" w:lineRule="auto"/>
    </w:pPr>
    <w:rPr>
      <w:rFonts w:ascii="Tahoma" w:hAnsi="Tahoma"/>
      <w:szCs w:val="24"/>
    </w:rPr>
  </w:style>
  <w:style w:type="paragraph" w:customStyle="1" w:styleId="211">
    <w:name w:val="标题 3 New New New New"/>
    <w:basedOn w:val="95"/>
    <w:next w:val="95"/>
    <w:qFormat/>
    <w:uiPriority w:val="0"/>
    <w:pPr>
      <w:keepNext/>
      <w:keepLines/>
      <w:spacing w:before="120" w:beforeLines="0" w:beforeAutospacing="0" w:after="120" w:afterLines="0" w:afterAutospacing="0"/>
      <w:jc w:val="center"/>
      <w:outlineLvl w:val="2"/>
    </w:pPr>
    <w:rPr>
      <w:rFonts w:ascii="宋体" w:eastAsia="宋体"/>
      <w:sz w:val="24"/>
      <w:lang w:val="en-US" w:eastAsia="zh-CN" w:bidi="ar-SA"/>
    </w:rPr>
  </w:style>
  <w:style w:type="paragraph" w:customStyle="1" w:styleId="212">
    <w:name w:val="索引标题 New"/>
    <w:basedOn w:val="1"/>
    <w:next w:val="98"/>
    <w:qFormat/>
    <w:uiPriority w:val="0"/>
    <w:pPr>
      <w:spacing w:line="240" w:lineRule="auto"/>
    </w:pPr>
    <w:rPr>
      <w:rFonts w:ascii="Times New Roman"/>
      <w:sz w:val="21"/>
    </w:rPr>
  </w:style>
  <w:style w:type="paragraph" w:customStyle="1" w:styleId="213">
    <w:name w:val="样式 样式 四号 首行缩进:  0 厘米 + 首行缩进:  2 字符"/>
    <w:basedOn w:val="1"/>
    <w:qFormat/>
    <w:uiPriority w:val="0"/>
    <w:pPr>
      <w:snapToGrid/>
      <w:spacing w:before="120" w:beforeLines="0" w:after="0" w:afterLines="0" w:line="360" w:lineRule="auto"/>
      <w:ind w:firstLine="566" w:firstLineChars="236"/>
      <w:jc w:val="both"/>
    </w:pPr>
    <w:rPr>
      <w:rFonts w:ascii="Times New Roman" w:hAnsi="Times New Roman" w:eastAsia="宋体" w:cs="Times New Roman"/>
      <w:kern w:val="24"/>
      <w:sz w:val="21"/>
      <w:szCs w:val="21"/>
    </w:rPr>
  </w:style>
  <w:style w:type="paragraph" w:customStyle="1" w:styleId="214">
    <w:name w:val="正文1"/>
    <w:qFormat/>
    <w:uiPriority w:val="0"/>
    <w:pPr>
      <w:widowControl w:val="0"/>
      <w:spacing w:after="156"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15">
    <w:name w:val="目录 3 New"/>
    <w:basedOn w:val="80"/>
    <w:next w:val="80"/>
    <w:qFormat/>
    <w:uiPriority w:val="0"/>
    <w:pPr>
      <w:ind w:left="561"/>
      <w:jc w:val="left"/>
    </w:pPr>
    <w:rPr>
      <w:sz w:val="24"/>
    </w:rPr>
  </w:style>
  <w:style w:type="paragraph" w:customStyle="1" w:styleId="216">
    <w:name w:val="p0"/>
    <w:basedOn w:val="1"/>
    <w:qFormat/>
    <w:uiPriority w:val="0"/>
    <w:pPr>
      <w:spacing w:line="360" w:lineRule="auto"/>
      <w:jc w:val="both"/>
    </w:pPr>
    <w:rPr>
      <w:rFonts w:hAnsi="宋体" w:cs="宋体"/>
      <w:kern w:val="0"/>
      <w:szCs w:val="24"/>
    </w:rPr>
  </w:style>
  <w:style w:type="paragraph" w:customStyle="1" w:styleId="217">
    <w:name w:val="Table Text"/>
    <w:basedOn w:val="1"/>
    <w:semiHidden/>
    <w:qFormat/>
    <w:uiPriority w:val="0"/>
    <w:rPr>
      <w:rFonts w:ascii="宋体" w:hAnsi="宋体" w:eastAsia="宋体" w:cs="宋体"/>
      <w:sz w:val="20"/>
      <w:szCs w:val="20"/>
      <w:lang w:val="en-US" w:eastAsia="en-US" w:bidi="ar-SA"/>
    </w:rPr>
  </w:style>
  <w:style w:type="paragraph" w:customStyle="1" w:styleId="218">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219">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50744</Words>
  <Characters>53960</Characters>
  <Lines>485</Lines>
  <Paragraphs>136</Paragraphs>
  <TotalTime>152</TotalTime>
  <ScaleCrop>false</ScaleCrop>
  <LinksUpToDate>false</LinksUpToDate>
  <CharactersWithSpaces>56341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2021-05-14T15:54:00Z</dcterms:created>
  <dc:creator>Administrator</dc:creator>
  <cp:lastModifiedBy>刘聪、</cp:lastModifiedBy>
  <cp:lastPrinted>2026-06-10T01:26:57Z</cp:lastPrinted>
  <dcterms:modified xsi:type="dcterms:W3CDTF">2026-06-10T03:46:29Z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2EDFD8FF103B4FD5A276EE3D1E6CFCF6_13</vt:lpwstr>
  </property>
  <property fmtid="{D5CDD505-2E9C-101B-9397-08002B2CF9AE}" pid="4" name="KSOTemplateDocerSaveRecord">
    <vt:lpwstr>eyJoZGlkIjoiZTE2MmJjZTY4MTc3YzQxMGVmOGU1MzgwMDJhZmUxYTgiLCJ1c2VySWQiOiI2MjI1MzA2MDkifQ==</vt:lpwstr>
  </property>
</Properties>
</file>