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AB54B">
      <w:pPr>
        <w:pStyle w:val="7"/>
        <w:pageBreakBefore w:val="0"/>
        <w:kinsoku/>
        <w:wordWrap/>
        <w:overflowPunct/>
        <w:bidi w:val="0"/>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6182995" cy="8742045"/>
            <wp:effectExtent l="0" t="0" r="8255" b="1905"/>
            <wp:docPr id="6" name="图片 6" descr="2025102310194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51023101944_01"/>
                    <pic:cNvPicPr>
                      <a:picLocks noChangeAspect="1"/>
                    </pic:cNvPicPr>
                  </pic:nvPicPr>
                  <pic:blipFill>
                    <a:blip r:embed="rId7"/>
                    <a:stretch>
                      <a:fillRect/>
                    </a:stretch>
                  </pic:blipFill>
                  <pic:spPr>
                    <a:xfrm>
                      <a:off x="0" y="0"/>
                      <a:ext cx="6182995" cy="8742045"/>
                    </a:xfrm>
                    <a:prstGeom prst="rect">
                      <a:avLst/>
                    </a:prstGeom>
                  </pic:spPr>
                </pic:pic>
              </a:graphicData>
            </a:graphic>
          </wp:inline>
        </w:drawing>
      </w:r>
    </w:p>
    <w:p w14:paraId="64AB696F">
      <w:pPr>
        <w:pageBreakBefore w:val="0"/>
        <w:tabs>
          <w:tab w:val="left" w:pos="4935"/>
        </w:tabs>
        <w:kinsoku/>
        <w:wordWrap/>
        <w:overflowPunct/>
        <w:bidi w:val="0"/>
        <w:adjustRightInd w:val="0"/>
        <w:snapToGrid w:val="0"/>
        <w:jc w:val="center"/>
        <w:rPr>
          <w:rFonts w:hint="eastAsia" w:ascii="Times New Roman"/>
          <w:b/>
          <w:snapToGrid w:val="0"/>
          <w:color w:val="auto"/>
          <w:kern w:val="0"/>
          <w:sz w:val="28"/>
          <w:szCs w:val="28"/>
          <w:highlight w:val="none"/>
        </w:rPr>
        <w:sectPr>
          <w:footerReference r:id="rId3"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start="1"/>
          <w:cols w:space="720" w:num="1"/>
          <w:docGrid w:linePitch="327" w:charSpace="0"/>
        </w:sectPr>
      </w:pPr>
    </w:p>
    <w:p w14:paraId="4D631BA9">
      <w:pPr>
        <w:pageBreakBefore w:val="0"/>
        <w:kinsoku/>
        <w:wordWrap/>
        <w:overflowPunct/>
        <w:bidi w:val="0"/>
        <w:rPr>
          <w:rFonts w:hint="eastAsia" w:ascii="宋体" w:hAnsi="宋体" w:eastAsia="宋体" w:cs="宋体"/>
          <w:color w:val="auto"/>
          <w:highlight w:val="none"/>
          <w:lang w:eastAsia="zh-CN"/>
        </w:rPr>
      </w:pPr>
    </w:p>
    <w:p w14:paraId="3EE40CB2">
      <w:pPr>
        <w:pageBreakBefore w:val="0"/>
        <w:kinsoku/>
        <w:wordWrap/>
        <w:overflowPunct/>
        <w:bidi w:val="0"/>
        <w:rPr>
          <w:rFonts w:hint="eastAsia" w:ascii="宋体" w:hAnsi="宋体" w:eastAsia="宋体" w:cs="宋体"/>
          <w:color w:val="auto"/>
          <w:highlight w:val="none"/>
        </w:rPr>
      </w:pPr>
    </w:p>
    <w:p w14:paraId="563F8F74">
      <w:pPr>
        <w:pageBreakBefore w:val="0"/>
        <w:kinsoku/>
        <w:wordWrap/>
        <w:overflowPunct/>
        <w:bidi w:val="0"/>
        <w:spacing w:before="0" w:beforeLines="0" w:after="0" w:afterLines="0" w:line="360" w:lineRule="auto"/>
        <w:ind w:left="0" w:leftChars="0" w:right="0" w:rightChars="0" w:firstLine="0" w:firstLineChars="0"/>
        <w:jc w:val="center"/>
        <w:rPr>
          <w:rFonts w:hint="eastAsia" w:ascii="宋体" w:hAnsi="宋体" w:eastAsia="宋体" w:cs="宋体"/>
          <w:b/>
          <w:bCs/>
          <w:color w:val="auto"/>
          <w:sz w:val="30"/>
          <w:szCs w:val="30"/>
          <w:highlight w:val="none"/>
        </w:rPr>
        <w:sectPr>
          <w:headerReference r:id="rId4" w:type="default"/>
          <w:pgSz w:w="11906" w:h="16839"/>
          <w:pgMar w:top="1134" w:right="1134" w:bottom="1134" w:left="1134" w:header="85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B0E3D45">
      <w:pPr>
        <w:pageBreakBefore w:val="0"/>
        <w:kinsoku/>
        <w:wordWrap/>
        <w:overflowPunct/>
        <w:bidi w:val="0"/>
        <w:spacing w:before="0" w:beforeLines="0" w:after="0" w:afterLines="0" w:line="360" w:lineRule="auto"/>
        <w:ind w:left="0" w:leftChars="0" w:right="0" w:rightChars="0" w:firstLine="0" w:firstLineChars="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目</w:t>
      </w:r>
      <w:r>
        <w:rPr>
          <w:rFonts w:hint="eastAsia" w:ascii="宋体" w:hAnsi="宋体" w:eastAsia="宋体" w:cs="宋体"/>
          <w:b/>
          <w:bCs/>
          <w:color w:val="auto"/>
          <w:sz w:val="30"/>
          <w:szCs w:val="30"/>
          <w:highlight w:val="none"/>
          <w:lang w:val="en-US" w:eastAsia="zh-CN"/>
        </w:rPr>
        <w:t xml:space="preserve">  </w:t>
      </w:r>
      <w:r>
        <w:rPr>
          <w:rFonts w:hint="eastAsia" w:ascii="宋体" w:hAnsi="宋体" w:eastAsia="宋体" w:cs="宋体"/>
          <w:b/>
          <w:bCs/>
          <w:color w:val="auto"/>
          <w:sz w:val="30"/>
          <w:szCs w:val="30"/>
          <w:highlight w:val="none"/>
        </w:rPr>
        <w:t>录</w:t>
      </w:r>
    </w:p>
    <w:p w14:paraId="78BAE2AF">
      <w:pPr>
        <w:pStyle w:val="19"/>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_Toc9284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6E18CDC">
      <w:pPr>
        <w:pStyle w:val="20"/>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_Toc10972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投标人须知前附表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_Toc10972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D019C8">
      <w:pPr>
        <w:pStyle w:val="20"/>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_Toc25818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w:t>
      </w:r>
      <w:r>
        <w:rPr>
          <w:rFonts w:hint="eastAsia" w:ascii="宋体" w:hAnsi="宋体" w:eastAsia="宋体" w:cs="宋体"/>
          <w:bCs/>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重要事项时间地点一览表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_Toc25818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25DD0A">
      <w:pPr>
        <w:pStyle w:val="20"/>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bCs/>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投标人须知正文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_Toc577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3103C0C">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_Toc19913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lang w:eastAsia="zh-CN"/>
        </w:rPr>
        <w:t>.</w:t>
      </w:r>
      <w:r>
        <w:rPr>
          <w:rFonts w:hint="eastAsia" w:ascii="宋体" w:hAnsi="宋体" w:eastAsia="宋体" w:cs="宋体"/>
          <w:bCs/>
          <w:color w:val="auto"/>
          <w:spacing w:val="-4"/>
          <w:sz w:val="24"/>
          <w:szCs w:val="24"/>
          <w:highlight w:val="none"/>
        </w:rPr>
        <w:t>项目概况、招标范围和标段划分、投标费用等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_Toc19913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16E4FE">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资质要求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_Toc826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980ECF5">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_Toc27377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w:t>
      </w:r>
      <w:r>
        <w:rPr>
          <w:rFonts w:hint="eastAsia" w:ascii="宋体" w:hAnsi="宋体" w:eastAsia="宋体" w:cs="宋体"/>
          <w:bCs/>
          <w:color w:val="auto"/>
          <w:spacing w:val="-4"/>
          <w:sz w:val="24"/>
          <w:szCs w:val="24"/>
          <w:highlight w:val="none"/>
          <w:lang w:val="en-US" w:eastAsia="zh-CN"/>
        </w:rPr>
        <w:t>.</w:t>
      </w:r>
      <w:r>
        <w:rPr>
          <w:rFonts w:hint="eastAsia" w:ascii="宋体" w:hAnsi="宋体" w:eastAsia="宋体" w:cs="宋体"/>
          <w:bCs/>
          <w:color w:val="auto"/>
          <w:spacing w:val="-4"/>
          <w:sz w:val="24"/>
          <w:szCs w:val="24"/>
          <w:highlight w:val="none"/>
        </w:rPr>
        <w:t>招标文件的获取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_Toc27377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DE62076">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_Toc22684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lang w:eastAsia="zh-CN"/>
        </w:rPr>
        <w:t>.</w:t>
      </w:r>
      <w:r>
        <w:rPr>
          <w:rFonts w:hint="eastAsia" w:ascii="宋体" w:hAnsi="宋体" w:eastAsia="宋体" w:cs="宋体"/>
          <w:bCs/>
          <w:color w:val="auto"/>
          <w:spacing w:val="-8"/>
          <w:sz w:val="24"/>
          <w:szCs w:val="24"/>
          <w:highlight w:val="none"/>
        </w:rPr>
        <w:t>工期要求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_Toc22684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BDD9A4">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_Toc10840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20"/>
          <w:sz w:val="24"/>
          <w:szCs w:val="24"/>
          <w:highlight w:val="none"/>
          <w:lang w:eastAsia="zh-CN"/>
        </w:rPr>
        <w:t>.</w:t>
      </w:r>
      <w:r>
        <w:rPr>
          <w:rFonts w:hint="eastAsia" w:ascii="宋体" w:hAnsi="宋体" w:eastAsia="宋体" w:cs="宋体"/>
          <w:bCs/>
          <w:color w:val="auto"/>
          <w:spacing w:val="-5"/>
          <w:sz w:val="24"/>
          <w:szCs w:val="24"/>
          <w:highlight w:val="none"/>
        </w:rPr>
        <w:t>质量标准和材料、机械要求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_Toc10840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0A93F6E">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_Toc2393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lang w:eastAsia="zh-CN"/>
        </w:rPr>
        <w:t>.</w:t>
      </w:r>
      <w:r>
        <w:rPr>
          <w:rFonts w:hint="eastAsia" w:ascii="宋体" w:hAnsi="宋体" w:eastAsia="宋体" w:cs="宋体"/>
          <w:bCs/>
          <w:color w:val="auto"/>
          <w:spacing w:val="-6"/>
          <w:sz w:val="24"/>
          <w:szCs w:val="24"/>
          <w:highlight w:val="none"/>
        </w:rPr>
        <w:t>施工条件及现场踏勘</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_Toc2393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B29D3C">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_Toc16998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lang w:eastAsia="zh-CN"/>
        </w:rPr>
        <w:t>.</w:t>
      </w:r>
      <w:r>
        <w:rPr>
          <w:rFonts w:hint="eastAsia" w:ascii="宋体" w:hAnsi="宋体" w:eastAsia="宋体" w:cs="宋体"/>
          <w:bCs/>
          <w:color w:val="auto"/>
          <w:spacing w:val="-1"/>
          <w:sz w:val="24"/>
          <w:szCs w:val="24"/>
          <w:highlight w:val="none"/>
          <w:lang w:val="en-US" w:eastAsia="zh-CN"/>
        </w:rPr>
        <w:t>招标控制价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_Toc16998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D6853E">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_Toc23804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lang w:eastAsia="zh-CN"/>
        </w:rPr>
        <w:t>.</w:t>
      </w:r>
      <w:r>
        <w:rPr>
          <w:rFonts w:hint="eastAsia" w:ascii="宋体" w:hAnsi="宋体" w:eastAsia="宋体" w:cs="宋体"/>
          <w:bCs/>
          <w:color w:val="auto"/>
          <w:spacing w:val="-8"/>
          <w:sz w:val="24"/>
          <w:szCs w:val="24"/>
          <w:highlight w:val="none"/>
        </w:rPr>
        <w:t>投标报价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_Toc23804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5EBB04">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_Toc9270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lang w:eastAsia="zh-CN"/>
        </w:rPr>
        <w:t>.</w:t>
      </w:r>
      <w:r>
        <w:rPr>
          <w:rFonts w:hint="eastAsia" w:ascii="宋体" w:hAnsi="宋体" w:eastAsia="宋体" w:cs="宋体"/>
          <w:bCs/>
          <w:color w:val="auto"/>
          <w:spacing w:val="-6"/>
          <w:sz w:val="24"/>
          <w:szCs w:val="24"/>
          <w:highlight w:val="none"/>
        </w:rPr>
        <w:t>投标文件的编制要求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_Toc9270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7AF75EC">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_Toc4360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11.电子投标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_Toc4360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12FA62">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9"/>
          <w:sz w:val="24"/>
          <w:szCs w:val="24"/>
          <w:highlight w:val="none"/>
        </w:rPr>
        <w:t>电子投标及投标解密失败及突发情况的补救方案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_Toc11460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349D98">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_Toc30180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lang w:eastAsia="zh-CN"/>
        </w:rPr>
        <w:t>.</w:t>
      </w:r>
      <w:r>
        <w:rPr>
          <w:rFonts w:hint="eastAsia" w:ascii="宋体" w:hAnsi="宋体" w:eastAsia="宋体" w:cs="宋体"/>
          <w:bCs/>
          <w:color w:val="auto"/>
          <w:spacing w:val="-7"/>
          <w:sz w:val="24"/>
          <w:szCs w:val="24"/>
          <w:highlight w:val="none"/>
        </w:rPr>
        <w:t>投标文件的提交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_Toc30180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F150009">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_Toc15544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lang w:eastAsia="zh-CN"/>
        </w:rPr>
        <w:t>.</w:t>
      </w:r>
      <w:r>
        <w:rPr>
          <w:rFonts w:hint="eastAsia" w:ascii="宋体" w:hAnsi="宋体" w:eastAsia="宋体" w:cs="宋体"/>
          <w:bCs/>
          <w:color w:val="auto"/>
          <w:spacing w:val="-11"/>
          <w:sz w:val="24"/>
          <w:szCs w:val="24"/>
          <w:highlight w:val="none"/>
        </w:rPr>
        <w:t>开标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_Toc15544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E9DA479">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_Toc23568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11"/>
          <w:sz w:val="24"/>
          <w:szCs w:val="24"/>
          <w:highlight w:val="none"/>
          <w:lang w:val="en-US" w:eastAsia="zh-CN"/>
        </w:rPr>
        <w:t>.</w:t>
      </w:r>
      <w:r>
        <w:rPr>
          <w:rFonts w:hint="eastAsia" w:ascii="宋体" w:hAnsi="宋体" w:eastAsia="宋体" w:cs="宋体"/>
          <w:bCs/>
          <w:color w:val="auto"/>
          <w:spacing w:val="-11"/>
          <w:sz w:val="24"/>
          <w:szCs w:val="24"/>
          <w:highlight w:val="none"/>
        </w:rPr>
        <w:t>评标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_Toc23568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00B5DCB">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_Toc21307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16</w:t>
      </w:r>
      <w:r>
        <w:rPr>
          <w:rFonts w:hint="eastAsia" w:ascii="宋体" w:hAnsi="宋体" w:eastAsia="宋体" w:cs="宋体"/>
          <w:bCs/>
          <w:color w:val="auto"/>
          <w:spacing w:val="-20"/>
          <w:sz w:val="24"/>
          <w:szCs w:val="24"/>
          <w:highlight w:val="none"/>
          <w:lang w:eastAsia="zh-CN"/>
        </w:rPr>
        <w:t>.</w:t>
      </w:r>
      <w:r>
        <w:rPr>
          <w:rFonts w:hint="eastAsia" w:ascii="宋体" w:hAnsi="宋体" w:eastAsia="宋体" w:cs="宋体"/>
          <w:bCs/>
          <w:color w:val="auto"/>
          <w:spacing w:val="-7"/>
          <w:sz w:val="24"/>
          <w:szCs w:val="24"/>
          <w:highlight w:val="none"/>
        </w:rPr>
        <w:t>中标候选人公示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_Toc21307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9C7E238">
      <w:pPr>
        <w:pStyle w:val="20"/>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_Toc7185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bCs/>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否决投标条件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_Toc7185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543CB8">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_Toc27832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lang w:eastAsia="zh-CN"/>
        </w:rPr>
        <w:t>.</w:t>
      </w:r>
      <w:r>
        <w:rPr>
          <w:rFonts w:hint="eastAsia" w:ascii="宋体" w:hAnsi="宋体" w:eastAsia="宋体" w:cs="宋体"/>
          <w:bCs/>
          <w:color w:val="auto"/>
          <w:spacing w:val="-8"/>
          <w:sz w:val="24"/>
          <w:szCs w:val="24"/>
          <w:highlight w:val="none"/>
        </w:rPr>
        <w:t>资格评审环节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_Toc27832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74F62D4">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_Toc5819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lang w:eastAsia="zh-CN"/>
        </w:rPr>
        <w:t>.</w:t>
      </w:r>
      <w:r>
        <w:rPr>
          <w:rFonts w:hint="eastAsia" w:ascii="宋体" w:hAnsi="宋体" w:eastAsia="宋体" w:cs="宋体"/>
          <w:bCs/>
          <w:color w:val="auto"/>
          <w:spacing w:val="-7"/>
          <w:sz w:val="24"/>
          <w:szCs w:val="24"/>
          <w:highlight w:val="none"/>
        </w:rPr>
        <w:t>形式评审环节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_Toc5819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84ADBD9">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_Toc11391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lang w:eastAsia="zh-CN"/>
        </w:rPr>
        <w:t>.</w:t>
      </w:r>
      <w:r>
        <w:rPr>
          <w:rFonts w:hint="eastAsia" w:ascii="宋体" w:hAnsi="宋体" w:eastAsia="宋体" w:cs="宋体"/>
          <w:bCs/>
          <w:color w:val="auto"/>
          <w:spacing w:val="-6"/>
          <w:sz w:val="24"/>
          <w:szCs w:val="24"/>
          <w:highlight w:val="none"/>
        </w:rPr>
        <w:t>响应性评审环节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_Toc11391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8CAFF27">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lang w:eastAsia="zh-CN"/>
        </w:rPr>
        <w:t>.</w:t>
      </w:r>
      <w:r>
        <w:rPr>
          <w:rFonts w:hint="eastAsia" w:ascii="宋体" w:hAnsi="宋体" w:eastAsia="宋体" w:cs="宋体"/>
          <w:bCs/>
          <w:color w:val="auto"/>
          <w:spacing w:val="-11"/>
          <w:sz w:val="24"/>
          <w:szCs w:val="24"/>
          <w:highlight w:val="none"/>
        </w:rPr>
        <w:t>其他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_Toc14523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21A72A">
      <w:pPr>
        <w:pStyle w:val="19"/>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_Toc20640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第二章</w:t>
      </w:r>
      <w:r>
        <w:rPr>
          <w:rFonts w:hint="eastAsia" w:ascii="宋体" w:hAnsi="宋体" w:eastAsia="宋体" w:cs="宋体"/>
          <w:bCs/>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中标人须知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_Toc20640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7480C9">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_Toc9110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中标通知书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_Toc9110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EA43DC">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_Toc10616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2</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中标结果公示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_Toc10616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B71ACBE">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_Toc28533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3</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履约保证</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_Toc28533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AC8ED5">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_Toc23236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合同订立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_Toc23236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2BBF160">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_Toc21620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5</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放弃中标的处理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_Toc21620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B80846">
      <w:pPr>
        <w:pStyle w:val="19"/>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_Toc6714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拟签订合同的主要条款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_Toc6714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583CD5B">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_Toc16212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工程承包方式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_Toc16212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D7BB3E">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_Toc32757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2</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工程结算原则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_Toc32757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7A1D4ED">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3. 工程付款办法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_Toc13494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6938881">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_Toc24375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其他专用合同条款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_Toc24375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4E353B3">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_Toc16211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5.</w:t>
      </w:r>
      <w:r>
        <w:rPr>
          <w:rFonts w:hint="eastAsia" w:ascii="宋体" w:hAnsi="宋体" w:eastAsia="宋体" w:cs="宋体"/>
          <w:bCs/>
          <w:color w:val="auto"/>
          <w:spacing w:val="-11"/>
          <w:sz w:val="24"/>
          <w:szCs w:val="24"/>
          <w:highlight w:val="none"/>
        </w:rPr>
        <w:t>工期进度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_Toc16211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EE6B47">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_Toc4690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6.项目管理机构</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_Toc4690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53312A">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_Toc18634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7.现场管理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_Toc18634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2A21FD3">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_Toc15027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8.监督实施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_Toc15027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8DC7F0">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9.主材的采购和使用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_Toc31222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D40A17">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_Toc15970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10.竣工资料移交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_Toc15970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9B9CDD3">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_Toc26354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11.质量保证</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_Toc26354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D5F573">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_Toc22137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12.不良行为处理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_Toc22137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FA8C00A">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13.信用评价条款内容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_Toc11310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FA428D">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_Toc24160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14.其他事项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_Toc24160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896FEA4">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_Toc3399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15.其他合同条款由招标人与中标人自行协商约定</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t>6</w:t>
      </w:r>
    </w:p>
    <w:p w14:paraId="3CB5D028">
      <w:pPr>
        <w:pStyle w:val="19"/>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_Toc20941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第四章</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技术要求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_Toc20941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55DF0C">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_Toc27517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1.房屋建筑工程建设项目</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_Toc27517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507D852">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_Toc6102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2.市政基础设施工程建设项目</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_Toc6102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DCEF26C">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_Toc22781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3.备查要求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_Toc22781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EA4154">
      <w:pPr>
        <w:pStyle w:val="19"/>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_Toc27553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第五章</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图纸和招标工程量清单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_Toc27553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BC0B5DC">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1.图纸</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_Toc30554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D49CF1F">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_Toc30574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2.招标工程量清单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_Toc30574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6FC137">
      <w:pPr>
        <w:pStyle w:val="19"/>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_Toc744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第六章</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_Toc744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5652A5C">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格式一   封面</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6996E0">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_Toc14807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格式二   投标函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_Toc14807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5B2D35">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_Toc32516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格式三   各项承诺一览表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_Toc32516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7D7089">
      <w:pPr>
        <w:pStyle w:val="12"/>
        <w:keepNext w:val="0"/>
        <w:keepLines w:val="0"/>
        <w:pageBreakBefore w:val="0"/>
        <w:widowControl/>
        <w:shd w:val="clear"/>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格式四   授权委托书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066D21B">
      <w:pPr>
        <w:pStyle w:val="12"/>
        <w:keepNext w:val="0"/>
        <w:keepLines w:val="0"/>
        <w:pageBreakBefore w:val="0"/>
        <w:widowControl/>
        <w:shd w:val="clear"/>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_Toc14327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格式五   法定代表人身份证明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_Toc14327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927908">
      <w:pPr>
        <w:pStyle w:val="12"/>
        <w:keepNext w:val="0"/>
        <w:keepLines w:val="0"/>
        <w:pageBreakBefore w:val="0"/>
        <w:widowControl/>
        <w:shd w:val="clear"/>
        <w:tabs>
          <w:tab w:val="right" w:leader="dot" w:pos="9638"/>
        </w:tabs>
        <w:kinsoku/>
        <w:wordWrap/>
        <w:overflowPunct/>
        <w:topLinePunct w:val="0"/>
        <w:autoSpaceDE w:val="0"/>
        <w:autoSpaceDN w:val="0"/>
        <w:bidi w:val="0"/>
        <w:adjustRightInd w:val="0"/>
        <w:snapToGrid w:val="0"/>
        <w:spacing w:line="288" w:lineRule="auto"/>
        <w:textAlignment w:val="baseline"/>
        <w:rPr>
          <w:rFonts w:hint="default" w:ascii="宋体" w:hAnsi="宋体" w:eastAsia="宋体" w:cs="宋体"/>
          <w:color w:val="auto"/>
          <w:sz w:val="24"/>
          <w:szCs w:val="24"/>
          <w:highlight w:val="none"/>
          <w:shd w:val="clear"/>
          <w:lang w:val="en-US" w:eastAsia="zh-CN"/>
        </w:rPr>
      </w:pPr>
      <w:r>
        <w:rPr>
          <w:rFonts w:hint="eastAsia" w:ascii="宋体" w:hAnsi="宋体" w:eastAsia="宋体" w:cs="宋体"/>
          <w:color w:val="auto"/>
          <w:sz w:val="24"/>
          <w:szCs w:val="24"/>
          <w:highlight w:val="none"/>
        </w:rPr>
        <w:t>格式六 联合体协议</w:t>
      </w:r>
      <w:r>
        <w:rPr>
          <w:rFonts w:hint="eastAsia" w:ascii="宋体" w:hAnsi="宋体" w:eastAsia="宋体" w:cs="宋体"/>
          <w:color w:val="auto"/>
          <w:sz w:val="24"/>
          <w:szCs w:val="24"/>
          <w:highlight w:val="none"/>
          <w:shd w:val="clear"/>
        </w:rPr>
        <w:t>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70</w:t>
      </w:r>
    </w:p>
    <w:p w14:paraId="475D392B">
      <w:pPr>
        <w:pStyle w:val="12"/>
        <w:keepNext w:val="0"/>
        <w:keepLines w:val="0"/>
        <w:pageBreakBefore w:val="0"/>
        <w:widowControl/>
        <w:shd w:val="clear"/>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_Toc15233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格式七    投标人基本情况表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_Toc15233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0AA85D9">
      <w:pPr>
        <w:pStyle w:val="12"/>
        <w:keepNext w:val="0"/>
        <w:keepLines w:val="0"/>
        <w:pageBreakBefore w:val="0"/>
        <w:widowControl/>
        <w:shd w:val="clear"/>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_Toc23039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格式八   项目经理简历表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_Toc23039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E2AD76B">
      <w:pPr>
        <w:pStyle w:val="12"/>
        <w:keepNext w:val="0"/>
        <w:keepLines w:val="0"/>
        <w:pageBreakBefore w:val="0"/>
        <w:widowControl/>
        <w:shd w:val="clear"/>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_Toc20129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格式九   项目经理任职声明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_Toc20129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6A326C8">
      <w:pPr>
        <w:pStyle w:val="12"/>
        <w:keepNext w:val="0"/>
        <w:keepLines w:val="0"/>
        <w:pageBreakBefore w:val="0"/>
        <w:widowControl/>
        <w:shd w:val="clear"/>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   项目技术负责人简历表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_Toc24090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604D8F">
      <w:pPr>
        <w:pStyle w:val="12"/>
        <w:keepNext w:val="0"/>
        <w:keepLines w:val="0"/>
        <w:pageBreakBefore w:val="0"/>
        <w:widowControl/>
        <w:shd w:val="clear"/>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_Toc3720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格式十一   项目管理机构组成表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_Toc3720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B1AFC76">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格式十二   建造师查询页（有效期+建造师签字）</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_Toc11234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0CFA02">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格式十三   危险性较大的分部分项工程清单及超过一定规模的危险性较大的分部分项工程清单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_Toc9813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E9BFA33">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_Toc25639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格式十四   投标保证金信用承诺函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_Toc25639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5B9E908">
      <w:pPr>
        <w:pStyle w:val="12"/>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_Toc29984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格式十五   原件一览表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_Toc29984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047379B">
      <w:pPr>
        <w:pStyle w:val="19"/>
        <w:keepNext w:val="0"/>
        <w:keepLines w:val="0"/>
        <w:pageBreakBefore w:val="0"/>
        <w:widowControl/>
        <w:tabs>
          <w:tab w:val="right" w:leader="dot" w:pos="9638"/>
        </w:tabs>
        <w:kinsoku/>
        <w:wordWrap/>
        <w:overflowPunct/>
        <w:topLinePunct w:val="0"/>
        <w:autoSpaceDE w:val="0"/>
        <w:autoSpaceDN w:val="0"/>
        <w:bidi w:val="0"/>
        <w:adjustRightInd w:val="0"/>
        <w:snapToGrid w:val="0"/>
        <w:spacing w:line="288" w:lineRule="auto"/>
        <w:textAlignment w:val="baseline"/>
        <w:rPr>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_Toc11550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第七章</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建设工程施工合同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_Toc11550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445C039">
      <w:pPr>
        <w:pageBreakBefore w:val="0"/>
        <w:kinsoku/>
        <w:wordWrap/>
        <w:overflowPunct/>
        <w:bidi w:val="0"/>
        <w:spacing w:line="24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fldChar w:fldCharType="end"/>
      </w:r>
    </w:p>
    <w:p w14:paraId="38EAEBA2">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br w:type="page"/>
      </w:r>
    </w:p>
    <w:p w14:paraId="1FF4BC8C">
      <w:pPr>
        <w:pageBreakBefore w:val="0"/>
        <w:kinsoku/>
        <w:wordWrap/>
        <w:overflowPunct/>
        <w:bidi w:val="0"/>
        <w:rPr>
          <w:rFonts w:hint="eastAsia" w:ascii="宋体" w:hAnsi="宋体" w:eastAsia="宋体" w:cs="宋体"/>
          <w:color w:val="auto"/>
          <w:highlight w:val="none"/>
        </w:rPr>
      </w:pPr>
    </w:p>
    <w:p w14:paraId="659E5FA8">
      <w:pPr>
        <w:pageBreakBefore w:val="0"/>
        <w:kinsoku/>
        <w:wordWrap/>
        <w:overflowPunct/>
        <w:bidi w:val="0"/>
        <w:spacing w:before="78" w:line="360" w:lineRule="auto"/>
        <w:jc w:val="center"/>
        <w:outlineLvl w:val="0"/>
        <w:rPr>
          <w:rFonts w:hint="eastAsia" w:ascii="宋体" w:hAnsi="宋体" w:eastAsia="宋体" w:cs="宋体"/>
          <w:color w:val="auto"/>
          <w:sz w:val="24"/>
          <w:szCs w:val="24"/>
          <w:highlight w:val="none"/>
        </w:rPr>
      </w:pPr>
      <w:bookmarkStart w:id="0" w:name="bookmark1"/>
      <w:bookmarkEnd w:id="0"/>
      <w:bookmarkStart w:id="1" w:name="_Toc9284"/>
      <w:bookmarkStart w:id="2" w:name="_Toc19872"/>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投标人须知</w:t>
      </w:r>
      <w:bookmarkEnd w:id="1"/>
      <w:bookmarkEnd w:id="2"/>
    </w:p>
    <w:p w14:paraId="30EA1A18">
      <w:pPr>
        <w:pageBreakBefore w:val="0"/>
        <w:kinsoku/>
        <w:wordWrap/>
        <w:overflowPunct/>
        <w:bidi w:val="0"/>
        <w:spacing w:before="156" w:line="360" w:lineRule="auto"/>
        <w:ind w:left="17"/>
        <w:outlineLvl w:val="1"/>
        <w:rPr>
          <w:rFonts w:hint="eastAsia" w:ascii="宋体" w:hAnsi="宋体" w:eastAsia="宋体" w:cs="宋体"/>
          <w:b/>
          <w:bCs/>
          <w:color w:val="auto"/>
          <w:spacing w:val="-3"/>
          <w:sz w:val="24"/>
          <w:szCs w:val="24"/>
          <w:highlight w:val="none"/>
        </w:rPr>
      </w:pPr>
      <w:bookmarkStart w:id="3" w:name="bookmark3"/>
      <w:bookmarkEnd w:id="3"/>
      <w:bookmarkStart w:id="4" w:name="_Toc10972"/>
      <w:bookmarkStart w:id="5" w:name="_Toc23115"/>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投标人须知前附表</w:t>
      </w:r>
      <w:bookmarkEnd w:id="4"/>
      <w:bookmarkEnd w:id="5"/>
    </w:p>
    <w:tbl>
      <w:tblPr>
        <w:tblStyle w:val="26"/>
        <w:tblW w:w="10200"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2447"/>
        <w:gridCol w:w="7020"/>
      </w:tblGrid>
      <w:tr w14:paraId="44D5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top"/>
          </w:tcPr>
          <w:p w14:paraId="7B2D9F2A">
            <w:pPr>
              <w:pageBreakBefore w:val="0"/>
              <w:widowControl w:val="0"/>
              <w:kinsoku/>
              <w:wordWrap/>
              <w:overflowPunct/>
              <w:bidi w:val="0"/>
              <w:spacing w:line="24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序号</w:t>
            </w:r>
          </w:p>
        </w:tc>
        <w:tc>
          <w:tcPr>
            <w:tcW w:w="2447" w:type="dxa"/>
            <w:shd w:val="clear" w:color="auto" w:fill="auto"/>
            <w:vAlign w:val="top"/>
          </w:tcPr>
          <w:p w14:paraId="59ADCDC3">
            <w:pPr>
              <w:pageBreakBefore w:val="0"/>
              <w:widowControl w:val="0"/>
              <w:kinsoku/>
              <w:wordWrap/>
              <w:overflowPunct/>
              <w:bidi w:val="0"/>
              <w:spacing w:line="24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内容</w:t>
            </w:r>
          </w:p>
        </w:tc>
        <w:tc>
          <w:tcPr>
            <w:tcW w:w="7020" w:type="dxa"/>
            <w:shd w:val="clear" w:color="auto" w:fill="auto"/>
            <w:vAlign w:val="top"/>
          </w:tcPr>
          <w:p w14:paraId="0BF5224D">
            <w:pPr>
              <w:pageBreakBefore w:val="0"/>
              <w:widowControl w:val="0"/>
              <w:kinsoku/>
              <w:wordWrap/>
              <w:overflowPunct/>
              <w:bidi w:val="0"/>
              <w:spacing w:line="24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说明与要求</w:t>
            </w:r>
          </w:p>
        </w:tc>
      </w:tr>
      <w:tr w14:paraId="5992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12F05F58">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1</w:t>
            </w:r>
          </w:p>
        </w:tc>
        <w:tc>
          <w:tcPr>
            <w:tcW w:w="2447" w:type="dxa"/>
            <w:shd w:val="clear" w:color="auto" w:fill="auto"/>
            <w:vAlign w:val="center"/>
          </w:tcPr>
          <w:p w14:paraId="43BE10D1">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项目名称</w:t>
            </w:r>
          </w:p>
        </w:tc>
        <w:tc>
          <w:tcPr>
            <w:tcW w:w="7020" w:type="dxa"/>
            <w:shd w:val="clear" w:color="auto" w:fill="auto"/>
            <w:vAlign w:val="center"/>
          </w:tcPr>
          <w:p w14:paraId="105699CE">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浈江产业园（犁市片区）基础设施建设项目（土方工程一期）施工</w:t>
            </w:r>
          </w:p>
        </w:tc>
      </w:tr>
      <w:tr w14:paraId="4F4E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5321AAAE">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w:t>
            </w:r>
          </w:p>
        </w:tc>
        <w:tc>
          <w:tcPr>
            <w:tcW w:w="2447" w:type="dxa"/>
            <w:shd w:val="clear" w:color="auto" w:fill="auto"/>
            <w:vAlign w:val="center"/>
          </w:tcPr>
          <w:p w14:paraId="53876A3C">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项目业主</w:t>
            </w:r>
          </w:p>
        </w:tc>
        <w:tc>
          <w:tcPr>
            <w:tcW w:w="7020" w:type="dxa"/>
            <w:shd w:val="clear" w:color="auto" w:fill="auto"/>
            <w:vAlign w:val="center"/>
          </w:tcPr>
          <w:p w14:paraId="30040E99">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东莞（韶关）浈江产业转移工业园管理委员会</w:t>
            </w:r>
          </w:p>
        </w:tc>
      </w:tr>
      <w:tr w14:paraId="6008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19F3CC81">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3</w:t>
            </w:r>
          </w:p>
        </w:tc>
        <w:tc>
          <w:tcPr>
            <w:tcW w:w="2447" w:type="dxa"/>
            <w:shd w:val="clear" w:color="auto" w:fill="auto"/>
            <w:vAlign w:val="center"/>
          </w:tcPr>
          <w:p w14:paraId="55EDB83D">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项目批准部门及项目批准文号</w:t>
            </w:r>
          </w:p>
        </w:tc>
        <w:tc>
          <w:tcPr>
            <w:tcW w:w="7020" w:type="dxa"/>
            <w:shd w:val="clear" w:color="auto" w:fill="auto"/>
            <w:vAlign w:val="center"/>
          </w:tcPr>
          <w:p w14:paraId="56FAEB61">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韶关市浈江区发展和改革局、韶浈发改投审〔2024〕20号，韶浈发改投审〔2025〕51号</w:t>
            </w:r>
          </w:p>
        </w:tc>
      </w:tr>
      <w:tr w14:paraId="5491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3DF3EAE8">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4</w:t>
            </w:r>
          </w:p>
        </w:tc>
        <w:tc>
          <w:tcPr>
            <w:tcW w:w="2447" w:type="dxa"/>
            <w:shd w:val="clear" w:color="auto" w:fill="auto"/>
            <w:vAlign w:val="center"/>
          </w:tcPr>
          <w:p w14:paraId="3642BB67">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建设地点</w:t>
            </w:r>
          </w:p>
        </w:tc>
        <w:tc>
          <w:tcPr>
            <w:tcW w:w="7020" w:type="dxa"/>
            <w:shd w:val="clear" w:color="auto" w:fill="auto"/>
            <w:vAlign w:val="center"/>
          </w:tcPr>
          <w:p w14:paraId="365D85BC">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韶关市中心城区西北部，犁市镇西部</w:t>
            </w:r>
          </w:p>
        </w:tc>
      </w:tr>
      <w:tr w14:paraId="31E5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44D2BDBA">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5</w:t>
            </w:r>
          </w:p>
        </w:tc>
        <w:tc>
          <w:tcPr>
            <w:tcW w:w="2447" w:type="dxa"/>
            <w:shd w:val="clear" w:color="auto" w:fill="auto"/>
            <w:vAlign w:val="center"/>
          </w:tcPr>
          <w:p w14:paraId="4B1C4E29">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项目代码</w:t>
            </w:r>
          </w:p>
        </w:tc>
        <w:tc>
          <w:tcPr>
            <w:tcW w:w="7020" w:type="dxa"/>
            <w:shd w:val="clear" w:color="auto" w:fill="auto"/>
            <w:vAlign w:val="center"/>
          </w:tcPr>
          <w:p w14:paraId="4122AAF2">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2310-440204-04-01-369836</w:t>
            </w:r>
          </w:p>
        </w:tc>
      </w:tr>
      <w:tr w14:paraId="0CBE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03F1187C">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6</w:t>
            </w:r>
          </w:p>
        </w:tc>
        <w:tc>
          <w:tcPr>
            <w:tcW w:w="2447" w:type="dxa"/>
            <w:shd w:val="clear" w:color="auto" w:fill="auto"/>
            <w:vAlign w:val="center"/>
          </w:tcPr>
          <w:p w14:paraId="4887C5D7">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资金来源及落实情况</w:t>
            </w:r>
          </w:p>
        </w:tc>
        <w:tc>
          <w:tcPr>
            <w:tcW w:w="7020" w:type="dxa"/>
            <w:shd w:val="clear" w:color="auto" w:fill="auto"/>
            <w:vAlign w:val="center"/>
          </w:tcPr>
          <w:p w14:paraId="4EF660AC">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上级财政投资和地方配套解决，100%</w:t>
            </w:r>
          </w:p>
        </w:tc>
      </w:tr>
      <w:tr w14:paraId="2AE0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33" w:type="dxa"/>
            <w:shd w:val="clear" w:color="auto" w:fill="auto"/>
            <w:vAlign w:val="center"/>
          </w:tcPr>
          <w:p w14:paraId="49A6BBBF">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7</w:t>
            </w:r>
          </w:p>
        </w:tc>
        <w:tc>
          <w:tcPr>
            <w:tcW w:w="2447" w:type="dxa"/>
            <w:shd w:val="clear" w:color="auto" w:fill="auto"/>
            <w:vAlign w:val="center"/>
          </w:tcPr>
          <w:p w14:paraId="3BA0B4CA">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招标人</w:t>
            </w:r>
          </w:p>
        </w:tc>
        <w:tc>
          <w:tcPr>
            <w:tcW w:w="7020" w:type="dxa"/>
            <w:shd w:val="clear" w:color="auto" w:fill="auto"/>
            <w:vAlign w:val="center"/>
          </w:tcPr>
          <w:p w14:paraId="5FD8D3FE">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eastAsia="zh-CN"/>
              </w:rPr>
              <w:t>东莞（韶关）浈江产业转移工业园管理委员会</w:t>
            </w:r>
          </w:p>
        </w:tc>
      </w:tr>
      <w:tr w14:paraId="044E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6B4C612A">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8</w:t>
            </w:r>
          </w:p>
        </w:tc>
        <w:tc>
          <w:tcPr>
            <w:tcW w:w="2447" w:type="dxa"/>
            <w:shd w:val="clear" w:color="auto" w:fill="auto"/>
            <w:vAlign w:val="center"/>
          </w:tcPr>
          <w:p w14:paraId="69DA39D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招标代理机构</w:t>
            </w:r>
          </w:p>
        </w:tc>
        <w:tc>
          <w:tcPr>
            <w:tcW w:w="7020" w:type="dxa"/>
            <w:shd w:val="clear" w:color="auto" w:fill="auto"/>
            <w:vAlign w:val="center"/>
          </w:tcPr>
          <w:p w14:paraId="3F43251B">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韶关市中晟项目管理有限公司</w:t>
            </w:r>
          </w:p>
        </w:tc>
      </w:tr>
      <w:tr w14:paraId="6AD4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7EBA0418">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9</w:t>
            </w:r>
          </w:p>
        </w:tc>
        <w:tc>
          <w:tcPr>
            <w:tcW w:w="2447" w:type="dxa"/>
            <w:shd w:val="clear" w:color="auto" w:fill="auto"/>
            <w:vAlign w:val="center"/>
          </w:tcPr>
          <w:p w14:paraId="335E9460">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设计单位</w:t>
            </w:r>
          </w:p>
        </w:tc>
        <w:tc>
          <w:tcPr>
            <w:tcW w:w="7020" w:type="dxa"/>
            <w:shd w:val="clear" w:color="auto" w:fill="auto"/>
            <w:vAlign w:val="center"/>
          </w:tcPr>
          <w:p w14:paraId="49CDB5E2">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韶关市规划市政设计研究院有限公司</w:t>
            </w:r>
          </w:p>
        </w:tc>
      </w:tr>
      <w:tr w14:paraId="68BA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3844D270">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10</w:t>
            </w:r>
          </w:p>
        </w:tc>
        <w:tc>
          <w:tcPr>
            <w:tcW w:w="2447" w:type="dxa"/>
            <w:shd w:val="clear" w:color="auto" w:fill="auto"/>
            <w:vAlign w:val="center"/>
          </w:tcPr>
          <w:p w14:paraId="1CC1852F">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造价咨询单位</w:t>
            </w:r>
          </w:p>
        </w:tc>
        <w:tc>
          <w:tcPr>
            <w:tcW w:w="7020" w:type="dxa"/>
            <w:shd w:val="clear" w:color="auto" w:fill="auto"/>
            <w:vAlign w:val="center"/>
          </w:tcPr>
          <w:p w14:paraId="06D44FB9">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□全过程造价咨询  ☑非全过程造价咨询</w:t>
            </w:r>
          </w:p>
        </w:tc>
      </w:tr>
      <w:tr w14:paraId="27B4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1FF800B3">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11</w:t>
            </w:r>
          </w:p>
        </w:tc>
        <w:tc>
          <w:tcPr>
            <w:tcW w:w="2447" w:type="dxa"/>
            <w:shd w:val="clear" w:color="auto" w:fill="auto"/>
            <w:vAlign w:val="center"/>
          </w:tcPr>
          <w:p w14:paraId="3EDCB645">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监理单位</w:t>
            </w:r>
          </w:p>
        </w:tc>
        <w:tc>
          <w:tcPr>
            <w:tcW w:w="7020" w:type="dxa"/>
            <w:shd w:val="clear" w:color="auto" w:fill="auto"/>
            <w:vAlign w:val="center"/>
          </w:tcPr>
          <w:p w14:paraId="3ECA6F11">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已确定监理单位</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☑未</w:t>
            </w:r>
            <w:r>
              <w:rPr>
                <w:rFonts w:hint="eastAsia" w:ascii="宋体" w:hAnsi="宋体" w:eastAsia="宋体" w:cs="宋体"/>
                <w:color w:val="auto"/>
                <w:sz w:val="21"/>
                <w:szCs w:val="21"/>
                <w:highlight w:val="none"/>
              </w:rPr>
              <w:t>确定监理单位</w:t>
            </w:r>
          </w:p>
        </w:tc>
      </w:tr>
      <w:tr w14:paraId="390E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1B1FB57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2</w:t>
            </w:r>
          </w:p>
        </w:tc>
        <w:tc>
          <w:tcPr>
            <w:tcW w:w="2447" w:type="dxa"/>
            <w:shd w:val="clear" w:color="auto" w:fill="auto"/>
            <w:vAlign w:val="center"/>
          </w:tcPr>
          <w:p w14:paraId="52356A5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建设内容和规模</w:t>
            </w:r>
          </w:p>
        </w:tc>
        <w:tc>
          <w:tcPr>
            <w:tcW w:w="7020" w:type="dxa"/>
            <w:shd w:val="clear" w:color="auto" w:fill="auto"/>
            <w:vAlign w:val="center"/>
          </w:tcPr>
          <w:p w14:paraId="5C660F09">
            <w:pPr>
              <w:pageBreakBefore w:val="0"/>
              <w:widowControl w:val="0"/>
              <w:kinsoku/>
              <w:wordWrap/>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3F48A8B">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Theme="minorEastAsia" w:hAnsiTheme="minorEastAsia" w:eastAsiaTheme="minorEastAsia" w:cstheme="minorEastAsia"/>
                <w:snapToGrid w:val="0"/>
                <w:color w:val="auto"/>
                <w:kern w:val="0"/>
                <w:sz w:val="21"/>
                <w:szCs w:val="21"/>
                <w:highlight w:val="none"/>
                <w:lang w:eastAsia="zh-CN"/>
              </w:rPr>
              <w:t>☑建设内容：</w:t>
            </w:r>
            <w:r>
              <w:rPr>
                <w:rFonts w:hint="eastAsia" w:asciiTheme="minorEastAsia" w:hAnsiTheme="minorEastAsia" w:eastAsiaTheme="minorEastAsia" w:cstheme="minorEastAsia"/>
                <w:snapToGrid w:val="0"/>
                <w:color w:val="auto"/>
                <w:kern w:val="0"/>
                <w:sz w:val="21"/>
                <w:szCs w:val="21"/>
                <w:highlight w:val="none"/>
                <w:lang w:val="en-US" w:eastAsia="zh-CN"/>
              </w:rPr>
              <w:t>土方平整工程及防护工程、临时排水工程等。</w:t>
            </w:r>
          </w:p>
        </w:tc>
      </w:tr>
      <w:tr w14:paraId="62A5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7C2FF3F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13</w:t>
            </w:r>
          </w:p>
        </w:tc>
        <w:tc>
          <w:tcPr>
            <w:tcW w:w="2447" w:type="dxa"/>
            <w:shd w:val="clear" w:color="auto" w:fill="auto"/>
            <w:vAlign w:val="center"/>
          </w:tcPr>
          <w:p w14:paraId="2640CAF1">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项目总投资</w:t>
            </w:r>
          </w:p>
        </w:tc>
        <w:tc>
          <w:tcPr>
            <w:tcW w:w="7020" w:type="dxa"/>
            <w:shd w:val="clear" w:color="auto" w:fill="auto"/>
            <w:vAlign w:val="center"/>
          </w:tcPr>
          <w:p w14:paraId="05F12A89">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项目总投资约1500万元，其中建安费约1300万元。</w:t>
            </w:r>
          </w:p>
        </w:tc>
      </w:tr>
      <w:tr w14:paraId="4469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45183B32">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14</w:t>
            </w:r>
          </w:p>
        </w:tc>
        <w:tc>
          <w:tcPr>
            <w:tcW w:w="2447" w:type="dxa"/>
            <w:shd w:val="clear" w:color="auto" w:fill="auto"/>
            <w:vAlign w:val="top"/>
          </w:tcPr>
          <w:p w14:paraId="4B99760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招标范围</w:t>
            </w:r>
          </w:p>
        </w:tc>
        <w:tc>
          <w:tcPr>
            <w:tcW w:w="7020" w:type="dxa"/>
            <w:shd w:val="clear" w:color="auto" w:fill="auto"/>
            <w:vAlign w:val="top"/>
          </w:tcPr>
          <w:p w14:paraId="55D2EF94">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按审查合格的施工图纸及工程量清单内容施工</w:t>
            </w:r>
            <w:r>
              <w:rPr>
                <w:rFonts w:hint="eastAsia" w:ascii="宋体" w:hAnsi="宋体" w:eastAsia="宋体" w:cs="宋体"/>
                <w:color w:val="auto"/>
                <w:sz w:val="21"/>
                <w:szCs w:val="21"/>
                <w:highlight w:val="none"/>
                <w:lang w:eastAsia="zh-CN"/>
              </w:rPr>
              <w:t>。</w:t>
            </w:r>
          </w:p>
        </w:tc>
      </w:tr>
      <w:tr w14:paraId="6D93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2E9C444B">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15</w:t>
            </w:r>
          </w:p>
        </w:tc>
        <w:tc>
          <w:tcPr>
            <w:tcW w:w="2447" w:type="dxa"/>
            <w:shd w:val="clear" w:color="auto" w:fill="auto"/>
            <w:vAlign w:val="center"/>
          </w:tcPr>
          <w:p w14:paraId="5ECF0E27">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标段划分</w:t>
            </w:r>
          </w:p>
        </w:tc>
        <w:tc>
          <w:tcPr>
            <w:tcW w:w="7020" w:type="dxa"/>
            <w:shd w:val="clear" w:color="auto" w:fill="auto"/>
            <w:vAlign w:val="center"/>
          </w:tcPr>
          <w:p w14:paraId="334CEEFE">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本招标项目不划分标段。</w:t>
            </w:r>
          </w:p>
        </w:tc>
      </w:tr>
      <w:tr w14:paraId="36A9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509B7E70">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16</w:t>
            </w:r>
          </w:p>
        </w:tc>
        <w:tc>
          <w:tcPr>
            <w:tcW w:w="2447" w:type="dxa"/>
            <w:shd w:val="clear" w:color="auto" w:fill="auto"/>
            <w:vAlign w:val="center"/>
          </w:tcPr>
          <w:p w14:paraId="7F21C96C">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工期</w:t>
            </w:r>
          </w:p>
        </w:tc>
        <w:tc>
          <w:tcPr>
            <w:tcW w:w="7020" w:type="dxa"/>
            <w:shd w:val="clear" w:color="auto" w:fill="auto"/>
            <w:vAlign w:val="top"/>
          </w:tcPr>
          <w:p w14:paraId="5B72EFA7">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本招标项目招标工期为</w:t>
            </w:r>
            <w:r>
              <w:rPr>
                <w:rFonts w:hint="eastAsia" w:ascii="宋体" w:hAnsi="宋体" w:eastAsia="宋体" w:cs="宋体"/>
                <w:color w:val="auto"/>
                <w:sz w:val="21"/>
                <w:szCs w:val="21"/>
                <w:highlight w:val="none"/>
                <w:lang w:val="en-US" w:eastAsia="zh-CN"/>
              </w:rPr>
              <w:t>180</w:t>
            </w:r>
            <w:r>
              <w:rPr>
                <w:rFonts w:hint="eastAsia" w:ascii="宋体" w:hAnsi="宋体" w:eastAsia="宋体" w:cs="宋体"/>
                <w:color w:val="auto"/>
                <w:sz w:val="21"/>
                <w:szCs w:val="21"/>
                <w:highlight w:val="none"/>
              </w:rPr>
              <w:t>个日历天。具体如下：</w:t>
            </w:r>
          </w:p>
          <w:p w14:paraId="0BE99AF0">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总工期：</w:t>
            </w:r>
            <w:r>
              <w:rPr>
                <w:rFonts w:hint="eastAsia" w:ascii="宋体" w:hAnsi="宋体" w:eastAsia="宋体" w:cs="宋体"/>
                <w:color w:val="auto"/>
                <w:sz w:val="21"/>
                <w:szCs w:val="21"/>
                <w:highlight w:val="none"/>
                <w:lang w:val="en-US" w:eastAsia="zh-CN"/>
              </w:rPr>
              <w:t>180天</w:t>
            </w:r>
            <w:r>
              <w:rPr>
                <w:rFonts w:hint="eastAsia" w:ascii="宋体" w:hAnsi="宋体" w:eastAsia="宋体" w:cs="宋体"/>
                <w:color w:val="auto"/>
                <w:sz w:val="21"/>
                <w:szCs w:val="21"/>
                <w:highlight w:val="none"/>
              </w:rPr>
              <w:t>（日历天）。</w:t>
            </w:r>
          </w:p>
          <w:p w14:paraId="03B5A72B">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计划开工日期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日（具体开工日期以合同为准）</w:t>
            </w:r>
          </w:p>
          <w:p w14:paraId="603B74AA">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计划竣工日期：</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54FEDF04">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□除上述总工期外，发包人还要求以下阶段工期：</w:t>
            </w:r>
          </w:p>
        </w:tc>
      </w:tr>
      <w:tr w14:paraId="1F67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1155CB24">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17</w:t>
            </w:r>
          </w:p>
        </w:tc>
        <w:tc>
          <w:tcPr>
            <w:tcW w:w="2447" w:type="dxa"/>
            <w:shd w:val="clear" w:color="auto" w:fill="auto"/>
            <w:vAlign w:val="center"/>
          </w:tcPr>
          <w:p w14:paraId="428AB34E">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质量标准</w:t>
            </w:r>
          </w:p>
        </w:tc>
        <w:tc>
          <w:tcPr>
            <w:tcW w:w="7020" w:type="dxa"/>
            <w:shd w:val="clear" w:color="auto" w:fill="auto"/>
            <w:vAlign w:val="top"/>
          </w:tcPr>
          <w:p w14:paraId="0EFDB54D">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☑质量目标：合格</w:t>
            </w:r>
          </w:p>
          <w:p w14:paraId="4DF09D02">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☑质量标准：符合现行国家有关工程施工质量验收规范和标准的要求。</w:t>
            </w:r>
          </w:p>
          <w:p w14:paraId="27731853">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□优质工程要求：无/市优/省优/.....</w:t>
            </w:r>
          </w:p>
          <w:p w14:paraId="0F033577">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工程优质费：☑无     □有：</w:t>
            </w:r>
          </w:p>
        </w:tc>
      </w:tr>
      <w:tr w14:paraId="4266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2BBF24D3">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18</w:t>
            </w:r>
          </w:p>
        </w:tc>
        <w:tc>
          <w:tcPr>
            <w:tcW w:w="2447" w:type="dxa"/>
            <w:shd w:val="clear" w:color="auto" w:fill="auto"/>
            <w:vAlign w:val="center"/>
          </w:tcPr>
          <w:p w14:paraId="49A3AEE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合同类型</w:t>
            </w:r>
          </w:p>
        </w:tc>
        <w:tc>
          <w:tcPr>
            <w:tcW w:w="7020" w:type="dxa"/>
            <w:shd w:val="clear" w:color="auto" w:fill="auto"/>
            <w:vAlign w:val="top"/>
          </w:tcPr>
          <w:p w14:paraId="3C5B1021">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单价合同：发承包双方约定以工程量清单及其综合单价进行合同价款计算、调整和确认的建设工程施工合同。</w:t>
            </w:r>
          </w:p>
          <w:p w14:paraId="7EDC46A5">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p w14:paraId="2452E025">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□总价合同：发承包双方约定以施工图及其预算和有关条件进行合同价款计算、调整和确认的建设工程施工合同。</w:t>
            </w:r>
          </w:p>
          <w:p w14:paraId="6CC7D6B3">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4BB3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355AB5E3">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19</w:t>
            </w:r>
          </w:p>
        </w:tc>
        <w:tc>
          <w:tcPr>
            <w:tcW w:w="2447" w:type="dxa"/>
            <w:shd w:val="clear" w:color="auto" w:fill="auto"/>
            <w:vAlign w:val="top"/>
          </w:tcPr>
          <w:p w14:paraId="1B273977">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房屋建筑工程绿色建筑标准</w:t>
            </w:r>
          </w:p>
        </w:tc>
        <w:tc>
          <w:tcPr>
            <w:tcW w:w="7020" w:type="dxa"/>
            <w:shd w:val="clear" w:color="auto" w:fill="auto"/>
            <w:vAlign w:val="center"/>
          </w:tcPr>
          <w:p w14:paraId="11172871">
            <w:pPr>
              <w:pageBreakBefore w:val="0"/>
              <w:widowControl w:val="0"/>
              <w:kinsoku/>
              <w:wordWrap/>
              <w:overflowPunct/>
              <w:bidi w:val="0"/>
              <w:spacing w:line="360" w:lineRule="auto"/>
              <w:jc w:val="left"/>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本招标项目</w:t>
            </w:r>
            <w:r>
              <w:rPr>
                <w:rFonts w:hint="eastAsia" w:ascii="宋体" w:hAnsi="宋体" w:eastAsia="宋体" w:cs="宋体"/>
                <w:color w:val="auto"/>
                <w:sz w:val="21"/>
                <w:szCs w:val="21"/>
                <w:highlight w:val="none"/>
                <w:lang w:eastAsia="zh-CN"/>
              </w:rPr>
              <w:t>不</w:t>
            </w:r>
            <w:r>
              <w:rPr>
                <w:rFonts w:hint="eastAsia" w:ascii="宋体" w:hAnsi="宋体" w:eastAsia="宋体" w:cs="宋体"/>
                <w:color w:val="auto"/>
                <w:sz w:val="21"/>
                <w:szCs w:val="21"/>
                <w:highlight w:val="none"/>
              </w:rPr>
              <w:t>纳入绿色建设实施范围</w:t>
            </w:r>
            <w:r>
              <w:rPr>
                <w:rFonts w:hint="eastAsia" w:ascii="宋体" w:hAnsi="宋体" w:eastAsia="宋体" w:cs="宋体"/>
                <w:color w:val="auto"/>
                <w:sz w:val="21"/>
                <w:szCs w:val="21"/>
                <w:highlight w:val="none"/>
                <w:lang w:eastAsia="zh-CN"/>
              </w:rPr>
              <w:t>。</w:t>
            </w:r>
          </w:p>
        </w:tc>
      </w:tr>
      <w:tr w14:paraId="669B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64E1189C">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19.1</w:t>
            </w:r>
          </w:p>
        </w:tc>
        <w:tc>
          <w:tcPr>
            <w:tcW w:w="2447" w:type="dxa"/>
            <w:shd w:val="clear" w:color="auto" w:fill="auto"/>
            <w:vAlign w:val="center"/>
          </w:tcPr>
          <w:p w14:paraId="309D3E28">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装配式建筑标准</w:t>
            </w:r>
          </w:p>
        </w:tc>
        <w:tc>
          <w:tcPr>
            <w:tcW w:w="7020" w:type="dxa"/>
            <w:shd w:val="clear" w:color="auto" w:fill="auto"/>
            <w:vAlign w:val="center"/>
          </w:tcPr>
          <w:p w14:paraId="77AC63B3">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本招标项目</w:t>
            </w:r>
            <w:r>
              <w:rPr>
                <w:rFonts w:hint="eastAsia" w:ascii="宋体" w:hAnsi="宋体" w:eastAsia="宋体" w:cs="宋体"/>
                <w:color w:val="auto"/>
                <w:sz w:val="21"/>
                <w:szCs w:val="21"/>
                <w:highlight w:val="none"/>
                <w:lang w:eastAsia="zh-CN"/>
              </w:rPr>
              <w:t>不</w:t>
            </w:r>
            <w:r>
              <w:rPr>
                <w:rFonts w:hint="eastAsia" w:ascii="宋体" w:hAnsi="宋体" w:eastAsia="宋体" w:cs="宋体"/>
                <w:color w:val="auto"/>
                <w:sz w:val="21"/>
                <w:szCs w:val="21"/>
                <w:highlight w:val="none"/>
              </w:rPr>
              <w:t>纳入装配式建造建设实施范围</w:t>
            </w:r>
            <w:r>
              <w:rPr>
                <w:rFonts w:hint="eastAsia" w:ascii="宋体" w:hAnsi="宋体" w:eastAsia="宋体" w:cs="宋体"/>
                <w:color w:val="auto"/>
                <w:sz w:val="21"/>
                <w:szCs w:val="21"/>
                <w:highlight w:val="none"/>
                <w:lang w:eastAsia="zh-CN"/>
              </w:rPr>
              <w:t>。</w:t>
            </w:r>
          </w:p>
        </w:tc>
      </w:tr>
      <w:tr w14:paraId="036D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0E3E83EE">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20</w:t>
            </w:r>
          </w:p>
        </w:tc>
        <w:tc>
          <w:tcPr>
            <w:tcW w:w="2447" w:type="dxa"/>
            <w:shd w:val="clear" w:color="auto" w:fill="auto"/>
            <w:vAlign w:val="center"/>
          </w:tcPr>
          <w:p w14:paraId="51326562">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发包人提供材料和工程设备</w:t>
            </w:r>
          </w:p>
        </w:tc>
        <w:tc>
          <w:tcPr>
            <w:tcW w:w="7020" w:type="dxa"/>
            <w:shd w:val="clear" w:color="auto" w:fill="auto"/>
            <w:vAlign w:val="center"/>
          </w:tcPr>
          <w:p w14:paraId="0E9A7FE9">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 xml:space="preserve">发包人提供材料和工程设备：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无     □有：  </w:t>
            </w:r>
            <w:r>
              <w:rPr>
                <w:rFonts w:hint="eastAsia" w:ascii="宋体" w:hAnsi="宋体" w:eastAsia="宋体" w:cs="宋体"/>
                <w:color w:val="auto"/>
                <w:sz w:val="21"/>
                <w:szCs w:val="21"/>
                <w:highlight w:val="none"/>
                <w:lang w:val="en-US" w:eastAsia="zh-CN"/>
              </w:rPr>
              <w:t xml:space="preserve">  /  </w:t>
            </w:r>
            <w:r>
              <w:rPr>
                <w:rFonts w:hint="eastAsia" w:ascii="宋体" w:hAnsi="宋体" w:eastAsia="宋体" w:cs="宋体"/>
                <w:color w:val="auto"/>
                <w:sz w:val="21"/>
                <w:szCs w:val="21"/>
                <w:highlight w:val="none"/>
              </w:rPr>
              <w:t xml:space="preserve">   </w:t>
            </w:r>
          </w:p>
        </w:tc>
      </w:tr>
      <w:tr w14:paraId="0AEF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59886C5F">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21</w:t>
            </w:r>
          </w:p>
        </w:tc>
        <w:tc>
          <w:tcPr>
            <w:tcW w:w="2447" w:type="dxa"/>
            <w:shd w:val="clear" w:color="auto" w:fill="auto"/>
            <w:vAlign w:val="center"/>
          </w:tcPr>
          <w:p w14:paraId="6F7E02A3">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承包人提供材料和工程设备</w:t>
            </w:r>
          </w:p>
        </w:tc>
        <w:tc>
          <w:tcPr>
            <w:tcW w:w="7020" w:type="dxa"/>
            <w:shd w:val="clear" w:color="auto" w:fill="auto"/>
            <w:vAlign w:val="top"/>
          </w:tcPr>
          <w:p w14:paraId="57BC61FA">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6E2CD86">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□其它说明：鼓励承包人积极采购环保产品进行施工。</w:t>
            </w:r>
          </w:p>
        </w:tc>
      </w:tr>
      <w:tr w14:paraId="1B6F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55F0A89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22</w:t>
            </w:r>
          </w:p>
        </w:tc>
        <w:tc>
          <w:tcPr>
            <w:tcW w:w="2447" w:type="dxa"/>
            <w:shd w:val="clear" w:color="auto" w:fill="auto"/>
            <w:vAlign w:val="center"/>
          </w:tcPr>
          <w:p w14:paraId="0040D2F1">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招标控制价</w:t>
            </w:r>
          </w:p>
        </w:tc>
        <w:tc>
          <w:tcPr>
            <w:tcW w:w="7020" w:type="dxa"/>
            <w:shd w:val="clear" w:color="auto" w:fill="auto"/>
            <w:vAlign w:val="center"/>
          </w:tcPr>
          <w:p w14:paraId="12F4D4DA">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招标项目招标控制价、工程量清单、施工图最终以补充公告形式在开标前15天另行发布于相关网站，各投标人可在全国公共资源交易平台（广东省·韶关市）（https://ygp.gdzwfw.gov.cn/ggzy-portal/#/440200/index）自行下载。</w:t>
            </w:r>
          </w:p>
        </w:tc>
      </w:tr>
      <w:tr w14:paraId="52F0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329D38D8">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23</w:t>
            </w:r>
          </w:p>
        </w:tc>
        <w:tc>
          <w:tcPr>
            <w:tcW w:w="2447" w:type="dxa"/>
            <w:shd w:val="clear" w:color="auto" w:fill="auto"/>
            <w:vAlign w:val="center"/>
          </w:tcPr>
          <w:p w14:paraId="527E6803">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投标人的投标报价</w:t>
            </w:r>
          </w:p>
        </w:tc>
        <w:tc>
          <w:tcPr>
            <w:tcW w:w="7020" w:type="dxa"/>
            <w:shd w:val="clear" w:color="auto" w:fill="auto"/>
            <w:vAlign w:val="center"/>
          </w:tcPr>
          <w:p w14:paraId="16167333">
            <w:pPr>
              <w:pageBreakBefore w:val="0"/>
              <w:widowControl w:val="0"/>
              <w:kinsoku/>
              <w:wordWrap/>
              <w:overflowPunct/>
              <w:bidi w:val="0"/>
              <w:spacing w:before="117" w:line="360" w:lineRule="auto"/>
              <w:ind w:right="4" w:firstLine="208"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投标人投标时响应招标文件要求所报出的对已标价工程量清单</w:t>
            </w:r>
            <w:r>
              <w:rPr>
                <w:rFonts w:hint="eastAsia" w:ascii="宋体" w:hAnsi="宋体" w:eastAsia="宋体" w:cs="宋体"/>
                <w:color w:val="auto"/>
                <w:sz w:val="21"/>
                <w:szCs w:val="21"/>
                <w:highlight w:val="none"/>
              </w:rPr>
              <w:t>汇总后标明的总价。投标人在投标报价填写</w:t>
            </w:r>
            <w:r>
              <w:rPr>
                <w:rFonts w:hint="eastAsia" w:ascii="宋体" w:hAnsi="宋体" w:eastAsia="宋体" w:cs="宋体"/>
                <w:color w:val="auto"/>
                <w:spacing w:val="-1"/>
                <w:sz w:val="21"/>
                <w:szCs w:val="21"/>
                <w:highlight w:val="none"/>
              </w:rPr>
              <w:t>的工程量清单的项目编</w:t>
            </w:r>
            <w:r>
              <w:rPr>
                <w:rFonts w:hint="eastAsia" w:ascii="宋体" w:hAnsi="宋体" w:eastAsia="宋体" w:cs="宋体"/>
                <w:color w:val="auto"/>
                <w:spacing w:val="-3"/>
                <w:sz w:val="21"/>
                <w:szCs w:val="21"/>
                <w:highlight w:val="none"/>
              </w:rPr>
              <w:t>码、项目名称、项目特征、计量单位、工程数量必须与招标人招标文</w:t>
            </w:r>
            <w:r>
              <w:rPr>
                <w:rFonts w:hint="eastAsia" w:ascii="宋体" w:hAnsi="宋体" w:eastAsia="宋体" w:cs="宋体"/>
                <w:color w:val="auto"/>
                <w:sz w:val="21"/>
                <w:szCs w:val="21"/>
                <w:highlight w:val="none"/>
              </w:rPr>
              <w:t>件中提供的一致，投标价不能低于工程成本</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3"/>
                <w:sz w:val="21"/>
                <w:szCs w:val="21"/>
                <w:highlight w:val="none"/>
              </w:rPr>
              <w:t>高于</w:t>
            </w:r>
            <w:r>
              <w:rPr>
                <w:rFonts w:hint="eastAsia" w:ascii="宋体" w:hAnsi="宋体" w:eastAsia="宋体" w:cs="宋体"/>
                <w:color w:val="auto"/>
                <w:spacing w:val="-3"/>
                <w:sz w:val="21"/>
                <w:szCs w:val="21"/>
                <w:highlight w:val="none"/>
                <w:lang w:eastAsia="zh-CN"/>
              </w:rPr>
              <w:t>招标控制价</w:t>
            </w:r>
            <w:r>
              <w:rPr>
                <w:rFonts w:hint="eastAsia" w:ascii="宋体" w:hAnsi="宋体" w:eastAsia="宋体" w:cs="宋体"/>
                <w:color w:val="auto"/>
                <w:spacing w:val="-3"/>
                <w:sz w:val="21"/>
                <w:szCs w:val="21"/>
                <w:highlight w:val="none"/>
              </w:rPr>
              <w:t>。</w:t>
            </w:r>
          </w:p>
          <w:p w14:paraId="57CB68D4">
            <w:pPr>
              <w:keepNext w:val="0"/>
              <w:keepLines w:val="0"/>
              <w:pageBreakBefore w:val="0"/>
              <w:widowControl/>
              <w:kinsoku/>
              <w:wordWrap/>
              <w:overflowPunct/>
              <w:topLinePunct w:val="0"/>
              <w:autoSpaceDE/>
              <w:autoSpaceDN/>
              <w:bidi w:val="0"/>
              <w:snapToGrid w:val="0"/>
              <w:spacing w:line="360" w:lineRule="auto"/>
              <w:ind w:firstLine="206" w:firstLineChars="100"/>
              <w:jc w:val="both"/>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投标报价方式：</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工程量清单报</w:t>
            </w:r>
            <w:r>
              <w:rPr>
                <w:rFonts w:hint="eastAsia" w:ascii="宋体" w:hAnsi="宋体" w:eastAsia="宋体" w:cs="宋体"/>
                <w:color w:val="auto"/>
                <w:spacing w:val="-2"/>
                <w:sz w:val="21"/>
                <w:szCs w:val="21"/>
                <w:highlight w:val="none"/>
                <w:lang w:val="en-US" w:eastAsia="zh-CN"/>
              </w:rPr>
              <w:t>价</w:t>
            </w:r>
          </w:p>
          <w:p w14:paraId="6921948C">
            <w:pPr>
              <w:pageBreakBefore w:val="0"/>
              <w:widowControl w:val="0"/>
              <w:kinsoku/>
              <w:wordWrap/>
              <w:overflowPunct/>
              <w:bidi w:val="0"/>
              <w:spacing w:line="360" w:lineRule="auto"/>
              <w:ind w:firstLine="202" w:firstLineChars="100"/>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pacing w:val="-4"/>
                <w:sz w:val="21"/>
                <w:szCs w:val="21"/>
                <w:highlight w:val="none"/>
                <w:lang w:val="en-US" w:eastAsia="zh-CN"/>
              </w:rPr>
              <w:t>投标报价时，应按《广东省建设工程计价依据（2018）》规定的费率报价，若招标工程量清单明确说明不计算预算包干费或另外确定预算包干费费率的，则按招标工程量清单报价。</w:t>
            </w:r>
          </w:p>
        </w:tc>
      </w:tr>
      <w:tr w14:paraId="2068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4B7A0E07">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24</w:t>
            </w:r>
          </w:p>
        </w:tc>
        <w:tc>
          <w:tcPr>
            <w:tcW w:w="2447" w:type="dxa"/>
            <w:shd w:val="clear" w:color="auto" w:fill="auto"/>
            <w:vAlign w:val="center"/>
          </w:tcPr>
          <w:p w14:paraId="03F6EBCF">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投标报价风险</w:t>
            </w:r>
          </w:p>
        </w:tc>
        <w:tc>
          <w:tcPr>
            <w:tcW w:w="7020" w:type="dxa"/>
            <w:shd w:val="clear" w:color="auto" w:fill="auto"/>
            <w:vAlign w:val="center"/>
          </w:tcPr>
          <w:p w14:paraId="7B7150DB">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投标人依据招标文件约定自行考虑风险因素，一旦中标，投标报价（合同价）除合同另有约定外将不因市场变化而调整。</w:t>
            </w:r>
          </w:p>
          <w:p w14:paraId="0F92DFF4">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投标报价中应包括工程量清单项目所发生的人工费、材料费、机具费、管理费、利润、措施项目费、其它项目费、税金、暂列金额、暂估价以及所有风险、责任等各项费用。</w:t>
            </w:r>
          </w:p>
          <w:p w14:paraId="13528EC9">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人工费、材料费、机具费、管理费、利润、措施项目费（不含绿色施工安全防护措施费）投标人漏报或不报，招标人视为有关费用已包括在工程量清单项目的其它单价及合价中不予另外增加。</w:t>
            </w:r>
          </w:p>
          <w:p w14:paraId="4DB36620">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措施项目中的绿色施工安全防护措施费，必须按国家、省级、市级（即工程所在地）行业建设主管部门的规定计算，不得作为竞争性费用。</w:t>
            </w:r>
          </w:p>
          <w:p w14:paraId="3EE6FF84">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投标人应按照招标文件提供的工程量清单逐项填写单价和合价，投标人未填写的项目，招标人将视为此项费用已包括在工程量清单项目的其它单价及合价中不予另外增加。</w:t>
            </w:r>
          </w:p>
          <w:p w14:paraId="6DDEAE0E">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402BD009">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招标人向投标人提供的有关施工现场资料及数据，是招标人现有的能使投标人利用的资料，招标人对投标人据此作出的推论及理解概不负责。</w:t>
            </w:r>
          </w:p>
          <w:p w14:paraId="7CCE3335">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投标人应依据招标人提供的所有资料和自己对现场查勘来编 制投标文件，并对招标人提供的所有资料的理解、推断和应用负责。在投标人提交其投标文件之前，视为已经考虑了现场及其周围环境的影响，中标后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不得以不完全了解现场情况为理由提出追加款项或者延长工期等索赔的要求。</w:t>
            </w:r>
          </w:p>
          <w:p w14:paraId="45FEF91A">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错漏项的认定。中标人已标价工程量清单中，任一清单项目未填报价格或价格为零的，招标人将视为此项费用已包括在工程量清单项目的其它单价及合价中不予另外增加。</w:t>
            </w:r>
          </w:p>
        </w:tc>
      </w:tr>
      <w:tr w14:paraId="709F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5C233C0E">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25</w:t>
            </w:r>
          </w:p>
        </w:tc>
        <w:tc>
          <w:tcPr>
            <w:tcW w:w="2447" w:type="dxa"/>
            <w:shd w:val="clear" w:color="auto" w:fill="auto"/>
            <w:vAlign w:val="top"/>
          </w:tcPr>
          <w:p w14:paraId="2D1B82A7">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投标费用</w:t>
            </w:r>
          </w:p>
        </w:tc>
        <w:tc>
          <w:tcPr>
            <w:tcW w:w="7020" w:type="dxa"/>
            <w:shd w:val="clear" w:color="auto" w:fill="auto"/>
            <w:vAlign w:val="top"/>
          </w:tcPr>
          <w:p w14:paraId="7CDA7483">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投标人自行承担编制与递交投标文件的一切费用。</w:t>
            </w:r>
          </w:p>
        </w:tc>
      </w:tr>
      <w:tr w14:paraId="58AF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71CB935B">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26</w:t>
            </w:r>
          </w:p>
        </w:tc>
        <w:tc>
          <w:tcPr>
            <w:tcW w:w="2447" w:type="dxa"/>
            <w:shd w:val="clear" w:color="auto" w:fill="auto"/>
            <w:vAlign w:val="center"/>
          </w:tcPr>
          <w:p w14:paraId="149F19F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投标人资格要求</w:t>
            </w:r>
          </w:p>
        </w:tc>
        <w:tc>
          <w:tcPr>
            <w:tcW w:w="7020" w:type="dxa"/>
            <w:shd w:val="clear" w:color="auto" w:fill="auto"/>
            <w:vAlign w:val="center"/>
          </w:tcPr>
          <w:p w14:paraId="52CA7793">
            <w:pPr>
              <w:pageBreakBefore w:val="0"/>
              <w:widowControl w:val="0"/>
              <w:shd w:val="clear" w:color="auto" w:fill="auto"/>
              <w:kinsoku/>
              <w:wordWrap/>
              <w:overflowPunct/>
              <w:bidi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1.本工程</w:t>
            </w:r>
            <w:r>
              <w:rPr>
                <w:rFonts w:hint="eastAsia" w:ascii="宋体" w:hAnsi="宋体" w:eastAsia="宋体" w:cs="宋体"/>
                <w:snapToGrid w:val="0"/>
                <w:color w:val="auto"/>
                <w:kern w:val="0"/>
                <w:sz w:val="21"/>
                <w:szCs w:val="21"/>
                <w:highlight w:val="none"/>
                <w:u w:val="single"/>
              </w:rPr>
              <w:t>不接受</w:t>
            </w:r>
            <w:r>
              <w:rPr>
                <w:rFonts w:hint="eastAsia" w:ascii="宋体" w:hAnsi="宋体" w:eastAsia="宋体" w:cs="宋体"/>
                <w:snapToGrid w:val="0"/>
                <w:color w:val="auto"/>
                <w:kern w:val="0"/>
                <w:sz w:val="21"/>
                <w:szCs w:val="21"/>
                <w:highlight w:val="none"/>
              </w:rPr>
              <w:t>联合体投标。</w:t>
            </w:r>
          </w:p>
          <w:p w14:paraId="35D2F6DA">
            <w:pPr>
              <w:pageBreakBefore w:val="0"/>
              <w:widowControl w:val="0"/>
              <w:shd w:val="clear" w:color="auto" w:fill="auto"/>
              <w:kinsoku/>
              <w:wordWrap/>
              <w:overflowPunct/>
              <w:bidi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2．资质要求</w:t>
            </w:r>
          </w:p>
          <w:p w14:paraId="4A6A567D">
            <w:pPr>
              <w:pageBreakBefore w:val="0"/>
              <w:widowControl w:val="0"/>
              <w:shd w:val="clear" w:color="auto" w:fill="auto"/>
              <w:kinsoku/>
              <w:wordWrap/>
              <w:overflowPunct/>
              <w:bidi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 投标人须具备独立法人资格，按国家法律经营。</w:t>
            </w:r>
          </w:p>
          <w:p w14:paraId="022C285D">
            <w:pPr>
              <w:pageBreakBefore w:val="0"/>
              <w:widowControl w:val="0"/>
              <w:shd w:val="clear" w:color="auto" w:fill="auto"/>
              <w:kinsoku/>
              <w:wordWrap/>
              <w:overflowPunct/>
              <w:bidi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2.2 投标人须持有建设行政主管部门颁发的企业资质证书及安全生产许可证。</w:t>
            </w:r>
          </w:p>
          <w:p w14:paraId="0DC4B14A">
            <w:pPr>
              <w:pageBreakBefore w:val="0"/>
              <w:widowControl w:val="0"/>
              <w:shd w:val="clear" w:color="auto" w:fill="auto"/>
              <w:kinsoku/>
              <w:wordWrap/>
              <w:overflowPunct/>
              <w:bidi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2.3 投标人须具备以下资质：</w:t>
            </w:r>
            <w:r>
              <w:rPr>
                <w:rStyle w:val="49"/>
                <w:rFonts w:hint="eastAsia" w:ascii="宋体" w:hAnsi="宋体" w:eastAsia="宋体" w:cs="宋体"/>
                <w:b/>
                <w:bCs/>
                <w:color w:val="auto"/>
                <w:kern w:val="0"/>
                <w:sz w:val="21"/>
                <w:szCs w:val="21"/>
                <w:highlight w:val="none"/>
                <w:u w:val="single"/>
              </w:rPr>
              <w:t>具备建设行政主管部门颁发的市政公用工程施工总承包三级以上（含三级）资质</w:t>
            </w:r>
            <w:r>
              <w:rPr>
                <w:rFonts w:hint="eastAsia" w:ascii="宋体" w:hAnsi="宋体" w:eastAsia="宋体" w:cs="宋体"/>
                <w:b/>
                <w:bCs/>
                <w:color w:val="auto"/>
                <w:sz w:val="21"/>
                <w:szCs w:val="21"/>
                <w:highlight w:val="none"/>
                <w:u w:val="single"/>
              </w:rPr>
              <w:t>。</w:t>
            </w:r>
          </w:p>
          <w:p w14:paraId="747055B4">
            <w:pPr>
              <w:pageBreakBefore w:val="0"/>
              <w:widowControl w:val="0"/>
              <w:shd w:val="clear" w:color="auto" w:fill="auto"/>
              <w:kinsoku/>
              <w:wordWrap/>
              <w:overflowPunct/>
              <w:bidi w:val="0"/>
              <w:adjustRightInd w:val="0"/>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2.4 </w:t>
            </w:r>
            <w:r>
              <w:rPr>
                <w:rFonts w:hint="eastAsia" w:ascii="宋体" w:hAnsi="宋体" w:eastAsia="宋体" w:cs="宋体"/>
                <w:snapToGrid w:val="0"/>
                <w:color w:val="auto"/>
                <w:kern w:val="0"/>
                <w:sz w:val="21"/>
                <w:szCs w:val="21"/>
                <w:highlight w:val="none"/>
                <w:lang w:eastAsia="zh-CN"/>
              </w:rPr>
              <w:t>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196E60DA">
            <w:pPr>
              <w:pageBreakBefore w:val="0"/>
              <w:widowControl w:val="0"/>
              <w:shd w:val="clear" w:color="auto" w:fill="auto"/>
              <w:kinsoku/>
              <w:wordWrap/>
              <w:overflowPunct/>
              <w:bidi w:val="0"/>
              <w:adjustRightInd w:val="0"/>
              <w:snapToGrid w:val="0"/>
              <w:spacing w:line="360" w:lineRule="auto"/>
              <w:ind w:firstLine="420"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3．相关人员要求</w:t>
            </w:r>
          </w:p>
          <w:p w14:paraId="303771C6">
            <w:pPr>
              <w:pStyle w:val="35"/>
              <w:pageBreakBefore w:val="0"/>
              <w:shd w:val="clear" w:color="auto" w:fill="auto"/>
              <w:kinsoku/>
              <w:wordWrap/>
              <w:overflowPunct/>
              <w:bidi w:val="0"/>
              <w:spacing w:beforeLines="0" w:afterLines="0" w:line="360" w:lineRule="auto"/>
              <w:ind w:firstLine="420" w:firstLineChars="200"/>
              <w:jc w:val="left"/>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3.1 </w:t>
            </w:r>
            <w:r>
              <w:rPr>
                <w:rStyle w:val="49"/>
                <w:rFonts w:hint="eastAsia" w:ascii="宋体" w:hAnsi="宋体" w:eastAsia="宋体" w:cs="宋体"/>
                <w:color w:val="auto"/>
                <w:sz w:val="21"/>
                <w:szCs w:val="21"/>
                <w:highlight w:val="none"/>
                <w:u w:val="none"/>
              </w:rPr>
              <w:t>拟派项目经理为</w:t>
            </w:r>
            <w:r>
              <w:rPr>
                <w:rStyle w:val="49"/>
                <w:rFonts w:hint="eastAsia" w:ascii="宋体" w:hAnsi="宋体" w:eastAsia="宋体" w:cs="宋体"/>
                <w:b/>
                <w:bCs/>
                <w:color w:val="auto"/>
                <w:sz w:val="21"/>
                <w:szCs w:val="21"/>
                <w:highlight w:val="none"/>
                <w:u w:val="single"/>
              </w:rPr>
              <w:t>市政公用工程专业</w:t>
            </w:r>
            <w:r>
              <w:rPr>
                <w:rStyle w:val="49"/>
                <w:rFonts w:hint="eastAsia" w:ascii="宋体" w:hAnsi="宋体" w:eastAsia="宋体" w:cs="宋体"/>
                <w:color w:val="auto"/>
                <w:sz w:val="21"/>
                <w:szCs w:val="21"/>
                <w:highlight w:val="none"/>
                <w:u w:val="none"/>
              </w:rPr>
              <w:t>一级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w:t>
            </w:r>
            <w:r>
              <w:rPr>
                <w:rStyle w:val="49"/>
                <w:rFonts w:hint="eastAsia" w:ascii="宋体" w:hAnsi="宋体" w:eastAsia="宋体" w:cs="宋体"/>
                <w:color w:val="auto"/>
                <w:sz w:val="21"/>
                <w:szCs w:val="21"/>
                <w:highlight w:val="none"/>
                <w:u w:val="none"/>
                <w:lang w:eastAsia="zh-CN"/>
              </w:rPr>
              <w:t>包括已中标未开工、已开工未竣工</w:t>
            </w:r>
            <w:r>
              <w:rPr>
                <w:rStyle w:val="49"/>
                <w:rFonts w:hint="eastAsia" w:ascii="宋体" w:hAnsi="宋体" w:eastAsia="宋体" w:cs="宋体"/>
                <w:color w:val="auto"/>
                <w:sz w:val="21"/>
                <w:szCs w:val="21"/>
                <w:highlight w:val="none"/>
                <w:u w:val="none"/>
              </w:rPr>
              <w:t>）建设工程项目的项目经理</w:t>
            </w:r>
            <w:r>
              <w:rPr>
                <w:rFonts w:hint="eastAsia" w:ascii="宋体" w:hAnsi="宋体" w:eastAsia="宋体" w:cs="宋体"/>
                <w:snapToGrid w:val="0"/>
                <w:color w:val="auto"/>
                <w:kern w:val="0"/>
                <w:sz w:val="21"/>
                <w:szCs w:val="21"/>
                <w:highlight w:val="none"/>
              </w:rPr>
              <w:t xml:space="preserve">。 </w:t>
            </w:r>
          </w:p>
          <w:p w14:paraId="73AF7013">
            <w:pPr>
              <w:pStyle w:val="35"/>
              <w:pageBreakBefore w:val="0"/>
              <w:shd w:val="clear" w:color="auto" w:fill="auto"/>
              <w:kinsoku/>
              <w:wordWrap/>
              <w:overflowPunct/>
              <w:bidi w:val="0"/>
              <w:spacing w:beforeLines="0" w:afterLines="0" w:line="360" w:lineRule="auto"/>
              <w:ind w:firstLine="420" w:firstLineChars="200"/>
              <w:jc w:val="left"/>
              <w:outlineLvl w:val="9"/>
              <w:rPr>
                <w:rFonts w:hint="eastAsia" w:ascii="宋体" w:hAnsi="宋体" w:eastAsia="宋体" w:cs="宋体"/>
                <w:b w:val="0"/>
                <w:bCs w:val="0"/>
                <w:snapToGrid w:val="0"/>
                <w:color w:val="auto"/>
                <w:kern w:val="0"/>
                <w:sz w:val="21"/>
                <w:szCs w:val="21"/>
                <w:highlight w:val="none"/>
                <w:u w:val="none"/>
              </w:rPr>
            </w:pPr>
            <w:r>
              <w:rPr>
                <w:rFonts w:hint="eastAsia" w:ascii="宋体" w:hAnsi="宋体" w:eastAsia="宋体" w:cs="宋体"/>
                <w:snapToGrid w:val="0"/>
                <w:color w:val="auto"/>
                <w:kern w:val="0"/>
                <w:sz w:val="21"/>
                <w:szCs w:val="21"/>
                <w:highlight w:val="none"/>
              </w:rPr>
              <w:t>3.2 投标人拟派项目技术负责人须具备</w:t>
            </w:r>
            <w:r>
              <w:rPr>
                <w:rFonts w:hint="eastAsia" w:ascii="宋体" w:hAnsi="宋体" w:eastAsia="宋体" w:cs="宋体"/>
                <w:b/>
                <w:bCs/>
                <w:snapToGrid w:val="0"/>
                <w:color w:val="auto"/>
                <w:kern w:val="0"/>
                <w:sz w:val="21"/>
                <w:szCs w:val="21"/>
                <w:highlight w:val="none"/>
                <w:u w:val="single"/>
                <w:lang w:eastAsia="zh-CN"/>
              </w:rPr>
              <w:t>市政公用工程</w:t>
            </w:r>
            <w:r>
              <w:rPr>
                <w:rFonts w:hint="eastAsia" w:ascii="宋体" w:hAnsi="宋体" w:eastAsia="宋体" w:cs="宋体"/>
                <w:b w:val="0"/>
                <w:bCs w:val="0"/>
                <w:snapToGrid w:val="0"/>
                <w:color w:val="auto"/>
                <w:kern w:val="0"/>
                <w:sz w:val="21"/>
                <w:szCs w:val="21"/>
                <w:highlight w:val="none"/>
                <w:u w:val="none"/>
                <w:lang w:eastAsia="zh-CN"/>
              </w:rPr>
              <w:t>相关专业中级以上(含中级)技术职称</w:t>
            </w:r>
            <w:r>
              <w:rPr>
                <w:rFonts w:hint="eastAsia" w:ascii="宋体" w:hAnsi="宋体" w:eastAsia="宋体" w:cs="宋体"/>
                <w:b w:val="0"/>
                <w:bCs w:val="0"/>
                <w:snapToGrid w:val="0"/>
                <w:color w:val="auto"/>
                <w:kern w:val="0"/>
                <w:sz w:val="21"/>
                <w:szCs w:val="21"/>
                <w:highlight w:val="none"/>
                <w:u w:val="none"/>
              </w:rPr>
              <w:t>。</w:t>
            </w:r>
          </w:p>
          <w:p w14:paraId="3B8D83E9">
            <w:pPr>
              <w:pStyle w:val="35"/>
              <w:pageBreakBefore w:val="0"/>
              <w:shd w:val="clear" w:color="auto" w:fill="auto"/>
              <w:kinsoku/>
              <w:wordWrap/>
              <w:overflowPunct/>
              <w:bidi w:val="0"/>
              <w:spacing w:beforeLines="0" w:afterLines="0" w:line="360" w:lineRule="auto"/>
              <w:ind w:firstLine="420" w:firstLineChars="200"/>
              <w:jc w:val="left"/>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3.3 投标人拟派专职安全生产管理人员须具备有效安全生产考核合格证明（C证，安全生产考核合格证书或“广东省建筑施工企业管理人员安全生产考核信息系统”考核合格信息打印页），且不少于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snapToGrid w:val="0"/>
                <w:color w:val="auto"/>
                <w:kern w:val="0"/>
                <w:sz w:val="21"/>
                <w:szCs w:val="21"/>
                <w:highlight w:val="none"/>
                <w:u w:val="single"/>
                <w:lang w:val="en-US" w:eastAsia="zh-CN"/>
              </w:rPr>
              <w:t>1</w:t>
            </w:r>
            <w:r>
              <w:rPr>
                <w:rFonts w:hint="eastAsia" w:ascii="宋体" w:hAnsi="宋体" w:eastAsia="宋体" w:cs="宋体"/>
                <w:snapToGrid w:val="0"/>
                <w:color w:val="auto"/>
                <w:kern w:val="0"/>
                <w:sz w:val="21"/>
                <w:szCs w:val="21"/>
                <w:highlight w:val="none"/>
              </w:rPr>
              <w:t>人</w:t>
            </w:r>
            <w:r>
              <w:rPr>
                <w:rFonts w:hint="eastAsia" w:ascii="宋体" w:hAnsi="宋体" w:eastAsia="宋体" w:cs="宋体"/>
                <w:snapToGrid w:val="0"/>
                <w:color w:val="auto"/>
                <w:kern w:val="0"/>
                <w:sz w:val="21"/>
                <w:szCs w:val="21"/>
                <w:highlight w:val="none"/>
                <w:lang w:val="en-US" w:eastAsia="zh-CN"/>
              </w:rPr>
              <w:t>。</w:t>
            </w:r>
          </w:p>
          <w:p w14:paraId="4443191B">
            <w:pPr>
              <w:pageBreakBefore w:val="0"/>
              <w:widowControl w:val="0"/>
              <w:shd w:val="clear" w:color="auto" w:fill="auto"/>
              <w:kinsoku/>
              <w:wordWrap/>
              <w:overflowPunct/>
              <w:bidi w:val="0"/>
              <w:adjustRightInd w:val="0"/>
              <w:snapToGrid w:val="0"/>
              <w:spacing w:line="360" w:lineRule="auto"/>
              <w:ind w:firstLine="420" w:firstLineChars="200"/>
              <w:jc w:val="both"/>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3.4 投标人与其拟派往本项目管理机构的所有人员之间必须具备合法、唯一的劳动聘用关系。拟派人员中具备注册执业资格的，其注册单位须与投标人保持一致。</w:t>
            </w:r>
          </w:p>
          <w:p w14:paraId="521E00E9">
            <w:pPr>
              <w:pageBreakBefore w:val="0"/>
              <w:widowControl w:val="0"/>
              <w:shd w:val="clear" w:color="auto" w:fill="auto"/>
              <w:kinsoku/>
              <w:wordWrap/>
              <w:overflowPunct/>
              <w:bidi w:val="0"/>
              <w:adjustRightInd w:val="0"/>
              <w:snapToGrid w:val="0"/>
              <w:spacing w:line="360" w:lineRule="auto"/>
              <w:ind w:firstLine="420"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4．禁止投标条款：</w:t>
            </w:r>
          </w:p>
          <w:p w14:paraId="34D89102">
            <w:pPr>
              <w:pageBreakBefore w:val="0"/>
              <w:widowControl w:val="0"/>
              <w:shd w:val="clear" w:color="auto" w:fill="auto"/>
              <w:kinsoku/>
              <w:wordWrap/>
              <w:overflowPunct/>
              <w:bidi w:val="0"/>
              <w:adjustRightInd w:val="0"/>
              <w:snapToGrid w:val="0"/>
              <w:spacing w:line="360" w:lineRule="auto"/>
              <w:ind w:firstLine="420"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4.1 投标人不得存在下列情形之一：    </w:t>
            </w:r>
          </w:p>
          <w:p w14:paraId="3034D4FA">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（1）为招标人不具有独立法人资格的附属机构（单位）；</w:t>
            </w:r>
          </w:p>
          <w:p w14:paraId="00070884">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（2）为本招标项目前期准备提供设计或咨询服务的；</w:t>
            </w:r>
          </w:p>
          <w:p w14:paraId="6386E053">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（3）与本招标项目的其他投标人为同一个单位负责人；</w:t>
            </w:r>
          </w:p>
          <w:p w14:paraId="4B86B2CB">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（4）与本招标项目的其他投标人存在控股、管理关系；</w:t>
            </w:r>
          </w:p>
          <w:p w14:paraId="1231EF53">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（5）为本招标项目的监理人；</w:t>
            </w:r>
          </w:p>
          <w:p w14:paraId="4CD068E5">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（6）为本招标项目的代建人；</w:t>
            </w:r>
          </w:p>
          <w:p w14:paraId="4D04F64C">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（7）为本招标项目的招标代理机构；</w:t>
            </w:r>
          </w:p>
          <w:p w14:paraId="5FE3C101">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（8）与本招标项目的监理人或代建人或招标代理机构同为一个法定代表人；</w:t>
            </w:r>
          </w:p>
          <w:p w14:paraId="0BB633CB">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（9）与本招标项目的监理人或代建人或招标代理机构存在控股或参股关系；</w:t>
            </w:r>
          </w:p>
          <w:p w14:paraId="6CC8C1D0">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（10）与本招标项目的监理人或代建人或招标代理机构存在相互任职或工作关系；</w:t>
            </w:r>
          </w:p>
          <w:p w14:paraId="7B2F82C0">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（11）被依法暂停或者取消投标资格；</w:t>
            </w:r>
          </w:p>
          <w:p w14:paraId="3BBE0534">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（12）被责令停产停业、暂扣或者吊销许可证、暂扣或者吊销执照；</w:t>
            </w:r>
          </w:p>
          <w:p w14:paraId="783B1242">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（13）进入清算程序，或被宣告破产，或其他丧失履约能力的情形；</w:t>
            </w:r>
          </w:p>
          <w:p w14:paraId="182A94E3">
            <w:pPr>
              <w:pageBreakBefore w:val="0"/>
              <w:widowControl w:val="0"/>
              <w:shd w:val="clear" w:color="auto" w:fill="auto"/>
              <w:kinsoku/>
              <w:wordWrap/>
              <w:overflowPunct/>
              <w:bidi w:val="0"/>
              <w:adjustRightInd w:val="0"/>
              <w:snapToGrid w:val="0"/>
              <w:spacing w:line="360" w:lineRule="auto"/>
              <w:ind w:firstLine="420"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（14）在最近三年内发生重大工程质量或安全问题（以相关行业主管部门的行政处罚决定或司法机关出具的有关法律文书为准）；</w:t>
            </w:r>
          </w:p>
          <w:p w14:paraId="1AAB4023">
            <w:pPr>
              <w:pageBreakBefore w:val="0"/>
              <w:widowControl w:val="0"/>
              <w:shd w:val="clear" w:color="auto" w:fill="auto"/>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（15）</w:t>
            </w:r>
            <w:r>
              <w:rPr>
                <w:rFonts w:hint="eastAsia" w:ascii="宋体" w:hAnsi="宋体" w:eastAsia="宋体" w:cs="宋体"/>
                <w:snapToGrid w:val="0"/>
                <w:color w:val="auto"/>
                <w:kern w:val="0"/>
                <w:sz w:val="21"/>
                <w:szCs w:val="21"/>
                <w:highlight w:val="none"/>
                <w:lang w:eastAsia="zh-CN"/>
              </w:rPr>
              <w:t>被“信用中国”网站（https://www.creditchina.gov.cn）发布的《法人和非法人组织公共信用信息报告》列入严重失信主体名单的</w:t>
            </w:r>
            <w:r>
              <w:rPr>
                <w:rFonts w:hint="eastAsia" w:ascii="宋体" w:hAnsi="宋体" w:eastAsia="宋体" w:cs="宋体"/>
                <w:snapToGrid w:val="0"/>
                <w:color w:val="auto"/>
                <w:kern w:val="0"/>
                <w:sz w:val="21"/>
                <w:szCs w:val="21"/>
                <w:highlight w:val="none"/>
              </w:rPr>
              <w:t>。</w:t>
            </w:r>
          </w:p>
          <w:p w14:paraId="3F4075E8">
            <w:pPr>
              <w:pageBreakBefore w:val="0"/>
              <w:widowControl w:val="0"/>
              <w:shd w:val="clear" w:color="auto" w:fill="auto"/>
              <w:kinsoku/>
              <w:wordWrap/>
              <w:overflowPunct/>
              <w:bidi w:val="0"/>
              <w:adjustRightInd w:val="0"/>
              <w:snapToGrid w:val="0"/>
              <w:spacing w:line="360" w:lineRule="auto"/>
              <w:ind w:firstLine="420"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4.2 招标人拒绝以下名单中的单位参加本次投标：</w:t>
            </w:r>
          </w:p>
          <w:tbl>
            <w:tblPr>
              <w:tblStyle w:val="25"/>
              <w:tblW w:w="0" w:type="auto"/>
              <w:tblInd w:w="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2890"/>
              <w:gridCol w:w="2886"/>
            </w:tblGrid>
            <w:tr w14:paraId="570A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59" w:type="dxa"/>
                  <w:noWrap w:val="0"/>
                  <w:vAlign w:val="center"/>
                </w:tcPr>
                <w:p w14:paraId="2FC35C1B">
                  <w:pPr>
                    <w:pageBreakBefore w:val="0"/>
                    <w:shd w:val="clear" w:color="auto" w:fill="auto"/>
                    <w:kinsoku/>
                    <w:wordWrap/>
                    <w:overflowPunct/>
                    <w:bidi w:val="0"/>
                    <w:adjustRightInd/>
                    <w:snapToGrid/>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2940" w:type="dxa"/>
                  <w:noWrap w:val="0"/>
                  <w:vAlign w:val="center"/>
                </w:tcPr>
                <w:p w14:paraId="0CB15DC4">
                  <w:pPr>
                    <w:pageBreakBefore w:val="0"/>
                    <w:shd w:val="clear" w:color="auto" w:fill="auto"/>
                    <w:kinsoku/>
                    <w:wordWrap/>
                    <w:overflowPunct/>
                    <w:bidi w:val="0"/>
                    <w:adjustRightInd/>
                    <w:snapToGrid/>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p>
              </w:tc>
              <w:tc>
                <w:tcPr>
                  <w:tcW w:w="2940" w:type="dxa"/>
                  <w:noWrap w:val="0"/>
                  <w:vAlign w:val="center"/>
                </w:tcPr>
                <w:p w14:paraId="1130AF33">
                  <w:pPr>
                    <w:pageBreakBefore w:val="0"/>
                    <w:shd w:val="clear" w:color="auto" w:fill="auto"/>
                    <w:kinsoku/>
                    <w:wordWrap/>
                    <w:overflowPunct/>
                    <w:bidi w:val="0"/>
                    <w:adjustRightInd/>
                    <w:snapToGrid/>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拒绝原因</w:t>
                  </w:r>
                </w:p>
              </w:tc>
            </w:tr>
            <w:tr w14:paraId="4E4C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59" w:type="dxa"/>
                  <w:noWrap w:val="0"/>
                  <w:vAlign w:val="center"/>
                </w:tcPr>
                <w:p w14:paraId="4BAF6516">
                  <w:pPr>
                    <w:pageBreakBefore w:val="0"/>
                    <w:shd w:val="clear" w:color="auto" w:fill="auto"/>
                    <w:kinsoku/>
                    <w:wordWrap/>
                    <w:overflowPunct/>
                    <w:bidi w:val="0"/>
                    <w:adjustRightInd/>
                    <w:snapToGrid/>
                    <w:spacing w:line="360" w:lineRule="auto"/>
                    <w:jc w:val="center"/>
                    <w:rPr>
                      <w:rFonts w:hint="eastAsia" w:ascii="宋体" w:hAnsi="宋体" w:eastAsia="宋体" w:cs="宋体"/>
                      <w:iCs w:val="0"/>
                      <w:snapToGrid w:val="0"/>
                      <w:color w:val="auto"/>
                      <w:kern w:val="0"/>
                      <w:sz w:val="21"/>
                      <w:szCs w:val="21"/>
                      <w:highlight w:val="none"/>
                      <w:lang w:eastAsia="zh-CN"/>
                    </w:rPr>
                  </w:pPr>
                  <w:r>
                    <w:rPr>
                      <w:rFonts w:hint="eastAsia" w:ascii="宋体" w:hAnsi="宋体" w:eastAsia="宋体" w:cs="宋体"/>
                      <w:iCs w:val="0"/>
                      <w:snapToGrid w:val="0"/>
                      <w:color w:val="auto"/>
                      <w:kern w:val="0"/>
                      <w:sz w:val="21"/>
                      <w:szCs w:val="21"/>
                      <w:highlight w:val="none"/>
                      <w:lang w:val="en-US" w:eastAsia="zh-CN"/>
                    </w:rPr>
                    <w:t>1</w:t>
                  </w:r>
                </w:p>
              </w:tc>
              <w:tc>
                <w:tcPr>
                  <w:tcW w:w="2940" w:type="dxa"/>
                  <w:noWrap w:val="0"/>
                  <w:vAlign w:val="center"/>
                </w:tcPr>
                <w:p w14:paraId="7F8C6488">
                  <w:pPr>
                    <w:pageBreakBefore w:val="0"/>
                    <w:shd w:val="clear" w:color="auto" w:fill="auto"/>
                    <w:kinsoku/>
                    <w:wordWrap/>
                    <w:overflowPunct/>
                    <w:bidi w:val="0"/>
                    <w:adjustRightInd/>
                    <w:snapToGrid/>
                    <w:spacing w:line="360" w:lineRule="auto"/>
                    <w:jc w:val="center"/>
                    <w:rPr>
                      <w:rFonts w:hint="eastAsia" w:ascii="宋体" w:hAnsi="宋体" w:eastAsia="宋体" w:cs="宋体"/>
                      <w:iCs w:val="0"/>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东莞（韶关）浈江产业转移工业园管理委员会</w:t>
                  </w:r>
                </w:p>
              </w:tc>
              <w:tc>
                <w:tcPr>
                  <w:tcW w:w="2940" w:type="dxa"/>
                  <w:noWrap w:val="0"/>
                  <w:vAlign w:val="center"/>
                </w:tcPr>
                <w:p w14:paraId="6980733E">
                  <w:pPr>
                    <w:pageBreakBefore w:val="0"/>
                    <w:shd w:val="clear" w:color="auto" w:fill="auto"/>
                    <w:kinsoku/>
                    <w:wordWrap/>
                    <w:overflowPunct/>
                    <w:bidi w:val="0"/>
                    <w:spacing w:line="360" w:lineRule="auto"/>
                    <w:ind w:firstLine="0" w:firstLineChars="0"/>
                    <w:jc w:val="center"/>
                    <w:rPr>
                      <w:rFonts w:hint="eastAsia"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为本项目的招标人</w:t>
                  </w:r>
                </w:p>
              </w:tc>
            </w:tr>
            <w:tr w14:paraId="32C2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59" w:type="dxa"/>
                  <w:noWrap w:val="0"/>
                  <w:vAlign w:val="center"/>
                </w:tcPr>
                <w:p w14:paraId="1DDAFC2D">
                  <w:pPr>
                    <w:pageBreakBefore w:val="0"/>
                    <w:shd w:val="clear" w:color="auto" w:fill="auto"/>
                    <w:kinsoku/>
                    <w:wordWrap/>
                    <w:overflowPunct/>
                    <w:bidi w:val="0"/>
                    <w:adjustRightInd/>
                    <w:snapToGrid/>
                    <w:spacing w:line="360" w:lineRule="auto"/>
                    <w:jc w:val="center"/>
                    <w:rPr>
                      <w:rFonts w:hint="eastAsia" w:ascii="宋体" w:hAnsi="宋体" w:eastAsia="宋体" w:cs="宋体"/>
                      <w:iCs w:val="0"/>
                      <w:snapToGrid w:val="0"/>
                      <w:color w:val="auto"/>
                      <w:kern w:val="0"/>
                      <w:sz w:val="21"/>
                      <w:szCs w:val="21"/>
                      <w:highlight w:val="none"/>
                      <w:lang w:eastAsia="zh-CN"/>
                    </w:rPr>
                  </w:pPr>
                  <w:r>
                    <w:rPr>
                      <w:rFonts w:hint="eastAsia" w:ascii="宋体" w:hAnsi="宋体" w:eastAsia="宋体" w:cs="宋体"/>
                      <w:iCs w:val="0"/>
                      <w:snapToGrid w:val="0"/>
                      <w:color w:val="auto"/>
                      <w:kern w:val="0"/>
                      <w:sz w:val="21"/>
                      <w:szCs w:val="21"/>
                      <w:highlight w:val="none"/>
                      <w:lang w:val="en-US" w:eastAsia="zh-CN"/>
                    </w:rPr>
                    <w:t>2</w:t>
                  </w:r>
                </w:p>
              </w:tc>
              <w:tc>
                <w:tcPr>
                  <w:tcW w:w="2940" w:type="dxa"/>
                  <w:noWrap w:val="0"/>
                  <w:vAlign w:val="center"/>
                </w:tcPr>
                <w:p w14:paraId="53B41797">
                  <w:pPr>
                    <w:pageBreakBefore w:val="0"/>
                    <w:shd w:val="clear" w:color="auto" w:fill="auto"/>
                    <w:kinsoku/>
                    <w:wordWrap/>
                    <w:overflowPunct/>
                    <w:bidi w:val="0"/>
                    <w:adjustRightInd/>
                    <w:snapToGrid/>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bCs w:val="0"/>
                      <w:snapToGrid w:val="0"/>
                      <w:color w:val="auto"/>
                      <w:kern w:val="0"/>
                      <w:sz w:val="21"/>
                      <w:szCs w:val="21"/>
                      <w:highlight w:val="none"/>
                      <w:lang w:eastAsia="zh-CN"/>
                    </w:rPr>
                    <w:t>韶关市中晟项目管理有限公司</w:t>
                  </w:r>
                </w:p>
              </w:tc>
              <w:tc>
                <w:tcPr>
                  <w:tcW w:w="2940" w:type="dxa"/>
                  <w:noWrap w:val="0"/>
                  <w:vAlign w:val="center"/>
                </w:tcPr>
                <w:p w14:paraId="46F427D1">
                  <w:pPr>
                    <w:pageBreakBefore w:val="0"/>
                    <w:shd w:val="clear" w:color="auto" w:fill="auto"/>
                    <w:kinsoku/>
                    <w:wordWrap/>
                    <w:overflowPunct/>
                    <w:bidi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为本项目的招标代理机构</w:t>
                  </w:r>
                </w:p>
              </w:tc>
            </w:tr>
            <w:tr w14:paraId="45FD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59" w:type="dxa"/>
                  <w:shd w:val="clear" w:color="auto" w:fill="auto"/>
                  <w:noWrap w:val="0"/>
                  <w:vAlign w:val="center"/>
                </w:tcPr>
                <w:p w14:paraId="7E11013A">
                  <w:pPr>
                    <w:pageBreakBefore w:val="0"/>
                    <w:shd w:val="clear" w:color="auto" w:fill="auto"/>
                    <w:kinsoku/>
                    <w:wordWrap/>
                    <w:overflowPunct/>
                    <w:bidi w:val="0"/>
                    <w:adjustRightInd/>
                    <w:snapToGrid/>
                    <w:spacing w:line="360" w:lineRule="auto"/>
                    <w:jc w:val="center"/>
                    <w:rPr>
                      <w:rFonts w:hint="eastAsia" w:ascii="宋体" w:hAnsi="宋体" w:eastAsia="宋体" w:cs="宋体"/>
                      <w:iCs w:val="0"/>
                      <w:snapToGrid w:val="0"/>
                      <w:color w:val="auto"/>
                      <w:kern w:val="0"/>
                      <w:sz w:val="21"/>
                      <w:szCs w:val="21"/>
                      <w:highlight w:val="none"/>
                      <w:lang w:val="en-US" w:eastAsia="zh-CN" w:bidi="ar-SA"/>
                    </w:rPr>
                  </w:pPr>
                  <w:r>
                    <w:rPr>
                      <w:rFonts w:hint="eastAsia" w:ascii="宋体" w:hAnsi="宋体" w:eastAsia="宋体" w:cs="宋体"/>
                      <w:iCs w:val="0"/>
                      <w:snapToGrid w:val="0"/>
                      <w:color w:val="auto"/>
                      <w:kern w:val="0"/>
                      <w:sz w:val="21"/>
                      <w:szCs w:val="21"/>
                      <w:highlight w:val="none"/>
                      <w:lang w:val="en-US" w:eastAsia="zh-CN"/>
                    </w:rPr>
                    <w:t>3</w:t>
                  </w:r>
                </w:p>
              </w:tc>
              <w:tc>
                <w:tcPr>
                  <w:tcW w:w="2940" w:type="dxa"/>
                  <w:noWrap w:val="0"/>
                  <w:vAlign w:val="center"/>
                </w:tcPr>
                <w:p w14:paraId="568940D6">
                  <w:pPr>
                    <w:pageBreakBefore w:val="0"/>
                    <w:shd w:val="clear" w:color="auto" w:fill="auto"/>
                    <w:kinsoku/>
                    <w:wordWrap/>
                    <w:overflowPunct/>
                    <w:bidi w:val="0"/>
                    <w:adjustRightInd/>
                    <w:snapToGrid/>
                    <w:spacing w:line="36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广东合正项目管理有限公司</w:t>
                  </w:r>
                </w:p>
              </w:tc>
              <w:tc>
                <w:tcPr>
                  <w:tcW w:w="2940" w:type="dxa"/>
                  <w:noWrap w:val="0"/>
                  <w:vAlign w:val="center"/>
                </w:tcPr>
                <w:p w14:paraId="611BE03E">
                  <w:pPr>
                    <w:pageBreakBefore w:val="0"/>
                    <w:shd w:val="clear" w:color="auto" w:fill="auto"/>
                    <w:kinsoku/>
                    <w:wordWrap/>
                    <w:overflowPunct/>
                    <w:bidi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为本项目的可行性研究报告编制单位</w:t>
                  </w:r>
                </w:p>
              </w:tc>
            </w:tr>
            <w:tr w14:paraId="1BA1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59" w:type="dxa"/>
                  <w:shd w:val="clear" w:color="auto" w:fill="auto"/>
                  <w:noWrap w:val="0"/>
                  <w:vAlign w:val="center"/>
                </w:tcPr>
                <w:p w14:paraId="2DFC701D">
                  <w:pPr>
                    <w:pageBreakBefore w:val="0"/>
                    <w:shd w:val="clear" w:color="auto" w:fill="auto"/>
                    <w:kinsoku/>
                    <w:wordWrap/>
                    <w:overflowPunct/>
                    <w:bidi w:val="0"/>
                    <w:adjustRightInd/>
                    <w:snapToGrid/>
                    <w:spacing w:line="360" w:lineRule="auto"/>
                    <w:jc w:val="center"/>
                    <w:rPr>
                      <w:rFonts w:hint="eastAsia" w:ascii="宋体" w:hAnsi="宋体" w:eastAsia="宋体" w:cs="宋体"/>
                      <w:iCs w:val="0"/>
                      <w:snapToGrid w:val="0"/>
                      <w:color w:val="auto"/>
                      <w:kern w:val="0"/>
                      <w:sz w:val="21"/>
                      <w:szCs w:val="21"/>
                      <w:highlight w:val="none"/>
                      <w:lang w:val="en-US" w:eastAsia="zh-CN" w:bidi="ar-SA"/>
                    </w:rPr>
                  </w:pPr>
                  <w:r>
                    <w:rPr>
                      <w:rFonts w:hint="eastAsia" w:ascii="宋体" w:hAnsi="宋体" w:eastAsia="宋体" w:cs="宋体"/>
                      <w:iCs w:val="0"/>
                      <w:snapToGrid w:val="0"/>
                      <w:color w:val="auto"/>
                      <w:kern w:val="0"/>
                      <w:sz w:val="21"/>
                      <w:szCs w:val="21"/>
                      <w:highlight w:val="none"/>
                      <w:lang w:val="en-US" w:eastAsia="zh-CN"/>
                    </w:rPr>
                    <w:t>4</w:t>
                  </w:r>
                </w:p>
              </w:tc>
              <w:tc>
                <w:tcPr>
                  <w:tcW w:w="2940" w:type="dxa"/>
                  <w:noWrap w:val="0"/>
                  <w:vAlign w:val="center"/>
                </w:tcPr>
                <w:p w14:paraId="0277DEA5">
                  <w:pPr>
                    <w:pageBreakBefore w:val="0"/>
                    <w:shd w:val="clear" w:color="auto" w:fill="auto"/>
                    <w:kinsoku/>
                    <w:wordWrap/>
                    <w:overflowPunct/>
                    <w:bidi w:val="0"/>
                    <w:adjustRightInd/>
                    <w:snapToGrid/>
                    <w:spacing w:line="36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韶关市恒邦地质工程有限公司</w:t>
                  </w:r>
                </w:p>
              </w:tc>
              <w:tc>
                <w:tcPr>
                  <w:tcW w:w="2940" w:type="dxa"/>
                  <w:noWrap w:val="0"/>
                  <w:vAlign w:val="center"/>
                </w:tcPr>
                <w:p w14:paraId="10B794A9">
                  <w:pPr>
                    <w:pageBreakBefore w:val="0"/>
                    <w:shd w:val="clear" w:color="auto" w:fill="auto"/>
                    <w:kinsoku/>
                    <w:wordWrap/>
                    <w:overflowPunct/>
                    <w:bidi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为本项目的勘察单位</w:t>
                  </w:r>
                </w:p>
              </w:tc>
            </w:tr>
            <w:tr w14:paraId="0520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59" w:type="dxa"/>
                  <w:shd w:val="clear" w:color="auto" w:fill="auto"/>
                  <w:noWrap w:val="0"/>
                  <w:vAlign w:val="center"/>
                </w:tcPr>
                <w:p w14:paraId="1E3EF121">
                  <w:pPr>
                    <w:pageBreakBefore w:val="0"/>
                    <w:shd w:val="clear" w:color="auto" w:fill="auto"/>
                    <w:kinsoku/>
                    <w:wordWrap/>
                    <w:overflowPunct/>
                    <w:bidi w:val="0"/>
                    <w:adjustRightInd/>
                    <w:snapToGrid/>
                    <w:spacing w:line="360" w:lineRule="auto"/>
                    <w:jc w:val="center"/>
                    <w:rPr>
                      <w:rFonts w:hint="eastAsia" w:ascii="宋体" w:hAnsi="宋体" w:eastAsia="宋体" w:cs="宋体"/>
                      <w:iCs w:val="0"/>
                      <w:snapToGrid w:val="0"/>
                      <w:color w:val="auto"/>
                      <w:kern w:val="0"/>
                      <w:sz w:val="21"/>
                      <w:szCs w:val="21"/>
                      <w:highlight w:val="none"/>
                      <w:lang w:val="en-US" w:eastAsia="zh-CN" w:bidi="ar-SA"/>
                    </w:rPr>
                  </w:pPr>
                  <w:r>
                    <w:rPr>
                      <w:rFonts w:hint="eastAsia" w:ascii="宋体" w:hAnsi="宋体" w:eastAsia="宋体" w:cs="宋体"/>
                      <w:iCs w:val="0"/>
                      <w:snapToGrid w:val="0"/>
                      <w:color w:val="auto"/>
                      <w:kern w:val="0"/>
                      <w:sz w:val="21"/>
                      <w:szCs w:val="21"/>
                      <w:highlight w:val="none"/>
                      <w:lang w:val="en-US" w:eastAsia="zh-CN"/>
                    </w:rPr>
                    <w:t>5</w:t>
                  </w:r>
                </w:p>
              </w:tc>
              <w:tc>
                <w:tcPr>
                  <w:tcW w:w="2940" w:type="dxa"/>
                  <w:noWrap w:val="0"/>
                  <w:vAlign w:val="center"/>
                </w:tcPr>
                <w:p w14:paraId="61BED243">
                  <w:pPr>
                    <w:pageBreakBefore w:val="0"/>
                    <w:shd w:val="clear" w:color="auto" w:fill="auto"/>
                    <w:kinsoku/>
                    <w:wordWrap/>
                    <w:overflowPunct/>
                    <w:bidi w:val="0"/>
                    <w:adjustRightInd/>
                    <w:snapToGrid/>
                    <w:spacing w:line="36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韶关市规划市政设计研究院有限公司</w:t>
                  </w:r>
                </w:p>
              </w:tc>
              <w:tc>
                <w:tcPr>
                  <w:tcW w:w="2940" w:type="dxa"/>
                  <w:noWrap w:val="0"/>
                  <w:vAlign w:val="center"/>
                </w:tcPr>
                <w:p w14:paraId="17C3FDF0">
                  <w:pPr>
                    <w:pageBreakBefore w:val="0"/>
                    <w:shd w:val="clear" w:color="auto" w:fill="auto"/>
                    <w:kinsoku/>
                    <w:wordWrap/>
                    <w:overflowPunct/>
                    <w:bidi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为本项目的设计单位</w:t>
                  </w:r>
                </w:p>
              </w:tc>
            </w:tr>
            <w:tr w14:paraId="08D3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59" w:type="dxa"/>
                  <w:noWrap w:val="0"/>
                  <w:vAlign w:val="center"/>
                </w:tcPr>
                <w:p w14:paraId="7858E730">
                  <w:pPr>
                    <w:pageBreakBefore w:val="0"/>
                    <w:shd w:val="clear" w:color="auto" w:fill="auto"/>
                    <w:kinsoku/>
                    <w:wordWrap/>
                    <w:overflowPunct/>
                    <w:bidi w:val="0"/>
                    <w:adjustRightInd/>
                    <w:snapToGrid/>
                    <w:spacing w:line="360" w:lineRule="auto"/>
                    <w:jc w:val="center"/>
                    <w:rPr>
                      <w:rFonts w:hint="eastAsia" w:ascii="宋体" w:hAnsi="宋体" w:eastAsia="宋体" w:cs="宋体"/>
                      <w:iCs w:val="0"/>
                      <w:snapToGrid w:val="0"/>
                      <w:color w:val="auto"/>
                      <w:kern w:val="0"/>
                      <w:sz w:val="21"/>
                      <w:szCs w:val="21"/>
                      <w:highlight w:val="none"/>
                      <w:lang w:val="en-US" w:eastAsia="zh-CN"/>
                    </w:rPr>
                  </w:pPr>
                  <w:r>
                    <w:rPr>
                      <w:rFonts w:hint="eastAsia" w:ascii="宋体" w:hAnsi="宋体" w:eastAsia="宋体" w:cs="宋体"/>
                      <w:iCs w:val="0"/>
                      <w:snapToGrid w:val="0"/>
                      <w:color w:val="auto"/>
                      <w:kern w:val="0"/>
                      <w:sz w:val="21"/>
                      <w:szCs w:val="21"/>
                      <w:highlight w:val="none"/>
                      <w:lang w:val="en-US" w:eastAsia="zh-CN"/>
                    </w:rPr>
                    <w:t>6</w:t>
                  </w:r>
                </w:p>
              </w:tc>
              <w:tc>
                <w:tcPr>
                  <w:tcW w:w="2940" w:type="dxa"/>
                  <w:noWrap w:val="0"/>
                  <w:vAlign w:val="center"/>
                </w:tcPr>
                <w:p w14:paraId="652BFEEE">
                  <w:pPr>
                    <w:pageBreakBefore w:val="0"/>
                    <w:shd w:val="clear" w:color="auto" w:fill="auto"/>
                    <w:kinsoku/>
                    <w:wordWrap/>
                    <w:overflowPunct/>
                    <w:bidi w:val="0"/>
                    <w:adjustRightInd/>
                    <w:snapToGrid/>
                    <w:spacing w:line="360" w:lineRule="auto"/>
                    <w:jc w:val="center"/>
                    <w:rPr>
                      <w:rFonts w:hint="eastAsia" w:ascii="宋体" w:hAnsi="宋体" w:eastAsia="宋体" w:cs="宋体"/>
                      <w:iCs w:val="0"/>
                      <w:snapToGrid w:val="0"/>
                      <w:color w:val="auto"/>
                      <w:kern w:val="0"/>
                      <w:sz w:val="21"/>
                      <w:szCs w:val="21"/>
                      <w:highlight w:val="none"/>
                      <w:lang w:eastAsia="zh-CN"/>
                    </w:rPr>
                  </w:pPr>
                  <w:r>
                    <w:rPr>
                      <w:rFonts w:hint="eastAsia" w:ascii="宋体" w:hAnsi="宋体" w:eastAsia="宋体" w:cs="宋体"/>
                      <w:iCs w:val="0"/>
                      <w:snapToGrid w:val="0"/>
                      <w:color w:val="auto"/>
                      <w:kern w:val="0"/>
                      <w:sz w:val="21"/>
                      <w:szCs w:val="21"/>
                      <w:highlight w:val="none"/>
                      <w:lang w:eastAsia="zh-CN"/>
                    </w:rPr>
                    <w:t>中策恒睿建设有限公司</w:t>
                  </w:r>
                </w:p>
              </w:tc>
              <w:tc>
                <w:tcPr>
                  <w:tcW w:w="2940" w:type="dxa"/>
                  <w:noWrap w:val="0"/>
                  <w:vAlign w:val="center"/>
                </w:tcPr>
                <w:p w14:paraId="6A5CA516">
                  <w:pPr>
                    <w:pageBreakBefore w:val="0"/>
                    <w:shd w:val="clear" w:color="auto" w:fill="auto"/>
                    <w:kinsoku/>
                    <w:wordWrap/>
                    <w:overflowPunct/>
                    <w:bidi w:val="0"/>
                    <w:spacing w:line="360" w:lineRule="auto"/>
                    <w:jc w:val="center"/>
                    <w:rPr>
                      <w:rFonts w:hint="eastAsia" w:ascii="宋体" w:hAnsi="宋体" w:eastAsia="宋体" w:cs="宋体"/>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为本项目的造价咨询单位</w:t>
                  </w:r>
                </w:p>
              </w:tc>
            </w:tr>
            <w:tr w14:paraId="4494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59" w:type="dxa"/>
                  <w:noWrap w:val="0"/>
                  <w:vAlign w:val="center"/>
                </w:tcPr>
                <w:p w14:paraId="2FEB741B">
                  <w:pPr>
                    <w:pageBreakBefore w:val="0"/>
                    <w:shd w:val="clear" w:color="auto" w:fill="auto"/>
                    <w:kinsoku/>
                    <w:wordWrap/>
                    <w:overflowPunct/>
                    <w:bidi w:val="0"/>
                    <w:adjustRightInd/>
                    <w:snapToGrid/>
                    <w:spacing w:line="360" w:lineRule="auto"/>
                    <w:jc w:val="center"/>
                    <w:rPr>
                      <w:rFonts w:hint="eastAsia" w:ascii="宋体" w:hAnsi="宋体" w:eastAsia="宋体" w:cs="宋体"/>
                      <w:iCs w:val="0"/>
                      <w:snapToGrid w:val="0"/>
                      <w:color w:val="auto"/>
                      <w:kern w:val="0"/>
                      <w:sz w:val="21"/>
                      <w:szCs w:val="21"/>
                      <w:highlight w:val="none"/>
                      <w:lang w:val="en-US" w:eastAsia="zh-CN"/>
                    </w:rPr>
                  </w:pPr>
                  <w:r>
                    <w:rPr>
                      <w:rFonts w:hint="eastAsia" w:ascii="宋体" w:hAnsi="宋体" w:eastAsia="宋体" w:cs="宋体"/>
                      <w:iCs w:val="0"/>
                      <w:snapToGrid w:val="0"/>
                      <w:color w:val="auto"/>
                      <w:kern w:val="0"/>
                      <w:sz w:val="21"/>
                      <w:szCs w:val="21"/>
                      <w:highlight w:val="none"/>
                      <w:lang w:val="en-US" w:eastAsia="zh-CN"/>
                    </w:rPr>
                    <w:t>7</w:t>
                  </w:r>
                </w:p>
              </w:tc>
              <w:tc>
                <w:tcPr>
                  <w:tcW w:w="2940" w:type="dxa"/>
                  <w:noWrap w:val="0"/>
                  <w:vAlign w:val="center"/>
                </w:tcPr>
                <w:p w14:paraId="78ABCF6D">
                  <w:pPr>
                    <w:pageBreakBefore w:val="0"/>
                    <w:shd w:val="clear" w:color="auto" w:fill="auto"/>
                    <w:kinsoku/>
                    <w:wordWrap/>
                    <w:overflowPunct/>
                    <w:bidi w:val="0"/>
                    <w:adjustRightInd/>
                    <w:snapToGrid/>
                    <w:spacing w:line="360" w:lineRule="auto"/>
                    <w:jc w:val="center"/>
                    <w:rPr>
                      <w:rFonts w:hint="eastAsia" w:ascii="宋体" w:hAnsi="宋体" w:eastAsia="宋体" w:cs="宋体"/>
                      <w:iCs w:val="0"/>
                      <w:snapToGrid w:val="0"/>
                      <w:color w:val="auto"/>
                      <w:kern w:val="0"/>
                      <w:sz w:val="21"/>
                      <w:szCs w:val="21"/>
                      <w:highlight w:val="none"/>
                      <w:lang w:val="en-US" w:eastAsia="zh-CN"/>
                    </w:rPr>
                  </w:pPr>
                  <w:r>
                    <w:rPr>
                      <w:rFonts w:hint="eastAsia" w:ascii="宋体" w:hAnsi="宋体" w:eastAsia="宋体" w:cs="宋体"/>
                      <w:iCs w:val="0"/>
                      <w:snapToGrid w:val="0"/>
                      <w:color w:val="auto"/>
                      <w:kern w:val="0"/>
                      <w:sz w:val="21"/>
                      <w:szCs w:val="21"/>
                      <w:highlight w:val="none"/>
                      <w:lang w:val="en-US" w:eastAsia="zh-CN"/>
                    </w:rPr>
                    <w:t>广东建同工程技术咨询有限公司</w:t>
                  </w:r>
                </w:p>
              </w:tc>
              <w:tc>
                <w:tcPr>
                  <w:tcW w:w="2940" w:type="dxa"/>
                  <w:noWrap w:val="0"/>
                  <w:vAlign w:val="center"/>
                </w:tcPr>
                <w:p w14:paraId="26E2FF68">
                  <w:pPr>
                    <w:pageBreakBefore w:val="0"/>
                    <w:shd w:val="clear" w:color="auto" w:fill="auto"/>
                    <w:kinsoku/>
                    <w:wordWrap/>
                    <w:overflowPunct/>
                    <w:bidi w:val="0"/>
                    <w:spacing w:line="360" w:lineRule="auto"/>
                    <w:jc w:val="center"/>
                    <w:rPr>
                      <w:rFonts w:hint="eastAsia" w:ascii="宋体" w:hAnsi="宋体" w:eastAsia="宋体" w:cs="宋体"/>
                      <w:iCs w:val="0"/>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为本项目的施工图审查单位</w:t>
                  </w:r>
                </w:p>
              </w:tc>
            </w:tr>
          </w:tbl>
          <w:p w14:paraId="694BB498">
            <w:pPr>
              <w:pageBreakBefore w:val="0"/>
              <w:widowControl w:val="0"/>
              <w:shd w:val="clear" w:color="auto" w:fill="auto"/>
              <w:kinsoku/>
              <w:wordWrap/>
              <w:overflowPunct/>
              <w:bidi w:val="0"/>
              <w:adjustRightInd w:val="0"/>
              <w:snapToGrid w:val="0"/>
              <w:spacing w:line="360" w:lineRule="auto"/>
              <w:ind w:firstLine="420"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5．其他要求</w:t>
            </w:r>
          </w:p>
          <w:p w14:paraId="5D9301A1">
            <w:pPr>
              <w:pageBreakBefore w:val="0"/>
              <w:widowControl w:val="0"/>
              <w:kinsoku/>
              <w:wordWrap/>
              <w:overflowPunct/>
              <w:bidi w:val="0"/>
              <w:spacing w:line="360" w:lineRule="auto"/>
              <w:ind w:firstLine="420" w:firstLineChars="200"/>
              <w:jc w:val="both"/>
              <w:rPr>
                <w:rFonts w:hint="eastAsia" w:ascii="宋体" w:hAnsi="宋体" w:eastAsia="宋体" w:cs="宋体"/>
                <w:color w:val="auto"/>
                <w:sz w:val="21"/>
                <w:szCs w:val="21"/>
                <w:highlight w:val="none"/>
                <w:lang w:val="en-US" w:eastAsia="en-US"/>
              </w:rPr>
            </w:pPr>
            <w:r>
              <w:rPr>
                <w:rFonts w:hint="eastAsia" w:ascii="宋体" w:hAnsi="宋体" w:eastAsia="宋体" w:cs="宋体"/>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r>
              <w:rPr>
                <w:rFonts w:hint="eastAsia" w:ascii="宋体" w:hAnsi="宋体" w:eastAsia="宋体" w:cs="宋体"/>
                <w:snapToGrid w:val="0"/>
                <w:color w:val="auto"/>
                <w:kern w:val="0"/>
                <w:sz w:val="21"/>
                <w:szCs w:val="21"/>
                <w:highlight w:val="none"/>
              </w:rPr>
              <w:t>。</w:t>
            </w:r>
          </w:p>
        </w:tc>
      </w:tr>
      <w:tr w14:paraId="5450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0599E045">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27</w:t>
            </w:r>
          </w:p>
        </w:tc>
        <w:tc>
          <w:tcPr>
            <w:tcW w:w="2447" w:type="dxa"/>
            <w:shd w:val="clear" w:color="auto" w:fill="auto"/>
            <w:vAlign w:val="top"/>
          </w:tcPr>
          <w:p w14:paraId="1996812E">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投标有效期</w:t>
            </w:r>
          </w:p>
        </w:tc>
        <w:tc>
          <w:tcPr>
            <w:tcW w:w="7020" w:type="dxa"/>
            <w:shd w:val="clear" w:color="auto" w:fill="auto"/>
            <w:vAlign w:val="top"/>
          </w:tcPr>
          <w:p w14:paraId="3CCC57BC">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本次招标的投标有效期为</w:t>
            </w:r>
            <w:r>
              <w:rPr>
                <w:rFonts w:hint="eastAsia" w:ascii="宋体" w:hAnsi="宋体" w:eastAsia="宋体" w:cs="宋体"/>
                <w:color w:val="auto"/>
                <w:sz w:val="21"/>
                <w:szCs w:val="21"/>
                <w:highlight w:val="none"/>
                <w:lang w:eastAsia="zh-CN"/>
              </w:rPr>
              <w:t>90</w:t>
            </w:r>
            <w:r>
              <w:rPr>
                <w:rFonts w:hint="eastAsia" w:ascii="宋体" w:hAnsi="宋体" w:eastAsia="宋体" w:cs="宋体"/>
                <w:color w:val="auto"/>
                <w:sz w:val="21"/>
                <w:szCs w:val="21"/>
                <w:highlight w:val="none"/>
              </w:rPr>
              <w:t>个日历天。</w:t>
            </w:r>
          </w:p>
        </w:tc>
      </w:tr>
      <w:tr w14:paraId="55C2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11A2D2C7">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28</w:t>
            </w:r>
          </w:p>
        </w:tc>
        <w:tc>
          <w:tcPr>
            <w:tcW w:w="2447" w:type="dxa"/>
            <w:shd w:val="clear" w:color="auto" w:fill="auto"/>
            <w:vAlign w:val="center"/>
          </w:tcPr>
          <w:p w14:paraId="726C8184">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eastAsia="zh-CN"/>
              </w:rPr>
              <w:t>组成</w:t>
            </w:r>
          </w:p>
        </w:tc>
        <w:tc>
          <w:tcPr>
            <w:tcW w:w="7020" w:type="dxa"/>
            <w:shd w:val="clear" w:color="auto" w:fill="auto"/>
            <w:vAlign w:val="top"/>
          </w:tcPr>
          <w:p w14:paraId="47A6D59A">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投标文件包括商务标书、经济标书、施工组织设计三个分册。</w:t>
            </w:r>
          </w:p>
        </w:tc>
      </w:tr>
      <w:tr w14:paraId="6427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310ECCF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29</w:t>
            </w:r>
          </w:p>
        </w:tc>
        <w:tc>
          <w:tcPr>
            <w:tcW w:w="2447" w:type="dxa"/>
            <w:shd w:val="clear" w:color="auto" w:fill="auto"/>
            <w:vAlign w:val="center"/>
          </w:tcPr>
          <w:p w14:paraId="0FCFC049">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w:t>
            </w:r>
          </w:p>
          <w:p w14:paraId="14C92DFB">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评审方式</w:t>
            </w:r>
          </w:p>
        </w:tc>
        <w:tc>
          <w:tcPr>
            <w:tcW w:w="7020" w:type="dxa"/>
            <w:shd w:val="clear" w:color="auto" w:fill="auto"/>
            <w:vAlign w:val="center"/>
          </w:tcPr>
          <w:p w14:paraId="0A751A86">
            <w:pPr>
              <w:pageBreakBefore w:val="0"/>
              <w:widowControl w:val="0"/>
              <w:kinsoku/>
              <w:wordWrap/>
              <w:overflowPunct/>
              <w:bidi w:val="0"/>
              <w:spacing w:line="360" w:lineRule="auto"/>
              <w:jc w:val="left"/>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本次招标施工组织设计不采用“暗标”方式进行评审。</w:t>
            </w:r>
          </w:p>
        </w:tc>
      </w:tr>
      <w:tr w14:paraId="736B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23B0A8DC">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30</w:t>
            </w:r>
          </w:p>
        </w:tc>
        <w:tc>
          <w:tcPr>
            <w:tcW w:w="2447" w:type="dxa"/>
            <w:shd w:val="clear" w:color="auto" w:fill="auto"/>
            <w:vAlign w:val="center"/>
          </w:tcPr>
          <w:p w14:paraId="2455FFE5">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评标委员会</w:t>
            </w:r>
          </w:p>
        </w:tc>
        <w:tc>
          <w:tcPr>
            <w:tcW w:w="7020" w:type="dxa"/>
            <w:shd w:val="clear" w:color="auto" w:fill="auto"/>
            <w:vAlign w:val="top"/>
          </w:tcPr>
          <w:p w14:paraId="5A2AA783">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评标委员会由5人组成，其中招标人代表0人，专家5人。专家从</w:t>
            </w:r>
            <w:r>
              <w:rPr>
                <w:rFonts w:hint="eastAsia" w:ascii="宋体" w:hAnsi="宋体" w:eastAsia="宋体" w:cs="宋体"/>
                <w:color w:val="auto"/>
                <w:sz w:val="21"/>
                <w:szCs w:val="21"/>
                <w:highlight w:val="none"/>
                <w:lang w:eastAsia="zh-CN"/>
              </w:rPr>
              <w:t>广东省综合评标评审专家库（韶关区域）</w:t>
            </w:r>
            <w:r>
              <w:rPr>
                <w:rFonts w:hint="eastAsia" w:ascii="宋体" w:hAnsi="宋体" w:eastAsia="宋体" w:cs="宋体"/>
                <w:color w:val="auto"/>
                <w:sz w:val="21"/>
                <w:szCs w:val="21"/>
                <w:highlight w:val="none"/>
              </w:rPr>
              <w:t>中随机抽取，其中技术类专家3人，经济类专家2人。</w:t>
            </w:r>
          </w:p>
        </w:tc>
      </w:tr>
      <w:tr w14:paraId="3A89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765D23A1">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31</w:t>
            </w:r>
          </w:p>
        </w:tc>
        <w:tc>
          <w:tcPr>
            <w:tcW w:w="2447" w:type="dxa"/>
            <w:shd w:val="clear" w:color="auto" w:fill="auto"/>
            <w:vAlign w:val="center"/>
          </w:tcPr>
          <w:p w14:paraId="594609B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评标方法</w:t>
            </w:r>
          </w:p>
        </w:tc>
        <w:tc>
          <w:tcPr>
            <w:tcW w:w="7020" w:type="dxa"/>
            <w:shd w:val="clear" w:color="auto" w:fill="auto"/>
            <w:vAlign w:val="top"/>
          </w:tcPr>
          <w:p w14:paraId="1779EDBE">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 xml:space="preserve">□A＋B值评标法   □经评审的最低投标价法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综合评估法</w:t>
            </w:r>
          </w:p>
        </w:tc>
      </w:tr>
      <w:tr w14:paraId="09C9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16988807">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32</w:t>
            </w:r>
          </w:p>
        </w:tc>
        <w:tc>
          <w:tcPr>
            <w:tcW w:w="2447" w:type="dxa"/>
            <w:shd w:val="clear" w:color="auto" w:fill="auto"/>
            <w:vAlign w:val="center"/>
          </w:tcPr>
          <w:p w14:paraId="06163317">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招标文件要求提交的用于评审的证书、证件、证明原件</w:t>
            </w:r>
          </w:p>
        </w:tc>
        <w:tc>
          <w:tcPr>
            <w:tcW w:w="7020" w:type="dxa"/>
            <w:shd w:val="clear" w:color="auto" w:fill="auto"/>
            <w:vAlign w:val="top"/>
          </w:tcPr>
          <w:p w14:paraId="34CDEF87">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投标人在提交用于评审的证书、证件、证明原件的，投标人应自行将所需原件密封于文件袋（箱）中，并自行准备两张“原件一览表”(详见格式</w:t>
            </w:r>
            <w:r>
              <w:rPr>
                <w:rFonts w:hint="eastAsia" w:ascii="宋体" w:hAnsi="宋体" w:eastAsia="宋体" w:cs="宋体"/>
                <w:color w:val="auto"/>
                <w:sz w:val="21"/>
                <w:szCs w:val="21"/>
                <w:highlight w:val="none"/>
                <w:lang w:eastAsia="zh-CN"/>
              </w:rPr>
              <w:t>十四</w:t>
            </w:r>
            <w:r>
              <w:rPr>
                <w:rFonts w:hint="eastAsia" w:ascii="宋体" w:hAnsi="宋体" w:eastAsia="宋体" w:cs="宋体"/>
                <w:color w:val="auto"/>
                <w:sz w:val="21"/>
                <w:szCs w:val="21"/>
                <w:highlight w:val="none"/>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1B25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67E0A92C">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3</w:t>
            </w:r>
          </w:p>
        </w:tc>
        <w:tc>
          <w:tcPr>
            <w:tcW w:w="2447" w:type="dxa"/>
            <w:shd w:val="clear" w:color="auto" w:fill="auto"/>
            <w:vAlign w:val="center"/>
          </w:tcPr>
          <w:p w14:paraId="28EA2522">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w:t>
            </w:r>
          </w:p>
          <w:p w14:paraId="69D92E98">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联系方式</w:t>
            </w:r>
          </w:p>
        </w:tc>
        <w:tc>
          <w:tcPr>
            <w:tcW w:w="7020" w:type="dxa"/>
            <w:shd w:val="clear" w:color="auto" w:fill="auto"/>
            <w:vAlign w:val="center"/>
          </w:tcPr>
          <w:p w14:paraId="16EDCF1E">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单位名称：</w:t>
            </w:r>
            <w:r>
              <w:rPr>
                <w:rFonts w:hint="eastAsia" w:ascii="宋体" w:hAnsi="宋体" w:eastAsia="宋体" w:cs="宋体"/>
                <w:color w:val="auto"/>
                <w:sz w:val="21"/>
                <w:szCs w:val="21"/>
                <w:highlight w:val="none"/>
                <w:lang w:eastAsia="zh-CN"/>
              </w:rPr>
              <w:t>东莞（韶关）浈江产业转移工业园管理委员会</w:t>
            </w:r>
          </w:p>
          <w:p w14:paraId="04F523CA">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办公地址：</w:t>
            </w:r>
            <w:r>
              <w:rPr>
                <w:rFonts w:hint="eastAsia" w:ascii="宋体" w:hAnsi="宋体" w:eastAsia="宋体" w:cs="宋体"/>
                <w:color w:val="auto"/>
                <w:sz w:val="21"/>
                <w:szCs w:val="21"/>
                <w:highlight w:val="none"/>
                <w:lang w:eastAsia="zh-CN"/>
              </w:rPr>
              <w:t>韶关市浈江区产业转移工业园创业路23号管委会大楼2楼208室</w:t>
            </w:r>
          </w:p>
          <w:p w14:paraId="31E9F212">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联系人（部门）：</w:t>
            </w:r>
            <w:r>
              <w:rPr>
                <w:rFonts w:hint="eastAsia" w:ascii="宋体" w:hAnsi="宋体" w:eastAsia="宋体" w:cs="宋体"/>
                <w:color w:val="auto"/>
                <w:sz w:val="21"/>
                <w:szCs w:val="21"/>
                <w:highlight w:val="none"/>
                <w:lang w:eastAsia="zh-CN"/>
              </w:rPr>
              <w:t>张工</w:t>
            </w:r>
          </w:p>
          <w:p w14:paraId="5FC00B76">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eastAsia="zh-CN"/>
              </w:rPr>
              <w:t>0751-8235213</w:t>
            </w:r>
          </w:p>
        </w:tc>
      </w:tr>
      <w:tr w14:paraId="483B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63FB5766">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en-US" w:eastAsia="zh-CN"/>
              </w:rPr>
              <w:t>4</w:t>
            </w:r>
          </w:p>
        </w:tc>
        <w:tc>
          <w:tcPr>
            <w:tcW w:w="2447" w:type="dxa"/>
            <w:shd w:val="clear" w:color="auto" w:fill="auto"/>
            <w:vAlign w:val="center"/>
          </w:tcPr>
          <w:p w14:paraId="2F48F80F">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招标代理机构</w:t>
            </w:r>
          </w:p>
          <w:p w14:paraId="3818F3A0">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联系方式</w:t>
            </w:r>
          </w:p>
        </w:tc>
        <w:tc>
          <w:tcPr>
            <w:tcW w:w="7020" w:type="dxa"/>
            <w:shd w:val="clear" w:color="auto" w:fill="auto"/>
            <w:vAlign w:val="center"/>
          </w:tcPr>
          <w:p w14:paraId="5ED6A83F">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单位名称：韶关市中晟项目管理有限公司</w:t>
            </w:r>
          </w:p>
          <w:p w14:paraId="50A090AE">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办公地址：韶关市武江区芙蓉新村六街4栋A</w:t>
            </w:r>
          </w:p>
          <w:p w14:paraId="2726A17A">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联系人：刘工</w:t>
            </w:r>
          </w:p>
          <w:p w14:paraId="4CC0E68C">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联系电话：0751-8288690</w:t>
            </w:r>
          </w:p>
        </w:tc>
      </w:tr>
      <w:tr w14:paraId="569D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4DA0C3A1">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en-US" w:eastAsia="zh-CN"/>
              </w:rPr>
              <w:t>5</w:t>
            </w:r>
          </w:p>
        </w:tc>
        <w:tc>
          <w:tcPr>
            <w:tcW w:w="2447" w:type="dxa"/>
            <w:shd w:val="clear" w:color="auto" w:fill="auto"/>
            <w:vAlign w:val="center"/>
          </w:tcPr>
          <w:p w14:paraId="564881AB">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交易场所联系方式</w:t>
            </w:r>
          </w:p>
        </w:tc>
        <w:tc>
          <w:tcPr>
            <w:tcW w:w="7020" w:type="dxa"/>
            <w:shd w:val="clear" w:color="auto" w:fill="auto"/>
            <w:vAlign w:val="center"/>
          </w:tcPr>
          <w:p w14:paraId="22007D52">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单位名称：韶关市公共资源交易中心</w:t>
            </w:r>
          </w:p>
          <w:p w14:paraId="5D20F9A1">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办公地址：广东省韶关市武江区西联镇 </w:t>
            </w:r>
          </w:p>
          <w:p w14:paraId="189A43EC">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联系人（部门）：工程交易部</w:t>
            </w:r>
          </w:p>
          <w:p w14:paraId="360E3C3C">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联系电话：0751-8633071、0751-8633211</w:t>
            </w:r>
          </w:p>
        </w:tc>
      </w:tr>
      <w:tr w14:paraId="5203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3" w:type="dxa"/>
            <w:shd w:val="clear" w:color="auto" w:fill="auto"/>
            <w:vAlign w:val="center"/>
          </w:tcPr>
          <w:p w14:paraId="297DD533">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p>
        </w:tc>
        <w:tc>
          <w:tcPr>
            <w:tcW w:w="2447" w:type="dxa"/>
            <w:shd w:val="clear" w:color="auto" w:fill="auto"/>
            <w:vAlign w:val="center"/>
          </w:tcPr>
          <w:p w14:paraId="088F7714">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行政监督部</w:t>
            </w:r>
          </w:p>
          <w:p w14:paraId="57BFA0F7">
            <w:pPr>
              <w:pageBreakBefore w:val="0"/>
              <w:widowControl w:val="0"/>
              <w:kinsoku/>
              <w:wordWrap/>
              <w:overflowPunct/>
              <w:bidi w:val="0"/>
              <w:spacing w:line="360" w:lineRule="auto"/>
              <w:jc w:val="center"/>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门联系方式</w:t>
            </w:r>
          </w:p>
        </w:tc>
        <w:tc>
          <w:tcPr>
            <w:tcW w:w="7020" w:type="dxa"/>
            <w:shd w:val="clear" w:color="auto" w:fill="auto"/>
            <w:vAlign w:val="center"/>
          </w:tcPr>
          <w:p w14:paraId="010A1D33">
            <w:pPr>
              <w:pageBreakBefore w:val="0"/>
              <w:widowControl w:val="0"/>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单位名称：韶关市住房和城乡建设管理局</w:t>
            </w:r>
          </w:p>
          <w:p w14:paraId="527AAA19">
            <w:pPr>
              <w:pageBreakBefore w:val="0"/>
              <w:widowControl w:val="0"/>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办公地址：广东省韶关市武江区芙蓉东路5号</w:t>
            </w:r>
          </w:p>
          <w:p w14:paraId="61E1EC4B">
            <w:pPr>
              <w:pageBreakBefore w:val="0"/>
              <w:widowControl w:val="0"/>
              <w:kinsoku/>
              <w:wordWrap/>
              <w:overflowPunct/>
              <w:bidi w:val="0"/>
              <w:adjustRightInd w:val="0"/>
              <w:snapToGrid w:val="0"/>
              <w:spacing w:line="360" w:lineRule="auto"/>
              <w:jc w:val="both"/>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联系人(部门)：建筑业市场管理科</w:t>
            </w:r>
          </w:p>
          <w:p w14:paraId="6D99CA04">
            <w:pPr>
              <w:pageBreakBefore w:val="0"/>
              <w:widowControl w:val="0"/>
              <w:kinsoku/>
              <w:wordWrap/>
              <w:overflowPunct/>
              <w:bidi w:val="0"/>
              <w:spacing w:line="360" w:lineRule="auto"/>
              <w:jc w:val="both"/>
              <w:rPr>
                <w:rFonts w:hint="eastAsia" w:ascii="宋体" w:hAnsi="宋体" w:eastAsia="宋体" w:cs="宋体"/>
                <w:color w:val="auto"/>
                <w:sz w:val="21"/>
                <w:szCs w:val="21"/>
                <w:highlight w:val="none"/>
                <w:lang w:val="en-US" w:eastAsia="en-US"/>
              </w:rPr>
            </w:pPr>
            <w:r>
              <w:rPr>
                <w:rFonts w:hint="eastAsia" w:ascii="宋体" w:hAnsi="宋体" w:eastAsia="宋体" w:cs="宋体"/>
                <w:snapToGrid w:val="0"/>
                <w:color w:val="auto"/>
                <w:kern w:val="0"/>
                <w:sz w:val="21"/>
                <w:szCs w:val="21"/>
                <w:highlight w:val="none"/>
                <w:lang w:val="en-US" w:eastAsia="zh-CN"/>
              </w:rPr>
              <w:t>联系电话：0751-8892601</w:t>
            </w:r>
          </w:p>
        </w:tc>
      </w:tr>
    </w:tbl>
    <w:p w14:paraId="549EB851">
      <w:pPr>
        <w:pageBreakBefore w:val="0"/>
        <w:kinsoku/>
        <w:wordWrap/>
        <w:overflowPunct/>
        <w:bidi w:val="0"/>
        <w:rPr>
          <w:rFonts w:hint="eastAsia" w:ascii="宋体" w:hAnsi="宋体" w:eastAsia="宋体" w:cs="宋体"/>
          <w:color w:val="auto"/>
          <w:highlight w:val="none"/>
        </w:rPr>
      </w:pPr>
      <w:bookmarkStart w:id="6" w:name="bookmark115"/>
      <w:bookmarkEnd w:id="6"/>
      <w:bookmarkStart w:id="7" w:name="_Toc10868"/>
    </w:p>
    <w:p w14:paraId="4E25646E">
      <w:pPr>
        <w:rPr>
          <w:rFonts w:hint="eastAsia"/>
          <w:color w:val="auto"/>
          <w:highlight w:val="none"/>
        </w:rPr>
      </w:pPr>
      <w:r>
        <w:rPr>
          <w:rFonts w:hint="eastAsia"/>
          <w:color w:val="auto"/>
          <w:highlight w:val="none"/>
        </w:rPr>
        <w:br w:type="page"/>
      </w:r>
    </w:p>
    <w:p w14:paraId="185FA4A9">
      <w:pPr>
        <w:pageBreakBefore w:val="0"/>
        <w:kinsoku/>
        <w:wordWrap/>
        <w:overflowPunct/>
        <w:bidi w:val="0"/>
        <w:spacing w:before="156" w:line="360" w:lineRule="auto"/>
        <w:ind w:left="17"/>
        <w:outlineLvl w:val="1"/>
        <w:rPr>
          <w:rFonts w:hint="eastAsia" w:ascii="宋体" w:hAnsi="宋体" w:eastAsia="宋体" w:cs="宋体"/>
          <w:b/>
          <w:bCs/>
          <w:color w:val="auto"/>
          <w:spacing w:val="-3"/>
          <w:sz w:val="24"/>
          <w:szCs w:val="24"/>
          <w:highlight w:val="none"/>
        </w:rPr>
      </w:pPr>
      <w:bookmarkStart w:id="8" w:name="_Toc25818"/>
      <w:r>
        <w:rPr>
          <w:rFonts w:hint="eastAsia" w:ascii="宋体" w:hAnsi="宋体" w:eastAsia="宋体" w:cs="宋体"/>
          <w:b/>
          <w:bCs/>
          <w:color w:val="auto"/>
          <w:spacing w:val="-3"/>
          <w:sz w:val="24"/>
          <w:szCs w:val="24"/>
          <w:highlight w:val="none"/>
        </w:rPr>
        <w:t>第二节</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重要事项时间地点一览表</w:t>
      </w:r>
      <w:bookmarkEnd w:id="7"/>
      <w:bookmarkEnd w:id="8"/>
    </w:p>
    <w:tbl>
      <w:tblPr>
        <w:tblStyle w:val="25"/>
        <w:tblW w:w="98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02"/>
        <w:gridCol w:w="1527"/>
        <w:gridCol w:w="7726"/>
      </w:tblGrid>
      <w:tr w14:paraId="71599B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0"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374F5C48">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3A4F2023">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4F7CFA9B">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0F68EC28">
            <w:pPr>
              <w:pStyle w:val="35"/>
              <w:pageBreakBefore w:val="0"/>
              <w:kinsoku/>
              <w:wordWrap/>
              <w:overflowPunct/>
              <w:bidi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23</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15</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w:t>
            </w:r>
            <w:r>
              <w:rPr>
                <w:rFonts w:hint="eastAsia" w:ascii="宋体" w:hAnsi="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rPr>
              <w:t>分</w:t>
            </w:r>
            <w:bookmarkStart w:id="359" w:name="_GoBack"/>
            <w:bookmarkEnd w:id="359"/>
          </w:p>
        </w:tc>
      </w:tr>
      <w:tr w14:paraId="201827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8"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5E66AA9F">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7AB2F580">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获取招标文件</w:t>
            </w:r>
          </w:p>
          <w:p w14:paraId="0394C5DD">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773B1D0A">
            <w:pPr>
              <w:pStyle w:val="35"/>
              <w:pageBreakBefore w:val="0"/>
              <w:kinsoku/>
              <w:wordWrap/>
              <w:overflowPunct/>
              <w:bidi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13</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25C28D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5"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152C94F6">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39629958">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45B8CAE5">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6EE57C6A">
            <w:pPr>
              <w:pStyle w:val="35"/>
              <w:pageBreakBefore w:val="0"/>
              <w:kinsoku/>
              <w:wordWrap/>
              <w:overflowPunct/>
              <w:bidi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03</w:t>
            </w:r>
            <w:r>
              <w:rPr>
                <w:rFonts w:hint="eastAsia" w:ascii="宋体" w:hAnsi="宋体" w:eastAsia="宋体" w:cs="宋体"/>
                <w:color w:val="auto"/>
                <w:kern w:val="0"/>
                <w:sz w:val="24"/>
                <w:szCs w:val="24"/>
                <w:highlight w:val="none"/>
              </w:rPr>
              <w:t>日</w:t>
            </w:r>
            <w:r>
              <w:rPr>
                <w:rFonts w:hint="eastAsia" w:ascii="宋体" w:hAnsi="宋体" w:eastAsia="宋体" w:cs="宋体"/>
                <w:snapToGrid w:val="0"/>
                <w:color w:val="auto"/>
                <w:kern w:val="0"/>
                <w:sz w:val="24"/>
                <w:highlight w:val="none"/>
                <w:u w:val="single"/>
                <w:lang w:val="en-US" w:eastAsia="zh-CN"/>
              </w:rPr>
              <w:t>16</w:t>
            </w:r>
            <w:r>
              <w:rPr>
                <w:rFonts w:hint="eastAsia" w:ascii="宋体" w:hAnsi="宋体" w:eastAsia="宋体" w:cs="宋体"/>
                <w:snapToGrid w:val="0"/>
                <w:color w:val="auto"/>
                <w:kern w:val="0"/>
                <w:sz w:val="24"/>
                <w:highlight w:val="none"/>
                <w:lang w:val="en-US" w:eastAsia="zh-CN"/>
              </w:rPr>
              <w:t>时</w:t>
            </w:r>
            <w:r>
              <w:rPr>
                <w:rFonts w:hint="eastAsia" w:ascii="宋体" w:hAnsi="宋体" w:eastAsia="宋体" w:cs="宋体"/>
                <w:snapToGrid w:val="0"/>
                <w:color w:val="auto"/>
                <w:kern w:val="0"/>
                <w:sz w:val="24"/>
                <w:highlight w:val="none"/>
                <w:u w:val="single"/>
                <w:lang w:val="en-US" w:eastAsia="zh-CN"/>
              </w:rPr>
              <w:t>00</w:t>
            </w:r>
            <w:r>
              <w:rPr>
                <w:rFonts w:hint="eastAsia" w:ascii="宋体" w:hAnsi="宋体" w:eastAsia="宋体" w:cs="宋体"/>
                <w:snapToGrid w:val="0"/>
                <w:color w:val="auto"/>
                <w:kern w:val="0"/>
                <w:sz w:val="24"/>
                <w:highlight w:val="none"/>
                <w:lang w:val="en-US" w:eastAsia="zh-CN"/>
              </w:rPr>
              <w:t>分</w:t>
            </w:r>
          </w:p>
        </w:tc>
      </w:tr>
      <w:tr w14:paraId="4DF328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473A7348">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6ADEFF61">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7BD92372">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5C2D5569">
            <w:pPr>
              <w:pStyle w:val="35"/>
              <w:pageBreakBefore w:val="0"/>
              <w:kinsoku/>
              <w:wordWrap/>
              <w:overflowPunct/>
              <w:bidi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03</w:t>
            </w:r>
            <w:r>
              <w:rPr>
                <w:rFonts w:hint="eastAsia" w:ascii="宋体" w:hAnsi="宋体" w:eastAsia="宋体" w:cs="宋体"/>
                <w:color w:val="auto"/>
                <w:kern w:val="0"/>
                <w:sz w:val="24"/>
                <w:szCs w:val="24"/>
                <w:highlight w:val="none"/>
              </w:rPr>
              <w:t>日</w:t>
            </w:r>
            <w:r>
              <w:rPr>
                <w:rFonts w:hint="eastAsia" w:ascii="宋体" w:hAnsi="宋体" w:eastAsia="宋体" w:cs="宋体"/>
                <w:snapToGrid w:val="0"/>
                <w:color w:val="auto"/>
                <w:kern w:val="0"/>
                <w:sz w:val="24"/>
                <w:highlight w:val="none"/>
                <w:u w:val="single"/>
                <w:lang w:val="en-US" w:eastAsia="zh-CN"/>
              </w:rPr>
              <w:t>16</w:t>
            </w:r>
            <w:r>
              <w:rPr>
                <w:rFonts w:hint="eastAsia" w:ascii="宋体" w:hAnsi="宋体" w:eastAsia="宋体" w:cs="宋体"/>
                <w:snapToGrid w:val="0"/>
                <w:color w:val="auto"/>
                <w:kern w:val="0"/>
                <w:sz w:val="24"/>
                <w:highlight w:val="none"/>
                <w:lang w:val="en-US" w:eastAsia="zh-CN"/>
              </w:rPr>
              <w:t>时</w:t>
            </w:r>
            <w:r>
              <w:rPr>
                <w:rFonts w:hint="eastAsia" w:ascii="宋体" w:hAnsi="宋体" w:eastAsia="宋体" w:cs="宋体"/>
                <w:snapToGrid w:val="0"/>
                <w:color w:val="auto"/>
                <w:kern w:val="0"/>
                <w:sz w:val="24"/>
                <w:highlight w:val="none"/>
                <w:u w:val="single"/>
                <w:lang w:val="en-US" w:eastAsia="zh-CN"/>
              </w:rPr>
              <w:t>30</w:t>
            </w:r>
            <w:r>
              <w:rPr>
                <w:rFonts w:hint="eastAsia" w:ascii="宋体" w:hAnsi="宋体" w:eastAsia="宋体" w:cs="宋体"/>
                <w:snapToGrid w:val="0"/>
                <w:color w:val="auto"/>
                <w:kern w:val="0"/>
                <w:sz w:val="24"/>
                <w:highlight w:val="none"/>
                <w:lang w:val="en-US" w:eastAsia="zh-CN"/>
              </w:rPr>
              <w:t>分</w:t>
            </w:r>
            <w:r>
              <w:rPr>
                <w:rFonts w:hint="eastAsia" w:ascii="宋体" w:hAnsi="宋体" w:eastAsia="宋体" w:cs="宋体"/>
                <w:snapToGrid w:val="0"/>
                <w:color w:val="auto"/>
                <w:kern w:val="0"/>
                <w:sz w:val="24"/>
                <w:szCs w:val="24"/>
                <w:highlight w:val="none"/>
                <w:u w:val="none"/>
              </w:rPr>
              <w:t>至</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06</w:t>
            </w:r>
            <w:r>
              <w:rPr>
                <w:rFonts w:hint="eastAsia" w:ascii="宋体" w:hAnsi="宋体" w:eastAsia="宋体" w:cs="宋体"/>
                <w:color w:val="auto"/>
                <w:kern w:val="0"/>
                <w:sz w:val="24"/>
                <w:szCs w:val="24"/>
                <w:highlight w:val="none"/>
              </w:rPr>
              <w:t>日</w:t>
            </w:r>
            <w:r>
              <w:rPr>
                <w:rFonts w:hint="eastAsia" w:ascii="宋体" w:hAnsi="宋体" w:eastAsia="宋体" w:cs="宋体"/>
                <w:snapToGrid w:val="0"/>
                <w:color w:val="auto"/>
                <w:kern w:val="0"/>
                <w:sz w:val="24"/>
                <w:highlight w:val="none"/>
                <w:u w:val="single"/>
                <w:lang w:val="en-US" w:eastAsia="zh-CN"/>
              </w:rPr>
              <w:t>16</w:t>
            </w:r>
            <w:r>
              <w:rPr>
                <w:rFonts w:hint="eastAsia" w:ascii="宋体" w:hAnsi="宋体" w:eastAsia="宋体" w:cs="宋体"/>
                <w:snapToGrid w:val="0"/>
                <w:color w:val="auto"/>
                <w:kern w:val="0"/>
                <w:sz w:val="24"/>
                <w:highlight w:val="none"/>
                <w:lang w:val="en-US" w:eastAsia="zh-CN"/>
              </w:rPr>
              <w:t>时</w:t>
            </w:r>
            <w:r>
              <w:rPr>
                <w:rFonts w:hint="eastAsia" w:ascii="宋体" w:hAnsi="宋体" w:eastAsia="宋体" w:cs="宋体"/>
                <w:snapToGrid w:val="0"/>
                <w:color w:val="auto"/>
                <w:kern w:val="0"/>
                <w:sz w:val="24"/>
                <w:highlight w:val="none"/>
                <w:u w:val="single"/>
                <w:lang w:val="en-US" w:eastAsia="zh-CN"/>
              </w:rPr>
              <w:t>00</w:t>
            </w:r>
            <w:r>
              <w:rPr>
                <w:rFonts w:hint="eastAsia" w:ascii="宋体" w:hAnsi="宋体" w:eastAsia="宋体" w:cs="宋体"/>
                <w:snapToGrid w:val="0"/>
                <w:color w:val="auto"/>
                <w:kern w:val="0"/>
                <w:sz w:val="24"/>
                <w:highlight w:val="none"/>
                <w:lang w:val="en-US" w:eastAsia="zh-CN"/>
              </w:rPr>
              <w:t>分</w:t>
            </w:r>
          </w:p>
        </w:tc>
      </w:tr>
      <w:tr w14:paraId="4CEC3A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7"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31730499">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5B21FAAC">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61124B54">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1ADC98A9">
            <w:pPr>
              <w:pStyle w:val="35"/>
              <w:pageBreakBefore w:val="0"/>
              <w:kinsoku/>
              <w:wordWrap/>
              <w:overflowPunct/>
              <w:bidi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投标保证金到账截止时间：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12</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p w14:paraId="461BA50F">
            <w:pPr>
              <w:pStyle w:val="35"/>
              <w:pageBreakBefore w:val="0"/>
              <w:kinsoku/>
              <w:wordWrap/>
              <w:overflowPunct/>
              <w:bidi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投标保证担保上传截止时间：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12</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p w14:paraId="1DEB2FA3">
            <w:pPr>
              <w:pStyle w:val="35"/>
              <w:pageBreakBefore w:val="0"/>
              <w:kinsoku/>
              <w:wordWrap/>
              <w:overflowPunct/>
              <w:bidi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投标保证保险投保截止时间：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12</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012438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8"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394AC2B7">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6E2A5C91">
            <w:pPr>
              <w:pStyle w:val="35"/>
              <w:pageBreakBefore w:val="0"/>
              <w:kinsoku/>
              <w:wordWrap/>
              <w:overflowPunct/>
              <w:bidi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eastAsia="宋体" w:cs="宋体"/>
                <w:snapToGrid w:val="0"/>
                <w:color w:val="auto"/>
                <w:kern w:val="0"/>
                <w:sz w:val="24"/>
                <w:highlight w:val="none"/>
                <w:lang w:val="en-US" w:eastAsia="zh-CN"/>
              </w:rPr>
              <w:t>电子投标</w:t>
            </w:r>
          </w:p>
          <w:p w14:paraId="260E1535">
            <w:pPr>
              <w:pStyle w:val="35"/>
              <w:pageBreakBefore w:val="0"/>
              <w:kinsoku/>
              <w:wordWrap/>
              <w:overflowPunct/>
              <w:bidi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eastAsia="宋体" w:cs="宋体"/>
                <w:snapToGrid w:val="0"/>
                <w:color w:val="auto"/>
                <w:kern w:val="0"/>
                <w:sz w:val="24"/>
                <w:highlight w:val="none"/>
                <w:lang w:val="en-US" w:eastAsia="zh-CN"/>
              </w:rPr>
              <w:t xml:space="preserve">截止时间 </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0C0C367C">
            <w:pPr>
              <w:pStyle w:val="35"/>
              <w:pageBreakBefore w:val="0"/>
              <w:kinsoku/>
              <w:wordWrap/>
              <w:overflowPunct/>
              <w:bidi w:val="0"/>
              <w:adjustRightInd w:val="0"/>
              <w:snapToGrid w:val="0"/>
              <w:spacing w:line="360" w:lineRule="auto"/>
              <w:jc w:val="both"/>
              <w:rPr>
                <w:rFonts w:hint="eastAsia" w:ascii="宋体" w:hAnsi="宋体" w:eastAsia="宋体" w:cs="宋体"/>
                <w:snapToGrid w:val="0"/>
                <w:color w:val="auto"/>
                <w:kern w:val="0"/>
                <w:sz w:val="24"/>
                <w:highlight w:val="none"/>
                <w:lang w:val="en-US" w:eastAsia="zh-CN"/>
              </w:rPr>
            </w:pPr>
            <w:r>
              <w:rPr>
                <w:rFonts w:hint="eastAsia" w:ascii="宋体" w:hAnsi="宋体" w:cs="宋体"/>
                <w:snapToGrid w:val="0"/>
                <w:color w:val="auto"/>
                <w:kern w:val="0"/>
                <w:sz w:val="24"/>
                <w:szCs w:val="24"/>
                <w:highlight w:val="none"/>
                <w:u w:val="none"/>
                <w:lang w:val="en-US" w:eastAsia="zh-CN"/>
              </w:rPr>
              <w:t xml:space="preserve">  </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13</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390BB3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14"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61F09BB2">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226F03A7">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投标相关资料（如有）递交时间</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628FBCF9">
            <w:pPr>
              <w:pStyle w:val="35"/>
              <w:pageBreakBefore w:val="0"/>
              <w:kinsoku/>
              <w:wordWrap/>
              <w:overflowPunct/>
              <w:bidi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13</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r>
              <w:rPr>
                <w:rFonts w:hint="eastAsia" w:ascii="宋体" w:hAnsi="宋体" w:eastAsia="宋体" w:cs="宋体"/>
                <w:snapToGrid w:val="0"/>
                <w:color w:val="auto"/>
                <w:kern w:val="0"/>
                <w:sz w:val="24"/>
                <w:szCs w:val="24"/>
                <w:highlight w:val="none"/>
                <w:u w:val="none"/>
              </w:rPr>
              <w:t>至</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13</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2D1D25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85"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72BCF6AA">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2D65EBA6">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投标相关资料（如有）递交地点</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4D932D98">
            <w:pPr>
              <w:pStyle w:val="21"/>
              <w:pageBreakBefore w:val="0"/>
              <w:kinsoku/>
              <w:wordWrap/>
              <w:overflowPunct/>
              <w:bidi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u w:val="none"/>
                <w:lang w:eastAsia="zh-CN"/>
              </w:rPr>
            </w:pPr>
            <w:r>
              <w:rPr>
                <w:rFonts w:hint="eastAsia" w:ascii="宋体" w:hAnsi="宋体" w:eastAsia="宋体" w:cs="宋体"/>
                <w:snapToGrid w:val="0"/>
                <w:color w:val="auto"/>
                <w:kern w:val="0"/>
                <w:sz w:val="24"/>
                <w:szCs w:val="24"/>
                <w:highlight w:val="none"/>
                <w:u w:val="none"/>
                <w:lang w:eastAsia="zh-CN"/>
              </w:rPr>
              <w:t>递交</w:t>
            </w:r>
            <w:r>
              <w:rPr>
                <w:rFonts w:hint="eastAsia" w:ascii="宋体" w:hAnsi="宋体" w:eastAsia="宋体" w:cs="宋体"/>
                <w:snapToGrid w:val="0"/>
                <w:color w:val="auto"/>
                <w:kern w:val="0"/>
                <w:sz w:val="24"/>
                <w:szCs w:val="24"/>
                <w:highlight w:val="none"/>
                <w:u w:val="none"/>
              </w:rPr>
              <w:t>场所：</w:t>
            </w:r>
            <w:r>
              <w:rPr>
                <w:rFonts w:hint="eastAsia" w:ascii="宋体" w:hAnsi="宋体" w:eastAsia="宋体" w:cs="宋体"/>
                <w:snapToGrid w:val="0"/>
                <w:color w:val="auto"/>
                <w:kern w:val="0"/>
                <w:sz w:val="24"/>
                <w:szCs w:val="24"/>
                <w:highlight w:val="none"/>
                <w:u w:val="none"/>
                <w:lang w:val="en-US" w:eastAsia="zh-CN"/>
              </w:rPr>
              <w:t>韶关市公共资源交易中心</w:t>
            </w:r>
          </w:p>
          <w:p w14:paraId="6164DD43">
            <w:pPr>
              <w:pStyle w:val="50"/>
              <w:pageBreakBefore w:val="0"/>
              <w:widowControl w:val="0"/>
              <w:kinsoku/>
              <w:wordWrap/>
              <w:overflowPunct/>
              <w:bidi w:val="0"/>
              <w:snapToGrid w:val="0"/>
              <w:spacing w:before="0" w:beforeAutospacing="0" w:after="0" w:afterAutospacing="0" w:line="360" w:lineRule="auto"/>
              <w:ind w:firstLine="240" w:firstLineChars="100"/>
              <w:rPr>
                <w:rFonts w:hint="eastAsia" w:ascii="宋体" w:hAnsi="宋体" w:eastAsia="宋体" w:cs="宋体"/>
                <w:snapToGrid w:val="0"/>
                <w:color w:val="auto"/>
                <w:kern w:val="0"/>
                <w:sz w:val="24"/>
                <w:szCs w:val="24"/>
                <w:highlight w:val="none"/>
                <w:u w:val="none"/>
                <w:lang w:eastAsia="zh-CN"/>
              </w:rPr>
            </w:pPr>
            <w:r>
              <w:rPr>
                <w:rFonts w:hint="eastAsia" w:ascii="宋体" w:hAnsi="宋体" w:eastAsia="宋体" w:cs="宋体"/>
                <w:snapToGrid w:val="0"/>
                <w:color w:val="auto"/>
                <w:kern w:val="0"/>
                <w:sz w:val="24"/>
                <w:szCs w:val="24"/>
                <w:highlight w:val="none"/>
                <w:u w:val="none"/>
              </w:rPr>
              <w:t>地址：</w:t>
            </w:r>
            <w:r>
              <w:rPr>
                <w:rFonts w:hint="eastAsia" w:ascii="宋体" w:hAnsi="宋体" w:eastAsia="宋体" w:cs="宋体"/>
                <w:snapToGrid w:val="0"/>
                <w:color w:val="auto"/>
                <w:kern w:val="0"/>
                <w:sz w:val="24"/>
                <w:szCs w:val="24"/>
                <w:highlight w:val="none"/>
              </w:rPr>
              <w:t>广东省韶关市武江区西联镇</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具体房间号以当日现场通知为准</w:t>
            </w:r>
            <w:r>
              <w:rPr>
                <w:rFonts w:hint="eastAsia" w:ascii="宋体" w:hAnsi="宋体" w:eastAsia="宋体" w:cs="宋体"/>
                <w:snapToGrid w:val="0"/>
                <w:color w:val="auto"/>
                <w:kern w:val="0"/>
                <w:sz w:val="24"/>
                <w:szCs w:val="24"/>
                <w:highlight w:val="none"/>
                <w:lang w:eastAsia="zh-CN"/>
              </w:rPr>
              <w:t>。</w:t>
            </w:r>
          </w:p>
        </w:tc>
      </w:tr>
      <w:tr w14:paraId="1C05BF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5"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1CD38B72">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097BBC34">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6B807D9F">
            <w:pPr>
              <w:pStyle w:val="35"/>
              <w:pageBreakBefore w:val="0"/>
              <w:kinsoku/>
              <w:wordWrap/>
              <w:overflowPunct/>
              <w:bidi w:val="0"/>
              <w:adjustRightInd w:val="0"/>
              <w:snapToGrid w:val="0"/>
              <w:spacing w:line="360" w:lineRule="auto"/>
              <w:jc w:val="both"/>
              <w:rPr>
                <w:rFonts w:hint="eastAsia" w:ascii="宋体" w:hAnsi="宋体" w:eastAsia="宋体" w:cs="宋体"/>
                <w:snapToGrid w:val="0"/>
                <w:color w:val="auto"/>
                <w:kern w:val="0"/>
                <w:sz w:val="24"/>
                <w:highlight w:val="none"/>
              </w:rPr>
            </w:pPr>
            <w:r>
              <w:rPr>
                <w:rFonts w:hint="eastAsia" w:ascii="宋体" w:hAnsi="宋体" w:cs="宋体"/>
                <w:snapToGrid w:val="0"/>
                <w:color w:val="auto"/>
                <w:kern w:val="0"/>
                <w:sz w:val="24"/>
                <w:szCs w:val="24"/>
                <w:highlight w:val="none"/>
                <w:u w:val="none"/>
                <w:lang w:val="en-US" w:eastAsia="zh-CN"/>
              </w:rPr>
              <w:t xml:space="preserve">  </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11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13</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5BB941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82"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3E6761C9">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06ACC4E8">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开标地点</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50EB6ACD">
            <w:pPr>
              <w:pStyle w:val="21"/>
              <w:pageBreakBefore w:val="0"/>
              <w:kinsoku/>
              <w:wordWrap/>
              <w:overflowPunct/>
              <w:bidi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开标场所：</w:t>
            </w:r>
            <w:r>
              <w:rPr>
                <w:rFonts w:hint="eastAsia" w:ascii="宋体" w:hAnsi="宋体" w:eastAsia="宋体" w:cs="宋体"/>
                <w:snapToGrid w:val="0"/>
                <w:color w:val="auto"/>
                <w:kern w:val="0"/>
                <w:sz w:val="24"/>
                <w:szCs w:val="24"/>
                <w:highlight w:val="none"/>
                <w:lang w:val="en-US" w:eastAsia="zh-CN"/>
              </w:rPr>
              <w:t>韶关市公共资源交易中心</w:t>
            </w:r>
          </w:p>
          <w:p w14:paraId="59F1C8C1">
            <w:pPr>
              <w:pStyle w:val="50"/>
              <w:pageBreakBefore w:val="0"/>
              <w:widowControl w:val="0"/>
              <w:kinsoku/>
              <w:wordWrap/>
              <w:overflowPunct/>
              <w:bidi w:val="0"/>
              <w:snapToGrid w:val="0"/>
              <w:spacing w:before="0" w:beforeAutospacing="0" w:after="0" w:afterAutospacing="0" w:line="360" w:lineRule="auto"/>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地址：广东省韶关市武江区西联镇</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具体房间号以当日现场通知为准。</w:t>
            </w:r>
          </w:p>
        </w:tc>
      </w:tr>
      <w:tr w14:paraId="5D5E8F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3" w:hRule="exact"/>
          <w:jc w:val="center"/>
        </w:trPr>
        <w:tc>
          <w:tcPr>
            <w:tcW w:w="602" w:type="dxa"/>
            <w:tcBorders>
              <w:top w:val="single" w:color="080000" w:sz="4" w:space="0"/>
              <w:left w:val="single" w:color="080000" w:sz="4" w:space="0"/>
              <w:bottom w:val="single" w:color="080000" w:sz="4" w:space="0"/>
              <w:right w:val="single" w:color="080000" w:sz="4" w:space="0"/>
            </w:tcBorders>
            <w:noWrap/>
            <w:vAlign w:val="center"/>
          </w:tcPr>
          <w:p w14:paraId="4B2B6B00">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1527" w:type="dxa"/>
            <w:tcBorders>
              <w:top w:val="single" w:color="080000" w:sz="4" w:space="0"/>
              <w:left w:val="single" w:color="080000" w:sz="4" w:space="0"/>
              <w:bottom w:val="single" w:color="080000" w:sz="4" w:space="0"/>
              <w:right w:val="single" w:color="080000" w:sz="4" w:space="0"/>
            </w:tcBorders>
            <w:noWrap/>
            <w:vAlign w:val="center"/>
          </w:tcPr>
          <w:p w14:paraId="3FFA4335">
            <w:pPr>
              <w:pStyle w:val="3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其他</w:t>
            </w:r>
          </w:p>
        </w:tc>
        <w:tc>
          <w:tcPr>
            <w:tcW w:w="7726" w:type="dxa"/>
            <w:tcBorders>
              <w:top w:val="single" w:color="080000" w:sz="4" w:space="0"/>
              <w:left w:val="single" w:color="080000" w:sz="4" w:space="0"/>
              <w:bottom w:val="single" w:color="080000" w:sz="4" w:space="0"/>
              <w:right w:val="single" w:color="080000" w:sz="4" w:space="0"/>
            </w:tcBorders>
            <w:noWrap/>
            <w:vAlign w:val="center"/>
          </w:tcPr>
          <w:p w14:paraId="62484FFA">
            <w:pPr>
              <w:pStyle w:val="21"/>
              <w:pageBreakBefore w:val="0"/>
              <w:kinsoku/>
              <w:wordWrap/>
              <w:overflowPunct/>
              <w:bidi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83CCCE4">
      <w:pPr>
        <w:pageBreakBefore w:val="0"/>
        <w:kinsoku/>
        <w:wordWrap/>
        <w:overflowPunct/>
        <w:bidi w:val="0"/>
        <w:rPr>
          <w:rFonts w:hint="eastAsia" w:ascii="宋体" w:hAnsi="宋体" w:eastAsia="宋体" w:cs="宋体"/>
          <w:color w:val="auto"/>
          <w:highlight w:val="none"/>
        </w:rPr>
      </w:pPr>
    </w:p>
    <w:p w14:paraId="0C391831">
      <w:pPr>
        <w:pageBreakBefore w:val="0"/>
        <w:kinsoku/>
        <w:wordWrap/>
        <w:overflowPunct/>
        <w:bidi w:val="0"/>
        <w:rPr>
          <w:rFonts w:hint="eastAsia" w:ascii="宋体" w:hAnsi="宋体" w:eastAsia="宋体" w:cs="宋体"/>
          <w:color w:val="auto"/>
          <w:highlight w:val="none"/>
        </w:rPr>
      </w:pPr>
    </w:p>
    <w:p w14:paraId="06F3CE5A">
      <w:pPr>
        <w:pageBreakBefore w:val="0"/>
        <w:kinsoku/>
        <w:wordWrap/>
        <w:overflowPunct/>
        <w:bidi w:val="0"/>
        <w:rPr>
          <w:rFonts w:hint="eastAsia" w:ascii="宋体" w:hAnsi="宋体" w:eastAsia="宋体" w:cs="宋体"/>
          <w:color w:val="auto"/>
          <w:highlight w:val="none"/>
        </w:rPr>
      </w:pPr>
    </w:p>
    <w:p w14:paraId="10FF82C7">
      <w:pPr>
        <w:pageBreakBefore w:val="0"/>
        <w:kinsoku/>
        <w:wordWrap/>
        <w:overflowPunct/>
        <w:bidi w:val="0"/>
        <w:rPr>
          <w:rFonts w:hint="eastAsia" w:ascii="宋体" w:hAnsi="宋体" w:eastAsia="宋体" w:cs="宋体"/>
          <w:color w:val="auto"/>
          <w:highlight w:val="none"/>
        </w:rPr>
      </w:pPr>
    </w:p>
    <w:p w14:paraId="4740C1D3">
      <w:pPr>
        <w:pageBreakBefore w:val="0"/>
        <w:kinsoku/>
        <w:wordWrap/>
        <w:overflowPunct/>
        <w:bidi w:val="0"/>
        <w:rPr>
          <w:rFonts w:hint="eastAsia" w:ascii="宋体" w:hAnsi="宋体" w:eastAsia="宋体" w:cs="宋体"/>
          <w:color w:val="auto"/>
          <w:highlight w:val="none"/>
        </w:rPr>
      </w:pPr>
    </w:p>
    <w:p w14:paraId="10825357">
      <w:pPr>
        <w:pageBreakBefore w:val="0"/>
        <w:kinsoku/>
        <w:wordWrap/>
        <w:overflowPunct/>
        <w:bidi w:val="0"/>
        <w:rPr>
          <w:rFonts w:hint="eastAsia" w:ascii="宋体" w:hAnsi="宋体" w:eastAsia="宋体" w:cs="宋体"/>
          <w:color w:val="auto"/>
          <w:highlight w:val="none"/>
        </w:rPr>
      </w:pPr>
    </w:p>
    <w:p w14:paraId="4E3F0761">
      <w:pPr>
        <w:pageBreakBefore w:val="0"/>
        <w:kinsoku/>
        <w:wordWrap/>
        <w:overflowPunct/>
        <w:bidi w:val="0"/>
        <w:rPr>
          <w:rFonts w:hint="eastAsia" w:ascii="宋体" w:hAnsi="宋体" w:eastAsia="宋体" w:cs="宋体"/>
          <w:color w:val="auto"/>
          <w:highlight w:val="none"/>
        </w:rPr>
      </w:pPr>
    </w:p>
    <w:p w14:paraId="73C561D0">
      <w:pPr>
        <w:pageBreakBefore w:val="0"/>
        <w:kinsoku/>
        <w:wordWrap/>
        <w:overflowPunct/>
        <w:bidi w:val="0"/>
        <w:rPr>
          <w:rFonts w:hint="eastAsia" w:ascii="宋体" w:hAnsi="宋体" w:eastAsia="宋体" w:cs="宋体"/>
          <w:color w:val="auto"/>
          <w:highlight w:val="none"/>
        </w:rPr>
      </w:pPr>
      <w:bookmarkStart w:id="9" w:name="_Toc29292"/>
    </w:p>
    <w:p w14:paraId="12CA5012">
      <w:pPr>
        <w:pageBreakBefore w:val="0"/>
        <w:kinsoku/>
        <w:wordWrap/>
        <w:overflowPunct/>
        <w:bidi w:val="0"/>
        <w:spacing w:before="156" w:line="360" w:lineRule="auto"/>
        <w:ind w:left="17"/>
        <w:outlineLvl w:val="1"/>
        <w:rPr>
          <w:rFonts w:hint="eastAsia" w:ascii="宋体" w:hAnsi="宋体" w:eastAsia="宋体" w:cs="宋体"/>
          <w:b/>
          <w:bCs/>
          <w:color w:val="auto"/>
          <w:spacing w:val="-3"/>
          <w:sz w:val="24"/>
          <w:szCs w:val="24"/>
          <w:highlight w:val="none"/>
        </w:rPr>
      </w:pPr>
      <w:bookmarkStart w:id="10" w:name="_Toc577"/>
      <w:r>
        <w:rPr>
          <w:rFonts w:hint="eastAsia" w:ascii="宋体" w:hAnsi="宋体" w:eastAsia="宋体" w:cs="宋体"/>
          <w:b/>
          <w:bCs/>
          <w:color w:val="auto"/>
          <w:spacing w:val="-3"/>
          <w:sz w:val="24"/>
          <w:szCs w:val="24"/>
          <w:highlight w:val="none"/>
        </w:rPr>
        <w:t>第三节</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投标人须知正文</w:t>
      </w:r>
      <w:bookmarkEnd w:id="9"/>
      <w:bookmarkEnd w:id="10"/>
    </w:p>
    <w:p w14:paraId="4094FC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snapToGrid w:val="0"/>
          <w:color w:val="auto"/>
          <w:sz w:val="24"/>
          <w:szCs w:val="24"/>
          <w:highlight w:val="none"/>
        </w:rPr>
      </w:pPr>
      <w:bookmarkStart w:id="11" w:name="_Toc24668"/>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浈江产业园（犁市片区）基础设施建设项目（土方工程一期）施工</w:t>
      </w:r>
      <w:r>
        <w:rPr>
          <w:rFonts w:hint="eastAsia" w:ascii="宋体" w:hAnsi="宋体" w:eastAsia="宋体" w:cs="宋体"/>
          <w:b w:val="0"/>
          <w:bCs w:val="0"/>
          <w:caps w:val="0"/>
          <w:smallCaps w:val="0"/>
          <w:snapToGrid w:val="0"/>
          <w:color w:val="auto"/>
          <w:spacing w:val="0"/>
          <w:kern w:val="0"/>
          <w:sz w:val="24"/>
          <w:szCs w:val="24"/>
          <w:highlight w:val="none"/>
          <w:lang w:val="en-US" w:eastAsia="zh-CN"/>
        </w:rPr>
        <w:t>经</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韶关市浈江区发展和改革局</w:t>
      </w:r>
      <w:r>
        <w:rPr>
          <w:rFonts w:hint="eastAsia" w:ascii="宋体" w:hAnsi="宋体" w:eastAsia="宋体" w:cs="宋体"/>
          <w:b w:val="0"/>
          <w:bCs w:val="0"/>
          <w:caps w:val="0"/>
          <w:smallCaps w:val="0"/>
          <w:snapToGrid w:val="0"/>
          <w:color w:val="auto"/>
          <w:spacing w:val="0"/>
          <w:kern w:val="0"/>
          <w:sz w:val="24"/>
          <w:szCs w:val="24"/>
          <w:highlight w:val="none"/>
          <w:lang w:val="en-US" w:eastAsia="zh-CN"/>
        </w:rPr>
        <w:t>以</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韶关市浈江区发展和改革局关于浈江产业园（犁市片区）基础设施建设项目可行性研究报告的批复》、《韶关市浈江区发展和改革局关于浈江产业园（犁市片区）基础设施建设项目土方工程、道路及边坡工程、管线工程初步设计概算的批复》</w:t>
      </w:r>
      <w:r>
        <w:rPr>
          <w:rFonts w:hint="eastAsia" w:ascii="宋体" w:hAnsi="宋体" w:eastAsia="宋体" w:cs="宋体"/>
          <w:b w:val="0"/>
          <w:bCs w:val="0"/>
          <w:caps w:val="0"/>
          <w:smallCaps w:val="0"/>
          <w:snapToGrid w:val="0"/>
          <w:color w:val="auto"/>
          <w:spacing w:val="0"/>
          <w:kern w:val="0"/>
          <w:sz w:val="24"/>
          <w:szCs w:val="24"/>
          <w:highlight w:val="none"/>
          <w:lang w:val="en-US" w:eastAsia="zh-CN"/>
        </w:rPr>
        <w:t>批准招标，项目批准文号为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韶浈发改投审〔2024〕20号，韶浈发改投审〔2025〕51号</w:t>
      </w:r>
      <w:r>
        <w:rPr>
          <w:rFonts w:hint="eastAsia" w:ascii="宋体" w:hAnsi="宋体" w:eastAsia="宋体" w:cs="宋体"/>
          <w:b w:val="0"/>
          <w:bCs w:val="0"/>
          <w:caps w:val="0"/>
          <w:smallCaps w:val="0"/>
          <w:snapToGrid w:val="0"/>
          <w:color w:val="auto"/>
          <w:spacing w:val="0"/>
          <w:kern w:val="0"/>
          <w:sz w:val="24"/>
          <w:szCs w:val="24"/>
          <w:highlight w:val="none"/>
          <w:lang w:val="en-US" w:eastAsia="zh-CN"/>
        </w:rPr>
        <w:t>，项目代码为</w:t>
      </w:r>
      <w:r>
        <w:rPr>
          <w:rFonts w:hint="eastAsia" w:ascii="宋体" w:hAnsi="宋体" w:eastAsia="宋体" w:cs="宋体"/>
          <w:snapToGrid w:val="0"/>
          <w:color w:val="auto"/>
          <w:kern w:val="0"/>
          <w:sz w:val="24"/>
          <w:szCs w:val="24"/>
          <w:highlight w:val="none"/>
          <w:u w:val="single"/>
          <w:lang w:eastAsia="zh-CN"/>
        </w:rPr>
        <w:t>2310-440204-04-01-369836</w:t>
      </w:r>
      <w:r>
        <w:rPr>
          <w:rFonts w:hint="eastAsia" w:ascii="宋体" w:hAnsi="宋体" w:eastAsia="宋体" w:cs="宋体"/>
          <w:b w:val="0"/>
          <w:bCs w:val="0"/>
          <w:caps w:val="0"/>
          <w:smallCaps w:val="0"/>
          <w:snapToGrid w:val="0"/>
          <w:color w:val="auto"/>
          <w:spacing w:val="0"/>
          <w:kern w:val="0"/>
          <w:sz w:val="24"/>
          <w:szCs w:val="24"/>
          <w:highlight w:val="none"/>
          <w:lang w:val="en-US" w:eastAsia="zh-CN"/>
        </w:rPr>
        <w:t>，本工程项目业主为</w:t>
      </w:r>
      <w:r>
        <w:rPr>
          <w:rFonts w:hint="eastAsia" w:ascii="宋体" w:hAnsi="宋体" w:eastAsia="宋体" w:cs="宋体"/>
          <w:snapToGrid w:val="0"/>
          <w:color w:val="auto"/>
          <w:kern w:val="0"/>
          <w:sz w:val="24"/>
          <w:szCs w:val="24"/>
          <w:highlight w:val="none"/>
          <w:u w:val="single"/>
          <w:lang w:eastAsia="zh-CN"/>
        </w:rPr>
        <w:t>东莞（韶关）浈江产业转移工业园管理委员会</w:t>
      </w:r>
      <w:r>
        <w:rPr>
          <w:rFonts w:hint="eastAsia" w:ascii="宋体" w:hAnsi="宋体" w:eastAsia="宋体" w:cs="宋体"/>
          <w:b w:val="0"/>
          <w:bCs w:val="0"/>
          <w:caps w:val="0"/>
          <w:smallCaps w:val="0"/>
          <w:snapToGrid w:val="0"/>
          <w:color w:val="auto"/>
          <w:spacing w:val="0"/>
          <w:kern w:val="0"/>
          <w:sz w:val="24"/>
          <w:szCs w:val="24"/>
          <w:highlight w:val="none"/>
          <w:lang w:val="en-US" w:eastAsia="zh-CN"/>
        </w:rPr>
        <w:t>，建设资金来自</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上级财政投资和地方配套解决</w:t>
      </w:r>
      <w:r>
        <w:rPr>
          <w:rFonts w:hint="eastAsia" w:ascii="宋体" w:hAnsi="宋体" w:eastAsia="宋体" w:cs="宋体"/>
          <w:b w:val="0"/>
          <w:bCs w:val="0"/>
          <w:caps w:val="0"/>
          <w:smallCaps w:val="0"/>
          <w:snapToGrid w:val="0"/>
          <w:color w:val="auto"/>
          <w:spacing w:val="0"/>
          <w:kern w:val="0"/>
          <w:sz w:val="24"/>
          <w:szCs w:val="24"/>
          <w:highlight w:val="none"/>
          <w:lang w:val="en-US" w:eastAsia="zh-CN"/>
        </w:rPr>
        <w:t>，出资比例为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100%</w:t>
      </w:r>
      <w:r>
        <w:rPr>
          <w:rFonts w:hint="eastAsia" w:ascii="宋体" w:hAnsi="宋体" w:eastAsia="宋体" w:cs="宋体"/>
          <w:b w:val="0"/>
          <w:bCs w:val="0"/>
          <w:caps w:val="0"/>
          <w:smallCaps w:val="0"/>
          <w:snapToGrid w:val="0"/>
          <w:color w:val="auto"/>
          <w:spacing w:val="0"/>
          <w:kern w:val="0"/>
          <w:sz w:val="24"/>
          <w:szCs w:val="24"/>
          <w:highlight w:val="none"/>
          <w:lang w:val="en-US" w:eastAsia="zh-CN"/>
        </w:rPr>
        <w:t>，招标人为</w:t>
      </w:r>
      <w:r>
        <w:rPr>
          <w:rFonts w:hint="eastAsia" w:ascii="宋体" w:hAnsi="宋体" w:eastAsia="宋体" w:cs="宋体"/>
          <w:snapToGrid w:val="0"/>
          <w:color w:val="auto"/>
          <w:kern w:val="0"/>
          <w:sz w:val="24"/>
          <w:szCs w:val="24"/>
          <w:highlight w:val="none"/>
          <w:u w:val="single"/>
          <w:lang w:eastAsia="zh-CN"/>
        </w:rPr>
        <w:t>东莞（韶关）浈江产业转移工业园管理委员会</w:t>
      </w:r>
      <w:r>
        <w:rPr>
          <w:rFonts w:hint="eastAsia" w:ascii="宋体" w:hAnsi="宋体" w:eastAsia="宋体" w:cs="宋体"/>
          <w:b w:val="0"/>
          <w:bCs w:val="0"/>
          <w:caps w:val="0"/>
          <w:smallCaps w:val="0"/>
          <w:snapToGrid w:val="0"/>
          <w:color w:val="auto"/>
          <w:spacing w:val="0"/>
          <w:kern w:val="0"/>
          <w:sz w:val="24"/>
          <w:szCs w:val="24"/>
          <w:highlight w:val="none"/>
          <w:lang w:val="en-US" w:eastAsia="zh-CN"/>
        </w:rPr>
        <w:t>，</w:t>
      </w:r>
      <w:r>
        <w:rPr>
          <w:rFonts w:hint="eastAsia" w:ascii="宋体" w:hAnsi="宋体" w:eastAsia="宋体" w:cs="宋体"/>
          <w:snapToGrid w:val="0"/>
          <w:color w:val="auto"/>
          <w:kern w:val="0"/>
          <w:sz w:val="24"/>
          <w:szCs w:val="24"/>
          <w:highlight w:val="none"/>
        </w:rPr>
        <w:t>招标代理机构为</w:t>
      </w:r>
      <w:r>
        <w:rPr>
          <w:rFonts w:hint="eastAsia" w:ascii="宋体" w:hAnsi="宋体" w:eastAsia="宋体" w:cs="宋体"/>
          <w:snapToGrid w:val="0"/>
          <w:color w:val="auto"/>
          <w:kern w:val="0"/>
          <w:sz w:val="24"/>
          <w:szCs w:val="24"/>
          <w:highlight w:val="none"/>
          <w:u w:val="single"/>
          <w:lang w:eastAsia="zh-CN"/>
        </w:rPr>
        <w:t>韶关市中晟项目管理有限公司</w:t>
      </w:r>
      <w:r>
        <w:rPr>
          <w:rFonts w:hint="eastAsia" w:ascii="宋体" w:hAnsi="宋体" w:eastAsia="宋体" w:cs="宋体"/>
          <w:snapToGrid w:val="0"/>
          <w:color w:val="auto"/>
          <w:kern w:val="0"/>
          <w:sz w:val="24"/>
          <w:szCs w:val="24"/>
          <w:highlight w:val="none"/>
        </w:rPr>
        <w:t>。项目已具备招标条件，现对</w:t>
      </w:r>
      <w:r>
        <w:rPr>
          <w:rFonts w:hint="eastAsia" w:ascii="宋体" w:hAnsi="宋体" w:eastAsia="宋体" w:cs="宋体"/>
          <w:snapToGrid w:val="0"/>
          <w:color w:val="auto"/>
          <w:kern w:val="0"/>
          <w:sz w:val="24"/>
          <w:szCs w:val="24"/>
          <w:highlight w:val="none"/>
          <w:u w:val="none"/>
          <w:lang w:val="en-US" w:eastAsia="zh-CN"/>
        </w:rPr>
        <w:t>该项目</w:t>
      </w:r>
      <w:r>
        <w:rPr>
          <w:rFonts w:hint="eastAsia" w:ascii="宋体" w:hAnsi="宋体" w:eastAsia="宋体" w:cs="宋体"/>
          <w:snapToGrid w:val="0"/>
          <w:color w:val="auto"/>
          <w:kern w:val="0"/>
          <w:sz w:val="24"/>
          <w:szCs w:val="24"/>
          <w:highlight w:val="none"/>
          <w:u w:val="single"/>
          <w:lang w:val="en-US" w:eastAsia="zh-CN"/>
        </w:rPr>
        <w:t>施工</w:t>
      </w:r>
      <w:r>
        <w:rPr>
          <w:rFonts w:hint="eastAsia" w:ascii="宋体" w:hAnsi="宋体" w:eastAsia="宋体" w:cs="宋体"/>
          <w:snapToGrid w:val="0"/>
          <w:color w:val="auto"/>
          <w:kern w:val="0"/>
          <w:sz w:val="24"/>
          <w:szCs w:val="24"/>
          <w:highlight w:val="none"/>
        </w:rPr>
        <w:t>进行公开招标。</w:t>
      </w:r>
    </w:p>
    <w:p w14:paraId="55C36900">
      <w:pPr>
        <w:pageBreakBefore w:val="0"/>
        <w:kinsoku/>
        <w:wordWrap/>
        <w:overflowPunct/>
        <w:bidi w:val="0"/>
        <w:spacing w:before="78" w:line="360" w:lineRule="auto"/>
        <w:ind w:left="496"/>
        <w:outlineLvl w:val="2"/>
        <w:rPr>
          <w:rFonts w:hint="eastAsia" w:ascii="宋体" w:hAnsi="宋体" w:eastAsia="宋体" w:cs="宋体"/>
          <w:color w:val="auto"/>
          <w:sz w:val="24"/>
          <w:szCs w:val="24"/>
          <w:highlight w:val="none"/>
        </w:rPr>
      </w:pPr>
      <w:bookmarkStart w:id="12" w:name="_Toc19913"/>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lang w:eastAsia="zh-CN"/>
        </w:rPr>
        <w:t>.</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6512D44E">
      <w:pPr>
        <w:pageBreakBefore w:val="0"/>
        <w:numPr>
          <w:ilvl w:val="1"/>
          <w:numId w:val="0"/>
        </w:numPr>
        <w:kinsoku/>
        <w:wordWrap/>
        <w:overflowPunct/>
        <w:bidi w:val="0"/>
        <w:spacing w:before="151" w:line="360" w:lineRule="auto"/>
        <w:ind w:left="496" w:leftChars="0" w:firstLine="0" w:firstLineChars="0"/>
        <w:rPr>
          <w:rFonts w:hint="eastAsia" w:ascii="宋体" w:hAnsi="宋体" w:eastAsia="宋体" w:cs="宋体"/>
          <w:color w:val="auto"/>
          <w:spacing w:val="-5"/>
          <w:sz w:val="24"/>
          <w:szCs w:val="24"/>
          <w:highlight w:val="none"/>
        </w:rPr>
      </w:pPr>
      <w:r>
        <w:rPr>
          <w:rFonts w:hint="eastAsia" w:ascii="宋体" w:hAnsi="宋体" w:eastAsia="宋体" w:cs="宋体"/>
          <w:b/>
          <w:bCs/>
          <w:snapToGrid w:val="0"/>
          <w:color w:val="auto"/>
          <w:spacing w:val="-5"/>
          <w:sz w:val="24"/>
          <w:szCs w:val="24"/>
          <w:highlight w:val="none"/>
          <w:lang w:val="en-US" w:eastAsia="en-US" w:bidi="ar-SA"/>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b/>
          <w:bCs/>
          <w:color w:val="auto"/>
          <w:spacing w:val="9"/>
          <w:sz w:val="24"/>
          <w:szCs w:val="24"/>
          <w:highlight w:val="none"/>
          <w:lang w:val="en-US" w:eastAsia="zh-CN"/>
        </w:rPr>
        <w:t xml:space="preserve"> </w:t>
      </w:r>
      <w:r>
        <w:rPr>
          <w:rFonts w:hint="eastAsia" w:ascii="宋体" w:hAnsi="宋体" w:eastAsia="宋体" w:cs="宋体"/>
          <w:color w:val="auto"/>
          <w:spacing w:val="-5"/>
          <w:sz w:val="24"/>
          <w:szCs w:val="24"/>
          <w:highlight w:val="none"/>
        </w:rPr>
        <w:t>项目概况</w:t>
      </w:r>
    </w:p>
    <w:p w14:paraId="6C0E213B">
      <w:pPr>
        <w:pageBreakBefore w:val="0"/>
        <w:numPr>
          <w:ilvl w:val="0"/>
          <w:numId w:val="0"/>
        </w:numPr>
        <w:kinsoku/>
        <w:wordWrap/>
        <w:overflowPunct/>
        <w:bidi w:val="0"/>
        <w:spacing w:before="151" w:line="360" w:lineRule="auto"/>
        <w:ind w:left="496" w:leftChars="0"/>
        <w:rPr>
          <w:rFonts w:hint="eastAsia" w:ascii="宋体" w:hAnsi="宋体" w:eastAsia="宋体" w:cs="宋体"/>
          <w:color w:val="auto"/>
          <w:sz w:val="24"/>
          <w:szCs w:val="24"/>
          <w:highlight w:val="none"/>
          <w:u w:val="non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韶关市中心城区西北部，犁市镇西部</w:t>
      </w:r>
      <w:r>
        <w:rPr>
          <w:rFonts w:hint="eastAsia" w:ascii="宋体" w:hAnsi="宋体" w:eastAsia="宋体" w:cs="宋体"/>
          <w:color w:val="auto"/>
          <w:sz w:val="24"/>
          <w:szCs w:val="24"/>
          <w:highlight w:val="none"/>
          <w:u w:val="none"/>
          <w:lang w:val="en-US" w:eastAsia="zh-CN"/>
        </w:rPr>
        <w:t>。</w:t>
      </w:r>
    </w:p>
    <w:p w14:paraId="4FB7DEF3">
      <w:pPr>
        <w:pStyle w:val="59"/>
        <w:pageBreakBefore w:val="0"/>
        <w:tabs>
          <w:tab w:val="left" w:pos="7020"/>
        </w:tabs>
        <w:kinsoku/>
        <w:wordWrap/>
        <w:overflowPunct/>
        <w:bidi w:val="0"/>
        <w:spacing w:line="360" w:lineRule="auto"/>
        <w:ind w:firstLine="524" w:firstLineChars="221"/>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hAnsi="宋体" w:cs="宋体"/>
          <w:color w:val="auto"/>
          <w:spacing w:val="-2"/>
          <w:sz w:val="24"/>
          <w:szCs w:val="24"/>
          <w:highlight w:val="none"/>
          <w:u w:val="single"/>
          <w:lang w:val="en-US" w:eastAsia="zh-CN"/>
        </w:rPr>
        <w:t>土方平整工程及防护工程、临时排水工程等。</w:t>
      </w:r>
    </w:p>
    <w:p w14:paraId="0402EAEE">
      <w:pPr>
        <w:pageBreakBefore w:val="0"/>
        <w:kinsoku/>
        <w:wordWrap/>
        <w:overflowPunct/>
        <w:bidi w:val="0"/>
        <w:spacing w:line="360" w:lineRule="auto"/>
        <w:ind w:firstLine="474"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1.1.3</w:t>
      </w:r>
      <w:r>
        <w:rPr>
          <w:rFonts w:hint="eastAsia" w:ascii="宋体" w:hAnsi="宋体" w:eastAsia="宋体" w:cs="宋体"/>
          <w:color w:val="auto"/>
          <w:spacing w:val="-2"/>
          <w:sz w:val="24"/>
          <w:szCs w:val="24"/>
          <w:highlight w:val="none"/>
        </w:rPr>
        <w:t xml:space="preserve">  项目总投资</w:t>
      </w:r>
      <w:r>
        <w:rPr>
          <w:rFonts w:hint="eastAsia" w:ascii="宋体" w:hAnsi="宋体" w:eastAsia="宋体" w:cs="宋体"/>
          <w:color w:val="auto"/>
          <w:spacing w:val="-2"/>
          <w:sz w:val="24"/>
          <w:szCs w:val="24"/>
          <w:highlight w:val="none"/>
          <w:lang w:val="en-US" w:eastAsia="zh-CN"/>
        </w:rPr>
        <w:t>：</w:t>
      </w:r>
      <w:r>
        <w:rPr>
          <w:rFonts w:hint="eastAsia" w:ascii="宋体" w:hAnsi="宋体" w:eastAsia="宋体" w:cs="宋体"/>
          <w:color w:val="auto"/>
          <w:spacing w:val="-2"/>
          <w:sz w:val="24"/>
          <w:szCs w:val="24"/>
          <w:highlight w:val="none"/>
          <w:u w:val="single"/>
          <w:lang w:val="en-US" w:eastAsia="zh-CN"/>
        </w:rPr>
        <w:t>项目总投资约1500万元，其中建安费约1300万元。</w:t>
      </w:r>
    </w:p>
    <w:p w14:paraId="5F1DBCD4">
      <w:pPr>
        <w:pageBreakBefore w:val="0"/>
        <w:kinsoku/>
        <w:wordWrap/>
        <w:overflowPunct/>
        <w:bidi w:val="0"/>
        <w:spacing w:before="152"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  </w:t>
      </w:r>
      <w:r>
        <w:rPr>
          <w:rFonts w:hint="eastAsia" w:ascii="宋体" w:hAnsi="宋体" w:eastAsia="宋体" w:cs="宋体"/>
          <w:color w:val="auto"/>
          <w:spacing w:val="-2"/>
          <w:sz w:val="24"/>
          <w:szCs w:val="24"/>
          <w:highlight w:val="none"/>
        </w:rPr>
        <w:t>招标范围和标段划分</w:t>
      </w:r>
    </w:p>
    <w:p w14:paraId="3AAF1533">
      <w:pPr>
        <w:pageBreakBefore w:val="0"/>
        <w:kinsoku/>
        <w:wordWrap/>
        <w:overflowPunct/>
        <w:bidi w:val="0"/>
        <w:spacing w:before="152" w:line="360" w:lineRule="auto"/>
        <w:ind w:left="49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E6C1E53">
      <w:pPr>
        <w:pageBreakBefore w:val="0"/>
        <w:kinsoku/>
        <w:wordWrap/>
        <w:overflowPunct/>
        <w:bidi w:val="0"/>
        <w:spacing w:before="151" w:line="360" w:lineRule="auto"/>
        <w:ind w:left="13" w:right="65" w:firstLine="533"/>
        <w:rPr>
          <w:rFonts w:hint="eastAsia" w:ascii="宋体" w:hAnsi="宋体" w:eastAsia="宋体" w:cs="宋体"/>
          <w:b w:val="0"/>
          <w:bCs w:val="0"/>
          <w:color w:val="auto"/>
          <w:spacing w:val="-1"/>
          <w:sz w:val="24"/>
          <w:szCs w:val="24"/>
          <w:highlight w:val="none"/>
        </w:rPr>
      </w:pPr>
      <w:bookmarkStart w:id="13" w:name="_Toc20855"/>
      <w:bookmarkStart w:id="14" w:name="_Toc30251"/>
      <w:bookmarkStart w:id="15" w:name="_Toc28202"/>
      <w:bookmarkStart w:id="16" w:name="_Toc14190"/>
      <w:r>
        <w:rPr>
          <w:rFonts w:hint="eastAsia" w:ascii="宋体" w:hAnsi="宋体" w:eastAsia="宋体" w:cs="宋体"/>
          <w:b/>
          <w:bCs/>
          <w:color w:val="auto"/>
          <w:spacing w:val="-1"/>
          <w:sz w:val="24"/>
          <w:szCs w:val="24"/>
          <w:highlight w:val="none"/>
        </w:rPr>
        <w:t xml:space="preserve">1.2.2  </w:t>
      </w:r>
      <w:r>
        <w:rPr>
          <w:rFonts w:hint="eastAsia" w:ascii="宋体" w:hAnsi="宋体" w:eastAsia="宋体" w:cs="宋体"/>
          <w:b w:val="0"/>
          <w:bCs w:val="0"/>
          <w:color w:val="auto"/>
          <w:spacing w:val="-1"/>
          <w:sz w:val="24"/>
          <w:szCs w:val="24"/>
          <w:highlight w:val="none"/>
        </w:rPr>
        <w:t>标段划分：本招标项目不划分标段。</w:t>
      </w:r>
      <w:bookmarkEnd w:id="13"/>
      <w:bookmarkEnd w:id="14"/>
      <w:bookmarkEnd w:id="15"/>
      <w:bookmarkEnd w:id="16"/>
    </w:p>
    <w:p w14:paraId="3E431764">
      <w:pPr>
        <w:pageBreakBefore w:val="0"/>
        <w:kinsoku/>
        <w:wordWrap/>
        <w:overflowPunct/>
        <w:bidi w:val="0"/>
        <w:spacing w:before="151" w:line="360" w:lineRule="auto"/>
        <w:ind w:left="13" w:right="65" w:firstLine="53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712CC623">
      <w:pPr>
        <w:pageBreakBefore w:val="0"/>
        <w:kinsoku/>
        <w:wordWrap/>
        <w:overflowPunct/>
        <w:bidi w:val="0"/>
        <w:spacing w:before="22"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531FCE6E">
      <w:pPr>
        <w:pageBreakBefore w:val="0"/>
        <w:kinsoku/>
        <w:wordWrap/>
        <w:overflowPunct/>
        <w:bidi w:val="0"/>
        <w:adjustRightInd w:val="0"/>
        <w:snapToGrid w:val="0"/>
        <w:spacing w:line="360" w:lineRule="auto"/>
        <w:ind w:firstLine="482" w:firstLineChars="200"/>
        <w:jc w:val="left"/>
        <w:outlineLvl w:val="2"/>
        <w:rPr>
          <w:rFonts w:hint="eastAsia" w:ascii="宋体" w:hAnsi="宋体" w:eastAsia="宋体" w:cs="宋体"/>
          <w:b/>
          <w:bCs/>
          <w:color w:val="auto"/>
          <w:sz w:val="24"/>
          <w:szCs w:val="24"/>
          <w:highlight w:val="none"/>
        </w:rPr>
      </w:pPr>
      <w:bookmarkStart w:id="17" w:name="_Toc826"/>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资质要求</w:t>
      </w:r>
      <w:bookmarkEnd w:id="17"/>
    </w:p>
    <w:p w14:paraId="2C1CD63E">
      <w:pPr>
        <w:pStyle w:val="58"/>
        <w:pageBreakBefore w:val="0"/>
        <w:kinsoku/>
        <w:wordWrap/>
        <w:overflowPunct/>
        <w:topLinePunct w:val="0"/>
        <w:autoSpaceDE/>
        <w:autoSpaceDN/>
        <w:bidi w:val="0"/>
        <w:snapToGrid w:val="0"/>
        <w:spacing w:line="360" w:lineRule="auto"/>
        <w:ind w:firstLine="482" w:firstLineChars="200"/>
        <w:jc w:val="left"/>
        <w:rPr>
          <w:rStyle w:val="49"/>
          <w:rFonts w:hint="eastAsia" w:ascii="宋体" w:hAnsi="宋体" w:eastAsia="宋体" w:cs="宋体"/>
          <w:color w:val="auto"/>
          <w:kern w:val="0"/>
          <w:sz w:val="24"/>
          <w:szCs w:val="24"/>
          <w:highlight w:val="none"/>
          <w:lang w:eastAsia="zh-CN"/>
        </w:rPr>
      </w:pPr>
      <w:r>
        <w:rPr>
          <w:rStyle w:val="49"/>
          <w:rFonts w:hint="eastAsia" w:ascii="宋体" w:hAnsi="宋体" w:eastAsia="宋体" w:cs="宋体"/>
          <w:b/>
          <w:bCs/>
          <w:color w:val="auto"/>
          <w:kern w:val="0"/>
          <w:sz w:val="24"/>
          <w:szCs w:val="24"/>
          <w:highlight w:val="none"/>
          <w:lang w:val="en-US" w:eastAsia="zh-CN"/>
        </w:rPr>
        <w:t>2.</w:t>
      </w:r>
      <w:r>
        <w:rPr>
          <w:rStyle w:val="49"/>
          <w:rFonts w:hint="eastAsia" w:ascii="宋体" w:hAnsi="宋体" w:eastAsia="宋体" w:cs="宋体"/>
          <w:b/>
          <w:bCs/>
          <w:color w:val="auto"/>
          <w:kern w:val="0"/>
          <w:sz w:val="24"/>
          <w:szCs w:val="24"/>
          <w:highlight w:val="none"/>
        </w:rPr>
        <w:t>1</w:t>
      </w:r>
      <w:r>
        <w:rPr>
          <w:rStyle w:val="49"/>
          <w:rFonts w:hint="eastAsia" w:ascii="宋体" w:hAnsi="宋体" w:eastAsia="宋体" w:cs="宋体"/>
          <w:color w:val="auto"/>
          <w:kern w:val="0"/>
          <w:sz w:val="24"/>
          <w:szCs w:val="24"/>
          <w:highlight w:val="none"/>
          <w:lang w:eastAsia="zh-CN"/>
        </w:rPr>
        <w:t>本次招标</w:t>
      </w:r>
      <w:r>
        <w:rPr>
          <w:rStyle w:val="49"/>
          <w:rFonts w:hint="eastAsia" w:ascii="宋体" w:hAnsi="宋体" w:eastAsia="宋体" w:cs="宋体"/>
          <w:color w:val="auto"/>
          <w:kern w:val="0"/>
          <w:sz w:val="24"/>
          <w:szCs w:val="24"/>
          <w:highlight w:val="none"/>
          <w:u w:val="single"/>
          <w:lang w:eastAsia="zh-CN"/>
        </w:rPr>
        <w:t>不接受</w:t>
      </w:r>
      <w:r>
        <w:rPr>
          <w:rStyle w:val="49"/>
          <w:rFonts w:hint="eastAsia" w:ascii="宋体" w:hAnsi="宋体" w:eastAsia="宋体" w:cs="宋体"/>
          <w:color w:val="auto"/>
          <w:kern w:val="0"/>
          <w:sz w:val="24"/>
          <w:szCs w:val="24"/>
          <w:highlight w:val="none"/>
          <w:lang w:eastAsia="zh-CN"/>
        </w:rPr>
        <w:t>联合体投标。</w:t>
      </w:r>
    </w:p>
    <w:p w14:paraId="522C5F58">
      <w:pPr>
        <w:pStyle w:val="58"/>
        <w:pageBreakBefore w:val="0"/>
        <w:kinsoku/>
        <w:wordWrap/>
        <w:overflowPunct/>
        <w:topLinePunct w:val="0"/>
        <w:autoSpaceDE/>
        <w:autoSpaceDN/>
        <w:bidi w:val="0"/>
        <w:snapToGrid w:val="0"/>
        <w:spacing w:line="360" w:lineRule="auto"/>
        <w:ind w:firstLine="482" w:firstLineChars="200"/>
        <w:jc w:val="left"/>
        <w:rPr>
          <w:rStyle w:val="49"/>
          <w:rFonts w:hint="eastAsia" w:ascii="宋体" w:hAnsi="宋体" w:eastAsia="宋体" w:cs="宋体"/>
          <w:color w:val="auto"/>
          <w:kern w:val="0"/>
          <w:sz w:val="24"/>
          <w:szCs w:val="24"/>
          <w:highlight w:val="none"/>
          <w:lang w:val="en-US" w:eastAsia="zh-CN"/>
        </w:rPr>
      </w:pPr>
      <w:r>
        <w:rPr>
          <w:rStyle w:val="49"/>
          <w:rFonts w:hint="eastAsia" w:ascii="宋体" w:hAnsi="宋体" w:eastAsia="宋体" w:cs="宋体"/>
          <w:b/>
          <w:bCs/>
          <w:color w:val="auto"/>
          <w:kern w:val="0"/>
          <w:sz w:val="24"/>
          <w:szCs w:val="24"/>
          <w:highlight w:val="none"/>
          <w:lang w:val="en-US" w:eastAsia="zh-CN"/>
        </w:rPr>
        <w:t>2.2</w:t>
      </w:r>
      <w:r>
        <w:rPr>
          <w:rStyle w:val="49"/>
          <w:rFonts w:hint="eastAsia" w:ascii="宋体" w:hAnsi="宋体" w:eastAsia="宋体" w:cs="宋体"/>
          <w:color w:val="auto"/>
          <w:kern w:val="0"/>
          <w:sz w:val="24"/>
          <w:szCs w:val="24"/>
          <w:highlight w:val="none"/>
          <w:lang w:val="en-US" w:eastAsia="zh-CN"/>
        </w:rPr>
        <w:t>资格资质要求</w:t>
      </w:r>
    </w:p>
    <w:p w14:paraId="7FD48FD0">
      <w:pPr>
        <w:pStyle w:val="7"/>
        <w:pageBreakBefore w:val="0"/>
        <w:kinsoku/>
        <w:wordWrap/>
        <w:overflowPunct/>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2.1</w:t>
      </w:r>
      <w:r>
        <w:rPr>
          <w:rFonts w:hint="eastAsia" w:ascii="宋体" w:hAnsi="宋体" w:eastAsia="宋体" w:cs="宋体"/>
          <w:color w:val="auto"/>
          <w:sz w:val="24"/>
          <w:szCs w:val="24"/>
          <w:highlight w:val="none"/>
        </w:rPr>
        <w:t xml:space="preserve"> 投标人须具备独立法人资格，按国家法律经营。</w:t>
      </w:r>
    </w:p>
    <w:p w14:paraId="3D9D6AF2">
      <w:pPr>
        <w:pStyle w:val="7"/>
        <w:pageBreakBefore w:val="0"/>
        <w:kinsoku/>
        <w:wordWrap/>
        <w:overflowPunct/>
        <w:bidi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2.2</w:t>
      </w:r>
      <w:r>
        <w:rPr>
          <w:rFonts w:hint="eastAsia" w:ascii="宋体" w:hAnsi="宋体" w:eastAsia="宋体" w:cs="宋体"/>
          <w:color w:val="auto"/>
          <w:sz w:val="24"/>
          <w:szCs w:val="24"/>
          <w:highlight w:val="none"/>
        </w:rPr>
        <w:t xml:space="preserve"> 投标人须持有建设行政主管部门颁发的企业资质证书及安全生产许可证。</w:t>
      </w:r>
    </w:p>
    <w:p w14:paraId="31719858">
      <w:pPr>
        <w:pStyle w:val="7"/>
        <w:pageBreakBefore w:val="0"/>
        <w:kinsoku/>
        <w:wordWrap/>
        <w:overflowPunct/>
        <w:bidi w:val="0"/>
        <w:spacing w:line="360" w:lineRule="auto"/>
        <w:ind w:firstLine="482" w:firstLineChars="200"/>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2.3</w:t>
      </w:r>
      <w:r>
        <w:rPr>
          <w:rFonts w:hint="eastAsia" w:ascii="宋体" w:hAnsi="宋体" w:eastAsia="宋体" w:cs="宋体"/>
          <w:color w:val="auto"/>
          <w:sz w:val="24"/>
          <w:szCs w:val="24"/>
          <w:highlight w:val="none"/>
        </w:rPr>
        <w:t xml:space="preserve"> 投标人须具备以下资质：</w:t>
      </w:r>
      <w:r>
        <w:rPr>
          <w:rFonts w:hint="eastAsia" w:ascii="宋体" w:hAnsi="宋体" w:eastAsia="宋体" w:cs="宋体"/>
          <w:b/>
          <w:bCs/>
          <w:color w:val="auto"/>
          <w:sz w:val="24"/>
          <w:szCs w:val="24"/>
          <w:highlight w:val="none"/>
          <w:u w:val="single"/>
        </w:rPr>
        <w:t>具备建设行政主管部门颁发的市政公用工程施工总承包三级以上（含三级）资质。</w:t>
      </w:r>
    </w:p>
    <w:p w14:paraId="6C67851A">
      <w:pPr>
        <w:pageBreakBefore w:val="0"/>
        <w:widowControl/>
        <w:kinsoku/>
        <w:wordWrap/>
        <w:overflowPunct/>
        <w:bidi w:val="0"/>
        <w:spacing w:line="360" w:lineRule="auto"/>
        <w:ind w:firstLine="482"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 xml:space="preserve">2.2.4 </w:t>
      </w:r>
      <w:r>
        <w:rPr>
          <w:rFonts w:hint="eastAsia" w:ascii="宋体" w:hAnsi="宋体" w:eastAsia="宋体" w:cs="宋体"/>
          <w:color w:val="auto"/>
          <w:kern w:val="0"/>
          <w:sz w:val="24"/>
          <w:szCs w:val="24"/>
          <w:highlight w:val="none"/>
          <w:lang w:val="en-US" w:eastAsia="zh-CN" w:bidi="ar"/>
        </w:rPr>
        <w:t>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1DE6637B">
      <w:pPr>
        <w:pageBreakBefore w:val="0"/>
        <w:kinsoku/>
        <w:wordWrap/>
        <w:overflowPunct/>
        <w:bidi w:val="0"/>
        <w:spacing w:before="78" w:line="360" w:lineRule="auto"/>
        <w:ind w:left="489"/>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3</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val="0"/>
          <w:bCs w:val="0"/>
          <w:color w:val="auto"/>
          <w:spacing w:val="-1"/>
          <w:sz w:val="24"/>
          <w:szCs w:val="24"/>
          <w:highlight w:val="none"/>
        </w:rPr>
        <w:t>相关人员要求</w:t>
      </w:r>
    </w:p>
    <w:p w14:paraId="3CFA13F9">
      <w:pPr>
        <w:pageBreakBefore w:val="0"/>
        <w:widowControl/>
        <w:kinsoku/>
        <w:wordWrap/>
        <w:overflowPunct/>
        <w:bidi w:val="0"/>
        <w:spacing w:line="360" w:lineRule="auto"/>
        <w:ind w:firstLine="482"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3.1</w:t>
      </w:r>
      <w:r>
        <w:rPr>
          <w:rFonts w:hint="eastAsia" w:ascii="宋体" w:hAnsi="宋体" w:eastAsia="宋体" w:cs="宋体"/>
          <w:color w:val="auto"/>
          <w:sz w:val="24"/>
          <w:szCs w:val="24"/>
          <w:highlight w:val="none"/>
          <w:lang w:val="en-US" w:eastAsia="zh-CN"/>
        </w:rPr>
        <w:t xml:space="preserve"> 拟派项目经理为</w:t>
      </w:r>
      <w:r>
        <w:rPr>
          <w:rFonts w:hint="eastAsia" w:ascii="宋体" w:hAnsi="宋体" w:eastAsia="宋体" w:cs="宋体"/>
          <w:b/>
          <w:bCs/>
          <w:color w:val="auto"/>
          <w:sz w:val="24"/>
          <w:szCs w:val="24"/>
          <w:highlight w:val="none"/>
          <w:u w:val="single"/>
          <w:lang w:val="en-US" w:eastAsia="zh-CN"/>
        </w:rPr>
        <w:t>市政公用工程</w:t>
      </w:r>
      <w:r>
        <w:rPr>
          <w:rFonts w:hint="eastAsia" w:ascii="宋体" w:hAnsi="宋体" w:eastAsia="宋体" w:cs="宋体"/>
          <w:color w:val="auto"/>
          <w:sz w:val="24"/>
          <w:szCs w:val="24"/>
          <w:highlight w:val="none"/>
          <w:lang w:val="en-US" w:eastAsia="zh-CN"/>
        </w:rPr>
        <w:t>专业一级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16B50FA1">
      <w:pPr>
        <w:pageBreakBefore w:val="0"/>
        <w:widowControl/>
        <w:kinsoku/>
        <w:wordWrap/>
        <w:overflowPunct/>
        <w:bidi w:val="0"/>
        <w:spacing w:line="360" w:lineRule="auto"/>
        <w:ind w:firstLine="482"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val="en-US" w:eastAsia="zh-CN" w:bidi="ar"/>
        </w:rPr>
        <w:t>2.</w:t>
      </w:r>
      <w:r>
        <w:rPr>
          <w:rFonts w:hint="eastAsia" w:ascii="宋体" w:hAnsi="宋体" w:eastAsia="宋体" w:cs="宋体"/>
          <w:b/>
          <w:bCs/>
          <w:color w:val="auto"/>
          <w:kern w:val="0"/>
          <w:sz w:val="24"/>
          <w:szCs w:val="24"/>
          <w:highlight w:val="none"/>
          <w:lang w:bidi="ar"/>
        </w:rPr>
        <w:t>3.2</w:t>
      </w:r>
      <w:r>
        <w:rPr>
          <w:rFonts w:hint="eastAsia" w:ascii="宋体" w:hAnsi="宋体" w:eastAsia="宋体" w:cs="宋体"/>
          <w:color w:val="auto"/>
          <w:kern w:val="0"/>
          <w:sz w:val="24"/>
          <w:szCs w:val="24"/>
          <w:highlight w:val="none"/>
          <w:lang w:val="en-US" w:eastAsia="zh-CN" w:bidi="ar"/>
        </w:rPr>
        <w:t xml:space="preserve"> </w:t>
      </w:r>
      <w:r>
        <w:rPr>
          <w:rFonts w:hint="eastAsia" w:ascii="宋体" w:hAnsi="宋体" w:eastAsia="宋体" w:cs="宋体"/>
          <w:color w:val="auto"/>
          <w:sz w:val="24"/>
          <w:szCs w:val="24"/>
          <w:highlight w:val="none"/>
          <w:lang w:val="en-US" w:eastAsia="zh-CN"/>
        </w:rPr>
        <w:t>投标人拟派项目技术负责人须具备</w:t>
      </w:r>
      <w:r>
        <w:rPr>
          <w:rFonts w:hint="eastAsia" w:ascii="宋体" w:hAnsi="宋体" w:eastAsia="宋体" w:cs="宋体"/>
          <w:b/>
          <w:bCs/>
          <w:color w:val="auto"/>
          <w:sz w:val="24"/>
          <w:szCs w:val="24"/>
          <w:highlight w:val="none"/>
          <w:u w:val="single"/>
          <w:lang w:val="en-US" w:eastAsia="zh-CN"/>
        </w:rPr>
        <w:t>市政公用工程</w:t>
      </w:r>
      <w:r>
        <w:rPr>
          <w:rFonts w:hint="eastAsia" w:ascii="宋体" w:hAnsi="宋体" w:eastAsia="宋体" w:cs="宋体"/>
          <w:color w:val="auto"/>
          <w:sz w:val="24"/>
          <w:szCs w:val="24"/>
          <w:highlight w:val="none"/>
          <w:lang w:val="en-US" w:eastAsia="zh-CN"/>
        </w:rPr>
        <w:t>相关专业中级以上(含中级)技术职称。</w:t>
      </w:r>
    </w:p>
    <w:p w14:paraId="27AE45E9">
      <w:pPr>
        <w:pageBreakBefore w:val="0"/>
        <w:widowControl/>
        <w:kinsoku/>
        <w:wordWrap/>
        <w:overflowPunct/>
        <w:bidi w:val="0"/>
        <w:spacing w:line="360" w:lineRule="auto"/>
        <w:ind w:firstLine="482" w:firstLineChars="20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 xml:space="preserve">2.3.3 </w:t>
      </w:r>
      <w:r>
        <w:rPr>
          <w:rFonts w:hint="eastAsia" w:ascii="宋体" w:hAnsi="宋体" w:eastAsia="宋体" w:cs="宋体"/>
          <w:b w:val="0"/>
          <w:bCs w:val="0"/>
          <w:color w:val="auto"/>
          <w:kern w:val="0"/>
          <w:sz w:val="24"/>
          <w:szCs w:val="24"/>
          <w:highlight w:val="none"/>
          <w:lang w:val="en-US" w:eastAsia="en-US" w:bidi="ar"/>
        </w:rPr>
        <w:t>投标人拟派专职安全生产管理人员须具备有效安全生产考核合格证明（C证，安全生产考核合格证书或“广东省建筑施工企业管理人员安全生产考核信息系统”考核合格信息打印页），且不少于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val="0"/>
          <w:bCs w:val="0"/>
          <w:color w:val="auto"/>
          <w:kern w:val="0"/>
          <w:sz w:val="24"/>
          <w:szCs w:val="24"/>
          <w:highlight w:val="none"/>
          <w:lang w:val="en-US" w:eastAsia="zh-CN" w:bidi="ar"/>
        </w:rPr>
        <w:t>1</w:t>
      </w:r>
      <w:r>
        <w:rPr>
          <w:rFonts w:hint="eastAsia" w:ascii="宋体" w:hAnsi="宋体" w:eastAsia="宋体" w:cs="宋体"/>
          <w:b w:val="0"/>
          <w:bCs w:val="0"/>
          <w:color w:val="auto"/>
          <w:kern w:val="0"/>
          <w:sz w:val="24"/>
          <w:szCs w:val="24"/>
          <w:highlight w:val="none"/>
          <w:lang w:val="en-US" w:eastAsia="en-US" w:bidi="ar"/>
        </w:rPr>
        <w:t>人</w:t>
      </w:r>
      <w:r>
        <w:rPr>
          <w:rFonts w:hint="eastAsia" w:ascii="宋体" w:hAnsi="宋体" w:eastAsia="宋体" w:cs="宋体"/>
          <w:b w:val="0"/>
          <w:bCs w:val="0"/>
          <w:color w:val="auto"/>
          <w:kern w:val="0"/>
          <w:sz w:val="24"/>
          <w:szCs w:val="24"/>
          <w:highlight w:val="none"/>
          <w:lang w:val="en-US" w:eastAsia="zh-CN" w:bidi="ar"/>
        </w:rPr>
        <w:t>。</w:t>
      </w:r>
    </w:p>
    <w:p w14:paraId="663CCED1">
      <w:pPr>
        <w:pageBreakBefore w:val="0"/>
        <w:kinsoku/>
        <w:wordWrap/>
        <w:overflowPunct/>
        <w:bidi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3.4</w:t>
      </w:r>
      <w:r>
        <w:rPr>
          <w:rFonts w:hint="eastAsia" w:ascii="宋体" w:hAnsi="宋体" w:eastAsia="宋体" w:cs="宋体"/>
          <w:color w:val="auto"/>
          <w:sz w:val="24"/>
          <w:szCs w:val="24"/>
          <w:highlight w:val="none"/>
        </w:rPr>
        <w:t xml:space="preserve"> 投标人与其拟派往本项目管理机构的所有人员之间必须具备合法、唯一的劳动聘用关系。拟派人员中具备注册执业资格的，其注册单位须与投标人保持一致。</w:t>
      </w:r>
    </w:p>
    <w:p w14:paraId="4D73ADC8">
      <w:pPr>
        <w:pageBreakBefore w:val="0"/>
        <w:kinsoku/>
        <w:wordWrap/>
        <w:overflowPunct/>
        <w:bidi w:val="0"/>
        <w:spacing w:before="78" w:line="36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6FB3AE80">
      <w:pPr>
        <w:pageBreakBefore w:val="0"/>
        <w:shd w:val="clear" w:color="auto" w:fill="auto"/>
        <w:kinsoku/>
        <w:wordWrap/>
        <w:overflowPunct/>
        <w:bidi w:val="0"/>
        <w:adjustRightInd w:val="0"/>
        <w:snapToGrid w:val="0"/>
        <w:spacing w:line="360" w:lineRule="auto"/>
        <w:ind w:firstLine="478"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snapToGrid w:val="0"/>
          <w:color w:val="auto"/>
          <w:kern w:val="0"/>
          <w:sz w:val="24"/>
          <w:szCs w:val="24"/>
          <w:highlight w:val="none"/>
        </w:rPr>
        <w:t xml:space="preserve">投标人不得存在下列情形之一：    </w:t>
      </w:r>
    </w:p>
    <w:p w14:paraId="6F9A1431">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（1）为招标人不具有独立法人资格的附属机构（单位）；</w:t>
      </w:r>
    </w:p>
    <w:p w14:paraId="40B986BA">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（2）为本招标项目前期准备提供设计或咨询服务的；</w:t>
      </w:r>
    </w:p>
    <w:p w14:paraId="650F952B">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（3）与本招标项目的其他投标人为同一个单位负责人；</w:t>
      </w:r>
    </w:p>
    <w:p w14:paraId="28ADEFD0">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（4）与本招标项目的其他投标人存在控股、管理关系；</w:t>
      </w:r>
    </w:p>
    <w:p w14:paraId="2247E4BE">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（5）为本招标项目的监理人；</w:t>
      </w:r>
    </w:p>
    <w:p w14:paraId="5E46A947">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（6）为本招标项目的代建人；</w:t>
      </w:r>
    </w:p>
    <w:p w14:paraId="5B041D56">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（7）为本招标项目的招标代理机构；</w:t>
      </w:r>
    </w:p>
    <w:p w14:paraId="1979731D">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（8）与本招标项目的监理人或代建人或招标代理机构同为一个法定代表人；</w:t>
      </w:r>
    </w:p>
    <w:p w14:paraId="2DC6276C">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（9）与本招标项目的监理人或代建人或招标代理机构存在控股或参股关系；</w:t>
      </w:r>
    </w:p>
    <w:p w14:paraId="252ADF00">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（10）与本招标项目的监理人或代建人或招标代理机构存在相互任职或工作关系；</w:t>
      </w:r>
    </w:p>
    <w:p w14:paraId="5AC2869E">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（11）被依法暂停或者取消投标资格；</w:t>
      </w:r>
    </w:p>
    <w:p w14:paraId="444F60A1">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（12）被责令停产停业、暂扣或者吊销许可证、暂扣或者吊销执照；</w:t>
      </w:r>
    </w:p>
    <w:p w14:paraId="6285BEEA">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（13）进入清算程序，或被宣告破产，或其他丧失履约能力的情形；</w:t>
      </w:r>
    </w:p>
    <w:p w14:paraId="425F936F">
      <w:pPr>
        <w:pageBreakBefore w:val="0"/>
        <w:shd w:val="clear" w:color="auto" w:fill="auto"/>
        <w:kinsoku/>
        <w:wordWrap/>
        <w:overflowPunct/>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51AC8AE5">
      <w:pPr>
        <w:pageBreakBefore w:val="0"/>
        <w:shd w:val="clear" w:color="auto" w:fill="auto"/>
        <w:kinsoku/>
        <w:wordWrap/>
        <w:overflowPunct/>
        <w:bidi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（15）</w:t>
      </w:r>
      <w:r>
        <w:rPr>
          <w:rFonts w:hint="eastAsia" w:ascii="宋体" w:hAnsi="宋体" w:eastAsia="宋体" w:cs="宋体"/>
          <w:snapToGrid w:val="0"/>
          <w:color w:val="auto"/>
          <w:kern w:val="0"/>
          <w:sz w:val="24"/>
          <w:szCs w:val="24"/>
          <w:highlight w:val="none"/>
          <w:lang w:eastAsia="zh-CN"/>
        </w:rPr>
        <w:t>被“信用中国”网站（https://www.creditchina.gov.cn）发布的《法人和非法人组织公共信用信息报告》列入严重失信主体名单的</w:t>
      </w:r>
      <w:r>
        <w:rPr>
          <w:rFonts w:hint="eastAsia" w:ascii="宋体" w:hAnsi="宋体" w:eastAsia="宋体" w:cs="宋体"/>
          <w:snapToGrid w:val="0"/>
          <w:color w:val="auto"/>
          <w:kern w:val="0"/>
          <w:sz w:val="24"/>
          <w:szCs w:val="24"/>
          <w:highlight w:val="none"/>
        </w:rPr>
        <w:t>。</w:t>
      </w:r>
    </w:p>
    <w:p w14:paraId="356AECBA">
      <w:pPr>
        <w:pStyle w:val="35"/>
        <w:keepNext w:val="0"/>
        <w:keepLines w:val="0"/>
        <w:pageBreakBefore w:val="0"/>
        <w:widowControl w:val="0"/>
        <w:kinsoku/>
        <w:wordWrap/>
        <w:overflowPunct/>
        <w:topLinePunct w:val="0"/>
        <w:bidi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2.4.2  招标人拒绝以下名单中的单位参加本次投标：</w:t>
      </w:r>
    </w:p>
    <w:tbl>
      <w:tblPr>
        <w:tblStyle w:val="25"/>
        <w:tblW w:w="9299" w:type="dxa"/>
        <w:tblInd w:w="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4118"/>
        <w:gridCol w:w="4118"/>
      </w:tblGrid>
      <w:tr w14:paraId="47DA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63" w:type="dxa"/>
            <w:noWrap w:val="0"/>
            <w:vAlign w:val="center"/>
          </w:tcPr>
          <w:p w14:paraId="650B2F2B">
            <w:pPr>
              <w:pageBreakBefore w:val="0"/>
              <w:shd w:val="clear" w:color="auto" w:fill="auto"/>
              <w:kinsoku/>
              <w:wordWrap/>
              <w:overflowPunct/>
              <w:bidi w:val="0"/>
              <w:adjustRightInd/>
              <w:snapToGrid/>
              <w:spacing w:line="400" w:lineRule="exact"/>
              <w:jc w:val="center"/>
              <w:rPr>
                <w:rFonts w:ascii="宋体" w:hAnsi="宋体" w:eastAsia="宋体" w:cs="Times New Roman"/>
                <w:snapToGrid w:val="0"/>
                <w:color w:val="auto"/>
                <w:kern w:val="0"/>
                <w:sz w:val="24"/>
                <w:szCs w:val="24"/>
                <w:highlight w:val="none"/>
              </w:rPr>
            </w:pPr>
            <w:r>
              <w:rPr>
                <w:rFonts w:ascii="宋体" w:hAnsi="宋体" w:eastAsia="宋体" w:cs="Times New Roman"/>
                <w:snapToGrid w:val="0"/>
                <w:color w:val="auto"/>
                <w:kern w:val="0"/>
                <w:sz w:val="24"/>
                <w:szCs w:val="24"/>
                <w:highlight w:val="none"/>
              </w:rPr>
              <w:t>序号</w:t>
            </w:r>
          </w:p>
        </w:tc>
        <w:tc>
          <w:tcPr>
            <w:tcW w:w="4118" w:type="dxa"/>
            <w:noWrap w:val="0"/>
            <w:vAlign w:val="center"/>
          </w:tcPr>
          <w:p w14:paraId="738B5CDC">
            <w:pPr>
              <w:pageBreakBefore w:val="0"/>
              <w:shd w:val="clear" w:color="auto" w:fill="auto"/>
              <w:kinsoku/>
              <w:wordWrap/>
              <w:overflowPunct/>
              <w:bidi w:val="0"/>
              <w:adjustRightInd/>
              <w:snapToGrid/>
              <w:spacing w:line="400" w:lineRule="exact"/>
              <w:jc w:val="center"/>
              <w:rPr>
                <w:rFonts w:ascii="宋体" w:hAnsi="宋体" w:eastAsia="宋体" w:cs="Times New Roman"/>
                <w:snapToGrid w:val="0"/>
                <w:color w:val="auto"/>
                <w:kern w:val="0"/>
                <w:sz w:val="24"/>
                <w:szCs w:val="24"/>
                <w:highlight w:val="none"/>
              </w:rPr>
            </w:pPr>
            <w:r>
              <w:rPr>
                <w:rFonts w:ascii="宋体" w:hAnsi="宋体" w:eastAsia="宋体" w:cs="Times New Roman"/>
                <w:snapToGrid w:val="0"/>
                <w:color w:val="auto"/>
                <w:kern w:val="0"/>
                <w:sz w:val="24"/>
                <w:szCs w:val="24"/>
                <w:highlight w:val="none"/>
              </w:rPr>
              <w:t>单位名称</w:t>
            </w:r>
          </w:p>
        </w:tc>
        <w:tc>
          <w:tcPr>
            <w:tcW w:w="4118" w:type="dxa"/>
            <w:noWrap w:val="0"/>
            <w:vAlign w:val="center"/>
          </w:tcPr>
          <w:p w14:paraId="795518FD">
            <w:pPr>
              <w:pageBreakBefore w:val="0"/>
              <w:shd w:val="clear" w:color="auto" w:fill="auto"/>
              <w:kinsoku/>
              <w:wordWrap/>
              <w:overflowPunct/>
              <w:bidi w:val="0"/>
              <w:adjustRightInd/>
              <w:snapToGrid/>
              <w:spacing w:line="400" w:lineRule="exact"/>
              <w:jc w:val="center"/>
              <w:rPr>
                <w:rFonts w:ascii="宋体" w:hAnsi="宋体" w:eastAsia="宋体" w:cs="Times New Roman"/>
                <w:snapToGrid w:val="0"/>
                <w:color w:val="auto"/>
                <w:kern w:val="0"/>
                <w:sz w:val="24"/>
                <w:szCs w:val="24"/>
                <w:highlight w:val="none"/>
              </w:rPr>
            </w:pPr>
            <w:r>
              <w:rPr>
                <w:rFonts w:ascii="宋体" w:hAnsi="宋体" w:eastAsia="宋体" w:cs="Times New Roman"/>
                <w:snapToGrid w:val="0"/>
                <w:color w:val="auto"/>
                <w:kern w:val="0"/>
                <w:sz w:val="24"/>
                <w:szCs w:val="24"/>
                <w:highlight w:val="none"/>
              </w:rPr>
              <w:t>拒绝原因</w:t>
            </w:r>
          </w:p>
        </w:tc>
      </w:tr>
      <w:tr w14:paraId="081B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63" w:type="dxa"/>
            <w:noWrap w:val="0"/>
            <w:vAlign w:val="center"/>
          </w:tcPr>
          <w:p w14:paraId="6F843FFD">
            <w:pPr>
              <w:pageBreakBefore w:val="0"/>
              <w:shd w:val="clear" w:color="auto" w:fill="auto"/>
              <w:kinsoku/>
              <w:wordWrap/>
              <w:overflowPunct/>
              <w:bidi w:val="0"/>
              <w:adjustRightInd/>
              <w:snapToGrid/>
              <w:spacing w:line="400" w:lineRule="exact"/>
              <w:jc w:val="center"/>
              <w:rPr>
                <w:rFonts w:hint="eastAsia" w:ascii="宋体" w:hAnsi="宋体" w:eastAsia="宋体" w:cs="Times New Roman"/>
                <w:iCs w:val="0"/>
                <w:snapToGrid w:val="0"/>
                <w:color w:val="auto"/>
                <w:kern w:val="0"/>
                <w:sz w:val="24"/>
                <w:szCs w:val="24"/>
                <w:highlight w:val="none"/>
                <w:lang w:eastAsia="zh-CN"/>
              </w:rPr>
            </w:pPr>
            <w:r>
              <w:rPr>
                <w:rFonts w:hint="eastAsia" w:ascii="宋体" w:hAnsi="宋体" w:eastAsia="宋体" w:cs="Times New Roman"/>
                <w:iCs w:val="0"/>
                <w:snapToGrid w:val="0"/>
                <w:color w:val="auto"/>
                <w:kern w:val="0"/>
                <w:sz w:val="24"/>
                <w:szCs w:val="24"/>
                <w:highlight w:val="none"/>
                <w:lang w:val="en-US" w:eastAsia="zh-CN"/>
              </w:rPr>
              <w:t>1</w:t>
            </w:r>
          </w:p>
        </w:tc>
        <w:tc>
          <w:tcPr>
            <w:tcW w:w="4118" w:type="dxa"/>
            <w:noWrap w:val="0"/>
            <w:vAlign w:val="center"/>
          </w:tcPr>
          <w:p w14:paraId="3D017B99">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val="en-US" w:eastAsia="zh-CN"/>
              </w:rPr>
            </w:pPr>
            <w:r>
              <w:rPr>
                <w:rFonts w:hint="eastAsia" w:ascii="宋体" w:hAnsi="宋体" w:eastAsia="宋体" w:cs="Times New Roman"/>
                <w:bCs w:val="0"/>
                <w:snapToGrid w:val="0"/>
                <w:color w:val="auto"/>
                <w:kern w:val="0"/>
                <w:sz w:val="24"/>
                <w:szCs w:val="24"/>
                <w:highlight w:val="none"/>
                <w:lang w:eastAsia="zh-CN"/>
              </w:rPr>
              <w:t>东莞（韶关）浈江产业转移工业园管理委员会</w:t>
            </w:r>
          </w:p>
        </w:tc>
        <w:tc>
          <w:tcPr>
            <w:tcW w:w="4118" w:type="dxa"/>
            <w:noWrap w:val="0"/>
            <w:vAlign w:val="center"/>
          </w:tcPr>
          <w:p w14:paraId="5B392A81">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为本项目的招标人</w:t>
            </w:r>
          </w:p>
        </w:tc>
      </w:tr>
      <w:tr w14:paraId="4B74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63" w:type="dxa"/>
            <w:noWrap w:val="0"/>
            <w:vAlign w:val="center"/>
          </w:tcPr>
          <w:p w14:paraId="7BC25B77">
            <w:pPr>
              <w:pageBreakBefore w:val="0"/>
              <w:shd w:val="clear" w:color="auto" w:fill="auto"/>
              <w:kinsoku/>
              <w:wordWrap/>
              <w:overflowPunct/>
              <w:bidi w:val="0"/>
              <w:adjustRightInd/>
              <w:snapToGrid/>
              <w:spacing w:line="400" w:lineRule="exact"/>
              <w:jc w:val="center"/>
              <w:rPr>
                <w:rFonts w:hint="eastAsia" w:ascii="宋体" w:hAnsi="宋体" w:eastAsia="宋体" w:cs="Times New Roman"/>
                <w:iCs w:val="0"/>
                <w:snapToGrid w:val="0"/>
                <w:color w:val="auto"/>
                <w:kern w:val="0"/>
                <w:sz w:val="24"/>
                <w:szCs w:val="24"/>
                <w:highlight w:val="none"/>
                <w:lang w:eastAsia="zh-CN"/>
              </w:rPr>
            </w:pPr>
            <w:r>
              <w:rPr>
                <w:rFonts w:hint="eastAsia" w:ascii="宋体" w:hAnsi="宋体" w:eastAsia="宋体" w:cs="Times New Roman"/>
                <w:iCs w:val="0"/>
                <w:snapToGrid w:val="0"/>
                <w:color w:val="auto"/>
                <w:kern w:val="0"/>
                <w:sz w:val="24"/>
                <w:szCs w:val="24"/>
                <w:highlight w:val="none"/>
                <w:lang w:val="en-US" w:eastAsia="zh-CN"/>
              </w:rPr>
              <w:t>2</w:t>
            </w:r>
          </w:p>
        </w:tc>
        <w:tc>
          <w:tcPr>
            <w:tcW w:w="4118" w:type="dxa"/>
            <w:noWrap w:val="0"/>
            <w:vAlign w:val="center"/>
          </w:tcPr>
          <w:p w14:paraId="38CD0B64">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韶关市中晟项目管理有限公司</w:t>
            </w:r>
          </w:p>
        </w:tc>
        <w:tc>
          <w:tcPr>
            <w:tcW w:w="4118" w:type="dxa"/>
            <w:noWrap w:val="0"/>
            <w:vAlign w:val="center"/>
          </w:tcPr>
          <w:p w14:paraId="01A3C0E8">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为本项目的招标代理机构</w:t>
            </w:r>
          </w:p>
        </w:tc>
      </w:tr>
      <w:tr w14:paraId="1E92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63" w:type="dxa"/>
            <w:shd w:val="clear" w:color="auto" w:fill="auto"/>
            <w:noWrap w:val="0"/>
            <w:vAlign w:val="center"/>
          </w:tcPr>
          <w:p w14:paraId="7BE0C31D">
            <w:pPr>
              <w:pageBreakBefore w:val="0"/>
              <w:shd w:val="clear" w:color="auto" w:fill="auto"/>
              <w:kinsoku/>
              <w:wordWrap/>
              <w:overflowPunct/>
              <w:bidi w:val="0"/>
              <w:adjustRightInd/>
              <w:snapToGrid/>
              <w:spacing w:line="400" w:lineRule="exact"/>
              <w:jc w:val="center"/>
              <w:rPr>
                <w:rFonts w:hint="eastAsia" w:ascii="宋体" w:hAnsi="宋体" w:eastAsia="宋体" w:cs="Times New Roman"/>
                <w:iCs w:val="0"/>
                <w:snapToGrid w:val="0"/>
                <w:color w:val="auto"/>
                <w:kern w:val="0"/>
                <w:sz w:val="24"/>
                <w:szCs w:val="24"/>
                <w:highlight w:val="none"/>
                <w:lang w:val="en-US" w:eastAsia="zh-CN" w:bidi="ar-SA"/>
              </w:rPr>
            </w:pPr>
            <w:r>
              <w:rPr>
                <w:rFonts w:hint="eastAsia" w:ascii="宋体" w:hAnsi="宋体" w:eastAsia="宋体" w:cs="Times New Roman"/>
                <w:iCs w:val="0"/>
                <w:snapToGrid w:val="0"/>
                <w:color w:val="auto"/>
                <w:kern w:val="0"/>
                <w:sz w:val="24"/>
                <w:szCs w:val="24"/>
                <w:highlight w:val="none"/>
                <w:lang w:val="en-US" w:eastAsia="zh-CN"/>
              </w:rPr>
              <w:t>3</w:t>
            </w:r>
          </w:p>
        </w:tc>
        <w:tc>
          <w:tcPr>
            <w:tcW w:w="4118" w:type="dxa"/>
            <w:noWrap w:val="0"/>
            <w:vAlign w:val="center"/>
          </w:tcPr>
          <w:p w14:paraId="656C8BCE">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广东合正项目管理有限公司</w:t>
            </w:r>
          </w:p>
        </w:tc>
        <w:tc>
          <w:tcPr>
            <w:tcW w:w="4118" w:type="dxa"/>
            <w:noWrap w:val="0"/>
            <w:vAlign w:val="center"/>
          </w:tcPr>
          <w:p w14:paraId="433A3F93">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为本项目的可行性研究报告编制单位</w:t>
            </w:r>
          </w:p>
        </w:tc>
      </w:tr>
      <w:tr w14:paraId="514C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63" w:type="dxa"/>
            <w:shd w:val="clear" w:color="auto" w:fill="auto"/>
            <w:noWrap w:val="0"/>
            <w:vAlign w:val="center"/>
          </w:tcPr>
          <w:p w14:paraId="06BBB0AA">
            <w:pPr>
              <w:pageBreakBefore w:val="0"/>
              <w:shd w:val="clear" w:color="auto" w:fill="auto"/>
              <w:kinsoku/>
              <w:wordWrap/>
              <w:overflowPunct/>
              <w:bidi w:val="0"/>
              <w:adjustRightInd/>
              <w:snapToGrid/>
              <w:spacing w:line="400" w:lineRule="exact"/>
              <w:jc w:val="center"/>
              <w:rPr>
                <w:rFonts w:hint="eastAsia" w:ascii="宋体" w:hAnsi="宋体" w:eastAsia="宋体" w:cs="Times New Roman"/>
                <w:iCs w:val="0"/>
                <w:snapToGrid w:val="0"/>
                <w:color w:val="auto"/>
                <w:kern w:val="0"/>
                <w:sz w:val="24"/>
                <w:szCs w:val="24"/>
                <w:highlight w:val="none"/>
                <w:lang w:val="en-US" w:eastAsia="zh-CN" w:bidi="ar-SA"/>
              </w:rPr>
            </w:pPr>
            <w:r>
              <w:rPr>
                <w:rFonts w:hint="eastAsia" w:ascii="宋体" w:hAnsi="宋体" w:eastAsia="宋体" w:cs="Times New Roman"/>
                <w:iCs w:val="0"/>
                <w:snapToGrid w:val="0"/>
                <w:color w:val="auto"/>
                <w:kern w:val="0"/>
                <w:sz w:val="24"/>
                <w:szCs w:val="24"/>
                <w:highlight w:val="none"/>
                <w:lang w:val="en-US" w:eastAsia="zh-CN"/>
              </w:rPr>
              <w:t>4</w:t>
            </w:r>
          </w:p>
        </w:tc>
        <w:tc>
          <w:tcPr>
            <w:tcW w:w="4118" w:type="dxa"/>
            <w:noWrap w:val="0"/>
            <w:vAlign w:val="center"/>
          </w:tcPr>
          <w:p w14:paraId="562450DD">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韶关市恒邦地质工程有限公司</w:t>
            </w:r>
          </w:p>
        </w:tc>
        <w:tc>
          <w:tcPr>
            <w:tcW w:w="4118" w:type="dxa"/>
            <w:noWrap w:val="0"/>
            <w:vAlign w:val="center"/>
          </w:tcPr>
          <w:p w14:paraId="20A5E5CA">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为本项目的勘察单位</w:t>
            </w:r>
          </w:p>
        </w:tc>
      </w:tr>
      <w:tr w14:paraId="39C0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63" w:type="dxa"/>
            <w:shd w:val="clear" w:color="auto" w:fill="auto"/>
            <w:noWrap w:val="0"/>
            <w:vAlign w:val="center"/>
          </w:tcPr>
          <w:p w14:paraId="6E151647">
            <w:pPr>
              <w:pageBreakBefore w:val="0"/>
              <w:shd w:val="clear" w:color="auto" w:fill="auto"/>
              <w:kinsoku/>
              <w:wordWrap/>
              <w:overflowPunct/>
              <w:bidi w:val="0"/>
              <w:adjustRightInd/>
              <w:snapToGrid/>
              <w:spacing w:line="400" w:lineRule="exact"/>
              <w:jc w:val="center"/>
              <w:rPr>
                <w:rFonts w:hint="eastAsia" w:ascii="宋体" w:hAnsi="宋体" w:eastAsia="宋体" w:cs="Times New Roman"/>
                <w:iCs w:val="0"/>
                <w:snapToGrid w:val="0"/>
                <w:color w:val="auto"/>
                <w:kern w:val="0"/>
                <w:sz w:val="24"/>
                <w:szCs w:val="24"/>
                <w:highlight w:val="none"/>
                <w:lang w:val="en-US" w:eastAsia="zh-CN" w:bidi="ar-SA"/>
              </w:rPr>
            </w:pPr>
            <w:r>
              <w:rPr>
                <w:rFonts w:hint="eastAsia" w:ascii="宋体" w:hAnsi="宋体" w:eastAsia="宋体" w:cs="Times New Roman"/>
                <w:iCs w:val="0"/>
                <w:snapToGrid w:val="0"/>
                <w:color w:val="auto"/>
                <w:kern w:val="0"/>
                <w:sz w:val="24"/>
                <w:szCs w:val="24"/>
                <w:highlight w:val="none"/>
                <w:lang w:val="en-US" w:eastAsia="zh-CN"/>
              </w:rPr>
              <w:t>5</w:t>
            </w:r>
          </w:p>
        </w:tc>
        <w:tc>
          <w:tcPr>
            <w:tcW w:w="4118" w:type="dxa"/>
            <w:noWrap w:val="0"/>
            <w:vAlign w:val="center"/>
          </w:tcPr>
          <w:p w14:paraId="7542C6A6">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韶关市规划市政设计研究院有限公司</w:t>
            </w:r>
          </w:p>
        </w:tc>
        <w:tc>
          <w:tcPr>
            <w:tcW w:w="4118" w:type="dxa"/>
            <w:noWrap w:val="0"/>
            <w:vAlign w:val="center"/>
          </w:tcPr>
          <w:p w14:paraId="20921F17">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为本项目的设计单位</w:t>
            </w:r>
          </w:p>
        </w:tc>
      </w:tr>
      <w:tr w14:paraId="69ED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63" w:type="dxa"/>
            <w:noWrap w:val="0"/>
            <w:vAlign w:val="center"/>
          </w:tcPr>
          <w:p w14:paraId="09B3C049">
            <w:pPr>
              <w:pageBreakBefore w:val="0"/>
              <w:shd w:val="clear" w:color="auto" w:fill="auto"/>
              <w:kinsoku/>
              <w:wordWrap/>
              <w:overflowPunct/>
              <w:bidi w:val="0"/>
              <w:adjustRightInd/>
              <w:snapToGrid/>
              <w:spacing w:line="400" w:lineRule="exact"/>
              <w:jc w:val="center"/>
              <w:rPr>
                <w:rFonts w:hint="eastAsia" w:ascii="宋体" w:hAnsi="宋体" w:eastAsia="宋体" w:cs="Times New Roman"/>
                <w:iCs w:val="0"/>
                <w:snapToGrid w:val="0"/>
                <w:color w:val="auto"/>
                <w:kern w:val="0"/>
                <w:sz w:val="24"/>
                <w:szCs w:val="24"/>
                <w:highlight w:val="none"/>
                <w:lang w:val="en-US" w:eastAsia="zh-CN"/>
              </w:rPr>
            </w:pPr>
            <w:r>
              <w:rPr>
                <w:rFonts w:hint="eastAsia" w:ascii="宋体" w:hAnsi="宋体" w:eastAsia="宋体" w:cs="Times New Roman"/>
                <w:iCs w:val="0"/>
                <w:snapToGrid w:val="0"/>
                <w:color w:val="auto"/>
                <w:kern w:val="0"/>
                <w:sz w:val="24"/>
                <w:szCs w:val="24"/>
                <w:highlight w:val="none"/>
                <w:lang w:val="en-US" w:eastAsia="zh-CN"/>
              </w:rPr>
              <w:t>6</w:t>
            </w:r>
          </w:p>
        </w:tc>
        <w:tc>
          <w:tcPr>
            <w:tcW w:w="4118" w:type="dxa"/>
            <w:noWrap w:val="0"/>
            <w:vAlign w:val="center"/>
          </w:tcPr>
          <w:p w14:paraId="70628704">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中策恒睿建设有限公司</w:t>
            </w:r>
          </w:p>
        </w:tc>
        <w:tc>
          <w:tcPr>
            <w:tcW w:w="4118" w:type="dxa"/>
            <w:noWrap w:val="0"/>
            <w:vAlign w:val="center"/>
          </w:tcPr>
          <w:p w14:paraId="2E57D725">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为本项目的造价咨询单位</w:t>
            </w:r>
          </w:p>
        </w:tc>
      </w:tr>
      <w:tr w14:paraId="7FDF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063" w:type="dxa"/>
            <w:noWrap w:val="0"/>
            <w:vAlign w:val="center"/>
          </w:tcPr>
          <w:p w14:paraId="3B42C20D">
            <w:pPr>
              <w:pageBreakBefore w:val="0"/>
              <w:shd w:val="clear" w:color="auto" w:fill="auto"/>
              <w:kinsoku/>
              <w:wordWrap/>
              <w:overflowPunct/>
              <w:bidi w:val="0"/>
              <w:adjustRightInd/>
              <w:snapToGrid/>
              <w:spacing w:line="400" w:lineRule="exact"/>
              <w:jc w:val="center"/>
              <w:rPr>
                <w:rFonts w:hint="eastAsia" w:ascii="宋体" w:hAnsi="宋体" w:eastAsia="宋体" w:cs="Times New Roman"/>
                <w:iCs w:val="0"/>
                <w:snapToGrid w:val="0"/>
                <w:color w:val="auto"/>
                <w:kern w:val="0"/>
                <w:sz w:val="24"/>
                <w:szCs w:val="24"/>
                <w:highlight w:val="none"/>
                <w:lang w:val="en-US" w:eastAsia="zh-CN"/>
              </w:rPr>
            </w:pPr>
            <w:r>
              <w:rPr>
                <w:rFonts w:hint="eastAsia" w:ascii="宋体" w:hAnsi="宋体" w:eastAsia="宋体" w:cs="Times New Roman"/>
                <w:iCs w:val="0"/>
                <w:snapToGrid w:val="0"/>
                <w:color w:val="auto"/>
                <w:kern w:val="0"/>
                <w:sz w:val="24"/>
                <w:szCs w:val="24"/>
                <w:highlight w:val="none"/>
                <w:lang w:val="en-US" w:eastAsia="zh-CN"/>
              </w:rPr>
              <w:t>7</w:t>
            </w:r>
          </w:p>
        </w:tc>
        <w:tc>
          <w:tcPr>
            <w:tcW w:w="4118" w:type="dxa"/>
            <w:noWrap w:val="0"/>
            <w:vAlign w:val="center"/>
          </w:tcPr>
          <w:p w14:paraId="7B0F7CD8">
            <w:pPr>
              <w:pageBreakBefore w:val="0"/>
              <w:shd w:val="clear" w:color="auto" w:fill="auto"/>
              <w:kinsoku/>
              <w:wordWrap/>
              <w:overflowPunct/>
              <w:bidi w:val="0"/>
              <w:adjustRightInd/>
              <w:snapToGrid/>
              <w:spacing w:line="400" w:lineRule="exact"/>
              <w:jc w:val="center"/>
              <w:rPr>
                <w:rFonts w:hint="default" w:ascii="宋体" w:hAnsi="宋体" w:eastAsia="宋体" w:cs="Times New Roman"/>
                <w:bCs w:val="0"/>
                <w:snapToGrid w:val="0"/>
                <w:color w:val="auto"/>
                <w:kern w:val="0"/>
                <w:sz w:val="24"/>
                <w:szCs w:val="24"/>
                <w:highlight w:val="none"/>
                <w:lang w:val="en-US" w:eastAsia="zh-CN"/>
              </w:rPr>
            </w:pPr>
            <w:r>
              <w:rPr>
                <w:rFonts w:hint="eastAsia" w:ascii="宋体" w:hAnsi="宋体" w:eastAsia="宋体" w:cs="Times New Roman"/>
                <w:bCs w:val="0"/>
                <w:snapToGrid w:val="0"/>
                <w:color w:val="auto"/>
                <w:kern w:val="0"/>
                <w:sz w:val="24"/>
                <w:szCs w:val="24"/>
                <w:highlight w:val="none"/>
                <w:lang w:val="en-US" w:eastAsia="zh-CN"/>
              </w:rPr>
              <w:t>广东建同工程技术咨询有限公司</w:t>
            </w:r>
          </w:p>
        </w:tc>
        <w:tc>
          <w:tcPr>
            <w:tcW w:w="4118" w:type="dxa"/>
            <w:noWrap w:val="0"/>
            <w:vAlign w:val="center"/>
          </w:tcPr>
          <w:p w14:paraId="53112B83">
            <w:pPr>
              <w:pageBreakBefore w:val="0"/>
              <w:shd w:val="clear" w:color="auto" w:fill="auto"/>
              <w:kinsoku/>
              <w:wordWrap/>
              <w:overflowPunct/>
              <w:bidi w:val="0"/>
              <w:adjustRightInd/>
              <w:snapToGrid/>
              <w:spacing w:line="400" w:lineRule="exact"/>
              <w:jc w:val="center"/>
              <w:rPr>
                <w:rFonts w:hint="eastAsia" w:ascii="宋体" w:hAnsi="宋体" w:eastAsia="宋体" w:cs="Times New Roman"/>
                <w:bCs w:val="0"/>
                <w:snapToGrid w:val="0"/>
                <w:color w:val="auto"/>
                <w:kern w:val="0"/>
                <w:sz w:val="24"/>
                <w:szCs w:val="24"/>
                <w:highlight w:val="none"/>
                <w:lang w:eastAsia="zh-CN"/>
              </w:rPr>
            </w:pPr>
            <w:r>
              <w:rPr>
                <w:rFonts w:hint="eastAsia" w:ascii="宋体" w:hAnsi="宋体" w:eastAsia="宋体" w:cs="Times New Roman"/>
                <w:bCs w:val="0"/>
                <w:snapToGrid w:val="0"/>
                <w:color w:val="auto"/>
                <w:kern w:val="0"/>
                <w:sz w:val="24"/>
                <w:szCs w:val="24"/>
                <w:highlight w:val="none"/>
                <w:lang w:eastAsia="zh-CN"/>
              </w:rPr>
              <w:t>为本项目的施工图审查单位</w:t>
            </w:r>
          </w:p>
        </w:tc>
      </w:tr>
    </w:tbl>
    <w:p w14:paraId="5D1C8E36">
      <w:pPr>
        <w:pageBreakBefore w:val="0"/>
        <w:kinsoku/>
        <w:wordWrap/>
        <w:overflowPunct/>
        <w:bidi w:val="0"/>
        <w:spacing w:before="153" w:line="360"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A84FD35">
      <w:pPr>
        <w:pageBreakBefore w:val="0"/>
        <w:kinsoku/>
        <w:wordWrap/>
        <w:overflowPunct/>
        <w:bidi w:val="0"/>
        <w:spacing w:before="150" w:line="360"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pacing w:val="-4"/>
          <w:sz w:val="24"/>
          <w:szCs w:val="24"/>
          <w:highlight w:val="none"/>
        </w:rPr>
        <w:t>52号）规定在“进粤企业和人员诚信信息登记平台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BDE96C7">
      <w:pPr>
        <w:pageBreakBefore w:val="0"/>
        <w:kinsoku/>
        <w:wordWrap/>
        <w:overflowPunct/>
        <w:bidi w:val="0"/>
        <w:spacing w:before="79" w:line="360" w:lineRule="auto"/>
        <w:ind w:left="715"/>
        <w:outlineLvl w:val="2"/>
        <w:rPr>
          <w:rFonts w:hint="eastAsia" w:ascii="宋体" w:hAnsi="宋体" w:eastAsia="宋体" w:cs="宋体"/>
          <w:color w:val="auto"/>
          <w:sz w:val="24"/>
          <w:szCs w:val="24"/>
          <w:highlight w:val="none"/>
        </w:rPr>
      </w:pPr>
      <w:bookmarkStart w:id="18" w:name="_Toc27377"/>
      <w:bookmarkStart w:id="19" w:name="_Toc10655"/>
      <w:r>
        <w:rPr>
          <w:rFonts w:hint="eastAsia" w:ascii="宋体" w:hAnsi="宋体" w:eastAsia="宋体" w:cs="宋体"/>
          <w:b/>
          <w:bCs/>
          <w:color w:val="auto"/>
          <w:spacing w:val="-4"/>
          <w:sz w:val="24"/>
          <w:szCs w:val="24"/>
          <w:highlight w:val="none"/>
        </w:rPr>
        <w:t>3</w:t>
      </w:r>
      <w:r>
        <w:rPr>
          <w:rFonts w:hint="eastAsia" w:ascii="宋体" w:hAnsi="宋体" w:eastAsia="宋体" w:cs="宋体"/>
          <w:b/>
          <w:bCs/>
          <w:color w:val="auto"/>
          <w:spacing w:val="-4"/>
          <w:sz w:val="24"/>
          <w:szCs w:val="24"/>
          <w:highlight w:val="none"/>
          <w:lang w:val="en-US" w:eastAsia="zh-CN"/>
        </w:rPr>
        <w:t>.</w:t>
      </w:r>
      <w:r>
        <w:rPr>
          <w:rFonts w:hint="eastAsia" w:ascii="宋体" w:hAnsi="宋体" w:eastAsia="宋体" w:cs="宋体"/>
          <w:b/>
          <w:bCs/>
          <w:color w:val="auto"/>
          <w:spacing w:val="-4"/>
          <w:sz w:val="24"/>
          <w:szCs w:val="24"/>
          <w:highlight w:val="none"/>
        </w:rPr>
        <w:t>招标文件的获取</w:t>
      </w:r>
      <w:bookmarkEnd w:id="18"/>
      <w:bookmarkEnd w:id="19"/>
    </w:p>
    <w:p w14:paraId="10B325F2">
      <w:pPr>
        <w:pageBreakBefore w:val="0"/>
        <w:kinsoku/>
        <w:wordWrap/>
        <w:overflowPunct/>
        <w:bidi w:val="0"/>
        <w:spacing w:before="182" w:line="360"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116295C5">
      <w:pPr>
        <w:pageBreakBefore w:val="0"/>
        <w:kinsoku/>
        <w:wordWrap/>
        <w:overflowPunct/>
        <w:bidi w:val="0"/>
        <w:spacing w:before="178" w:line="360"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pacing w:val="-4"/>
          <w:sz w:val="24"/>
          <w:szCs w:val="24"/>
          <w:highlight w:val="none"/>
        </w:rPr>
        <w:t>致，投标人须登录全国公共资源交易平台（广东省·韶关市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标人操作指南（电子评标）》（附件2），了解网上获取招标文件操作流程。技术咨询电话：0751-837</w:t>
      </w:r>
      <w:r>
        <w:rPr>
          <w:rFonts w:hint="eastAsia" w:ascii="宋体" w:hAnsi="宋体" w:eastAsia="宋体" w:cs="宋体"/>
          <w:color w:val="auto"/>
          <w:spacing w:val="-4"/>
          <w:sz w:val="24"/>
          <w:szCs w:val="24"/>
          <w:highlight w:val="none"/>
        </w:rPr>
        <w:t>9671伍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pacing w:val="-1"/>
          <w:sz w:val="24"/>
          <w:szCs w:val="24"/>
          <w:highlight w:val="none"/>
        </w:rPr>
        <w:t>业务咨询电话：0751-8633211、8633071。</w:t>
      </w:r>
    </w:p>
    <w:p w14:paraId="785339EF">
      <w:pPr>
        <w:pageBreakBefore w:val="0"/>
        <w:kinsoku/>
        <w:wordWrap/>
        <w:overflowPunct/>
        <w:bidi w:val="0"/>
        <w:spacing w:before="142" w:line="36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76B73CD5">
      <w:pPr>
        <w:pageBreakBefore w:val="0"/>
        <w:kinsoku/>
        <w:wordWrap/>
        <w:overflowPunct/>
        <w:bidi w:val="0"/>
        <w:spacing w:before="32" w:line="360"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交易平台（广东省·韶关市）</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015DEDBB">
      <w:pPr>
        <w:pageBreakBefore w:val="0"/>
        <w:kinsoku/>
        <w:wordWrap/>
        <w:overflowPunct/>
        <w:bidi w:val="0"/>
        <w:spacing w:before="37" w:line="360"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损失和后果，由投标人自行承担。</w:t>
      </w:r>
    </w:p>
    <w:p w14:paraId="692B4BF1">
      <w:pPr>
        <w:pageBreakBefore w:val="0"/>
        <w:kinsoku/>
        <w:wordWrap/>
        <w:overflowPunct/>
        <w:bidi w:val="0"/>
        <w:spacing w:before="33" w:line="360"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6C5D9CE5">
      <w:pPr>
        <w:pageBreakBefore w:val="0"/>
        <w:kinsoku/>
        <w:wordWrap/>
        <w:overflowPunct/>
        <w:bidi w:val="0"/>
        <w:spacing w:before="33" w:line="36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28028499">
      <w:pPr>
        <w:pageBreakBefore w:val="0"/>
        <w:kinsoku/>
        <w:wordWrap/>
        <w:overflowPunct/>
        <w:bidi w:val="0"/>
        <w:spacing w:before="152" w:line="36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b/>
          <w:bCs/>
          <w:color w:val="auto"/>
          <w:spacing w:val="-1"/>
          <w:sz w:val="24"/>
          <w:szCs w:val="24"/>
          <w:highlight w:val="none"/>
          <w:u w:val="single"/>
          <w:lang w:val="en-US" w:eastAsia="zh-CN"/>
        </w:rPr>
        <w:t>20万元</w:t>
      </w:r>
      <w:r>
        <w:rPr>
          <w:rFonts w:hint="eastAsia" w:ascii="宋体" w:hAnsi="宋体" w:eastAsia="宋体" w:cs="宋体"/>
          <w:color w:val="auto"/>
          <w:spacing w:val="-1"/>
          <w:sz w:val="24"/>
          <w:szCs w:val="24"/>
          <w:highlight w:val="none"/>
          <w:u w:val="none"/>
          <w:lang w:eastAsia="zh-CN"/>
        </w:rPr>
        <w:t>元</w:t>
      </w:r>
      <w:r>
        <w:rPr>
          <w:rFonts w:hint="eastAsia" w:ascii="宋体" w:hAnsi="宋体" w:eastAsia="宋体" w:cs="宋体"/>
          <w:color w:val="auto"/>
          <w:spacing w:val="-1"/>
          <w:sz w:val="24"/>
          <w:szCs w:val="24"/>
          <w:highlight w:val="none"/>
        </w:rPr>
        <w:t>人民币的投标保证</w:t>
      </w:r>
      <w:r>
        <w:rPr>
          <w:rFonts w:hint="eastAsia" w:ascii="宋体" w:hAnsi="宋体" w:eastAsia="宋体" w:cs="宋体"/>
          <w:color w:val="auto"/>
          <w:spacing w:val="-1"/>
          <w:sz w:val="24"/>
          <w:szCs w:val="24"/>
          <w:highlight w:val="none"/>
          <w:lang w:eastAsia="zh-CN"/>
        </w:rPr>
        <w:t>金</w:t>
      </w:r>
      <w:r>
        <w:rPr>
          <w:rFonts w:hint="eastAsia" w:ascii="宋体" w:hAnsi="宋体" w:eastAsia="宋体" w:cs="宋体"/>
          <w:color w:val="auto"/>
          <w:spacing w:val="-1"/>
          <w:sz w:val="24"/>
          <w:szCs w:val="24"/>
          <w:highlight w:val="none"/>
        </w:rPr>
        <w:t>。</w:t>
      </w:r>
    </w:p>
    <w:p w14:paraId="2F6E27F3">
      <w:pPr>
        <w:pageBreakBefore w:val="0"/>
        <w:kinsoku/>
        <w:wordWrap/>
        <w:overflowPunct/>
        <w:bidi w:val="0"/>
        <w:spacing w:before="35" w:line="360"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2A4547AB">
      <w:pPr>
        <w:keepNext w:val="0"/>
        <w:keepLines w:val="0"/>
        <w:pageBreakBefore w:val="0"/>
        <w:widowControl w:val="0"/>
        <w:kinsoku/>
        <w:wordWrap/>
        <w:overflowPunct/>
        <w:topLinePunct w:val="0"/>
        <w:autoSpaceDE w:val="0"/>
        <w:autoSpaceDN w:val="0"/>
        <w:bidi w:val="0"/>
        <w:adjustRightInd w:val="0"/>
        <w:snapToGrid w:val="0"/>
        <w:spacing w:before="78" w:line="360" w:lineRule="auto"/>
        <w:ind w:left="11" w:right="0" w:firstLine="488"/>
        <w:jc w:val="both"/>
        <w:textAlignment w:val="baseline"/>
        <w:rPr>
          <w:rFonts w:hint="eastAsia" w:ascii="宋体" w:hAnsi="宋体" w:eastAsia="宋体" w:cs="宋体"/>
          <w:color w:val="auto"/>
          <w:spacing w:val="-1"/>
          <w:sz w:val="24"/>
          <w:szCs w:val="24"/>
          <w:highlight w:val="none"/>
        </w:rPr>
      </w:pPr>
      <w:bookmarkStart w:id="20" w:name="bookmark117"/>
      <w:bookmarkEnd w:id="20"/>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止时间（见本招标文件“重要事项时间地点一览表”）前，从其基本账户将投标保证金转账到指定的缴纳账号。逾期到账的、从非投标人基本账户转出的，其投标无效。</w:t>
      </w:r>
    </w:p>
    <w:p w14:paraId="4AB78A72">
      <w:pPr>
        <w:keepNext w:val="0"/>
        <w:keepLines w:val="0"/>
        <w:pageBreakBefore w:val="0"/>
        <w:widowControl w:val="0"/>
        <w:kinsoku/>
        <w:wordWrap/>
        <w:overflowPunct/>
        <w:topLinePunct w:val="0"/>
        <w:autoSpaceDE w:val="0"/>
        <w:autoSpaceDN w:val="0"/>
        <w:bidi w:val="0"/>
        <w:adjustRightInd w:val="0"/>
        <w:snapToGrid w:val="0"/>
        <w:spacing w:before="78" w:line="360" w:lineRule="auto"/>
        <w:ind w:left="11" w:right="0" w:firstLine="488"/>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0FB57550">
      <w:pPr>
        <w:keepNext w:val="0"/>
        <w:keepLines w:val="0"/>
        <w:pageBreakBefore w:val="0"/>
        <w:widowControl w:val="0"/>
        <w:kinsoku/>
        <w:wordWrap/>
        <w:overflowPunct/>
        <w:topLinePunct w:val="0"/>
        <w:autoSpaceDE w:val="0"/>
        <w:autoSpaceDN w:val="0"/>
        <w:bidi w:val="0"/>
        <w:adjustRightInd w:val="0"/>
        <w:snapToGrid w:val="0"/>
        <w:spacing w:before="78" w:line="360" w:lineRule="auto"/>
        <w:ind w:left="11" w:right="0" w:firstLine="488"/>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效期不得短于投标有效期。投标人可登录全国公共资源交易平台（广东省·韶关市）（</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），在【服务指南】栏目中下载《建设工程网上交易系统保险保证金缴纳操作指南》，了解网上投保具体操作流程。逾期投保的，其投标无效。</w:t>
      </w:r>
    </w:p>
    <w:p w14:paraId="433D883D">
      <w:pPr>
        <w:keepNext w:val="0"/>
        <w:keepLines w:val="0"/>
        <w:pageBreakBefore w:val="0"/>
        <w:widowControl w:val="0"/>
        <w:kinsoku/>
        <w:wordWrap/>
        <w:overflowPunct/>
        <w:topLinePunct w:val="0"/>
        <w:autoSpaceDE w:val="0"/>
        <w:autoSpaceDN w:val="0"/>
        <w:bidi w:val="0"/>
        <w:adjustRightInd w:val="0"/>
        <w:snapToGrid w:val="0"/>
        <w:spacing w:before="78" w:line="360" w:lineRule="auto"/>
        <w:ind w:left="11" w:right="0" w:firstLine="488"/>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温馨提示：1.投标人采用投标保证担保或投标保证保险的，为避免在评标过程中因有效期发生争议，建议投标人将银行保函或电子保单有效期设置为较招标文件规定的投标有效期延长不少于20个日历天。</w:t>
      </w:r>
    </w:p>
    <w:p w14:paraId="6CA2428D">
      <w:pPr>
        <w:pageBreakBefore w:val="0"/>
        <w:kinsoku/>
        <w:wordWrap/>
        <w:overflowPunct/>
        <w:bidi w:val="0"/>
        <w:spacing w:before="78" w:line="360" w:lineRule="auto"/>
        <w:ind w:left="12" w:right="2" w:firstLine="490"/>
        <w:jc w:val="both"/>
        <w:rPr>
          <w:rFonts w:hint="eastAsia" w:ascii="宋体" w:hAnsi="宋体" w:eastAsia="宋体" w:cs="宋体"/>
          <w:color w:val="auto"/>
          <w:highlight w:val="none"/>
        </w:rPr>
      </w:pPr>
      <w:r>
        <w:rPr>
          <w:rFonts w:hint="eastAsia" w:ascii="宋体" w:hAnsi="宋体" w:eastAsia="宋体" w:cs="宋体"/>
          <w:color w:val="auto"/>
          <w:spacing w:val="-3"/>
          <w:sz w:val="24"/>
          <w:szCs w:val="24"/>
          <w:highlight w:val="none"/>
        </w:rPr>
        <w:t>3.4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63EDD81B">
      <w:pPr>
        <w:pageBreakBefore w:val="0"/>
        <w:kinsoku/>
        <w:wordWrap/>
        <w:overflowPunct/>
        <w:bidi w:val="0"/>
        <w:spacing w:before="79" w:line="360" w:lineRule="auto"/>
        <w:ind w:left="487"/>
        <w:outlineLvl w:val="2"/>
        <w:rPr>
          <w:rFonts w:hint="eastAsia" w:ascii="宋体" w:hAnsi="宋体" w:eastAsia="宋体" w:cs="宋体"/>
          <w:color w:val="auto"/>
          <w:sz w:val="24"/>
          <w:szCs w:val="24"/>
          <w:highlight w:val="none"/>
        </w:rPr>
      </w:pPr>
      <w:bookmarkStart w:id="21" w:name="bookmark78"/>
      <w:bookmarkEnd w:id="21"/>
      <w:bookmarkStart w:id="22" w:name="bookmark64"/>
      <w:bookmarkEnd w:id="22"/>
      <w:bookmarkStart w:id="23" w:name="_Toc27100"/>
      <w:bookmarkStart w:id="24" w:name="_Toc22684"/>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lang w:eastAsia="zh-CN"/>
        </w:rPr>
        <w:t>.</w:t>
      </w:r>
      <w:r>
        <w:rPr>
          <w:rFonts w:hint="eastAsia" w:ascii="宋体" w:hAnsi="宋体" w:eastAsia="宋体" w:cs="宋体"/>
          <w:b/>
          <w:bCs/>
          <w:color w:val="auto"/>
          <w:spacing w:val="-8"/>
          <w:sz w:val="24"/>
          <w:szCs w:val="24"/>
          <w:highlight w:val="none"/>
        </w:rPr>
        <w:t>工期要求</w:t>
      </w:r>
      <w:bookmarkEnd w:id="23"/>
      <w:bookmarkEnd w:id="24"/>
    </w:p>
    <w:p w14:paraId="6373A964">
      <w:pPr>
        <w:pageBreakBefore w:val="0"/>
        <w:kinsoku/>
        <w:wordWrap/>
        <w:overflowPunct/>
        <w:bidi w:val="0"/>
        <w:spacing w:before="153" w:line="360"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180个日历天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7C2E502E">
      <w:pPr>
        <w:pageBreakBefore w:val="0"/>
        <w:kinsoku/>
        <w:wordWrap/>
        <w:overflowPunct/>
        <w:bidi w:val="0"/>
        <w:spacing w:before="78" w:line="360" w:lineRule="auto"/>
        <w:ind w:left="488"/>
        <w:outlineLvl w:val="2"/>
        <w:rPr>
          <w:rFonts w:hint="eastAsia" w:ascii="宋体" w:hAnsi="宋体" w:eastAsia="宋体" w:cs="宋体"/>
          <w:color w:val="auto"/>
          <w:sz w:val="24"/>
          <w:szCs w:val="24"/>
          <w:highlight w:val="none"/>
        </w:rPr>
      </w:pPr>
      <w:bookmarkStart w:id="25" w:name="_Toc3173"/>
      <w:bookmarkStart w:id="26" w:name="_Toc10840"/>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b/>
          <w:bCs/>
          <w:color w:val="auto"/>
          <w:spacing w:val="-5"/>
          <w:sz w:val="24"/>
          <w:szCs w:val="24"/>
          <w:highlight w:val="none"/>
        </w:rPr>
        <w:t>质量标准和材料、机械要求</w:t>
      </w:r>
      <w:bookmarkEnd w:id="25"/>
      <w:bookmarkEnd w:id="26"/>
    </w:p>
    <w:p w14:paraId="1AAE31B9">
      <w:pPr>
        <w:pageBreakBefore w:val="0"/>
        <w:kinsoku/>
        <w:wordWrap/>
        <w:overflowPunct/>
        <w:bidi w:val="0"/>
        <w:spacing w:before="154" w:line="360"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snapToGrid w:val="0"/>
          <w:color w:val="auto"/>
          <w:kern w:val="0"/>
          <w:sz w:val="24"/>
          <w:szCs w:val="24"/>
          <w:highlight w:val="none"/>
        </w:rPr>
        <w:t>施工工艺严格按照国家和广东省的有关现行施工技术规范及标准执行，工程质量标准须</w:t>
      </w:r>
      <w:r>
        <w:rPr>
          <w:rFonts w:hint="eastAsia" w:ascii="宋体" w:hAnsi="宋体" w:eastAsia="宋体" w:cs="宋体"/>
          <w:snapToGrid w:val="0"/>
          <w:color w:val="auto"/>
          <w:kern w:val="0"/>
          <w:sz w:val="24"/>
          <w:szCs w:val="24"/>
          <w:highlight w:val="none"/>
          <w:u w:val="none"/>
        </w:rPr>
        <w:t>达到</w:t>
      </w:r>
      <w:r>
        <w:rPr>
          <w:rFonts w:hint="eastAsia" w:ascii="宋体" w:hAnsi="宋体" w:eastAsia="宋体" w:cs="宋体"/>
          <w:snapToGrid w:val="0"/>
          <w:color w:val="auto"/>
          <w:kern w:val="0"/>
          <w:sz w:val="24"/>
          <w:szCs w:val="24"/>
          <w:highlight w:val="none"/>
          <w:u w:val="single"/>
        </w:rPr>
        <w:t>☑质量目标：合格 ☑质量标准：符合现行国家有关工程施工质量验收规范和标准的要求。</w:t>
      </w:r>
    </w:p>
    <w:p w14:paraId="792ACDC1">
      <w:pPr>
        <w:pageBreakBefore w:val="0"/>
        <w:kinsoku/>
        <w:wordWrap/>
        <w:overflowPunct/>
        <w:bidi w:val="0"/>
        <w:spacing w:before="154" w:line="360" w:lineRule="auto"/>
        <w:ind w:left="11" w:right="99" w:firstLine="477"/>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36DDB4F7">
      <w:pPr>
        <w:pageBreakBefore w:val="0"/>
        <w:kinsoku/>
        <w:wordWrap/>
        <w:overflowPunct/>
        <w:bidi w:val="0"/>
        <w:spacing w:before="154" w:line="360" w:lineRule="auto"/>
        <w:ind w:left="11" w:right="99" w:firstLine="477"/>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保修期限按《建设工程质量管理条例》（中华人民共和国国务院令第279号）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46FB79B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096BED74">
      <w:pPr>
        <w:spacing w:before="152" w:line="309" w:lineRule="auto"/>
        <w:ind w:firstLine="478" w:firstLineChars="200"/>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val="en-US" w:eastAsia="zh-CN"/>
        </w:rPr>
        <w:t>根据《韶关市人民政府办公厅关于大力发展装配式建筑的实施意见》（韶府办〔2019〕25 号）等文件要求，</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0FC3B7C0">
      <w:pPr>
        <w:keepNext w:val="0"/>
        <w:keepLines w:val="0"/>
        <w:pageBreakBefore w:val="0"/>
        <w:widowControl w:val="0"/>
        <w:kinsoku/>
        <w:wordWrap/>
        <w:overflowPunct/>
        <w:topLinePunct w:val="0"/>
        <w:autoSpaceDE w:val="0"/>
        <w:autoSpaceDN w:val="0"/>
        <w:bidi w:val="0"/>
        <w:adjustRightInd w:val="0"/>
        <w:snapToGrid w:val="0"/>
        <w:spacing w:before="152" w:line="360" w:lineRule="auto"/>
        <w:ind w:left="11" w:firstLine="567"/>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5F446122">
      <w:pPr>
        <w:keepNext w:val="0"/>
        <w:keepLines w:val="0"/>
        <w:pageBreakBefore w:val="0"/>
        <w:widowControl w:val="0"/>
        <w:kinsoku/>
        <w:wordWrap/>
        <w:overflowPunct/>
        <w:topLinePunct w:val="0"/>
        <w:autoSpaceDE w:val="0"/>
        <w:autoSpaceDN w:val="0"/>
        <w:bidi w:val="0"/>
        <w:adjustRightInd w:val="0"/>
        <w:snapToGrid w:val="0"/>
        <w:spacing w:before="152" w:line="360" w:lineRule="auto"/>
        <w:ind w:left="11" w:firstLine="567"/>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5B497438">
      <w:pPr>
        <w:pageBreakBefore w:val="0"/>
        <w:kinsoku/>
        <w:wordWrap/>
        <w:overflowPunct/>
        <w:bidi w:val="0"/>
        <w:spacing w:before="78" w:line="360" w:lineRule="auto"/>
        <w:ind w:left="489"/>
        <w:outlineLvl w:val="2"/>
        <w:rPr>
          <w:rFonts w:hint="eastAsia" w:ascii="宋体" w:hAnsi="宋体" w:eastAsia="宋体" w:cs="宋体"/>
          <w:color w:val="auto"/>
          <w:sz w:val="24"/>
          <w:szCs w:val="24"/>
          <w:highlight w:val="none"/>
        </w:rPr>
      </w:pPr>
      <w:bookmarkStart w:id="27" w:name="_Toc20271"/>
      <w:bookmarkStart w:id="28" w:name="_Toc239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b/>
          <w:bCs/>
          <w:color w:val="auto"/>
          <w:spacing w:val="-6"/>
          <w:sz w:val="24"/>
          <w:szCs w:val="24"/>
          <w:highlight w:val="none"/>
        </w:rPr>
        <w:t>施工条件及现场踏勘</w:t>
      </w:r>
      <w:bookmarkEnd w:id="27"/>
      <w:bookmarkEnd w:id="28"/>
    </w:p>
    <w:p w14:paraId="5C5E2D5D">
      <w:pPr>
        <w:pageBreakBefore w:val="0"/>
        <w:kinsoku/>
        <w:wordWrap/>
        <w:overflowPunct/>
        <w:bidi w:val="0"/>
        <w:spacing w:before="155" w:line="360"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095FC4ED">
      <w:pPr>
        <w:pageBreakBefore w:val="0"/>
        <w:kinsoku/>
        <w:wordWrap/>
        <w:overflowPunct/>
        <w:bidi w:val="0"/>
        <w:spacing w:before="155" w:line="360" w:lineRule="auto"/>
        <w:ind w:left="12" w:right="99" w:firstLine="556"/>
        <w:rPr>
          <w:rFonts w:hint="eastAsia" w:ascii="宋体" w:hAnsi="宋体" w:eastAsia="宋体" w:cs="宋体"/>
          <w:color w:val="auto"/>
          <w:spacing w:val="-2"/>
          <w:sz w:val="24"/>
          <w:szCs w:val="24"/>
          <w:highlight w:val="none"/>
        </w:rPr>
      </w:pPr>
      <w:bookmarkStart w:id="29" w:name="bookmark118"/>
      <w:bookmarkEnd w:id="29"/>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由中标人自行解决，费用考虑在投标报价中</w:t>
      </w:r>
      <w:r>
        <w:rPr>
          <w:rFonts w:hint="eastAsia" w:ascii="宋体" w:hAnsi="宋体" w:eastAsia="宋体" w:cs="宋体"/>
          <w:color w:val="auto"/>
          <w:spacing w:val="-2"/>
          <w:sz w:val="24"/>
          <w:szCs w:val="24"/>
          <w:highlight w:val="none"/>
        </w:rPr>
        <w:t>。</w:t>
      </w:r>
    </w:p>
    <w:p w14:paraId="7AC90E75">
      <w:pPr>
        <w:pageBreakBefore w:val="0"/>
        <w:kinsoku/>
        <w:wordWrap/>
        <w:overflowPunct/>
        <w:bidi w:val="0"/>
        <w:spacing w:before="155" w:line="360"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由中标人自行解决，费用考虑在投标报价中</w:t>
      </w:r>
      <w:r>
        <w:rPr>
          <w:rFonts w:hint="eastAsia" w:ascii="宋体" w:hAnsi="宋体" w:eastAsia="宋体" w:cs="宋体"/>
          <w:color w:val="auto"/>
          <w:spacing w:val="-2"/>
          <w:sz w:val="24"/>
          <w:szCs w:val="24"/>
          <w:highlight w:val="none"/>
        </w:rPr>
        <w:t>。</w:t>
      </w:r>
    </w:p>
    <w:p w14:paraId="0EEB5CBB">
      <w:pPr>
        <w:pageBreakBefore w:val="0"/>
        <w:kinsoku/>
        <w:wordWrap/>
        <w:overflowPunct/>
        <w:bidi w:val="0"/>
        <w:spacing w:before="155" w:line="360" w:lineRule="auto"/>
        <w:ind w:left="12" w:right="99"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6.4</w:t>
      </w:r>
      <w:r>
        <w:rPr>
          <w:rFonts w:hint="eastAsia" w:ascii="宋体" w:hAnsi="宋体" w:eastAsia="宋体" w:cs="宋体"/>
          <w:color w:val="auto"/>
          <w:spacing w:val="-2"/>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2"/>
          <w:sz w:val="24"/>
          <w:szCs w:val="24"/>
          <w:highlight w:val="none"/>
          <w:u w:val="single"/>
        </w:rPr>
        <w:t>韶关市/</w:t>
      </w:r>
      <w:r>
        <w:rPr>
          <w:rFonts w:hint="eastAsia" w:ascii="宋体" w:hAnsi="宋体" w:eastAsia="宋体" w:cs="宋体"/>
          <w:color w:val="auto"/>
          <w:spacing w:val="-2"/>
          <w:sz w:val="24"/>
          <w:szCs w:val="24"/>
          <w:highlight w:val="none"/>
          <w:u w:val="single"/>
          <w:lang w:val="en-US" w:eastAsia="zh-CN"/>
        </w:rPr>
        <w:t>浈江</w:t>
      </w:r>
      <w:r>
        <w:rPr>
          <w:rFonts w:hint="eastAsia" w:ascii="宋体" w:hAnsi="宋体" w:eastAsia="宋体" w:cs="宋体"/>
          <w:color w:val="auto"/>
          <w:spacing w:val="-2"/>
          <w:sz w:val="24"/>
          <w:szCs w:val="24"/>
          <w:highlight w:val="none"/>
          <w:u w:val="single"/>
          <w:lang w:eastAsia="zh-CN"/>
        </w:rPr>
        <w:t>区</w:t>
      </w:r>
      <w:r>
        <w:rPr>
          <w:rFonts w:hint="eastAsia" w:ascii="宋体" w:hAnsi="宋体" w:eastAsia="宋体" w:cs="宋体"/>
          <w:color w:val="auto"/>
          <w:spacing w:val="-2"/>
          <w:sz w:val="24"/>
          <w:szCs w:val="24"/>
          <w:highlight w:val="none"/>
        </w:rPr>
        <w:t>基建工程水、电计费</w:t>
      </w:r>
      <w:r>
        <w:rPr>
          <w:rFonts w:hint="eastAsia" w:ascii="宋体" w:hAnsi="宋体" w:eastAsia="宋体" w:cs="宋体"/>
          <w:color w:val="auto"/>
          <w:spacing w:val="-3"/>
          <w:sz w:val="24"/>
          <w:szCs w:val="24"/>
          <w:highlight w:val="none"/>
        </w:rPr>
        <w:t>标准计算并由中标人缴纳。</w:t>
      </w:r>
    </w:p>
    <w:p w14:paraId="658065E1">
      <w:pPr>
        <w:pageBreakBefore w:val="0"/>
        <w:kinsoku/>
        <w:wordWrap/>
        <w:overflowPunct/>
        <w:bidi w:val="0"/>
        <w:spacing w:before="154" w:line="36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6.5  </w:t>
      </w:r>
      <w:r>
        <w:rPr>
          <w:rFonts w:hint="eastAsia" w:ascii="宋体" w:hAnsi="宋体" w:eastAsia="宋体" w:cs="宋体"/>
          <w:color w:val="auto"/>
          <w:spacing w:val="-2"/>
          <w:sz w:val="24"/>
          <w:szCs w:val="24"/>
          <w:highlight w:val="none"/>
        </w:rPr>
        <w:t>招标人不组织现场踏勘，但会在招标文件及有关设计文件中明确告知招标项</w:t>
      </w:r>
      <w:r>
        <w:rPr>
          <w:rFonts w:hint="eastAsia" w:ascii="宋体" w:hAnsi="宋体" w:eastAsia="宋体" w:cs="宋体"/>
          <w:color w:val="auto"/>
          <w:spacing w:val="-1"/>
          <w:sz w:val="24"/>
          <w:szCs w:val="24"/>
          <w:highlight w:val="none"/>
        </w:rPr>
        <w:t>目的具体位置和周边环境，并在现场设置足以识别的标识或提</w:t>
      </w:r>
      <w:r>
        <w:rPr>
          <w:rFonts w:hint="eastAsia" w:ascii="宋体" w:hAnsi="宋体" w:eastAsia="宋体" w:cs="宋体"/>
          <w:color w:val="auto"/>
          <w:spacing w:val="-2"/>
          <w:sz w:val="24"/>
          <w:szCs w:val="24"/>
          <w:highlight w:val="none"/>
        </w:rPr>
        <w:t>供足以表明招标项目具</w:t>
      </w:r>
      <w:r>
        <w:rPr>
          <w:rFonts w:hint="eastAsia" w:ascii="宋体" w:hAnsi="宋体" w:eastAsia="宋体" w:cs="宋体"/>
          <w:color w:val="auto"/>
          <w:sz w:val="24"/>
          <w:szCs w:val="24"/>
          <w:highlight w:val="none"/>
        </w:rPr>
        <w:t>体位置的文字或图片。投标人需要了解现场情况的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1B519EF0">
      <w:pPr>
        <w:pageBreakBefore w:val="0"/>
        <w:kinsoku/>
        <w:wordWrap/>
        <w:overflowPunct/>
        <w:bidi w:val="0"/>
        <w:spacing w:before="153" w:line="36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6.6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77BF35A0">
      <w:pPr>
        <w:pageBreakBefore w:val="0"/>
        <w:kinsoku/>
        <w:wordWrap/>
        <w:overflowPunct/>
        <w:bidi w:val="0"/>
        <w:spacing w:before="153" w:line="360" w:lineRule="auto"/>
        <w:ind w:left="568"/>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6.7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bookmarkStart w:id="30" w:name="bookmark69"/>
      <w:bookmarkEnd w:id="30"/>
      <w:bookmarkStart w:id="31" w:name="bookmark81"/>
      <w:bookmarkEnd w:id="31"/>
      <w:bookmarkStart w:id="32" w:name="bookmark67"/>
      <w:bookmarkEnd w:id="32"/>
      <w:bookmarkStart w:id="33" w:name="_Toc9426"/>
    </w:p>
    <w:p w14:paraId="33A6D60D">
      <w:pPr>
        <w:pageBreakBefore w:val="0"/>
        <w:kinsoku/>
        <w:wordWrap/>
        <w:overflowPunct/>
        <w:bidi w:val="0"/>
        <w:spacing w:before="153" w:line="360" w:lineRule="auto"/>
        <w:ind w:left="568"/>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5"/>
          <w:sz w:val="24"/>
          <w:szCs w:val="24"/>
          <w:highlight w:val="none"/>
          <w:lang w:eastAsia="zh-CN"/>
        </w:rPr>
        <w:t>.</w:t>
      </w:r>
      <w:r>
        <w:rPr>
          <w:rFonts w:hint="eastAsia" w:ascii="宋体" w:hAnsi="宋体" w:eastAsia="宋体" w:cs="宋体"/>
          <w:b/>
          <w:bCs/>
          <w:color w:val="auto"/>
          <w:spacing w:val="-5"/>
          <w:sz w:val="24"/>
          <w:szCs w:val="24"/>
          <w:highlight w:val="none"/>
        </w:rPr>
        <w:t>招标文件的提问和答疑</w:t>
      </w:r>
      <w:bookmarkEnd w:id="33"/>
    </w:p>
    <w:p w14:paraId="141D04EB">
      <w:pPr>
        <w:keepNext w:val="0"/>
        <w:keepLines w:val="0"/>
        <w:pageBreakBefore w:val="0"/>
        <w:widowControl w:val="0"/>
        <w:kinsoku/>
        <w:wordWrap/>
        <w:overflowPunct/>
        <w:topLinePunct w:val="0"/>
        <w:autoSpaceDE w:val="0"/>
        <w:autoSpaceDN w:val="0"/>
        <w:bidi w:val="0"/>
        <w:adjustRightInd w:val="0"/>
        <w:snapToGrid w:val="0"/>
        <w:spacing w:before="153" w:line="360" w:lineRule="auto"/>
        <w:ind w:left="9" w:right="16" w:firstLine="47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36B0B037">
      <w:pPr>
        <w:keepNext w:val="0"/>
        <w:keepLines w:val="0"/>
        <w:pageBreakBefore w:val="0"/>
        <w:widowControl w:val="0"/>
        <w:kinsoku/>
        <w:wordWrap/>
        <w:overflowPunct/>
        <w:topLinePunct w:val="0"/>
        <w:autoSpaceDE w:val="0"/>
        <w:autoSpaceDN w:val="0"/>
        <w:bidi w:val="0"/>
        <w:adjustRightInd w:val="0"/>
        <w:snapToGrid w:val="0"/>
        <w:spacing w:before="154" w:line="360" w:lineRule="auto"/>
        <w:ind w:left="9" w:right="16" w:firstLine="55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A685D82">
      <w:pPr>
        <w:keepNext w:val="0"/>
        <w:keepLines w:val="0"/>
        <w:pageBreakBefore w:val="0"/>
        <w:widowControl w:val="0"/>
        <w:kinsoku/>
        <w:wordWrap/>
        <w:overflowPunct/>
        <w:topLinePunct w:val="0"/>
        <w:autoSpaceDE w:val="0"/>
        <w:autoSpaceDN w:val="0"/>
        <w:bidi w:val="0"/>
        <w:adjustRightInd w:val="0"/>
        <w:snapToGrid w:val="0"/>
        <w:spacing w:before="152" w:line="360" w:lineRule="auto"/>
        <w:ind w:firstLine="478" w:firstLineChars="200"/>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4A158916">
      <w:pPr>
        <w:pageBreakBefore w:val="0"/>
        <w:kinsoku/>
        <w:wordWrap/>
        <w:overflowPunct/>
        <w:bidi w:val="0"/>
        <w:spacing w:before="79" w:line="360" w:lineRule="auto"/>
        <w:ind w:left="488"/>
        <w:outlineLvl w:val="2"/>
        <w:rPr>
          <w:rFonts w:hint="eastAsia" w:ascii="宋体" w:hAnsi="宋体" w:eastAsia="宋体" w:cs="宋体"/>
          <w:b/>
          <w:bCs/>
          <w:color w:val="auto"/>
          <w:spacing w:val="-1"/>
          <w:sz w:val="24"/>
          <w:szCs w:val="24"/>
          <w:highlight w:val="none"/>
        </w:rPr>
      </w:pPr>
      <w:bookmarkStart w:id="34" w:name="_Toc12890"/>
      <w:bookmarkStart w:id="35" w:name="_Toc1699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lang w:eastAsia="zh-CN"/>
        </w:rPr>
        <w:t>.</w:t>
      </w:r>
      <w:bookmarkEnd w:id="34"/>
      <w:bookmarkEnd w:id="35"/>
      <w:r>
        <w:rPr>
          <w:rFonts w:hint="eastAsia" w:ascii="宋体" w:hAnsi="宋体" w:eastAsia="宋体" w:cs="宋体"/>
          <w:b/>
          <w:bCs/>
          <w:color w:val="auto"/>
          <w:spacing w:val="-1"/>
          <w:sz w:val="24"/>
          <w:szCs w:val="24"/>
          <w:highlight w:val="none"/>
        </w:rPr>
        <w:t>招标控制价</w:t>
      </w:r>
    </w:p>
    <w:p w14:paraId="7D8411BA">
      <w:pPr>
        <w:pageBreakBefore w:val="0"/>
        <w:kinsoku/>
        <w:wordWrap/>
        <w:overflowPunct/>
        <w:bidi w:val="0"/>
        <w:spacing w:before="155" w:line="360"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rPr>
        <w:t>招标控制价</w:t>
      </w:r>
      <w:r>
        <w:rPr>
          <w:rFonts w:hint="eastAsia" w:ascii="宋体" w:hAnsi="宋体" w:eastAsia="宋体" w:cs="宋体"/>
          <w:color w:val="auto"/>
          <w:spacing w:val="-1"/>
          <w:sz w:val="24"/>
          <w:szCs w:val="24"/>
          <w:highlight w:val="none"/>
        </w:rPr>
        <w:t>：</w:t>
      </w:r>
    </w:p>
    <w:p w14:paraId="7771E585">
      <w:pPr>
        <w:pageBreakBefore w:val="0"/>
        <w:kinsoku/>
        <w:wordWrap/>
        <w:overflowPunct/>
        <w:bidi w:val="0"/>
        <w:spacing w:before="157" w:line="36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（1）《建设工程工程量清单计价规范》（GB50500—2013）；</w:t>
      </w:r>
    </w:p>
    <w:p w14:paraId="37010A3E">
      <w:pPr>
        <w:pageBreakBefore w:val="0"/>
        <w:kinsoku/>
        <w:wordWrap/>
        <w:overflowPunct/>
        <w:bidi w:val="0"/>
        <w:spacing w:before="153" w:line="360" w:lineRule="auto"/>
        <w:ind w:left="9" w:right="1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（2）《广东省建设工程计价依据（2018）》。具体</w:t>
      </w:r>
      <w:r>
        <w:rPr>
          <w:rFonts w:hint="eastAsia" w:ascii="宋体" w:hAnsi="宋体" w:eastAsia="宋体" w:cs="宋体"/>
          <w:color w:val="auto"/>
          <w:spacing w:val="1"/>
          <w:sz w:val="24"/>
          <w:szCs w:val="24"/>
          <w:highlight w:val="none"/>
        </w:rPr>
        <w:t>包括：《广东省房屋建筑与</w:t>
      </w:r>
      <w:r>
        <w:rPr>
          <w:rFonts w:hint="eastAsia" w:ascii="宋体" w:hAnsi="宋体" w:eastAsia="宋体" w:cs="宋体"/>
          <w:color w:val="auto"/>
          <w:spacing w:val="-1"/>
          <w:sz w:val="24"/>
          <w:szCs w:val="24"/>
          <w:highlight w:val="none"/>
        </w:rPr>
        <w:t>装饰工程综合定额（2018）》《广东省市政工程综合定额（2018）》《</w:t>
      </w:r>
      <w:r>
        <w:rPr>
          <w:rFonts w:hint="eastAsia" w:ascii="宋体" w:hAnsi="宋体" w:eastAsia="宋体" w:cs="宋体"/>
          <w:color w:val="auto"/>
          <w:spacing w:val="-2"/>
          <w:sz w:val="24"/>
          <w:szCs w:val="24"/>
          <w:highlight w:val="none"/>
        </w:rPr>
        <w:t>广东省通用安</w:t>
      </w:r>
      <w:r>
        <w:rPr>
          <w:rFonts w:hint="eastAsia" w:ascii="宋体" w:hAnsi="宋体" w:eastAsia="宋体" w:cs="宋体"/>
          <w:color w:val="auto"/>
          <w:spacing w:val="-1"/>
          <w:sz w:val="24"/>
          <w:szCs w:val="24"/>
          <w:highlight w:val="none"/>
        </w:rPr>
        <w:t>装工程综合定额（2018）》《广东省园林绿化工程综合定额（2018）》</w:t>
      </w:r>
      <w:r>
        <w:rPr>
          <w:rFonts w:hint="eastAsia" w:ascii="宋体" w:hAnsi="宋体" w:eastAsia="宋体" w:cs="宋体"/>
          <w:color w:val="auto"/>
          <w:spacing w:val="-2"/>
          <w:sz w:val="24"/>
          <w:szCs w:val="24"/>
          <w:highlight w:val="none"/>
        </w:rPr>
        <w:t>《广东省建设</w:t>
      </w:r>
      <w:r>
        <w:rPr>
          <w:rFonts w:hint="eastAsia" w:ascii="宋体" w:hAnsi="宋体" w:eastAsia="宋体" w:cs="宋体"/>
          <w:color w:val="auto"/>
          <w:spacing w:val="-1"/>
          <w:sz w:val="24"/>
          <w:szCs w:val="24"/>
          <w:highlight w:val="none"/>
        </w:rPr>
        <w:t>工程施工机具台班费用编制规则（2018）》等；</w:t>
      </w:r>
    </w:p>
    <w:p w14:paraId="3143AC53">
      <w:pPr>
        <w:pageBreakBefore w:val="0"/>
        <w:kinsoku/>
        <w:wordWrap/>
        <w:overflowPunct/>
        <w:bidi w:val="0"/>
        <w:spacing w:before="154" w:line="36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26942C9D">
      <w:pPr>
        <w:pageBreakBefore w:val="0"/>
        <w:kinsoku/>
        <w:wordWrap/>
        <w:overflowPunct/>
        <w:bidi w:val="0"/>
        <w:spacing w:before="78" w:line="360" w:lineRule="auto"/>
        <w:ind w:left="502"/>
        <w:rPr>
          <w:rFonts w:hint="eastAsia" w:ascii="宋体" w:hAnsi="宋体" w:eastAsia="宋体" w:cs="宋体"/>
          <w:color w:val="auto"/>
          <w:sz w:val="24"/>
          <w:szCs w:val="24"/>
          <w:highlight w:val="none"/>
        </w:rPr>
      </w:pPr>
      <w:bookmarkStart w:id="36" w:name="bookmark119"/>
      <w:bookmarkEnd w:id="36"/>
      <w:r>
        <w:rPr>
          <w:rFonts w:hint="eastAsia" w:ascii="宋体" w:hAnsi="宋体" w:eastAsia="宋体" w:cs="宋体"/>
          <w:color w:val="auto"/>
          <w:spacing w:val="-2"/>
          <w:sz w:val="24"/>
          <w:szCs w:val="24"/>
          <w:highlight w:val="none"/>
        </w:rPr>
        <w:t>（4）招标文件及招标工程量清单；</w:t>
      </w:r>
    </w:p>
    <w:p w14:paraId="4C7E7F6F">
      <w:pPr>
        <w:pageBreakBefore w:val="0"/>
        <w:kinsoku/>
        <w:wordWrap/>
        <w:overflowPunct/>
        <w:bidi w:val="0"/>
        <w:spacing w:before="155" w:line="360" w:lineRule="auto"/>
        <w:ind w:left="50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4D821E47">
      <w:pPr>
        <w:pageBreakBefore w:val="0"/>
        <w:kinsoku/>
        <w:wordWrap/>
        <w:overflowPunct/>
        <w:bidi w:val="0"/>
        <w:spacing w:before="153" w:line="360" w:lineRule="auto"/>
        <w:ind w:left="12" w:right="136"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08839E0D">
      <w:pPr>
        <w:pageBreakBefore w:val="0"/>
        <w:kinsoku/>
        <w:wordWrap/>
        <w:overflowPunct/>
        <w:bidi w:val="0"/>
        <w:spacing w:before="157" w:line="360" w:lineRule="auto"/>
        <w:ind w:left="50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5E405D0D">
      <w:pPr>
        <w:pageBreakBefore w:val="0"/>
        <w:kinsoku/>
        <w:wordWrap/>
        <w:overflowPunct/>
        <w:bidi w:val="0"/>
        <w:spacing w:before="79" w:line="360" w:lineRule="auto"/>
        <w:ind w:left="11" w:firstLine="479"/>
        <w:jc w:val="both"/>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eastAsia="zh-CN"/>
        </w:rPr>
        <w:t>本招标项目招标控制价、工程量清单、施工图最终以补充公告形式在开标前15天另行发布于相关网站，各投标人可在全国公共资源交易平台（广东省·韶关市）（https://ygp.gdzwfw.gov.cn/ggzy-portal/#/440200/index）自行下载。</w:t>
      </w:r>
    </w:p>
    <w:p w14:paraId="29778293">
      <w:pPr>
        <w:keepNext w:val="0"/>
        <w:keepLines w:val="0"/>
        <w:pageBreakBefore w:val="0"/>
        <w:widowControl w:val="0"/>
        <w:kinsoku/>
        <w:wordWrap/>
        <w:overflowPunct/>
        <w:topLinePunct w:val="0"/>
        <w:autoSpaceDE w:val="0"/>
        <w:autoSpaceDN w:val="0"/>
        <w:bidi w:val="0"/>
        <w:adjustRightInd w:val="0"/>
        <w:snapToGrid w:val="0"/>
        <w:spacing w:before="79" w:line="360" w:lineRule="auto"/>
        <w:ind w:left="11" w:firstLine="47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69F5C58">
      <w:pPr>
        <w:keepNext w:val="0"/>
        <w:keepLines w:val="0"/>
        <w:pageBreakBefore w:val="0"/>
        <w:widowControl w:val="0"/>
        <w:kinsoku/>
        <w:wordWrap/>
        <w:overflowPunct/>
        <w:topLinePunct w:val="0"/>
        <w:autoSpaceDE w:val="0"/>
        <w:autoSpaceDN w:val="0"/>
        <w:bidi w:val="0"/>
        <w:adjustRightInd w:val="0"/>
        <w:snapToGrid w:val="0"/>
        <w:spacing w:before="36" w:line="360" w:lineRule="auto"/>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D1A87E1">
      <w:pPr>
        <w:keepNext w:val="0"/>
        <w:keepLines w:val="0"/>
        <w:pageBreakBefore w:val="0"/>
        <w:widowControl w:val="0"/>
        <w:kinsoku/>
        <w:wordWrap/>
        <w:overflowPunct/>
        <w:topLinePunct w:val="0"/>
        <w:autoSpaceDE w:val="0"/>
        <w:autoSpaceDN w:val="0"/>
        <w:bidi w:val="0"/>
        <w:adjustRightInd w:val="0"/>
        <w:snapToGrid w:val="0"/>
        <w:spacing w:before="36" w:line="360" w:lineRule="auto"/>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当暂估价项目的内容、标准、要求在项目实施过程中得以深化、明确、固定后，按以下原则发包：</w:t>
      </w:r>
    </w:p>
    <w:p w14:paraId="33109C8D">
      <w:pPr>
        <w:keepNext w:val="0"/>
        <w:keepLines w:val="0"/>
        <w:pageBreakBefore w:val="0"/>
        <w:widowControl w:val="0"/>
        <w:kinsoku/>
        <w:wordWrap/>
        <w:overflowPunct/>
        <w:topLinePunct w:val="0"/>
        <w:autoSpaceDE w:val="0"/>
        <w:autoSpaceDN w:val="0"/>
        <w:bidi w:val="0"/>
        <w:adjustRightInd w:val="0"/>
        <w:snapToGrid w:val="0"/>
        <w:spacing w:before="36" w:line="360" w:lineRule="auto"/>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（1）暂估价项目按工程、货物（指材料或工程设备，下同）的类别分类汇总的金额，达到必须招标规模标准的，由中标人招标，招标人参与管理，确定专业工程承包人（或材料、工程 设备供应商）和合同价格。</w:t>
      </w:r>
    </w:p>
    <w:p w14:paraId="64DAAE36">
      <w:pPr>
        <w:keepNext w:val="0"/>
        <w:keepLines w:val="0"/>
        <w:pageBreakBefore w:val="0"/>
        <w:widowControl w:val="0"/>
        <w:kinsoku/>
        <w:wordWrap/>
        <w:overflowPunct/>
        <w:topLinePunct w:val="0"/>
        <w:autoSpaceDE w:val="0"/>
        <w:autoSpaceDN w:val="0"/>
        <w:bidi w:val="0"/>
        <w:adjustRightInd w:val="0"/>
        <w:snapToGrid w:val="0"/>
        <w:spacing w:before="36" w:line="360" w:lineRule="auto"/>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76EC6FD1">
      <w:pPr>
        <w:keepNext w:val="0"/>
        <w:keepLines w:val="0"/>
        <w:pageBreakBefore w:val="0"/>
        <w:widowControl w:val="0"/>
        <w:kinsoku/>
        <w:wordWrap/>
        <w:overflowPunct/>
        <w:topLinePunct w:val="0"/>
        <w:autoSpaceDE w:val="0"/>
        <w:autoSpaceDN w:val="0"/>
        <w:bidi w:val="0"/>
        <w:adjustRightInd w:val="0"/>
        <w:snapToGrid w:val="0"/>
        <w:spacing w:before="154" w:line="360" w:lineRule="auto"/>
        <w:ind w:left="11" w:right="65"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同中标人结算原则按本招标文件相关条款执行。</w:t>
      </w:r>
    </w:p>
    <w:p w14:paraId="5C652789">
      <w:pPr>
        <w:keepNext w:val="0"/>
        <w:keepLines w:val="0"/>
        <w:pageBreakBefore w:val="0"/>
        <w:widowControl w:val="0"/>
        <w:kinsoku/>
        <w:wordWrap/>
        <w:overflowPunct/>
        <w:topLinePunct w:val="0"/>
        <w:autoSpaceDE w:val="0"/>
        <w:autoSpaceDN w:val="0"/>
        <w:bidi w:val="0"/>
        <w:adjustRightInd w:val="0"/>
        <w:snapToGrid w:val="0"/>
        <w:spacing w:before="154" w:line="360" w:lineRule="auto"/>
        <w:ind w:left="11" w:right="65"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33A9C25D">
      <w:pPr>
        <w:keepNext w:val="0"/>
        <w:keepLines w:val="0"/>
        <w:pageBreakBefore w:val="0"/>
        <w:widowControl w:val="0"/>
        <w:kinsoku/>
        <w:wordWrap/>
        <w:overflowPunct/>
        <w:topLinePunct w:val="0"/>
        <w:autoSpaceDE w:val="0"/>
        <w:autoSpaceDN w:val="0"/>
        <w:bidi w:val="0"/>
        <w:adjustRightInd w:val="0"/>
        <w:snapToGrid w:val="0"/>
        <w:spacing w:before="155" w:line="360" w:lineRule="auto"/>
        <w:ind w:left="9" w:right="66" w:firstLine="49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2166C88B">
      <w:pPr>
        <w:keepNext w:val="0"/>
        <w:keepLines w:val="0"/>
        <w:pageBreakBefore w:val="0"/>
        <w:widowControl w:val="0"/>
        <w:kinsoku/>
        <w:wordWrap/>
        <w:overflowPunct/>
        <w:topLinePunct w:val="0"/>
        <w:autoSpaceDE w:val="0"/>
        <w:autoSpaceDN w:val="0"/>
        <w:bidi w:val="0"/>
        <w:adjustRightInd w:val="0"/>
        <w:snapToGrid w:val="0"/>
        <w:spacing w:before="155" w:line="360" w:lineRule="auto"/>
        <w:ind w:left="10" w:right="65" w:firstLine="478"/>
        <w:jc w:val="both"/>
        <w:textAlignment w:val="baseline"/>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8912A05">
      <w:pPr>
        <w:pageBreakBefore w:val="0"/>
        <w:kinsoku/>
        <w:wordWrap/>
        <w:overflowPunct/>
        <w:bidi w:val="0"/>
        <w:spacing w:before="79" w:line="360" w:lineRule="auto"/>
        <w:ind w:left="487"/>
        <w:outlineLvl w:val="2"/>
        <w:rPr>
          <w:rFonts w:hint="eastAsia" w:ascii="宋体" w:hAnsi="宋体" w:eastAsia="宋体" w:cs="宋体"/>
          <w:color w:val="auto"/>
          <w:sz w:val="24"/>
          <w:szCs w:val="24"/>
          <w:highlight w:val="none"/>
        </w:rPr>
      </w:pPr>
      <w:bookmarkStart w:id="37" w:name="_Toc25884"/>
      <w:bookmarkStart w:id="38" w:name="_Toc23804"/>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lang w:eastAsia="zh-CN"/>
        </w:rPr>
        <w:t>.</w:t>
      </w:r>
      <w:r>
        <w:rPr>
          <w:rFonts w:hint="eastAsia" w:ascii="宋体" w:hAnsi="宋体" w:eastAsia="宋体" w:cs="宋体"/>
          <w:b/>
          <w:bCs/>
          <w:color w:val="auto"/>
          <w:spacing w:val="-8"/>
          <w:sz w:val="24"/>
          <w:szCs w:val="24"/>
          <w:highlight w:val="none"/>
        </w:rPr>
        <w:t>投标报价</w:t>
      </w:r>
      <w:bookmarkEnd w:id="37"/>
      <w:bookmarkEnd w:id="38"/>
    </w:p>
    <w:p w14:paraId="36361E61">
      <w:pPr>
        <w:keepNext w:val="0"/>
        <w:keepLines w:val="0"/>
        <w:pageBreakBefore w:val="0"/>
        <w:widowControl w:val="0"/>
        <w:kinsoku/>
        <w:wordWrap/>
        <w:overflowPunct/>
        <w:topLinePunct w:val="0"/>
        <w:autoSpaceDE w:val="0"/>
        <w:autoSpaceDN w:val="0"/>
        <w:bidi w:val="0"/>
        <w:adjustRightInd w:val="0"/>
        <w:snapToGrid w:val="0"/>
        <w:spacing w:before="157" w:line="360" w:lineRule="auto"/>
        <w:ind w:left="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4F06C9F5">
      <w:pPr>
        <w:keepNext w:val="0"/>
        <w:keepLines w:val="0"/>
        <w:pageBreakBefore w:val="0"/>
        <w:widowControl w:val="0"/>
        <w:kinsoku/>
        <w:wordWrap/>
        <w:overflowPunct/>
        <w:topLinePunct w:val="0"/>
        <w:autoSpaceDE w:val="0"/>
        <w:autoSpaceDN w:val="0"/>
        <w:bidi w:val="0"/>
        <w:adjustRightInd w:val="0"/>
        <w:snapToGrid w:val="0"/>
        <w:spacing w:before="155"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（1）《建设工程工程量清单计价规范》（GB50500—2013</w:t>
      </w:r>
      <w:r>
        <w:rPr>
          <w:rFonts w:hint="eastAsia" w:ascii="宋体" w:hAnsi="宋体" w:eastAsia="宋体" w:cs="宋体"/>
          <w:color w:val="auto"/>
          <w:spacing w:val="4"/>
          <w:sz w:val="24"/>
          <w:szCs w:val="24"/>
          <w:highlight w:val="none"/>
        </w:rPr>
        <w:t>）；</w:t>
      </w:r>
    </w:p>
    <w:p w14:paraId="6C7C7907">
      <w:pPr>
        <w:keepNext w:val="0"/>
        <w:keepLines w:val="0"/>
        <w:pageBreakBefore w:val="0"/>
        <w:widowControl w:val="0"/>
        <w:kinsoku/>
        <w:wordWrap/>
        <w:overflowPunct/>
        <w:topLinePunct w:val="0"/>
        <w:autoSpaceDE w:val="0"/>
        <w:autoSpaceDN w:val="0"/>
        <w:bidi w:val="0"/>
        <w:adjustRightInd w:val="0"/>
        <w:snapToGrid w:val="0"/>
        <w:spacing w:before="153" w:line="360" w:lineRule="auto"/>
        <w:ind w:left="9" w:right="65" w:firstLine="49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（2）《广东省建设工程计价依据（2018）》。具体</w:t>
      </w:r>
      <w:r>
        <w:rPr>
          <w:rFonts w:hint="eastAsia" w:ascii="宋体" w:hAnsi="宋体" w:eastAsia="宋体" w:cs="宋体"/>
          <w:color w:val="auto"/>
          <w:spacing w:val="1"/>
          <w:sz w:val="24"/>
          <w:szCs w:val="24"/>
          <w:highlight w:val="none"/>
        </w:rPr>
        <w:t>包括：《广东省房屋建筑与</w:t>
      </w:r>
      <w:r>
        <w:rPr>
          <w:rFonts w:hint="eastAsia" w:ascii="宋体" w:hAnsi="宋体" w:eastAsia="宋体" w:cs="宋体"/>
          <w:color w:val="auto"/>
          <w:spacing w:val="-1"/>
          <w:sz w:val="24"/>
          <w:szCs w:val="24"/>
          <w:highlight w:val="none"/>
        </w:rPr>
        <w:t>装饰工程综合定额（2018）》《广东省市政工程综合定额（2018）》《</w:t>
      </w:r>
      <w:r>
        <w:rPr>
          <w:rFonts w:hint="eastAsia" w:ascii="宋体" w:hAnsi="宋体" w:eastAsia="宋体" w:cs="宋体"/>
          <w:color w:val="auto"/>
          <w:spacing w:val="-2"/>
          <w:sz w:val="24"/>
          <w:szCs w:val="24"/>
          <w:highlight w:val="none"/>
        </w:rPr>
        <w:t>广东省通用安</w:t>
      </w:r>
      <w:r>
        <w:rPr>
          <w:rFonts w:hint="eastAsia" w:ascii="宋体" w:hAnsi="宋体" w:eastAsia="宋体" w:cs="宋体"/>
          <w:color w:val="auto"/>
          <w:spacing w:val="-1"/>
          <w:sz w:val="24"/>
          <w:szCs w:val="24"/>
          <w:highlight w:val="none"/>
        </w:rPr>
        <w:t>装工程综合定额（2018）》《广东省园林绿化工程综合定额（2018）》</w:t>
      </w:r>
      <w:r>
        <w:rPr>
          <w:rFonts w:hint="eastAsia" w:ascii="宋体" w:hAnsi="宋体" w:eastAsia="宋体" w:cs="宋体"/>
          <w:color w:val="auto"/>
          <w:spacing w:val="-2"/>
          <w:sz w:val="24"/>
          <w:szCs w:val="24"/>
          <w:highlight w:val="none"/>
        </w:rPr>
        <w:t>《广东省建设</w:t>
      </w:r>
      <w:r>
        <w:rPr>
          <w:rFonts w:hint="eastAsia" w:ascii="宋体" w:hAnsi="宋体" w:eastAsia="宋体" w:cs="宋体"/>
          <w:color w:val="auto"/>
          <w:spacing w:val="-1"/>
          <w:sz w:val="24"/>
          <w:szCs w:val="24"/>
          <w:highlight w:val="none"/>
        </w:rPr>
        <w:t>工程施工机具台班费用编制规则（2018）》等；</w:t>
      </w:r>
    </w:p>
    <w:p w14:paraId="6DA419D1">
      <w:pPr>
        <w:keepNext w:val="0"/>
        <w:keepLines w:val="0"/>
        <w:pageBreakBefore w:val="0"/>
        <w:widowControl w:val="0"/>
        <w:kinsoku/>
        <w:wordWrap/>
        <w:overflowPunct/>
        <w:topLinePunct w:val="0"/>
        <w:autoSpaceDE w:val="0"/>
        <w:autoSpaceDN w:val="0"/>
        <w:bidi w:val="0"/>
        <w:adjustRightInd w:val="0"/>
        <w:snapToGrid w:val="0"/>
        <w:spacing w:before="78" w:line="360" w:lineRule="auto"/>
        <w:ind w:left="501"/>
        <w:textAlignment w:val="baseline"/>
        <w:rPr>
          <w:rFonts w:hint="eastAsia" w:ascii="宋体" w:hAnsi="宋体" w:eastAsia="宋体" w:cs="宋体"/>
          <w:color w:val="auto"/>
          <w:sz w:val="24"/>
          <w:szCs w:val="24"/>
          <w:highlight w:val="none"/>
        </w:rPr>
      </w:pPr>
      <w:bookmarkStart w:id="39" w:name="bookmark120"/>
      <w:bookmarkEnd w:id="39"/>
      <w:r>
        <w:rPr>
          <w:rFonts w:hint="eastAsia" w:ascii="宋体" w:hAnsi="宋体" w:eastAsia="宋体" w:cs="宋体"/>
          <w:color w:val="auto"/>
          <w:spacing w:val="-3"/>
          <w:sz w:val="24"/>
          <w:szCs w:val="24"/>
          <w:highlight w:val="none"/>
        </w:rPr>
        <w:t>（3）企业定额；</w:t>
      </w:r>
    </w:p>
    <w:p w14:paraId="2A1D6921">
      <w:pPr>
        <w:keepNext w:val="0"/>
        <w:keepLines w:val="0"/>
        <w:pageBreakBefore w:val="0"/>
        <w:widowControl w:val="0"/>
        <w:kinsoku/>
        <w:wordWrap/>
        <w:overflowPunct/>
        <w:topLinePunct w:val="0"/>
        <w:autoSpaceDE w:val="0"/>
        <w:autoSpaceDN w:val="0"/>
        <w:bidi w:val="0"/>
        <w:adjustRightInd w:val="0"/>
        <w:snapToGrid w:val="0"/>
        <w:spacing w:before="155"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1E239EF3">
      <w:pPr>
        <w:keepNext w:val="0"/>
        <w:keepLines w:val="0"/>
        <w:pageBreakBefore w:val="0"/>
        <w:widowControl w:val="0"/>
        <w:kinsoku/>
        <w:wordWrap/>
        <w:overflowPunct/>
        <w:topLinePunct w:val="0"/>
        <w:autoSpaceDE w:val="0"/>
        <w:autoSpaceDN w:val="0"/>
        <w:bidi w:val="0"/>
        <w:adjustRightInd w:val="0"/>
        <w:snapToGrid w:val="0"/>
        <w:spacing w:before="154"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4805DE51">
      <w:pPr>
        <w:keepNext w:val="0"/>
        <w:keepLines w:val="0"/>
        <w:pageBreakBefore w:val="0"/>
        <w:widowControl w:val="0"/>
        <w:kinsoku/>
        <w:wordWrap/>
        <w:overflowPunct/>
        <w:topLinePunct w:val="0"/>
        <w:autoSpaceDE w:val="0"/>
        <w:autoSpaceDN w:val="0"/>
        <w:bidi w:val="0"/>
        <w:adjustRightInd w:val="0"/>
        <w:snapToGrid w:val="0"/>
        <w:spacing w:before="152"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4E1DCFFE">
      <w:pPr>
        <w:keepNext w:val="0"/>
        <w:keepLines w:val="0"/>
        <w:pageBreakBefore w:val="0"/>
        <w:widowControl w:val="0"/>
        <w:kinsoku/>
        <w:wordWrap/>
        <w:overflowPunct/>
        <w:topLinePunct w:val="0"/>
        <w:autoSpaceDE w:val="0"/>
        <w:autoSpaceDN w:val="0"/>
        <w:bidi w:val="0"/>
        <w:adjustRightInd w:val="0"/>
        <w:snapToGrid w:val="0"/>
        <w:spacing w:before="156"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5825D2D8">
      <w:pPr>
        <w:keepNext w:val="0"/>
        <w:keepLines w:val="0"/>
        <w:pageBreakBefore w:val="0"/>
        <w:widowControl w:val="0"/>
        <w:kinsoku/>
        <w:wordWrap/>
        <w:overflowPunct/>
        <w:topLinePunct w:val="0"/>
        <w:autoSpaceDE w:val="0"/>
        <w:autoSpaceDN w:val="0"/>
        <w:bidi w:val="0"/>
        <w:adjustRightInd w:val="0"/>
        <w:snapToGrid w:val="0"/>
        <w:spacing w:before="155"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1BDA0FF0">
      <w:pPr>
        <w:keepNext w:val="0"/>
        <w:keepLines w:val="0"/>
        <w:pageBreakBefore w:val="0"/>
        <w:widowControl w:val="0"/>
        <w:kinsoku/>
        <w:wordWrap/>
        <w:overflowPunct/>
        <w:topLinePunct w:val="0"/>
        <w:autoSpaceDE w:val="0"/>
        <w:autoSpaceDN w:val="0"/>
        <w:bidi w:val="0"/>
        <w:adjustRightInd w:val="0"/>
        <w:snapToGrid w:val="0"/>
        <w:spacing w:before="153" w:line="360" w:lineRule="auto"/>
        <w:ind w:left="8" w:right="150" w:firstLine="55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1D39A523">
      <w:pPr>
        <w:pageBreakBefore w:val="0"/>
        <w:kinsoku/>
        <w:wordWrap/>
        <w:overflowPunct/>
        <w:bidi w:val="0"/>
        <w:spacing w:before="152" w:line="360"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40D7449B">
      <w:pPr>
        <w:pageBreakBefore w:val="0"/>
        <w:kinsoku/>
        <w:wordWrap/>
        <w:overflowPunct/>
        <w:bidi w:val="0"/>
        <w:spacing w:before="155" w:line="360"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FF17A23">
      <w:pPr>
        <w:pageBreakBefore w:val="0"/>
        <w:kinsoku/>
        <w:wordWrap/>
        <w:overflowPunct/>
        <w:bidi w:val="0"/>
        <w:spacing w:before="154" w:line="360"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18DC44D4">
      <w:pPr>
        <w:keepNext w:val="0"/>
        <w:keepLines w:val="0"/>
        <w:pageBreakBefore w:val="0"/>
        <w:widowControl w:val="0"/>
        <w:kinsoku/>
        <w:wordWrap/>
        <w:overflowPunct/>
        <w:topLinePunct w:val="0"/>
        <w:autoSpaceDE w:val="0"/>
        <w:autoSpaceDN w:val="0"/>
        <w:bidi w:val="0"/>
        <w:adjustRightInd w:val="0"/>
        <w:snapToGrid w:val="0"/>
        <w:spacing w:before="158" w:line="360" w:lineRule="auto"/>
        <w:ind w:left="9" w:right="150" w:firstLine="55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1259ACCC">
      <w:pPr>
        <w:keepNext w:val="0"/>
        <w:keepLines w:val="0"/>
        <w:pageBreakBefore w:val="0"/>
        <w:widowControl w:val="0"/>
        <w:kinsoku/>
        <w:wordWrap/>
        <w:overflowPunct/>
        <w:topLinePunct w:val="0"/>
        <w:autoSpaceDE w:val="0"/>
        <w:autoSpaceDN w:val="0"/>
        <w:bidi w:val="0"/>
        <w:adjustRightInd w:val="0"/>
        <w:snapToGrid w:val="0"/>
        <w:spacing w:before="152" w:line="360" w:lineRule="auto"/>
        <w:ind w:left="7" w:right="120" w:firstLine="480"/>
        <w:textAlignment w:val="baseline"/>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eastAsia="zh-CN"/>
        </w:rPr>
        <w:t>招标控制价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D9785B9">
      <w:pPr>
        <w:keepNext w:val="0"/>
        <w:keepLines w:val="0"/>
        <w:pageBreakBefore w:val="0"/>
        <w:widowControl w:val="0"/>
        <w:kinsoku/>
        <w:wordWrap/>
        <w:overflowPunct/>
        <w:topLinePunct w:val="0"/>
        <w:autoSpaceDE w:val="0"/>
        <w:autoSpaceDN w:val="0"/>
        <w:bidi w:val="0"/>
        <w:adjustRightInd w:val="0"/>
        <w:snapToGrid w:val="0"/>
        <w:textAlignment w:val="baseline"/>
        <w:rPr>
          <w:rFonts w:hint="eastAsia" w:ascii="宋体" w:hAnsi="宋体" w:eastAsia="宋体" w:cs="宋体"/>
          <w:b/>
          <w:bCs/>
          <w:snapToGrid w:val="0"/>
          <w:color w:val="auto"/>
          <w:spacing w:val="1"/>
          <w:sz w:val="24"/>
          <w:szCs w:val="24"/>
          <w:highlight w:val="none"/>
          <w:lang w:val="en-US" w:eastAsia="zh-CN" w:bidi="ar-SA"/>
        </w:rPr>
      </w:pPr>
      <w:bookmarkStart w:id="40" w:name="_Toc22704"/>
      <w:r>
        <w:rPr>
          <w:rFonts w:hint="eastAsia" w:ascii="宋体" w:hAnsi="宋体" w:eastAsia="宋体" w:cs="宋体"/>
          <w:b/>
          <w:bCs/>
          <w:snapToGrid w:val="0"/>
          <w:color w:val="auto"/>
          <w:spacing w:val="1"/>
          <w:sz w:val="24"/>
          <w:szCs w:val="24"/>
          <w:highlight w:val="none"/>
          <w:lang w:val="en-US" w:eastAsia="zh-CN" w:bidi="ar-SA"/>
        </w:rPr>
        <w:t>投标总价下浮率=（1-投标总价</w:t>
      </w:r>
      <w:r>
        <w:rPr>
          <w:rFonts w:hint="eastAsia" w:ascii="宋体" w:hAnsi="宋体" w:eastAsia="宋体" w:cs="宋体"/>
          <w:b/>
          <w:bCs/>
          <w:snapToGrid w:val="0"/>
          <w:color w:val="auto"/>
          <w:spacing w:val="1"/>
          <w:sz w:val="24"/>
          <w:szCs w:val="24"/>
          <w:highlight w:val="none"/>
          <w:lang w:val="en-US" w:eastAsia="en-US" w:bidi="ar-SA"/>
        </w:rPr>
        <w:t>÷</w:t>
      </w:r>
      <w:r>
        <w:rPr>
          <w:rFonts w:hint="eastAsia" w:ascii="宋体" w:hAnsi="宋体" w:eastAsia="宋体" w:cs="宋体"/>
          <w:b/>
          <w:bCs/>
          <w:snapToGrid w:val="0"/>
          <w:color w:val="auto"/>
          <w:spacing w:val="1"/>
          <w:sz w:val="24"/>
          <w:szCs w:val="24"/>
          <w:highlight w:val="none"/>
          <w:lang w:val="en-US" w:eastAsia="zh-CN" w:bidi="ar-SA"/>
        </w:rPr>
        <w:t>招标控制价）</w:t>
      </w:r>
      <w:r>
        <w:rPr>
          <w:rFonts w:hint="eastAsia" w:ascii="宋体" w:hAnsi="宋体" w:eastAsia="宋体" w:cs="宋体"/>
          <w:b/>
          <w:bCs/>
          <w:snapToGrid w:val="0"/>
          <w:color w:val="auto"/>
          <w:spacing w:val="1"/>
          <w:sz w:val="24"/>
          <w:szCs w:val="24"/>
          <w:highlight w:val="none"/>
          <w:lang w:val="en-US" w:eastAsia="en-US" w:bidi="ar-SA"/>
        </w:rPr>
        <w:t>×</w:t>
      </w:r>
      <w:r>
        <w:rPr>
          <w:rFonts w:hint="eastAsia" w:ascii="宋体" w:hAnsi="宋体" w:eastAsia="宋体" w:cs="宋体"/>
          <w:b/>
          <w:bCs/>
          <w:snapToGrid w:val="0"/>
          <w:color w:val="auto"/>
          <w:spacing w:val="1"/>
          <w:sz w:val="24"/>
          <w:szCs w:val="24"/>
          <w:highlight w:val="none"/>
          <w:lang w:val="en-US" w:eastAsia="zh-CN" w:bidi="ar-SA"/>
        </w:rPr>
        <w:t>100%</w:t>
      </w:r>
      <w:bookmarkEnd w:id="40"/>
    </w:p>
    <w:p w14:paraId="4DC38C7E">
      <w:pPr>
        <w:keepNext w:val="0"/>
        <w:keepLines w:val="0"/>
        <w:pageBreakBefore w:val="0"/>
        <w:widowControl w:val="0"/>
        <w:kinsoku/>
        <w:wordWrap/>
        <w:overflowPunct/>
        <w:topLinePunct w:val="0"/>
        <w:autoSpaceDE w:val="0"/>
        <w:autoSpaceDN w:val="0"/>
        <w:bidi w:val="0"/>
        <w:adjustRightInd w:val="0"/>
        <w:snapToGrid w:val="0"/>
        <w:spacing w:before="146" w:line="360" w:lineRule="auto"/>
        <w:ind w:left="29" w:right="153" w:firstLine="45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9.8  </w:t>
      </w:r>
      <w:r>
        <w:rPr>
          <w:rFonts w:hint="eastAsia" w:ascii="宋体" w:hAnsi="宋体" w:eastAsia="宋体" w:cs="宋体"/>
          <w:color w:val="auto"/>
          <w:sz w:val="24"/>
          <w:szCs w:val="24"/>
          <w:highlight w:val="none"/>
        </w:rPr>
        <w:t>投标人的绿色施工安全防护措施费报价必须达到或超过</w:t>
      </w:r>
      <w:r>
        <w:rPr>
          <w:rFonts w:hint="eastAsia" w:ascii="宋体" w:hAnsi="宋体" w:eastAsia="宋体" w:cs="宋体"/>
          <w:b/>
          <w:bCs/>
          <w:color w:val="auto"/>
          <w:sz w:val="24"/>
          <w:szCs w:val="24"/>
          <w:highlight w:val="none"/>
          <w:lang w:eastAsia="zh-CN"/>
        </w:rPr>
        <w:t>招标控制价</w:t>
      </w:r>
      <w:r>
        <w:rPr>
          <w:rFonts w:hint="eastAsia" w:ascii="宋体" w:hAnsi="宋体" w:eastAsia="宋体" w:cs="宋体"/>
          <w:color w:val="auto"/>
          <w:sz w:val="24"/>
          <w:szCs w:val="24"/>
          <w:highlight w:val="none"/>
        </w:rPr>
        <w:t>中</w:t>
      </w:r>
      <w:r>
        <w:rPr>
          <w:rFonts w:hint="eastAsia" w:ascii="宋体" w:hAnsi="宋体" w:eastAsia="宋体" w:cs="宋体"/>
          <w:color w:val="auto"/>
          <w:spacing w:val="-1"/>
          <w:sz w:val="24"/>
          <w:szCs w:val="24"/>
          <w:highlight w:val="none"/>
        </w:rPr>
        <w:t>提供</w:t>
      </w:r>
      <w:r>
        <w:rPr>
          <w:rFonts w:hint="eastAsia" w:ascii="宋体" w:hAnsi="宋体" w:eastAsia="宋体" w:cs="宋体"/>
          <w:color w:val="auto"/>
          <w:spacing w:val="-3"/>
          <w:sz w:val="24"/>
          <w:szCs w:val="24"/>
          <w:highlight w:val="none"/>
        </w:rPr>
        <w:t>的绿色施工安全防护措施费。</w:t>
      </w:r>
    </w:p>
    <w:p w14:paraId="1D4AD06B">
      <w:pPr>
        <w:keepNext w:val="0"/>
        <w:keepLines w:val="0"/>
        <w:pageBreakBefore w:val="0"/>
        <w:widowControl w:val="0"/>
        <w:kinsoku/>
        <w:wordWrap/>
        <w:overflowPunct/>
        <w:topLinePunct w:val="0"/>
        <w:autoSpaceDE w:val="0"/>
        <w:autoSpaceDN w:val="0"/>
        <w:bidi w:val="0"/>
        <w:adjustRightInd w:val="0"/>
        <w:snapToGrid w:val="0"/>
        <w:spacing w:before="78" w:line="360" w:lineRule="auto"/>
        <w:ind w:right="99"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6365E107">
      <w:pPr>
        <w:pageBreakBefore w:val="0"/>
        <w:kinsoku/>
        <w:wordWrap/>
        <w:overflowPunct/>
        <w:bidi w:val="0"/>
        <w:spacing w:before="78" w:line="360" w:lineRule="auto"/>
        <w:ind w:right="99" w:firstLine="478" w:firstLineChars="200"/>
        <w:rPr>
          <w:rFonts w:hint="eastAsia" w:ascii="宋体" w:hAnsi="宋体" w:eastAsia="宋体" w:cs="宋体"/>
          <w:color w:val="auto"/>
          <w:spacing w:val="-3"/>
          <w:sz w:val="24"/>
          <w:szCs w:val="24"/>
          <w:highlight w:val="none"/>
          <w:lang w:eastAsia="zh-CN"/>
        </w:rPr>
      </w:pPr>
      <w:r>
        <w:rPr>
          <w:rFonts w:hint="eastAsia" w:ascii="宋体" w:hAnsi="宋体" w:eastAsia="宋体" w:cs="宋体"/>
          <w:b/>
          <w:bCs/>
          <w:color w:val="auto"/>
          <w:spacing w:val="-1"/>
          <w:sz w:val="24"/>
          <w:szCs w:val="24"/>
          <w:highlight w:val="none"/>
        </w:rPr>
        <w:t>9.10</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预算包干内容一般包括施工雨（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w:t>
      </w:r>
      <w:r>
        <w:rPr>
          <w:rFonts w:hint="eastAsia" w:ascii="宋体" w:hAnsi="宋体" w:eastAsia="宋体" w:cs="宋体"/>
          <w:color w:val="auto"/>
          <w:spacing w:val="-7"/>
          <w:sz w:val="24"/>
          <w:szCs w:val="24"/>
          <w:highlight w:val="none"/>
        </w:rPr>
        <w:t>圾外运等。投标报价时，应按《广东省建设工程计价依据（2018）》规定的费率报价，</w:t>
      </w:r>
      <w:r>
        <w:rPr>
          <w:rFonts w:hint="eastAsia" w:ascii="宋体" w:hAnsi="宋体" w:eastAsia="宋体" w:cs="宋体"/>
          <w:color w:val="auto"/>
          <w:spacing w:val="-2"/>
          <w:sz w:val="24"/>
          <w:szCs w:val="24"/>
          <w:highlight w:val="none"/>
        </w:rPr>
        <w:t>若招标工程量清单明确说明不计算预算包干费或</w:t>
      </w:r>
      <w:r>
        <w:rPr>
          <w:rFonts w:hint="eastAsia" w:ascii="宋体" w:hAnsi="宋体" w:eastAsia="宋体" w:cs="宋体"/>
          <w:color w:val="auto"/>
          <w:spacing w:val="-3"/>
          <w:sz w:val="24"/>
          <w:szCs w:val="24"/>
          <w:highlight w:val="none"/>
        </w:rPr>
        <w:t>另外确定预算包干费费率的，则按招</w:t>
      </w:r>
      <w:r>
        <w:rPr>
          <w:rFonts w:hint="eastAsia" w:ascii="宋体" w:hAnsi="宋体" w:eastAsia="宋体" w:cs="宋体"/>
          <w:color w:val="auto"/>
          <w:spacing w:val="-3"/>
          <w:sz w:val="24"/>
          <w:szCs w:val="24"/>
          <w:highlight w:val="none"/>
          <w:lang w:eastAsia="zh-CN"/>
        </w:rPr>
        <w:t>标工程量清单报价。</w:t>
      </w:r>
    </w:p>
    <w:p w14:paraId="3CE024D8">
      <w:pPr>
        <w:pageBreakBefore w:val="0"/>
        <w:kinsoku/>
        <w:wordWrap/>
        <w:overflowPunct/>
        <w:topLinePunct w:val="0"/>
        <w:autoSpaceDE/>
        <w:autoSpaceDN/>
        <w:bidi w:val="0"/>
        <w:snapToGrid w:val="0"/>
        <w:spacing w:line="360" w:lineRule="auto"/>
        <w:ind w:firstLine="482" w:firstLineChars="200"/>
        <w:rPr>
          <w:rFonts w:hint="eastAsia" w:ascii="宋体" w:hAnsi="宋体" w:eastAsia="宋体" w:cs="宋体"/>
          <w:color w:val="auto"/>
          <w:spacing w:val="-3"/>
          <w:sz w:val="24"/>
          <w:szCs w:val="24"/>
          <w:highlight w:val="none"/>
          <w:lang w:eastAsia="zh-CN"/>
        </w:rPr>
      </w:pPr>
      <w:r>
        <w:rPr>
          <w:rFonts w:hint="eastAsia" w:ascii="宋体" w:hAnsi="宋体" w:eastAsia="宋体" w:cs="宋体"/>
          <w:b/>
          <w:bCs/>
          <w:color w:val="auto"/>
          <w:sz w:val="24"/>
          <w:szCs w:val="24"/>
          <w:highlight w:val="none"/>
          <w:lang w:val="en-US" w:eastAsia="zh-CN"/>
        </w:rPr>
        <w:t>9.11</w:t>
      </w:r>
      <w:r>
        <w:rPr>
          <w:rFonts w:hint="eastAsia" w:ascii="宋体" w:hAnsi="宋体" w:eastAsia="宋体" w:cs="宋体"/>
          <w:color w:val="auto"/>
          <w:sz w:val="24"/>
          <w:szCs w:val="24"/>
          <w:highlight w:val="none"/>
          <w:lang w:eastAsia="zh-CN"/>
        </w:rPr>
        <w:t>招标代理费和评标专家酬劳的支付：本工程的招标代理费和评标专家酬劳由中标人支付，该费用不再另行报价，由投标人在投标报价时综合考虑在内。中标人在领取中标通知书前须向招标代理机构一次性支付（评标专家酬劳包括食宿费用、交通费、专家评审劳务费等。）</w:t>
      </w:r>
    </w:p>
    <w:p w14:paraId="03BA4414">
      <w:pPr>
        <w:pageBreakBefore w:val="0"/>
        <w:kinsoku/>
        <w:wordWrap/>
        <w:overflowPunct/>
        <w:bidi w:val="0"/>
        <w:spacing w:before="78" w:line="360" w:lineRule="auto"/>
        <w:ind w:left="496"/>
        <w:outlineLvl w:val="2"/>
        <w:rPr>
          <w:rFonts w:hint="eastAsia" w:ascii="宋体" w:hAnsi="宋体" w:eastAsia="宋体" w:cs="宋体"/>
          <w:color w:val="auto"/>
          <w:sz w:val="24"/>
          <w:szCs w:val="24"/>
          <w:highlight w:val="none"/>
        </w:rPr>
      </w:pPr>
      <w:bookmarkStart w:id="41" w:name="_Toc9270"/>
      <w:bookmarkStart w:id="42" w:name="_Toc26296"/>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lang w:eastAsia="zh-CN"/>
        </w:rPr>
        <w:t>.</w:t>
      </w:r>
      <w:r>
        <w:rPr>
          <w:rFonts w:hint="eastAsia" w:ascii="宋体" w:hAnsi="宋体" w:eastAsia="宋体" w:cs="宋体"/>
          <w:b/>
          <w:bCs/>
          <w:color w:val="auto"/>
          <w:spacing w:val="-6"/>
          <w:sz w:val="24"/>
          <w:szCs w:val="24"/>
          <w:highlight w:val="none"/>
        </w:rPr>
        <w:t>投标文件的编制要求</w:t>
      </w:r>
      <w:bookmarkEnd w:id="41"/>
      <w:bookmarkEnd w:id="42"/>
    </w:p>
    <w:p w14:paraId="0C191376">
      <w:pPr>
        <w:pageBreakBefore w:val="0"/>
        <w:kinsoku/>
        <w:wordWrap/>
        <w:overflowPunct/>
        <w:bidi w:val="0"/>
        <w:spacing w:before="68" w:line="360" w:lineRule="auto"/>
        <w:ind w:left="11" w:right="99" w:firstLine="563"/>
        <w:rPr>
          <w:rFonts w:hint="eastAsia" w:ascii="宋体" w:hAnsi="宋体" w:eastAsia="宋体" w:cs="宋体"/>
          <w:b w:val="0"/>
          <w:bCs w:val="0"/>
          <w:color w:val="auto"/>
          <w:spacing w:val="-3"/>
          <w:sz w:val="24"/>
          <w:szCs w:val="24"/>
          <w:highlight w:val="none"/>
        </w:rPr>
      </w:pPr>
      <w:bookmarkStart w:id="43" w:name="_Toc20590"/>
      <w:bookmarkStart w:id="44" w:name="_Toc25990"/>
      <w:r>
        <w:rPr>
          <w:rFonts w:hint="eastAsia" w:ascii="宋体" w:hAnsi="宋体" w:eastAsia="宋体" w:cs="宋体"/>
          <w:b/>
          <w:bCs/>
          <w:color w:val="auto"/>
          <w:spacing w:val="-3"/>
          <w:sz w:val="24"/>
          <w:szCs w:val="24"/>
          <w:highlight w:val="none"/>
        </w:rPr>
        <w:t xml:space="preserve">10.1  </w:t>
      </w:r>
      <w:r>
        <w:rPr>
          <w:rFonts w:hint="eastAsia" w:ascii="宋体" w:hAnsi="宋体" w:eastAsia="宋体" w:cs="宋体"/>
          <w:b w:val="0"/>
          <w:bCs w:val="0"/>
          <w:color w:val="auto"/>
          <w:spacing w:val="-3"/>
          <w:sz w:val="24"/>
          <w:szCs w:val="24"/>
          <w:highlight w:val="none"/>
        </w:rPr>
        <w:t>一般要求</w:t>
      </w:r>
      <w:bookmarkEnd w:id="43"/>
      <w:bookmarkEnd w:id="44"/>
    </w:p>
    <w:p w14:paraId="7DC17D36">
      <w:pPr>
        <w:pageBreakBefore w:val="0"/>
        <w:kinsoku/>
        <w:wordWrap/>
        <w:overflowPunct/>
        <w:bidi w:val="0"/>
        <w:spacing w:before="118" w:line="360"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00D2071A">
      <w:pPr>
        <w:pageBreakBefore w:val="0"/>
        <w:kinsoku/>
        <w:wordWrap/>
        <w:overflowPunct/>
        <w:bidi w:val="0"/>
        <w:spacing w:before="68" w:line="360"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6CE89948">
      <w:pPr>
        <w:pageBreakBefore w:val="0"/>
        <w:kinsoku/>
        <w:wordWrap/>
        <w:overflowPunct/>
        <w:bidi w:val="0"/>
        <w:spacing w:before="123" w:line="36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10.1.2  </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交易平台（广东省·韶关市）</w:t>
      </w:r>
      <w:r>
        <w:rPr>
          <w:rFonts w:hint="eastAsia" w:ascii="宋体" w:hAnsi="宋体" w:eastAsia="宋体" w:cs="宋体"/>
          <w:color w:val="auto"/>
          <w:spacing w:val="-2"/>
          <w:sz w:val="24"/>
          <w:szCs w:val="24"/>
          <w:highlight w:val="none"/>
        </w:rPr>
        <w:t>交易指引。</w:t>
      </w:r>
    </w:p>
    <w:p w14:paraId="56ED9FEA">
      <w:pPr>
        <w:pageBreakBefore w:val="0"/>
        <w:kinsoku/>
        <w:wordWrap/>
        <w:overflowPunct/>
        <w:bidi w:val="0"/>
        <w:spacing w:before="1" w:line="360"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09125407">
      <w:pPr>
        <w:pageBreakBefore w:val="0"/>
        <w:kinsoku/>
        <w:wordWrap/>
        <w:overflowPunct/>
        <w:bidi w:val="0"/>
        <w:spacing w:before="111" w:line="360"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6844991">
      <w:pPr>
        <w:pageBreakBefore w:val="0"/>
        <w:kinsoku/>
        <w:wordWrap/>
        <w:overflowPunct/>
        <w:bidi w:val="0"/>
        <w:spacing w:before="112" w:line="360"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56A0EC54">
      <w:pPr>
        <w:pageBreakBefore w:val="0"/>
        <w:kinsoku/>
        <w:wordWrap/>
        <w:overflowPunct/>
        <w:bidi w:val="0"/>
        <w:spacing w:before="146" w:line="360"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4F952D25">
      <w:pPr>
        <w:pageBreakBefore w:val="0"/>
        <w:kinsoku/>
        <w:wordWrap/>
        <w:overflowPunct/>
        <w:bidi w:val="0"/>
        <w:spacing w:before="155" w:line="360" w:lineRule="auto"/>
        <w:ind w:left="16" w:right="133" w:firstLine="562"/>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10.1.3.4</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联合体投标的，除《联合体协议书》外，由联合体牵头人按以上要求签</w:t>
      </w:r>
      <w:r>
        <w:rPr>
          <w:rFonts w:hint="eastAsia" w:ascii="宋体" w:hAnsi="宋体" w:eastAsia="宋体" w:cs="宋体"/>
          <w:color w:val="auto"/>
          <w:spacing w:val="-1"/>
          <w:sz w:val="24"/>
          <w:szCs w:val="24"/>
          <w:highlight w:val="none"/>
        </w:rPr>
        <w:t>亲笔署名或签章（电子印章）即可。</w:t>
      </w:r>
      <w:bookmarkStart w:id="45" w:name="_Toc15948"/>
      <w:bookmarkStart w:id="46" w:name="_Toc21271"/>
    </w:p>
    <w:p w14:paraId="3FEDC4B5">
      <w:pPr>
        <w:pageBreakBefore w:val="0"/>
        <w:kinsoku/>
        <w:wordWrap/>
        <w:overflowPunct/>
        <w:bidi w:val="0"/>
        <w:spacing w:before="155" w:line="360" w:lineRule="auto"/>
        <w:ind w:left="16" w:right="133" w:firstLine="56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10.2  </w:t>
      </w:r>
      <w:r>
        <w:rPr>
          <w:rFonts w:hint="eastAsia" w:ascii="宋体" w:hAnsi="宋体" w:eastAsia="宋体" w:cs="宋体"/>
          <w:color w:val="auto"/>
          <w:spacing w:val="-2"/>
          <w:sz w:val="24"/>
          <w:szCs w:val="24"/>
          <w:highlight w:val="none"/>
        </w:rPr>
        <w:t>商务标书的编制要求</w:t>
      </w:r>
      <w:bookmarkEnd w:id="45"/>
      <w:bookmarkEnd w:id="46"/>
    </w:p>
    <w:p w14:paraId="0F56AEDA">
      <w:pPr>
        <w:keepNext w:val="0"/>
        <w:keepLines w:val="0"/>
        <w:pageBreakBefore w:val="0"/>
        <w:widowControl w:val="0"/>
        <w:kinsoku/>
        <w:wordWrap/>
        <w:overflowPunct/>
        <w:topLinePunct w:val="0"/>
        <w:bidi w:val="0"/>
        <w:adjustRightInd w:val="0"/>
        <w:snapToGrid w:val="0"/>
        <w:spacing w:before="157" w:line="360" w:lineRule="auto"/>
        <w:ind w:left="58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0AA1DC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47" w:name="bookmark121"/>
      <w:bookmarkEnd w:id="47"/>
      <w:r>
        <w:rPr>
          <w:rFonts w:hint="eastAsia" w:ascii="宋体" w:hAnsi="宋体" w:eastAsia="宋体" w:cs="宋体"/>
          <w:snapToGrid w:val="0"/>
          <w:color w:val="auto"/>
          <w:kern w:val="0"/>
          <w:sz w:val="24"/>
          <w:szCs w:val="24"/>
          <w:highlight w:val="none"/>
        </w:rPr>
        <w:t>（1）封面（格式一）；</w:t>
      </w:r>
    </w:p>
    <w:p w14:paraId="68911AF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（2）目录； </w:t>
      </w:r>
    </w:p>
    <w:p w14:paraId="67F406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（3）《投标函》（格式二）；</w:t>
      </w:r>
    </w:p>
    <w:p w14:paraId="083F24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（4）《各项承诺一览表》（格式三）；</w:t>
      </w:r>
    </w:p>
    <w:p w14:paraId="5C538F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（5）《授权委托书》（格式四）；</w:t>
      </w:r>
    </w:p>
    <w:p w14:paraId="017A17A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（6）《法定代表人身份证明》（格式五）；</w:t>
      </w:r>
    </w:p>
    <w:p w14:paraId="77CA86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lang w:eastAsia="zh-CN"/>
        </w:rPr>
        <w:t>）《联合体协议书》（格式六）及所附资料；</w:t>
      </w:r>
    </w:p>
    <w:p w14:paraId="770EFBD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snapToGrid w:val="0"/>
          <w:color w:val="auto"/>
          <w:kern w:val="0"/>
          <w:sz w:val="24"/>
          <w:szCs w:val="24"/>
          <w:highlight w:val="none"/>
          <w:lang w:val="en-US" w:eastAsia="zh-CN"/>
        </w:rPr>
        <w:t>《韶关市公共资源交易一体化平台保证金缴纳信息》页面截图）</w:t>
      </w:r>
      <w:r>
        <w:rPr>
          <w:rFonts w:hint="eastAsia" w:ascii="宋体" w:hAnsi="宋体" w:eastAsia="宋体" w:cs="宋体"/>
          <w:snapToGrid w:val="0"/>
          <w:color w:val="auto"/>
          <w:kern w:val="0"/>
          <w:sz w:val="24"/>
          <w:szCs w:val="24"/>
          <w:highlight w:val="none"/>
          <w:lang w:val="en-US" w:eastAsia="zh-CN"/>
        </w:rPr>
        <w:t>；</w:t>
      </w:r>
    </w:p>
    <w:p w14:paraId="6345F3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）《投标人基本情况表》（格式</w:t>
      </w:r>
      <w:r>
        <w:rPr>
          <w:rFonts w:hint="eastAsia" w:ascii="宋体" w:hAnsi="宋体" w:eastAsia="宋体" w:cs="宋体"/>
          <w:snapToGrid w:val="0"/>
          <w:color w:val="auto"/>
          <w:kern w:val="0"/>
          <w:sz w:val="24"/>
          <w:szCs w:val="24"/>
          <w:highlight w:val="none"/>
          <w:lang w:val="en-US" w:eastAsia="zh-CN"/>
        </w:rPr>
        <w:t>七</w:t>
      </w:r>
      <w:r>
        <w:rPr>
          <w:rFonts w:hint="eastAsia" w:ascii="宋体" w:hAnsi="宋体" w:eastAsia="宋体" w:cs="宋体"/>
          <w:snapToGrid w:val="0"/>
          <w:color w:val="auto"/>
          <w:kern w:val="0"/>
          <w:sz w:val="24"/>
          <w:szCs w:val="24"/>
          <w:highlight w:val="none"/>
        </w:rPr>
        <w:t>）及所附资料；</w:t>
      </w:r>
    </w:p>
    <w:p w14:paraId="77AE3B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）《项目经理简历表》（格式</w:t>
      </w:r>
      <w:r>
        <w:rPr>
          <w:rFonts w:hint="eastAsia" w:ascii="宋体" w:hAnsi="宋体" w:eastAsia="宋体" w:cs="宋体"/>
          <w:snapToGrid w:val="0"/>
          <w:color w:val="auto"/>
          <w:kern w:val="0"/>
          <w:sz w:val="24"/>
          <w:szCs w:val="24"/>
          <w:highlight w:val="none"/>
          <w:lang w:val="en-US" w:eastAsia="zh-CN"/>
        </w:rPr>
        <w:t>八</w:t>
      </w:r>
      <w:r>
        <w:rPr>
          <w:rFonts w:hint="eastAsia" w:ascii="宋体" w:hAnsi="宋体" w:eastAsia="宋体" w:cs="宋体"/>
          <w:snapToGrid w:val="0"/>
          <w:color w:val="auto"/>
          <w:kern w:val="0"/>
          <w:sz w:val="24"/>
          <w:szCs w:val="24"/>
          <w:highlight w:val="none"/>
        </w:rPr>
        <w:t>）及所附资料；</w:t>
      </w:r>
    </w:p>
    <w:p w14:paraId="2B6A63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11</w:t>
      </w:r>
      <w:r>
        <w:rPr>
          <w:rFonts w:hint="eastAsia" w:ascii="宋体" w:hAnsi="宋体" w:eastAsia="宋体" w:cs="宋体"/>
          <w:snapToGrid w:val="0"/>
          <w:color w:val="auto"/>
          <w:kern w:val="0"/>
          <w:sz w:val="24"/>
          <w:szCs w:val="24"/>
          <w:highlight w:val="none"/>
        </w:rPr>
        <w:t>）《项目经理任职声明》（格式</w:t>
      </w:r>
      <w:r>
        <w:rPr>
          <w:rFonts w:hint="eastAsia" w:ascii="宋体" w:hAnsi="宋体" w:eastAsia="宋体" w:cs="宋体"/>
          <w:snapToGrid w:val="0"/>
          <w:color w:val="auto"/>
          <w:kern w:val="0"/>
          <w:sz w:val="24"/>
          <w:szCs w:val="24"/>
          <w:highlight w:val="none"/>
          <w:lang w:val="en-US" w:eastAsia="zh-CN"/>
        </w:rPr>
        <w:t>九</w:t>
      </w:r>
      <w:r>
        <w:rPr>
          <w:rFonts w:hint="eastAsia" w:ascii="宋体" w:hAnsi="宋体" w:eastAsia="宋体" w:cs="宋体"/>
          <w:snapToGrid w:val="0"/>
          <w:color w:val="auto"/>
          <w:kern w:val="0"/>
          <w:sz w:val="24"/>
          <w:szCs w:val="24"/>
          <w:highlight w:val="none"/>
        </w:rPr>
        <w:t>）；</w:t>
      </w:r>
    </w:p>
    <w:p w14:paraId="275FFD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）《项目技术负责人简历表》（格式</w:t>
      </w:r>
      <w:r>
        <w:rPr>
          <w:rFonts w:hint="eastAsia" w:ascii="宋体" w:hAnsi="宋体" w:eastAsia="宋体" w:cs="宋体"/>
          <w:snapToGrid w:val="0"/>
          <w:color w:val="auto"/>
          <w:kern w:val="0"/>
          <w:sz w:val="24"/>
          <w:szCs w:val="24"/>
          <w:highlight w:val="none"/>
          <w:lang w:val="en-US" w:eastAsia="zh-CN"/>
        </w:rPr>
        <w:t>十</w:t>
      </w:r>
      <w:r>
        <w:rPr>
          <w:rFonts w:hint="eastAsia" w:ascii="宋体" w:hAnsi="宋体" w:eastAsia="宋体" w:cs="宋体"/>
          <w:snapToGrid w:val="0"/>
          <w:color w:val="auto"/>
          <w:kern w:val="0"/>
          <w:sz w:val="24"/>
          <w:szCs w:val="24"/>
          <w:highlight w:val="none"/>
        </w:rPr>
        <w:t>）及所附资料；</w:t>
      </w:r>
    </w:p>
    <w:p w14:paraId="78DB844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）《项目管理机构组成表》（格式十</w:t>
      </w:r>
      <w:r>
        <w:rPr>
          <w:rFonts w:hint="eastAsia" w:ascii="宋体" w:hAnsi="宋体" w:eastAsia="宋体" w:cs="宋体"/>
          <w:snapToGrid w:val="0"/>
          <w:color w:val="auto"/>
          <w:kern w:val="0"/>
          <w:sz w:val="24"/>
          <w:szCs w:val="24"/>
          <w:highlight w:val="none"/>
          <w:lang w:val="en-US" w:eastAsia="zh-CN"/>
        </w:rPr>
        <w:t>一</w:t>
      </w:r>
      <w:r>
        <w:rPr>
          <w:rFonts w:hint="eastAsia" w:ascii="宋体" w:hAnsi="宋体" w:eastAsia="宋体" w:cs="宋体"/>
          <w:snapToGrid w:val="0"/>
          <w:color w:val="auto"/>
          <w:kern w:val="0"/>
          <w:sz w:val="24"/>
          <w:szCs w:val="24"/>
          <w:highlight w:val="none"/>
        </w:rPr>
        <w:t>）及所附资料；</w:t>
      </w:r>
    </w:p>
    <w:p w14:paraId="775CFA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）本节“评标方法”要求提供的评审资料；</w:t>
      </w:r>
    </w:p>
    <w:p w14:paraId="239977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w:t>
      </w:r>
      <w:r>
        <w:rPr>
          <w:rFonts w:hint="eastAsia" w:ascii="宋体" w:hAnsi="宋体" w:eastAsia="宋体" w:cs="宋体"/>
          <w:b/>
          <w:bCs/>
          <w:snapToGrid w:val="0"/>
          <w:color w:val="auto"/>
          <w:kern w:val="0"/>
          <w:sz w:val="24"/>
          <w:szCs w:val="24"/>
          <w:highlight w:val="none"/>
        </w:rPr>
        <w:t>企业所在省、地级市住建部门或其授权的组织（机构）关于企业资质、人员资格有效期自动顺延或延期办理的相关文件等）</w:t>
      </w:r>
      <w:r>
        <w:rPr>
          <w:rFonts w:hint="eastAsia" w:ascii="宋体" w:hAnsi="宋体" w:eastAsia="宋体" w:cs="宋体"/>
          <w:snapToGrid w:val="0"/>
          <w:color w:val="auto"/>
          <w:kern w:val="0"/>
          <w:sz w:val="24"/>
          <w:szCs w:val="24"/>
          <w:highlight w:val="none"/>
        </w:rPr>
        <w:t>。</w:t>
      </w:r>
    </w:p>
    <w:p w14:paraId="2F2F7F36">
      <w:pPr>
        <w:keepNext w:val="0"/>
        <w:keepLines w:val="0"/>
        <w:pageBreakBefore w:val="0"/>
        <w:kinsoku/>
        <w:wordWrap/>
        <w:overflowPunct/>
        <w:autoSpaceDE/>
        <w:autoSpaceDN/>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目中所列出的商务标书组成内容中，第（1）至第（13）项所有投标人均应提供，</w:t>
      </w:r>
      <w:r>
        <w:rPr>
          <w:rFonts w:hint="eastAsia" w:ascii="宋体" w:hAnsi="宋体" w:eastAsia="宋体" w:cs="宋体"/>
          <w:b/>
          <w:bCs/>
          <w:snapToGrid w:val="0"/>
          <w:color w:val="auto"/>
          <w:kern w:val="0"/>
          <w:sz w:val="24"/>
          <w:szCs w:val="24"/>
          <w:highlight w:val="none"/>
        </w:rPr>
        <w:t>但非联合体投标的，无需提供第（7）项内容。</w:t>
      </w:r>
    </w:p>
    <w:p w14:paraId="2AC83DC3">
      <w:pPr>
        <w:keepNext w:val="0"/>
        <w:keepLines w:val="0"/>
        <w:pageBreakBefore w:val="0"/>
        <w:kinsoku/>
        <w:wordWrap/>
        <w:overflowPunct/>
        <w:autoSpaceDE/>
        <w:autoSpaceDN/>
        <w:bidi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10.2.3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rPr>
        <w:t>商务标书的组成内容按本节第</w:t>
      </w:r>
      <w:r>
        <w:rPr>
          <w:rFonts w:hint="eastAsia" w:ascii="宋体" w:hAnsi="宋体" w:eastAsia="宋体" w:cs="宋体"/>
          <w:b/>
          <w:snapToGrid w:val="0"/>
          <w:color w:val="auto"/>
          <w:kern w:val="0"/>
          <w:sz w:val="24"/>
          <w:szCs w:val="24"/>
          <w:highlight w:val="none"/>
        </w:rPr>
        <w:t>10.2.1</w:t>
      </w:r>
      <w:r>
        <w:rPr>
          <w:rFonts w:hint="eastAsia" w:ascii="宋体" w:hAnsi="宋体" w:eastAsia="宋体" w:cs="宋体"/>
          <w:bCs/>
          <w:snapToGrid w:val="0"/>
          <w:color w:val="auto"/>
          <w:kern w:val="0"/>
          <w:sz w:val="24"/>
          <w:szCs w:val="24"/>
          <w:highlight w:val="none"/>
        </w:rPr>
        <w:t>目规定的顺序整理、编排后，逐页（页码起始从封面开始）连续标记页码。</w:t>
      </w:r>
      <w:bookmarkStart w:id="48" w:name="_Hlt87783273"/>
      <w:bookmarkEnd w:id="48"/>
      <w:bookmarkStart w:id="49" w:name="_Hlt69670029"/>
      <w:bookmarkEnd w:id="49"/>
      <w:bookmarkStart w:id="50" w:name="_Toc274313881"/>
    </w:p>
    <w:p w14:paraId="722C6DEB">
      <w:pPr>
        <w:pageBreakBefore w:val="0"/>
        <w:kinsoku/>
        <w:wordWrap/>
        <w:overflowPunct/>
        <w:bidi w:val="0"/>
        <w:spacing w:before="155" w:line="360" w:lineRule="auto"/>
        <w:ind w:left="16" w:right="133" w:firstLine="562"/>
        <w:rPr>
          <w:rFonts w:hint="eastAsia" w:ascii="宋体" w:hAnsi="宋体" w:eastAsia="宋体" w:cs="宋体"/>
          <w:b/>
          <w:bCs/>
          <w:color w:val="auto"/>
          <w:spacing w:val="-2"/>
          <w:sz w:val="24"/>
          <w:szCs w:val="24"/>
          <w:highlight w:val="none"/>
        </w:rPr>
      </w:pPr>
      <w:bookmarkStart w:id="51" w:name="_Toc20435"/>
      <w:bookmarkStart w:id="52" w:name="_Toc1207"/>
      <w:r>
        <w:rPr>
          <w:rFonts w:hint="eastAsia" w:ascii="宋体" w:hAnsi="宋体" w:eastAsia="宋体" w:cs="宋体"/>
          <w:b/>
          <w:bCs/>
          <w:color w:val="auto"/>
          <w:spacing w:val="-2"/>
          <w:sz w:val="24"/>
          <w:szCs w:val="24"/>
          <w:highlight w:val="none"/>
        </w:rPr>
        <w:t>10.3</w:t>
      </w:r>
      <w:bookmarkStart w:id="53" w:name="_Hlt69670035"/>
      <w:bookmarkEnd w:id="53"/>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val="0"/>
          <w:bCs w:val="0"/>
          <w:color w:val="auto"/>
          <w:spacing w:val="-2"/>
          <w:sz w:val="24"/>
          <w:szCs w:val="24"/>
          <w:highlight w:val="none"/>
        </w:rPr>
        <w:t>经济标书的编制要求</w:t>
      </w:r>
      <w:bookmarkEnd w:id="50"/>
      <w:bookmarkEnd w:id="51"/>
      <w:bookmarkEnd w:id="52"/>
    </w:p>
    <w:p w14:paraId="3316F8EC">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 xml:space="preserve"> 经济标书包括以下内容：</w:t>
      </w:r>
    </w:p>
    <w:p w14:paraId="00F2E6C5">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46828E44">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0EEB1714">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color w:val="auto"/>
          <w:sz w:val="24"/>
          <w:szCs w:val="24"/>
          <w:highlight w:val="none"/>
        </w:rPr>
      </w:pPr>
      <w:bookmarkStart w:id="54" w:name="_Hlt69699579"/>
      <w:bookmarkEnd w:id="54"/>
      <w:r>
        <w:rPr>
          <w:rFonts w:hint="eastAsia" w:ascii="宋体" w:hAnsi="宋体" w:eastAsia="宋体" w:cs="宋体"/>
          <w:color w:val="auto"/>
          <w:sz w:val="24"/>
          <w:szCs w:val="24"/>
          <w:highlight w:val="none"/>
        </w:rPr>
        <w:t>（3）《投标总价》；</w:t>
      </w:r>
    </w:p>
    <w:p w14:paraId="1D1AD6AA">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说明：《投标总价》的格式按照《建设工程工程量清单计价规范》（GB50500—2013）执行，并应满足以下要求：</w:t>
      </w:r>
    </w:p>
    <w:p w14:paraId="25D6703B">
      <w:pPr>
        <w:keepNext w:val="0"/>
        <w:keepLines w:val="0"/>
        <w:pageBreakBefore w:val="0"/>
        <w:widowControl/>
        <w:suppressLineNumbers w:val="0"/>
        <w:kinsoku/>
        <w:wordWrap/>
        <w:overflowPunct/>
        <w:autoSpaceDE/>
        <w:autoSpaceDN/>
        <w:bidi w:val="0"/>
        <w:spacing w:line="360" w:lineRule="auto"/>
        <w:ind w:firstLine="723" w:firstLineChars="3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《投标总价扉页》（即扉—3）后应附编制人的造价工程师注册证书</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（须复印或打印至变更注册栏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
        </w:rPr>
        <w:t>一级造价师或二级造价师均可提供电子证书</w:t>
      </w:r>
      <w:r>
        <w:rPr>
          <w:rFonts w:hint="eastAsia" w:ascii="宋体" w:hAnsi="宋体" w:eastAsia="宋体" w:cs="宋体"/>
          <w:snapToGrid w:val="0"/>
          <w:color w:val="auto"/>
          <w:kern w:val="0"/>
          <w:sz w:val="24"/>
          <w:szCs w:val="24"/>
          <w:highlight w:val="none"/>
        </w:rPr>
        <w:t>）；投标人委托造价咨询单位编制《投标总价》的，在该扉页“投标人”栏目加盖造价咨询人公章，并在该扉页后附造价咨询人的营业执照副本</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w:t>
      </w:r>
    </w:p>
    <w:p w14:paraId="7A6CACCD">
      <w:pPr>
        <w:keepNext w:val="0"/>
        <w:keepLines w:val="0"/>
        <w:pageBreakBefore w:val="0"/>
        <w:kinsoku/>
        <w:wordWrap/>
        <w:overflowPunct/>
        <w:autoSpaceDE/>
        <w:autoSpaceDN/>
        <w:bidi w:val="0"/>
        <w:adjustRightInd w:val="0"/>
        <w:snapToGrid w:val="0"/>
        <w:spacing w:line="360" w:lineRule="auto"/>
        <w:ind w:firstLine="723" w:firstLineChars="3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投标人认为有必要补充的其他资料（例如关于投标总价下浮率超过15%的书面说明和佐证材料）。</w:t>
      </w:r>
    </w:p>
    <w:p w14:paraId="42CA8CBA">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目中所列出的经济标书组成内容中，第（1）至第（3）项所有投标人均应提供</w:t>
      </w:r>
      <w:bookmarkStart w:id="55" w:name="_Hlt145127239"/>
      <w:bookmarkEnd w:id="55"/>
      <w:r>
        <w:rPr>
          <w:rFonts w:hint="eastAsia" w:ascii="宋体" w:hAnsi="宋体" w:eastAsia="宋体" w:cs="宋体"/>
          <w:snapToGrid w:val="0"/>
          <w:color w:val="auto"/>
          <w:kern w:val="0"/>
          <w:sz w:val="24"/>
          <w:szCs w:val="24"/>
          <w:highlight w:val="none"/>
        </w:rPr>
        <w:t>。</w:t>
      </w:r>
    </w:p>
    <w:p w14:paraId="2A012BEE">
      <w:pPr>
        <w:keepNext w:val="0"/>
        <w:keepLines w:val="0"/>
        <w:pageBreakBefore w:val="0"/>
        <w:kinsoku/>
        <w:wordWrap/>
        <w:overflowPunct/>
        <w:autoSpaceDE/>
        <w:autoSpaceDN/>
        <w:bidi w:val="0"/>
        <w:adjustRightInd w:val="0"/>
        <w:snapToGrid w:val="0"/>
        <w:spacing w:line="360" w:lineRule="auto"/>
        <w:ind w:firstLine="482" w:firstLineChars="200"/>
        <w:rPr>
          <w:rFonts w:hint="eastAsia" w:ascii="宋体" w:hAnsi="宋体" w:eastAsia="宋体" w:cs="宋体"/>
          <w:b/>
          <w:bCs/>
          <w:snapToGrid w:val="0"/>
          <w:color w:val="auto"/>
          <w:sz w:val="24"/>
          <w:szCs w:val="24"/>
          <w:highlight w:val="none"/>
        </w:rPr>
      </w:pPr>
      <w:r>
        <w:rPr>
          <w:rFonts w:hint="eastAsia" w:ascii="宋体" w:hAnsi="宋体" w:eastAsia="宋体" w:cs="宋体"/>
          <w:b/>
          <w:bCs/>
          <w:snapToGrid w:val="0"/>
          <w:color w:val="auto"/>
          <w:kern w:val="0"/>
          <w:sz w:val="24"/>
          <w:szCs w:val="24"/>
          <w:highlight w:val="none"/>
        </w:rPr>
        <w:t xml:space="preserve">10.3.3 </w:t>
      </w:r>
      <w:r>
        <w:rPr>
          <w:rFonts w:hint="eastAsia" w:ascii="宋体" w:hAnsi="宋体" w:eastAsia="宋体" w:cs="宋体"/>
          <w:snapToGrid w:val="0"/>
          <w:color w:val="auto"/>
          <w:kern w:val="0"/>
          <w:sz w:val="24"/>
          <w:szCs w:val="24"/>
          <w:highlight w:val="none"/>
        </w:rPr>
        <w:t>经济标书的组成内容应按本节第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274133CF">
      <w:pPr>
        <w:pageBreakBefore w:val="0"/>
        <w:kinsoku/>
        <w:wordWrap/>
        <w:overflowPunct/>
        <w:bidi w:val="0"/>
        <w:spacing w:before="155" w:line="360" w:lineRule="auto"/>
        <w:ind w:left="16" w:right="133" w:firstLine="562"/>
        <w:rPr>
          <w:rFonts w:hint="eastAsia" w:ascii="宋体" w:hAnsi="宋体" w:eastAsia="宋体" w:cs="宋体"/>
          <w:b w:val="0"/>
          <w:bCs w:val="0"/>
          <w:color w:val="auto"/>
          <w:spacing w:val="-2"/>
          <w:sz w:val="24"/>
          <w:szCs w:val="24"/>
          <w:highlight w:val="none"/>
        </w:rPr>
      </w:pPr>
      <w:bookmarkStart w:id="56" w:name="_Toc538"/>
      <w:bookmarkStart w:id="57" w:name="_Toc13483"/>
      <w:r>
        <w:rPr>
          <w:rFonts w:hint="eastAsia" w:ascii="宋体" w:hAnsi="宋体" w:eastAsia="宋体" w:cs="宋体"/>
          <w:b/>
          <w:bCs/>
          <w:color w:val="auto"/>
          <w:spacing w:val="-2"/>
          <w:sz w:val="24"/>
          <w:szCs w:val="24"/>
          <w:highlight w:val="none"/>
        </w:rPr>
        <w:t xml:space="preserve">10.4 </w:t>
      </w:r>
      <w:r>
        <w:rPr>
          <w:rFonts w:hint="eastAsia" w:ascii="宋体" w:hAnsi="宋体" w:eastAsia="宋体" w:cs="宋体"/>
          <w:b w:val="0"/>
          <w:bCs w:val="0"/>
          <w:color w:val="auto"/>
          <w:spacing w:val="-2"/>
          <w:sz w:val="24"/>
          <w:szCs w:val="24"/>
          <w:highlight w:val="none"/>
        </w:rPr>
        <w:t>施工组织设计的编制要求</w:t>
      </w:r>
      <w:bookmarkEnd w:id="56"/>
      <w:bookmarkEnd w:id="57"/>
    </w:p>
    <w:p w14:paraId="3B8C9E46">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施工组织设计的编制依据包括且不限于</w:t>
      </w:r>
      <w:r>
        <w:rPr>
          <w:rFonts w:hint="eastAsia" w:ascii="宋体" w:hAnsi="宋体" w:eastAsia="宋体" w:cs="宋体"/>
          <w:bCs/>
          <w:snapToGrid w:val="0"/>
          <w:color w:val="auto"/>
          <w:kern w:val="0"/>
          <w:sz w:val="24"/>
          <w:szCs w:val="24"/>
          <w:highlight w:val="none"/>
        </w:rPr>
        <w:t>：</w:t>
      </w:r>
    </w:p>
    <w:p w14:paraId="38F6ED61">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（1）招标文件及</w:t>
      </w:r>
      <w:r>
        <w:rPr>
          <w:rFonts w:hint="eastAsia" w:ascii="宋体" w:hAnsi="宋体" w:eastAsia="宋体" w:cs="宋体"/>
          <w:snapToGrid w:val="0"/>
          <w:color w:val="auto"/>
          <w:kern w:val="0"/>
          <w:sz w:val="24"/>
          <w:szCs w:val="24"/>
          <w:highlight w:val="none"/>
        </w:rPr>
        <w:t>其答疑（或修改）公告；</w:t>
      </w:r>
    </w:p>
    <w:p w14:paraId="005410FC">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（2）施工图及相关资料；</w:t>
      </w:r>
    </w:p>
    <w:p w14:paraId="69F87FA0">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（3）施工现场情况、工程特点；</w:t>
      </w:r>
    </w:p>
    <w:p w14:paraId="58BB025F">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（4）相关法律、法规、规定；</w:t>
      </w:r>
    </w:p>
    <w:p w14:paraId="3E83AE7F">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68DD6349">
      <w:pPr>
        <w:keepNext w:val="0"/>
        <w:keepLines w:val="0"/>
        <w:pageBreakBefore w:val="0"/>
        <w:kinsoku/>
        <w:wordWrap/>
        <w:overflowPunct/>
        <w:autoSpaceDE/>
        <w:autoSpaceDN/>
        <w:bidi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（6）企业内部标准、工法。</w:t>
      </w:r>
    </w:p>
    <w:p w14:paraId="61A6557C">
      <w:pPr>
        <w:keepNext w:val="0"/>
        <w:keepLines w:val="0"/>
        <w:pageBreakBefore w:val="0"/>
        <w:kinsoku/>
        <w:wordWrap/>
        <w:overflowPunct/>
        <w:autoSpaceDE/>
        <w:autoSpaceDN/>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10.4.2</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施工组织设计包括但不限于以下内容：</w:t>
      </w:r>
    </w:p>
    <w:p w14:paraId="40FEEBF6">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6D78AC23">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7F9B099C">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（3）总体概述（包括施工程序总体设想及施工段划分等内容）；</w:t>
      </w:r>
    </w:p>
    <w:p w14:paraId="3A07B246">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7A6AFA06">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（5）质量保证措施（包括质量管理目标；相应保证措施；违约责任承诺等内容）；</w:t>
      </w:r>
    </w:p>
    <w:p w14:paraId="15DD8330">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（6）施工技术措施（包括关键施工技术、工艺及工程项目实施的重点、难点分析和解决方案；新技术应用与承诺等内容）；</w:t>
      </w:r>
    </w:p>
    <w:p w14:paraId="3F9F3D44">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（7）绿色施工、安全防护、文明施工措施计划</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rPr>
        <w:t>应对建设单位组织的勘察设计等单位在施工招标文件中列出的危大工程清单(详见格式十</w:t>
      </w:r>
      <w:r>
        <w:rPr>
          <w:rFonts w:hint="eastAsia" w:ascii="宋体" w:hAnsi="宋体" w:eastAsia="宋体" w:cs="宋体"/>
          <w:b/>
          <w:bCs/>
          <w:snapToGrid w:val="0"/>
          <w:color w:val="auto"/>
          <w:kern w:val="0"/>
          <w:sz w:val="24"/>
          <w:szCs w:val="24"/>
          <w:highlight w:val="none"/>
          <w:lang w:val="en-US" w:eastAsia="zh-CN"/>
        </w:rPr>
        <w:t>三</w:t>
      </w:r>
      <w:r>
        <w:rPr>
          <w:rFonts w:hint="eastAsia" w:ascii="宋体" w:hAnsi="宋体" w:eastAsia="宋体" w:cs="宋体"/>
          <w:b/>
          <w:bCs/>
          <w:snapToGrid w:val="0"/>
          <w:color w:val="auto"/>
          <w:kern w:val="0"/>
          <w:sz w:val="24"/>
          <w:szCs w:val="24"/>
          <w:highlight w:val="none"/>
        </w:rPr>
        <w:t>)进行投标文件回应</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w:t>
      </w:r>
    </w:p>
    <w:p w14:paraId="29E32A1C">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（8）施工现场总平面布置（投标人应递交一份施工现场总平面布置图，绘出现场临时设施布置图表并附文字说明，说明临时设施、加工车间、现场办公</w:t>
      </w:r>
      <w:r>
        <w:rPr>
          <w:rFonts w:hint="eastAsia" w:ascii="宋体" w:hAnsi="宋体" w:eastAsia="宋体" w:cs="宋体"/>
          <w:snapToGrid w:val="0"/>
          <w:color w:val="auto"/>
          <w:kern w:val="0"/>
          <w:sz w:val="24"/>
          <w:szCs w:val="24"/>
          <w:highlight w:val="none"/>
          <w:lang w:val="en-US" w:eastAsia="zh-CN"/>
        </w:rPr>
        <w:t>、设备及仓储、供电、供水、卫生、生活、道路、消防等设施的情况和布置）</w:t>
      </w:r>
      <w:r>
        <w:rPr>
          <w:rFonts w:hint="eastAsia" w:ascii="宋体" w:hAnsi="宋体" w:eastAsia="宋体" w:cs="宋体"/>
          <w:snapToGrid w:val="0"/>
          <w:color w:val="auto"/>
          <w:kern w:val="0"/>
          <w:sz w:val="24"/>
          <w:szCs w:val="24"/>
          <w:highlight w:val="none"/>
        </w:rPr>
        <w:t>；</w:t>
      </w:r>
    </w:p>
    <w:p w14:paraId="3B5DA2F6">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（9）项目管理机构。</w:t>
      </w:r>
    </w:p>
    <w:p w14:paraId="79D4DD90">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（10）投标人认为有必要补充的其他内容（例如对总包管理的认识以及对专业分包工程的管理、协调、配合、服务方案）。</w:t>
      </w:r>
    </w:p>
    <w:p w14:paraId="28BCE066">
      <w:pPr>
        <w:keepNext w:val="0"/>
        <w:keepLines w:val="0"/>
        <w:pageBreakBefore w:val="0"/>
        <w:kinsoku/>
        <w:wordWrap/>
        <w:overflowPunct/>
        <w:autoSpaceDE/>
        <w:autoSpaceDN/>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10.4.3</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10.4.2</w:t>
      </w:r>
      <w:r>
        <w:rPr>
          <w:rFonts w:hint="eastAsia" w:ascii="宋体" w:hAnsi="宋体" w:eastAsia="宋体" w:cs="宋体"/>
          <w:snapToGrid w:val="0"/>
          <w:color w:val="auto"/>
          <w:kern w:val="0"/>
          <w:sz w:val="24"/>
          <w:szCs w:val="24"/>
          <w:highlight w:val="none"/>
        </w:rPr>
        <w:t>目中所列出的施工组织设计组成内容中，第（1）至第（9）项所有投标人均应提供。</w:t>
      </w:r>
    </w:p>
    <w:p w14:paraId="54098E7F">
      <w:pPr>
        <w:keepNext w:val="0"/>
        <w:keepLines w:val="0"/>
        <w:pageBreakBefore w:val="0"/>
        <w:kinsoku/>
        <w:wordWrap/>
        <w:overflowPunct/>
        <w:autoSpaceDE/>
        <w:autoSpaceDN/>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10.4.4</w:t>
      </w:r>
      <w:r>
        <w:rPr>
          <w:rFonts w:hint="eastAsia" w:ascii="宋体" w:hAnsi="宋体" w:eastAsia="宋体" w:cs="宋体"/>
          <w:snapToGrid w:val="0"/>
          <w:color w:val="auto"/>
          <w:kern w:val="0"/>
          <w:sz w:val="24"/>
          <w:szCs w:val="24"/>
          <w:highlight w:val="none"/>
        </w:rPr>
        <w:t xml:space="preserve"> 施工组织设计的组成内容按本节第</w:t>
      </w:r>
      <w:r>
        <w:rPr>
          <w:rFonts w:hint="eastAsia" w:ascii="宋体" w:hAnsi="宋体" w:eastAsia="宋体" w:cs="宋体"/>
          <w:b/>
          <w:bCs/>
          <w:snapToGrid w:val="0"/>
          <w:color w:val="auto"/>
          <w:kern w:val="0"/>
          <w:sz w:val="24"/>
          <w:szCs w:val="24"/>
          <w:highlight w:val="none"/>
        </w:rPr>
        <w:t>10.4.2</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3324639D">
      <w:pPr>
        <w:pageBreakBefore w:val="0"/>
        <w:kinsoku/>
        <w:wordWrap/>
        <w:overflowPunct/>
        <w:bidi w:val="0"/>
        <w:spacing w:before="78" w:line="360" w:lineRule="auto"/>
        <w:ind w:left="496"/>
        <w:outlineLvl w:val="2"/>
        <w:rPr>
          <w:rFonts w:hint="eastAsia" w:ascii="宋体" w:hAnsi="宋体" w:eastAsia="宋体" w:cs="宋体"/>
          <w:color w:val="auto"/>
          <w:sz w:val="24"/>
          <w:szCs w:val="24"/>
          <w:highlight w:val="none"/>
        </w:rPr>
      </w:pPr>
      <w:bookmarkStart w:id="58" w:name="_Toc29307"/>
      <w:bookmarkStart w:id="59" w:name="_Toc4360"/>
      <w:r>
        <w:rPr>
          <w:rFonts w:hint="eastAsia" w:ascii="宋体" w:hAnsi="宋体" w:eastAsia="宋体" w:cs="宋体"/>
          <w:b/>
          <w:bCs/>
          <w:color w:val="auto"/>
          <w:spacing w:val="-9"/>
          <w:sz w:val="24"/>
          <w:szCs w:val="24"/>
          <w:highlight w:val="none"/>
        </w:rPr>
        <w:t>11.电子投标</w:t>
      </w:r>
      <w:bookmarkEnd w:id="58"/>
      <w:bookmarkEnd w:id="59"/>
    </w:p>
    <w:p w14:paraId="25CDC026">
      <w:pPr>
        <w:keepNext w:val="0"/>
        <w:keepLines w:val="0"/>
        <w:pageBreakBefore w:val="0"/>
        <w:widowControl w:val="0"/>
        <w:kinsoku/>
        <w:wordWrap/>
        <w:overflowPunct/>
        <w:topLinePunct w:val="0"/>
        <w:autoSpaceDE w:val="0"/>
        <w:autoSpaceDN w:val="0"/>
        <w:bidi w:val="0"/>
        <w:adjustRightInd w:val="0"/>
        <w:snapToGrid w:val="0"/>
        <w:spacing w:before="112" w:line="360" w:lineRule="auto"/>
        <w:ind w:left="10" w:firstLine="48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书对投标文件进行文件加密，形成加密的投标文件并提交标书。</w:t>
      </w:r>
    </w:p>
    <w:p w14:paraId="35865D19">
      <w:pPr>
        <w:keepNext w:val="0"/>
        <w:keepLines w:val="0"/>
        <w:pageBreakBefore w:val="0"/>
        <w:widowControl w:val="0"/>
        <w:kinsoku/>
        <w:wordWrap/>
        <w:overflowPunct/>
        <w:topLinePunct w:val="0"/>
        <w:autoSpaceDE w:val="0"/>
        <w:autoSpaceDN w:val="0"/>
        <w:bidi w:val="0"/>
        <w:adjustRightInd w:val="0"/>
        <w:snapToGrid w:val="0"/>
        <w:spacing w:before="115" w:line="360" w:lineRule="auto"/>
        <w:ind w:left="10" w:right="81" w:firstLine="485"/>
        <w:textAlignment w:val="baseline"/>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28C93B4D">
      <w:pPr>
        <w:pageBreakBefore w:val="0"/>
        <w:kinsoku/>
        <w:wordWrap/>
        <w:overflowPunct/>
        <w:bidi w:val="0"/>
        <w:spacing w:before="78" w:line="360" w:lineRule="auto"/>
        <w:ind w:left="496"/>
        <w:outlineLvl w:val="2"/>
        <w:rPr>
          <w:rFonts w:hint="eastAsia" w:ascii="宋体" w:hAnsi="宋体" w:eastAsia="宋体" w:cs="宋体"/>
          <w:b/>
          <w:bCs/>
          <w:color w:val="auto"/>
          <w:spacing w:val="-9"/>
          <w:sz w:val="24"/>
          <w:szCs w:val="24"/>
          <w:highlight w:val="none"/>
        </w:rPr>
      </w:pPr>
      <w:bookmarkStart w:id="60" w:name="_Toc15963"/>
      <w:bookmarkStart w:id="61" w:name="_Toc11460"/>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9"/>
          <w:sz w:val="24"/>
          <w:szCs w:val="24"/>
          <w:highlight w:val="none"/>
        </w:rPr>
        <w:t>电子投标及投标解密失败及突发情况的补救方案</w:t>
      </w:r>
      <w:bookmarkEnd w:id="60"/>
      <w:bookmarkEnd w:id="61"/>
    </w:p>
    <w:p w14:paraId="7139F667">
      <w:pPr>
        <w:pageBreakBefore w:val="0"/>
        <w:kinsoku/>
        <w:wordWrap/>
        <w:overflowPunct/>
        <w:bidi w:val="0"/>
        <w:spacing w:before="78" w:line="360" w:lineRule="auto"/>
        <w:ind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pacing w:val="-1"/>
          <w:sz w:val="24"/>
          <w:szCs w:val="24"/>
          <w:highlight w:val="none"/>
        </w:rPr>
        <w:t>0200/index）服务指南栏目发布的最新版操作指引。</w:t>
      </w:r>
    </w:p>
    <w:p w14:paraId="150DE32F">
      <w:pPr>
        <w:pageBreakBefore w:val="0"/>
        <w:kinsoku/>
        <w:wordWrap/>
        <w:overflowPunct/>
        <w:bidi w:val="0"/>
        <w:spacing w:before="11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2CAE9A68">
      <w:pPr>
        <w:pageBreakBefore w:val="0"/>
        <w:kinsoku/>
        <w:wordWrap/>
        <w:overflowPunct/>
        <w:bidi w:val="0"/>
        <w:spacing w:before="115"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76763BF4">
      <w:pPr>
        <w:pageBreakBefore w:val="0"/>
        <w:kinsoku/>
        <w:wordWrap/>
        <w:overflowPunct/>
        <w:bidi w:val="0"/>
        <w:spacing w:before="115" w:line="360"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62" w:name="bookmark122"/>
      <w:bookmarkEnd w:id="62"/>
      <w:r>
        <w:rPr>
          <w:rFonts w:hint="eastAsia" w:ascii="宋体" w:hAnsi="宋体" w:eastAsia="宋体" w:cs="宋体"/>
          <w:color w:val="auto"/>
          <w:spacing w:val="-1"/>
          <w:sz w:val="24"/>
          <w:szCs w:val="24"/>
          <w:highlight w:val="none"/>
        </w:rPr>
        <w:t>重新提交投标文件继续开标程序。</w:t>
      </w:r>
    </w:p>
    <w:p w14:paraId="400C2A13">
      <w:pPr>
        <w:pageBreakBefore w:val="0"/>
        <w:kinsoku/>
        <w:wordWrap/>
        <w:overflowPunct/>
        <w:bidi w:val="0"/>
        <w:spacing w:before="114"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5C5AD13B">
      <w:pPr>
        <w:pageBreakBefore w:val="0"/>
        <w:kinsoku/>
        <w:wordWrap/>
        <w:overflowPunct/>
        <w:bidi w:val="0"/>
        <w:spacing w:before="114" w:line="360"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露与评标有关的任何信息与情况。</w:t>
      </w:r>
    </w:p>
    <w:p w14:paraId="13DA5277">
      <w:pPr>
        <w:pageBreakBefore w:val="0"/>
        <w:kinsoku/>
        <w:wordWrap/>
        <w:overflowPunct/>
        <w:bidi w:val="0"/>
        <w:spacing w:before="69" w:line="360"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392F6788">
      <w:pPr>
        <w:pageBreakBefore w:val="0"/>
        <w:kinsoku/>
        <w:wordWrap/>
        <w:overflowPunct/>
        <w:bidi w:val="0"/>
        <w:spacing w:before="78" w:line="360" w:lineRule="auto"/>
        <w:ind w:left="496"/>
        <w:outlineLvl w:val="2"/>
        <w:rPr>
          <w:rFonts w:hint="eastAsia" w:ascii="宋体" w:hAnsi="宋体" w:eastAsia="宋体" w:cs="宋体"/>
          <w:color w:val="auto"/>
          <w:sz w:val="24"/>
          <w:szCs w:val="24"/>
          <w:highlight w:val="none"/>
        </w:rPr>
      </w:pPr>
      <w:bookmarkStart w:id="63" w:name="_Toc30180"/>
      <w:bookmarkStart w:id="64" w:name="_Toc100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lang w:eastAsia="zh-CN"/>
        </w:rPr>
        <w:t>.</w:t>
      </w:r>
      <w:r>
        <w:rPr>
          <w:rFonts w:hint="eastAsia" w:ascii="宋体" w:hAnsi="宋体" w:eastAsia="宋体" w:cs="宋体"/>
          <w:b/>
          <w:bCs/>
          <w:color w:val="auto"/>
          <w:spacing w:val="-7"/>
          <w:sz w:val="24"/>
          <w:szCs w:val="24"/>
          <w:highlight w:val="none"/>
        </w:rPr>
        <w:t>投标文件的提交</w:t>
      </w:r>
      <w:bookmarkEnd w:id="63"/>
      <w:bookmarkEnd w:id="64"/>
    </w:p>
    <w:p w14:paraId="1C80FDFD">
      <w:pPr>
        <w:keepNext w:val="0"/>
        <w:keepLines w:val="0"/>
        <w:pageBreakBefore w:val="0"/>
        <w:widowControl w:val="0"/>
        <w:kinsoku/>
        <w:wordWrap/>
        <w:overflowPunct/>
        <w:topLinePunct w:val="0"/>
        <w:autoSpaceDE w:val="0"/>
        <w:autoSpaceDN w:val="0"/>
        <w:bidi w:val="0"/>
        <w:adjustRightInd w:val="0"/>
        <w:snapToGrid w:val="0"/>
        <w:spacing w:before="123" w:line="360" w:lineRule="auto"/>
        <w:ind w:left="13" w:right="81" w:firstLine="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东省·韶关市）将予以拒收。</w:t>
      </w:r>
    </w:p>
    <w:p w14:paraId="3E632623">
      <w:pPr>
        <w:keepNext w:val="0"/>
        <w:keepLines w:val="0"/>
        <w:pageBreakBefore w:val="0"/>
        <w:widowControl w:val="0"/>
        <w:kinsoku/>
        <w:wordWrap/>
        <w:overflowPunct/>
        <w:topLinePunct w:val="0"/>
        <w:autoSpaceDE w:val="0"/>
        <w:autoSpaceDN w:val="0"/>
        <w:bidi w:val="0"/>
        <w:adjustRightInd w:val="0"/>
        <w:snapToGrid w:val="0"/>
        <w:spacing w:before="115"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26334082">
      <w:pPr>
        <w:keepNext w:val="0"/>
        <w:keepLines w:val="0"/>
        <w:pageBreakBefore w:val="0"/>
        <w:widowControl w:val="0"/>
        <w:kinsoku/>
        <w:wordWrap/>
        <w:overflowPunct/>
        <w:topLinePunct w:val="0"/>
        <w:autoSpaceDE w:val="0"/>
        <w:autoSpaceDN w:val="0"/>
        <w:bidi w:val="0"/>
        <w:adjustRightInd w:val="0"/>
        <w:snapToGrid w:val="0"/>
        <w:spacing w:before="113" w:line="360" w:lineRule="auto"/>
        <w:ind w:left="9" w:right="24" w:firstLine="48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2BD6F997">
      <w:pPr>
        <w:keepNext w:val="0"/>
        <w:keepLines w:val="0"/>
        <w:pageBreakBefore w:val="0"/>
        <w:widowControl w:val="0"/>
        <w:kinsoku/>
        <w:wordWrap/>
        <w:overflowPunct/>
        <w:topLinePunct w:val="0"/>
        <w:autoSpaceDE w:val="0"/>
        <w:autoSpaceDN w:val="0"/>
        <w:bidi w:val="0"/>
        <w:adjustRightInd w:val="0"/>
        <w:snapToGrid w:val="0"/>
        <w:spacing w:before="112" w:line="360" w:lineRule="auto"/>
        <w:ind w:firstLine="47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68873B8F">
      <w:pPr>
        <w:keepNext w:val="0"/>
        <w:keepLines w:val="0"/>
        <w:pageBreakBefore w:val="0"/>
        <w:widowControl w:val="0"/>
        <w:kinsoku/>
        <w:wordWrap/>
        <w:overflowPunct/>
        <w:topLinePunct w:val="0"/>
        <w:autoSpaceDE w:val="0"/>
        <w:autoSpaceDN w:val="0"/>
        <w:bidi w:val="0"/>
        <w:adjustRightInd w:val="0"/>
        <w:snapToGrid w:val="0"/>
        <w:spacing w:before="116"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00777998">
      <w:pPr>
        <w:keepNext w:val="0"/>
        <w:keepLines w:val="0"/>
        <w:pageBreakBefore w:val="0"/>
        <w:widowControl w:val="0"/>
        <w:kinsoku/>
        <w:wordWrap/>
        <w:overflowPunct/>
        <w:topLinePunct w:val="0"/>
        <w:autoSpaceDE w:val="0"/>
        <w:autoSpaceDN w:val="0"/>
        <w:bidi w:val="0"/>
        <w:adjustRightInd w:val="0"/>
        <w:snapToGrid w:val="0"/>
        <w:spacing w:before="115" w:line="360" w:lineRule="auto"/>
        <w:ind w:left="74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1E2C7ED">
      <w:pPr>
        <w:keepNext w:val="0"/>
        <w:keepLines w:val="0"/>
        <w:pageBreakBefore w:val="0"/>
        <w:widowControl w:val="0"/>
        <w:kinsoku/>
        <w:wordWrap/>
        <w:overflowPunct/>
        <w:topLinePunct w:val="0"/>
        <w:autoSpaceDE w:val="0"/>
        <w:autoSpaceDN w:val="0"/>
        <w:bidi w:val="0"/>
        <w:adjustRightInd w:val="0"/>
        <w:snapToGrid w:val="0"/>
        <w:spacing w:before="114" w:line="360" w:lineRule="auto"/>
        <w:ind w:left="74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0092CD89">
      <w:pPr>
        <w:keepNext w:val="0"/>
        <w:keepLines w:val="0"/>
        <w:pageBreakBefore w:val="0"/>
        <w:widowControl w:val="0"/>
        <w:kinsoku/>
        <w:wordWrap/>
        <w:overflowPunct/>
        <w:topLinePunct w:val="0"/>
        <w:autoSpaceDE w:val="0"/>
        <w:autoSpaceDN w:val="0"/>
        <w:bidi w:val="0"/>
        <w:adjustRightInd w:val="0"/>
        <w:snapToGrid w:val="0"/>
        <w:spacing w:before="115" w:line="360" w:lineRule="auto"/>
        <w:ind w:left="74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41D97A6E">
      <w:pPr>
        <w:keepNext w:val="0"/>
        <w:keepLines w:val="0"/>
        <w:pageBreakBefore w:val="0"/>
        <w:widowControl w:val="0"/>
        <w:kinsoku/>
        <w:wordWrap/>
        <w:overflowPunct/>
        <w:topLinePunct w:val="0"/>
        <w:autoSpaceDE w:val="0"/>
        <w:autoSpaceDN w:val="0"/>
        <w:bidi w:val="0"/>
        <w:adjustRightInd w:val="0"/>
        <w:snapToGrid w:val="0"/>
        <w:spacing w:before="115"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12BB32A9">
      <w:pPr>
        <w:keepNext w:val="0"/>
        <w:keepLines w:val="0"/>
        <w:pageBreakBefore w:val="0"/>
        <w:widowControl w:val="0"/>
        <w:kinsoku/>
        <w:wordWrap/>
        <w:overflowPunct/>
        <w:topLinePunct w:val="0"/>
        <w:autoSpaceDE w:val="0"/>
        <w:autoSpaceDN w:val="0"/>
        <w:bidi w:val="0"/>
        <w:adjustRightInd w:val="0"/>
        <w:snapToGrid w:val="0"/>
        <w:spacing w:before="113" w:line="360" w:lineRule="auto"/>
        <w:ind w:left="9" w:right="24" w:firstLine="486"/>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71293AB0">
      <w:pPr>
        <w:keepNext w:val="0"/>
        <w:keepLines w:val="0"/>
        <w:pageBreakBefore w:val="0"/>
        <w:widowControl w:val="0"/>
        <w:kinsoku/>
        <w:wordWrap/>
        <w:overflowPunct/>
        <w:topLinePunct w:val="0"/>
        <w:autoSpaceDE w:val="0"/>
        <w:autoSpaceDN w:val="0"/>
        <w:bidi w:val="0"/>
        <w:adjustRightInd w:val="0"/>
        <w:snapToGrid w:val="0"/>
        <w:spacing w:before="113" w:line="360" w:lineRule="auto"/>
        <w:ind w:left="9" w:right="24" w:firstLine="48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05BD3EFA">
      <w:pPr>
        <w:pageBreakBefore w:val="0"/>
        <w:kinsoku/>
        <w:wordWrap/>
        <w:overflowPunct/>
        <w:bidi w:val="0"/>
        <w:spacing w:before="145" w:line="360" w:lineRule="auto"/>
        <w:ind w:left="496"/>
        <w:outlineLvl w:val="2"/>
        <w:rPr>
          <w:rFonts w:hint="eastAsia" w:ascii="宋体" w:hAnsi="宋体" w:eastAsia="宋体" w:cs="宋体"/>
          <w:color w:val="auto"/>
          <w:sz w:val="24"/>
          <w:szCs w:val="24"/>
          <w:highlight w:val="none"/>
        </w:rPr>
      </w:pPr>
      <w:bookmarkStart w:id="65" w:name="_Toc15544"/>
      <w:bookmarkStart w:id="66" w:name="_Toc7252"/>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lang w:eastAsia="zh-CN"/>
        </w:rPr>
        <w:t>.</w:t>
      </w:r>
      <w:r>
        <w:rPr>
          <w:rFonts w:hint="eastAsia" w:ascii="宋体" w:hAnsi="宋体" w:eastAsia="宋体" w:cs="宋体"/>
          <w:b/>
          <w:bCs/>
          <w:color w:val="auto"/>
          <w:spacing w:val="-11"/>
          <w:sz w:val="24"/>
          <w:szCs w:val="24"/>
          <w:highlight w:val="none"/>
        </w:rPr>
        <w:t>开标</w:t>
      </w:r>
      <w:bookmarkEnd w:id="65"/>
      <w:bookmarkEnd w:id="66"/>
    </w:p>
    <w:p w14:paraId="49780A9B">
      <w:pPr>
        <w:keepNext w:val="0"/>
        <w:keepLines w:val="0"/>
        <w:pageBreakBefore w:val="0"/>
        <w:widowControl w:val="0"/>
        <w:kinsoku/>
        <w:wordWrap/>
        <w:overflowPunct/>
        <w:topLinePunct w:val="0"/>
        <w:autoSpaceDE w:val="0"/>
        <w:autoSpaceDN w:val="0"/>
        <w:bidi w:val="0"/>
        <w:adjustRightInd w:val="0"/>
        <w:snapToGrid w:val="0"/>
        <w:spacing w:before="155" w:line="360" w:lineRule="auto"/>
        <w:ind w:left="10" w:right="81" w:firstLine="485"/>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7" w:name="bookmark123"/>
      <w:bookmarkEnd w:id="67"/>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B04BEF9">
      <w:pPr>
        <w:keepNext w:val="0"/>
        <w:keepLines w:val="0"/>
        <w:pageBreakBefore w:val="0"/>
        <w:widowControl w:val="0"/>
        <w:kinsoku/>
        <w:wordWrap/>
        <w:overflowPunct/>
        <w:topLinePunct w:val="0"/>
        <w:autoSpaceDE w:val="0"/>
        <w:autoSpaceDN w:val="0"/>
        <w:bidi w:val="0"/>
        <w:adjustRightInd w:val="0"/>
        <w:snapToGrid w:val="0"/>
        <w:spacing w:before="156"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45F6F777">
      <w:pPr>
        <w:keepNext w:val="0"/>
        <w:keepLines w:val="0"/>
        <w:pageBreakBefore w:val="0"/>
        <w:widowControl w:val="0"/>
        <w:kinsoku/>
        <w:wordWrap/>
        <w:overflowPunct/>
        <w:topLinePunct w:val="0"/>
        <w:autoSpaceDE w:val="0"/>
        <w:autoSpaceDN w:val="0"/>
        <w:bidi w:val="0"/>
        <w:adjustRightInd w:val="0"/>
        <w:snapToGrid w:val="0"/>
        <w:spacing w:before="153" w:line="36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ggzy-portal/#/440200/index）查询是否发布了取</w:t>
      </w:r>
      <w:r>
        <w:rPr>
          <w:rFonts w:hint="eastAsia" w:ascii="宋体" w:hAnsi="宋体" w:eastAsia="宋体" w:cs="宋体"/>
          <w:color w:val="auto"/>
          <w:spacing w:val="-1"/>
          <w:sz w:val="24"/>
          <w:szCs w:val="24"/>
          <w:highlight w:val="none"/>
        </w:rPr>
        <w:t>消开标活动的相关信息。</w:t>
      </w:r>
    </w:p>
    <w:p w14:paraId="3FC91C7D">
      <w:pPr>
        <w:keepNext w:val="0"/>
        <w:keepLines w:val="0"/>
        <w:pageBreakBefore w:val="0"/>
        <w:widowControl w:val="0"/>
        <w:kinsoku/>
        <w:wordWrap/>
        <w:overflowPunct/>
        <w:topLinePunct w:val="0"/>
        <w:autoSpaceDE w:val="0"/>
        <w:autoSpaceDN w:val="0"/>
        <w:bidi w:val="0"/>
        <w:adjustRightInd w:val="0"/>
        <w:snapToGrid w:val="0"/>
        <w:spacing w:before="159" w:line="360" w:lineRule="auto"/>
        <w:ind w:left="10" w:right="80" w:firstLine="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形导致投标无效的，由投标人自行负责。</w:t>
      </w:r>
    </w:p>
    <w:p w14:paraId="0F9F51F4">
      <w:pPr>
        <w:keepNext w:val="0"/>
        <w:keepLines w:val="0"/>
        <w:pageBreakBefore w:val="0"/>
        <w:widowControl w:val="0"/>
        <w:kinsoku/>
        <w:wordWrap/>
        <w:overflowPunct/>
        <w:topLinePunct w:val="0"/>
        <w:autoSpaceDE w:val="0"/>
        <w:autoSpaceDN w:val="0"/>
        <w:bidi w:val="0"/>
        <w:adjustRightInd w:val="0"/>
        <w:snapToGrid w:val="0"/>
        <w:spacing w:before="152"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2024012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bookmarkStart w:id="68" w:name="_Toc7725"/>
      <w:bookmarkStart w:id="69" w:name="_Toc15587"/>
      <w:bookmarkStart w:id="70" w:name="_Toc10685"/>
      <w:bookmarkStart w:id="71" w:name="_Toc10291"/>
      <w:r>
        <w:rPr>
          <w:rFonts w:hint="eastAsia" w:ascii="宋体" w:hAnsi="宋体" w:eastAsia="宋体" w:cs="宋体"/>
          <w:color w:val="auto"/>
          <w:sz w:val="24"/>
          <w:szCs w:val="24"/>
          <w:highlight w:val="none"/>
        </w:rPr>
        <w:t>（1）主持人（招标人代表或招标人授权的招标代理机构人员）宣读开标纪律。</w:t>
      </w:r>
      <w:bookmarkEnd w:id="68"/>
      <w:bookmarkEnd w:id="69"/>
      <w:bookmarkEnd w:id="70"/>
      <w:bookmarkEnd w:id="71"/>
    </w:p>
    <w:p w14:paraId="42D5FB5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bookmarkStart w:id="72" w:name="_Toc16768"/>
      <w:bookmarkStart w:id="73" w:name="_Toc20238"/>
      <w:bookmarkStart w:id="74" w:name="_Toc2011"/>
      <w:bookmarkStart w:id="75" w:name="_Toc16292"/>
      <w:r>
        <w:rPr>
          <w:rFonts w:hint="eastAsia" w:ascii="宋体" w:hAnsi="宋体" w:eastAsia="宋体" w:cs="宋体"/>
          <w:color w:val="auto"/>
          <w:sz w:val="24"/>
          <w:szCs w:val="24"/>
          <w:highlight w:val="none"/>
        </w:rPr>
        <w:t>（2）主持人宣布唱标人、记录人、见证人、监督人等有关人员姓名。</w:t>
      </w:r>
      <w:bookmarkEnd w:id="72"/>
      <w:bookmarkEnd w:id="73"/>
      <w:bookmarkEnd w:id="74"/>
      <w:bookmarkEnd w:id="75"/>
    </w:p>
    <w:p w14:paraId="26AA2E9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bookmarkStart w:id="76" w:name="_Toc17462"/>
      <w:bookmarkStart w:id="77" w:name="_Toc1974"/>
      <w:bookmarkStart w:id="78" w:name="_Toc31716"/>
      <w:bookmarkStart w:id="79" w:name="_Toc7714"/>
      <w:r>
        <w:rPr>
          <w:rFonts w:hint="eastAsia" w:ascii="宋体" w:hAnsi="宋体" w:eastAsia="宋体" w:cs="宋体"/>
          <w:color w:val="auto"/>
          <w:sz w:val="24"/>
          <w:szCs w:val="24"/>
          <w:highlight w:val="none"/>
        </w:rPr>
        <w:t>（3）唱标人公布在投标截止时间前进行投标文件的投标人数量和名称</w:t>
      </w:r>
      <w:bookmarkEnd w:id="76"/>
      <w:bookmarkEnd w:id="77"/>
      <w:bookmarkEnd w:id="78"/>
      <w:bookmarkEnd w:id="79"/>
    </w:p>
    <w:p w14:paraId="4A3BFA4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bookmarkStart w:id="80" w:name="_Toc15860"/>
      <w:bookmarkStart w:id="81" w:name="_Toc20559"/>
      <w:bookmarkStart w:id="82" w:name="_Toc27967"/>
      <w:bookmarkStart w:id="83" w:name="_Toc32728"/>
      <w:r>
        <w:rPr>
          <w:rFonts w:hint="eastAsia" w:ascii="宋体" w:hAnsi="宋体" w:eastAsia="宋体" w:cs="宋体"/>
          <w:color w:val="auto"/>
          <w:sz w:val="24"/>
          <w:szCs w:val="24"/>
          <w:highlight w:val="none"/>
        </w:rPr>
        <w:t>（4）招标代理机构会同交易场所工作人员对投标人的电子投标信息进行解密，</w:t>
      </w:r>
      <w:bookmarkEnd w:id="80"/>
      <w:bookmarkEnd w:id="81"/>
      <w:bookmarkEnd w:id="82"/>
      <w:bookmarkEnd w:id="83"/>
    </w:p>
    <w:p w14:paraId="61CFADF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建设工程交易系统自动生成《投标保证缴纳情况表》和《开标一览表》。</w:t>
      </w:r>
    </w:p>
    <w:p w14:paraId="34D54FFD">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bookmarkStart w:id="84" w:name="_Toc2199"/>
      <w:bookmarkStart w:id="85" w:name="_Toc28812"/>
      <w:bookmarkStart w:id="86" w:name="_Toc28266"/>
      <w:bookmarkStart w:id="87" w:name="_Toc20884"/>
      <w:r>
        <w:rPr>
          <w:rFonts w:hint="eastAsia" w:ascii="宋体" w:hAnsi="宋体" w:eastAsia="宋体" w:cs="宋体"/>
          <w:b/>
          <w:bCs/>
          <w:color w:val="auto"/>
          <w:sz w:val="24"/>
          <w:szCs w:val="24"/>
          <w:highlight w:val="none"/>
        </w:rPr>
        <w:t>温馨提示：因本项目实行全流程电子化招标投标，投标人无须进行现场签到，可</w:t>
      </w:r>
      <w:bookmarkEnd w:id="84"/>
      <w:bookmarkEnd w:id="85"/>
      <w:bookmarkEnd w:id="86"/>
      <w:r>
        <w:rPr>
          <w:rFonts w:hint="eastAsia" w:ascii="宋体" w:hAnsi="宋体" w:eastAsia="宋体" w:cs="宋体"/>
          <w:b/>
          <w:bCs/>
          <w:color w:val="auto"/>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z w:val="24"/>
          <w:szCs w:val="24"/>
          <w:highlight w:val="none"/>
          <w:lang w:eastAsia="zh-CN"/>
        </w:rPr>
        <w:t>人不</w:t>
      </w:r>
      <w:r>
        <w:rPr>
          <w:rFonts w:hint="eastAsia" w:ascii="宋体" w:hAnsi="宋体" w:eastAsia="宋体" w:cs="宋体"/>
          <w:b/>
          <w:bCs/>
          <w:color w:val="auto"/>
          <w:sz w:val="24"/>
          <w:szCs w:val="24"/>
          <w:highlight w:val="none"/>
        </w:rPr>
        <w:t>予受理。具体按招标文件和系统操作手册为准。</w:t>
      </w:r>
      <w:bookmarkEnd w:id="87"/>
    </w:p>
    <w:p w14:paraId="71121C40">
      <w:pPr>
        <w:pageBreakBefore w:val="0"/>
        <w:kinsoku/>
        <w:wordWrap/>
        <w:overflowPunct/>
        <w:bidi w:val="0"/>
        <w:spacing w:before="143" w:line="360"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429DB52E">
      <w:pPr>
        <w:pageBreakBefore w:val="0"/>
        <w:kinsoku/>
        <w:wordWrap/>
        <w:overflowPunct/>
        <w:bidi w:val="0"/>
        <w:spacing w:before="155" w:line="360"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14.4</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332FDB46">
      <w:pPr>
        <w:pageBreakBefore w:val="0"/>
        <w:kinsoku/>
        <w:wordWrap/>
        <w:overflowPunct/>
        <w:bidi w:val="0"/>
        <w:spacing w:before="78" w:line="360" w:lineRule="auto"/>
        <w:ind w:left="496"/>
        <w:outlineLvl w:val="2"/>
        <w:rPr>
          <w:rFonts w:hint="eastAsia" w:ascii="宋体" w:hAnsi="宋体" w:eastAsia="宋体" w:cs="宋体"/>
          <w:color w:val="auto"/>
          <w:highlight w:val="none"/>
        </w:rPr>
      </w:pPr>
      <w:bookmarkStart w:id="88" w:name="_Toc31540"/>
      <w:bookmarkStart w:id="89" w:name="_Toc23568"/>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11"/>
          <w:sz w:val="24"/>
          <w:szCs w:val="24"/>
          <w:highlight w:val="none"/>
          <w:lang w:val="en-US" w:eastAsia="zh-CN"/>
        </w:rPr>
        <w:t>.</w:t>
      </w:r>
      <w:r>
        <w:rPr>
          <w:rFonts w:hint="eastAsia" w:ascii="宋体" w:hAnsi="宋体" w:eastAsia="宋体" w:cs="宋体"/>
          <w:b/>
          <w:bCs/>
          <w:color w:val="auto"/>
          <w:spacing w:val="-11"/>
          <w:sz w:val="24"/>
          <w:szCs w:val="24"/>
          <w:highlight w:val="none"/>
        </w:rPr>
        <w:t>评标</w:t>
      </w:r>
      <w:bookmarkEnd w:id="88"/>
      <w:bookmarkEnd w:id="89"/>
    </w:p>
    <w:p w14:paraId="09BD37D5">
      <w:pPr>
        <w:pageBreakBefore w:val="0"/>
        <w:kinsoku/>
        <w:wordWrap/>
        <w:overflowPunct/>
        <w:bidi w:val="0"/>
        <w:spacing w:before="78" w:line="360" w:lineRule="auto"/>
        <w:ind w:left="8" w:right="65" w:firstLine="480"/>
        <w:rPr>
          <w:rFonts w:hint="eastAsia" w:ascii="宋体" w:hAnsi="宋体" w:eastAsia="宋体" w:cs="宋体"/>
          <w:color w:val="auto"/>
          <w:sz w:val="24"/>
          <w:szCs w:val="24"/>
          <w:highlight w:val="none"/>
        </w:rPr>
      </w:pPr>
      <w:bookmarkStart w:id="90" w:name="bookmark124"/>
      <w:bookmarkEnd w:id="90"/>
      <w:r>
        <w:rPr>
          <w:rFonts w:hint="eastAsia" w:ascii="宋体" w:hAnsi="宋体" w:eastAsia="宋体" w:cs="宋体"/>
          <w:color w:val="auto"/>
          <w:spacing w:val="-1"/>
          <w:sz w:val="24"/>
          <w:szCs w:val="24"/>
          <w:highlight w:val="none"/>
        </w:rPr>
        <w:t>评标分为初步评审和详细评审两个阶段，由评标委员会</w:t>
      </w:r>
      <w:r>
        <w:rPr>
          <w:rFonts w:hint="eastAsia" w:ascii="宋体" w:hAnsi="宋体" w:eastAsia="宋体" w:cs="宋体"/>
          <w:color w:val="auto"/>
          <w:spacing w:val="-2"/>
          <w:sz w:val="24"/>
          <w:szCs w:val="24"/>
          <w:highlight w:val="none"/>
        </w:rPr>
        <w:t>在有关部门的监督下，严</w:t>
      </w:r>
      <w:r>
        <w:rPr>
          <w:rFonts w:hint="eastAsia" w:ascii="宋体" w:hAnsi="宋体" w:eastAsia="宋体" w:cs="宋体"/>
          <w:color w:val="auto"/>
          <w:spacing w:val="-1"/>
          <w:sz w:val="24"/>
          <w:szCs w:val="24"/>
          <w:highlight w:val="none"/>
        </w:rPr>
        <w:t>格按照本招标文件指定的评标方法，对投标人的投标文件进行审</w:t>
      </w:r>
      <w:r>
        <w:rPr>
          <w:rFonts w:hint="eastAsia" w:ascii="宋体" w:hAnsi="宋体" w:eastAsia="宋体" w:cs="宋体"/>
          <w:color w:val="auto"/>
          <w:spacing w:val="-2"/>
          <w:sz w:val="24"/>
          <w:szCs w:val="24"/>
          <w:highlight w:val="none"/>
        </w:rPr>
        <w:t>查、评审。评标委员</w:t>
      </w:r>
      <w:r>
        <w:rPr>
          <w:rFonts w:hint="eastAsia" w:ascii="宋体" w:hAnsi="宋体" w:eastAsia="宋体" w:cs="宋体"/>
          <w:color w:val="auto"/>
          <w:spacing w:val="2"/>
          <w:sz w:val="24"/>
          <w:szCs w:val="24"/>
          <w:highlight w:val="none"/>
        </w:rPr>
        <w:t>会完成评标后，向招标人推荐</w:t>
      </w:r>
      <w:r>
        <w:rPr>
          <w:rFonts w:hint="eastAsia" w:ascii="宋体" w:hAnsi="宋体" w:eastAsia="宋体" w:cs="宋体"/>
          <w:color w:val="auto"/>
          <w:spacing w:val="2"/>
          <w:sz w:val="24"/>
          <w:szCs w:val="24"/>
          <w:highlight w:val="none"/>
          <w:u w:val="single"/>
        </w:rPr>
        <w:t xml:space="preserve"> 3 </w:t>
      </w:r>
      <w:r>
        <w:rPr>
          <w:rFonts w:hint="eastAsia" w:ascii="宋体" w:hAnsi="宋体" w:eastAsia="宋体" w:cs="宋体"/>
          <w:color w:val="auto"/>
          <w:spacing w:val="2"/>
          <w:sz w:val="24"/>
          <w:szCs w:val="24"/>
          <w:highlight w:val="none"/>
        </w:rPr>
        <w:t>个中标候选人，并向招标人提交由全</w:t>
      </w:r>
      <w:r>
        <w:rPr>
          <w:rFonts w:hint="eastAsia" w:ascii="宋体" w:hAnsi="宋体" w:eastAsia="宋体" w:cs="宋体"/>
          <w:color w:val="auto"/>
          <w:spacing w:val="1"/>
          <w:sz w:val="24"/>
          <w:szCs w:val="24"/>
          <w:highlight w:val="none"/>
        </w:rPr>
        <w:t>体评标委员会</w:t>
      </w:r>
      <w:r>
        <w:rPr>
          <w:rFonts w:hint="eastAsia" w:ascii="宋体" w:hAnsi="宋体" w:eastAsia="宋体" w:cs="宋体"/>
          <w:color w:val="auto"/>
          <w:spacing w:val="-1"/>
          <w:sz w:val="24"/>
          <w:szCs w:val="24"/>
          <w:highlight w:val="none"/>
        </w:rPr>
        <w:t>成员签字的评标报告。</w:t>
      </w:r>
    </w:p>
    <w:p w14:paraId="51680ABE">
      <w:pPr>
        <w:pageBreakBefore w:val="0"/>
        <w:kinsoku/>
        <w:wordWrap/>
        <w:overflowPunct/>
        <w:bidi w:val="0"/>
        <w:spacing w:before="38"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5F51F9F7">
      <w:pPr>
        <w:pageBreakBefore w:val="0"/>
        <w:kinsoku/>
        <w:wordWrap/>
        <w:overflowPunct/>
        <w:bidi w:val="0"/>
        <w:spacing w:before="155" w:line="360" w:lineRule="auto"/>
        <w:ind w:left="10" w:right="65"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0</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lang w:eastAsia="zh-CN"/>
        </w:rPr>
        <w:t>广东省综合评标评审专家库（韶关区域）</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标委员会的其他成员有同等的表决权。</w:t>
      </w:r>
    </w:p>
    <w:p w14:paraId="571A515E">
      <w:pPr>
        <w:pageBreakBefore w:val="0"/>
        <w:kinsoku/>
        <w:wordWrap/>
        <w:overflowPunct/>
        <w:bidi w:val="0"/>
        <w:spacing w:before="32" w:line="36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3843C5CE">
      <w:pPr>
        <w:pageBreakBefore w:val="0"/>
        <w:kinsoku/>
        <w:wordWrap/>
        <w:overflowPunct/>
        <w:bidi w:val="0"/>
        <w:spacing w:before="154" w:line="36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059A4A5C">
      <w:pPr>
        <w:pageBreakBefore w:val="0"/>
        <w:kinsoku/>
        <w:wordWrap/>
        <w:overflowPunct/>
        <w:bidi w:val="0"/>
        <w:spacing w:before="153" w:line="36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3E73D76B">
      <w:pPr>
        <w:pageBreakBefore w:val="0"/>
        <w:kinsoku/>
        <w:wordWrap/>
        <w:overflowPunct/>
        <w:bidi w:val="0"/>
        <w:spacing w:before="155" w:line="36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1AD07FB9">
      <w:pPr>
        <w:pageBreakBefore w:val="0"/>
        <w:kinsoku/>
        <w:wordWrap/>
        <w:overflowPunct/>
        <w:bidi w:val="0"/>
        <w:spacing w:before="153" w:line="360"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64310F5B">
      <w:pPr>
        <w:pageBreakBefore w:val="0"/>
        <w:kinsoku/>
        <w:wordWrap/>
        <w:overflowPunct/>
        <w:bidi w:val="0"/>
        <w:spacing w:before="155" w:line="360"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3598CEA3">
      <w:pPr>
        <w:pageBreakBefore w:val="0"/>
        <w:kinsoku/>
        <w:wordWrap/>
        <w:overflowPunct/>
        <w:bidi w:val="0"/>
        <w:spacing w:before="154" w:line="360"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F2818F3">
      <w:pPr>
        <w:pageBreakBefore w:val="0"/>
        <w:kinsoku/>
        <w:wordWrap/>
        <w:overflowPunct/>
        <w:bidi w:val="0"/>
        <w:spacing w:before="157" w:line="360"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5AEA3030">
      <w:pPr>
        <w:pageBreakBefore w:val="0"/>
        <w:kinsoku/>
        <w:wordWrap/>
        <w:overflowPunct/>
        <w:bidi w:val="0"/>
        <w:spacing w:before="156" w:line="360"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707E1AFC">
      <w:pPr>
        <w:pageBreakBefore w:val="0"/>
        <w:kinsoku/>
        <w:wordWrap/>
        <w:overflowPunct/>
        <w:bidi w:val="0"/>
        <w:spacing w:before="79" w:line="360"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5F03C3DF">
      <w:pPr>
        <w:pageBreakBefore w:val="0"/>
        <w:kinsoku/>
        <w:wordWrap/>
        <w:overflowPunct/>
        <w:bidi w:val="0"/>
        <w:spacing w:before="78" w:line="360" w:lineRule="auto"/>
        <w:ind w:left="231" w:right="181" w:firstLine="560"/>
        <w:rPr>
          <w:rFonts w:hint="eastAsia" w:ascii="宋体" w:hAnsi="宋体" w:eastAsia="宋体" w:cs="宋体"/>
          <w:color w:val="auto"/>
          <w:highlight w:val="none"/>
        </w:rPr>
      </w:pPr>
      <w:bookmarkStart w:id="91" w:name="bookmark125"/>
      <w:bookmarkEnd w:id="91"/>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综合评估法</w:t>
      </w:r>
      <w:r>
        <w:rPr>
          <w:rFonts w:hint="eastAsia" w:ascii="宋体" w:hAnsi="宋体" w:eastAsia="宋体" w:cs="宋体"/>
          <w:color w:val="auto"/>
          <w:spacing w:val="-1"/>
          <w:sz w:val="24"/>
          <w:szCs w:val="24"/>
          <w:highlight w:val="none"/>
        </w:rPr>
        <w:t>进行评标。</w:t>
      </w:r>
    </w:p>
    <w:p w14:paraId="307CD212">
      <w:pPr>
        <w:pageBreakBefore w:val="0"/>
        <w:kinsoku/>
        <w:wordWrap/>
        <w:overflowPunct/>
        <w:bidi w:val="0"/>
        <w:spacing w:before="154" w:line="360"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37A0E03F">
      <w:pPr>
        <w:pageBreakBefore w:val="0"/>
        <w:kinsoku/>
        <w:wordWrap/>
        <w:overflowPunct/>
        <w:bidi w:val="0"/>
        <w:spacing w:before="153" w:line="36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081480D6">
      <w:pPr>
        <w:pageBreakBefore w:val="0"/>
        <w:kinsoku/>
        <w:wordWrap/>
        <w:overflowPunct/>
        <w:bidi w:val="0"/>
        <w:spacing w:before="153" w:line="36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3D9CFCBF">
      <w:pPr>
        <w:keepNext w:val="0"/>
        <w:keepLines w:val="0"/>
        <w:pageBreakBefore w:val="0"/>
        <w:widowControl w:val="0"/>
        <w:kinsoku/>
        <w:wordWrap/>
        <w:overflowPunct/>
        <w:topLinePunct w:val="0"/>
        <w:bidi w:val="0"/>
        <w:adjustRightInd w:val="0"/>
        <w:snapToGrid w:val="0"/>
        <w:spacing w:before="155" w:line="360" w:lineRule="auto"/>
        <w:ind w:left="719" w:right="6303" w:hanging="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3"/>
          <w:sz w:val="24"/>
          <w:szCs w:val="24"/>
          <w:highlight w:val="none"/>
        </w:rPr>
        <w:t>资格评审</w:t>
      </w:r>
      <w:r>
        <w:rPr>
          <w:rFonts w:hint="eastAsia" w:ascii="宋体" w:hAnsi="宋体" w:eastAsia="宋体" w:cs="宋体"/>
          <w:color w:val="auto"/>
          <w:spacing w:val="-3"/>
          <w:sz w:val="24"/>
          <w:szCs w:val="24"/>
          <w:highlight w:val="none"/>
          <w:lang w:eastAsia="zh-CN"/>
        </w:rPr>
        <w:t>环</w:t>
      </w:r>
      <w:r>
        <w:rPr>
          <w:rFonts w:hint="eastAsia" w:ascii="宋体" w:hAnsi="宋体" w:eastAsia="宋体" w:cs="宋体"/>
          <w:color w:val="auto"/>
          <w:spacing w:val="-3"/>
          <w:sz w:val="24"/>
          <w:szCs w:val="24"/>
          <w:highlight w:val="none"/>
        </w:rPr>
        <w:t>节资格评审事项包括</w:t>
      </w:r>
      <w:r>
        <w:rPr>
          <w:rFonts w:hint="eastAsia" w:ascii="宋体" w:hAnsi="宋体" w:eastAsia="宋体" w:cs="宋体"/>
          <w:color w:val="auto"/>
          <w:spacing w:val="-3"/>
          <w:sz w:val="24"/>
          <w:szCs w:val="24"/>
          <w:highlight w:val="none"/>
          <w:lang w:val="en-US" w:eastAsia="zh-CN"/>
        </w:rPr>
        <w:t>:</w:t>
      </w:r>
    </w:p>
    <w:p w14:paraId="713B8C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（1）投标人是否符合本章第三节第 2.4 条“禁止投标条款 ”规定。</w:t>
      </w:r>
    </w:p>
    <w:p w14:paraId="354177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（2）投标人名称是否与营业执照、资质证书、安全生产许可证一致。</w:t>
      </w:r>
    </w:p>
    <w:p w14:paraId="27BC09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（3）投标人的资质是否符合招标文件规定；其营业执照、资质证书、安全生产许可证</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b/>
          <w:bCs/>
          <w:snapToGrid w:val="0"/>
          <w:color w:val="auto"/>
          <w:kern w:val="0"/>
          <w:sz w:val="24"/>
          <w:szCs w:val="24"/>
          <w:highlight w:val="none"/>
          <w:lang w:val="en-US" w:eastAsia="zh-CN"/>
        </w:rPr>
        <w:t>含实时网页查询页，可参考网址https://zlaq.mohurd.gov.cn/fwmh/bjxcjgl/fwh/pages/construction_safety/qyaqscxkz/qyaqscxkz</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是否合法、有效、准确。</w:t>
      </w:r>
    </w:p>
    <w:p w14:paraId="6323BE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（4）《项目经理简历表》中拟派项目经理是否与《开标一览表》一致。</w:t>
      </w:r>
    </w:p>
    <w:p w14:paraId="0A6C8D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val="en-US" w:eastAsia="zh-CN"/>
        </w:rPr>
        <w:t>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5E2232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Style w:val="49"/>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）投标人为外省建筑企业的，是否按规定在“进粤企业和人员诚信信息登记平台”录入企业及其拟派人员有关信息并通过数据规范检查。</w:t>
      </w:r>
    </w:p>
    <w:p w14:paraId="1902FFE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snapToGrid w:val="0"/>
          <w:color w:val="auto"/>
          <w:kern w:val="0"/>
          <w:sz w:val="24"/>
          <w:szCs w:val="24"/>
          <w:highlight w:val="none"/>
        </w:rPr>
      </w:pPr>
      <w:bookmarkStart w:id="92" w:name="_Toc15213"/>
      <w:r>
        <w:rPr>
          <w:rFonts w:hint="eastAsia" w:ascii="宋体" w:hAnsi="宋体" w:eastAsia="宋体" w:cs="宋体"/>
          <w:b/>
          <w:bCs/>
          <w:snapToGrid w:val="0"/>
          <w:color w:val="auto"/>
          <w:kern w:val="0"/>
          <w:sz w:val="24"/>
          <w:szCs w:val="24"/>
          <w:highlight w:val="none"/>
        </w:rPr>
        <w:t xml:space="preserve">15.4.2  </w:t>
      </w:r>
      <w:r>
        <w:rPr>
          <w:rFonts w:hint="eastAsia" w:ascii="宋体" w:hAnsi="宋体" w:eastAsia="宋体" w:cs="宋体"/>
          <w:snapToGrid w:val="0"/>
          <w:color w:val="auto"/>
          <w:kern w:val="0"/>
          <w:sz w:val="24"/>
          <w:szCs w:val="24"/>
          <w:highlight w:val="none"/>
        </w:rPr>
        <w:t>形式评审环节</w:t>
      </w:r>
    </w:p>
    <w:p w14:paraId="53B5F0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形式评审事</w:t>
      </w:r>
      <w:r>
        <w:rPr>
          <w:rFonts w:hint="eastAsia" w:ascii="宋体" w:hAnsi="宋体" w:eastAsia="宋体" w:cs="宋体"/>
          <w:snapToGrid w:val="0"/>
          <w:color w:val="auto"/>
          <w:kern w:val="0"/>
          <w:sz w:val="24"/>
          <w:szCs w:val="24"/>
          <w:highlight w:val="none"/>
          <w:lang w:eastAsia="zh-CN"/>
        </w:rPr>
        <w:t>项包括</w:t>
      </w:r>
      <w:bookmarkEnd w:id="92"/>
      <w:bookmarkStart w:id="93" w:name="_Toc19814"/>
      <w:bookmarkStart w:id="94" w:name="_Toc18204"/>
      <w:bookmarkStart w:id="95" w:name="_Toc32114"/>
      <w:r>
        <w:rPr>
          <w:rFonts w:hint="eastAsia" w:ascii="宋体" w:hAnsi="宋体" w:eastAsia="宋体" w:cs="宋体"/>
          <w:snapToGrid w:val="0"/>
          <w:color w:val="auto"/>
          <w:kern w:val="0"/>
          <w:sz w:val="24"/>
          <w:szCs w:val="24"/>
          <w:highlight w:val="none"/>
          <w:lang w:eastAsia="zh-CN"/>
        </w:rPr>
        <w:t>：</w:t>
      </w:r>
    </w:p>
    <w:p w14:paraId="0A446BAB">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bookmarkStart w:id="96" w:name="_Toc23632"/>
      <w:bookmarkStart w:id="97" w:name="_Toc20481"/>
      <w:bookmarkStart w:id="98" w:name="_Toc13304"/>
      <w:r>
        <w:rPr>
          <w:rFonts w:hint="eastAsia" w:ascii="宋体" w:hAnsi="宋体" w:eastAsia="宋体" w:cs="宋体"/>
          <w:snapToGrid w:val="0"/>
          <w:color w:val="auto"/>
          <w:kern w:val="0"/>
          <w:sz w:val="24"/>
          <w:szCs w:val="24"/>
          <w:highlight w:val="none"/>
          <w:lang w:val="en-US" w:eastAsia="en-US"/>
        </w:rPr>
        <w:t>（1）</w:t>
      </w:r>
      <w:r>
        <w:rPr>
          <w:rFonts w:hint="eastAsia" w:ascii="宋体" w:hAnsi="宋体" w:eastAsia="宋体" w:cs="宋体"/>
          <w:snapToGrid w:val="0"/>
          <w:color w:val="auto"/>
          <w:kern w:val="0"/>
          <w:sz w:val="24"/>
          <w:szCs w:val="24"/>
          <w:highlight w:val="none"/>
        </w:rPr>
        <w:t>各分册是否按招标文件规定加盖电子印章。</w:t>
      </w:r>
      <w:bookmarkEnd w:id="96"/>
      <w:bookmarkEnd w:id="97"/>
      <w:bookmarkEnd w:id="98"/>
      <w:bookmarkStart w:id="99" w:name="_Toc27432"/>
      <w:bookmarkStart w:id="100" w:name="_Toc10806"/>
      <w:bookmarkStart w:id="101" w:name="_Toc28409"/>
    </w:p>
    <w:p w14:paraId="68C4E8E4">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本节第 10.2.2  目、第 10.3.2  目、第 10.4.3  目中规定的“所有投标人均应提</w:t>
      </w:r>
      <w:bookmarkEnd w:id="99"/>
      <w:bookmarkEnd w:id="100"/>
      <w:bookmarkEnd w:id="101"/>
      <w:r>
        <w:rPr>
          <w:rFonts w:hint="eastAsia" w:ascii="宋体" w:hAnsi="宋体" w:eastAsia="宋体" w:cs="宋体"/>
          <w:snapToGrid w:val="0"/>
          <w:color w:val="auto"/>
          <w:kern w:val="0"/>
          <w:sz w:val="24"/>
          <w:szCs w:val="24"/>
          <w:highlight w:val="none"/>
        </w:rPr>
        <w:t>供 ”的组成内容（包括该组成内容的所附资料）是否完整、齐全</w:t>
      </w:r>
      <w:r>
        <w:rPr>
          <w:rFonts w:hint="eastAsia" w:ascii="宋体" w:hAnsi="宋体" w:eastAsia="宋体" w:cs="宋体"/>
          <w:snapToGrid w:val="0"/>
          <w:color w:val="auto"/>
          <w:kern w:val="0"/>
          <w:sz w:val="24"/>
          <w:szCs w:val="24"/>
          <w:highlight w:val="none"/>
          <w:lang w:eastAsia="zh-CN"/>
        </w:rPr>
        <w:t>。</w:t>
      </w:r>
      <w:bookmarkStart w:id="102" w:name="_Toc22691"/>
      <w:bookmarkStart w:id="103" w:name="_Toc17918"/>
      <w:bookmarkStart w:id="104" w:name="_Toc9581"/>
    </w:p>
    <w:bookmarkEnd w:id="102"/>
    <w:bookmarkEnd w:id="103"/>
    <w:bookmarkEnd w:id="104"/>
    <w:p w14:paraId="06446360">
      <w:pPr>
        <w:keepNext w:val="0"/>
        <w:keepLines w:val="0"/>
        <w:pageBreakBefore w:val="0"/>
        <w:kinsoku/>
        <w:wordWrap/>
        <w:overflowPunct/>
        <w:autoSpaceDE/>
        <w:autoSpaceDN/>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15.4.3  </w:t>
      </w:r>
      <w:r>
        <w:rPr>
          <w:rFonts w:hint="eastAsia" w:ascii="宋体" w:hAnsi="宋体" w:eastAsia="宋体" w:cs="宋体"/>
          <w:snapToGrid w:val="0"/>
          <w:color w:val="auto"/>
          <w:kern w:val="0"/>
          <w:sz w:val="24"/>
          <w:szCs w:val="24"/>
          <w:highlight w:val="none"/>
        </w:rPr>
        <w:t>响应性评审环节</w:t>
      </w:r>
    </w:p>
    <w:p w14:paraId="5ACF1BBA">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725402C3">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（1）投标有效期、质量标准、工期等是否响应招标文件实质性要求；是否擅自修改、遗漏《投标函》《各项承诺一览表》的实质性内容。</w:t>
      </w:r>
    </w:p>
    <w:p w14:paraId="34EA9995">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（2）编制《投标总价》的造价工程师，其注册证书是否合法、有效。</w:t>
      </w:r>
    </w:p>
    <w:p w14:paraId="6A4EB75F">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（3）投标人委托造价咨询单位编制《投标总价》的，是否在</w:t>
      </w:r>
      <w:r>
        <w:rPr>
          <w:rFonts w:hint="eastAsia" w:ascii="宋体" w:hAnsi="宋体" w:eastAsia="宋体" w:cs="宋体"/>
          <w:snapToGrid w:val="0"/>
          <w:color w:val="auto"/>
          <w:kern w:val="0"/>
          <w:sz w:val="24"/>
          <w:szCs w:val="24"/>
          <w:highlight w:val="none"/>
          <w:lang w:val="en-US" w:eastAsia="zh-CN"/>
        </w:rPr>
        <w:t>《投标总价扉页》（即扉—3）“投标人”栏目加盖造价咨询人公章；是否提供造价咨询人的营业执照副本彩色扫描件；</w:t>
      </w:r>
    </w:p>
    <w:p w14:paraId="203652E5">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（4）投标总价是否唯一；投标总价是否超出</w:t>
      </w:r>
      <w:r>
        <w:rPr>
          <w:rFonts w:hint="eastAsia" w:ascii="宋体" w:hAnsi="宋体" w:eastAsia="宋体" w:cs="宋体"/>
          <w:b/>
          <w:bCs/>
          <w:snapToGrid w:val="0"/>
          <w:color w:val="auto"/>
          <w:kern w:val="0"/>
          <w:sz w:val="24"/>
          <w:szCs w:val="24"/>
          <w:highlight w:val="none"/>
        </w:rPr>
        <w:t>招标控制价</w:t>
      </w:r>
      <w:r>
        <w:rPr>
          <w:rFonts w:hint="eastAsia" w:ascii="宋体" w:hAnsi="宋体" w:eastAsia="宋体" w:cs="宋体"/>
          <w:snapToGrid w:val="0"/>
          <w:color w:val="auto"/>
          <w:kern w:val="0"/>
          <w:sz w:val="24"/>
          <w:szCs w:val="24"/>
          <w:highlight w:val="none"/>
        </w:rPr>
        <w:t>；绿色施工安全防护措施费是否达到最低要求；暂列金额、暂估价是否按照招标工程量清单统一报价；投标人是否以低于成本的价格竞标。</w:t>
      </w:r>
    </w:p>
    <w:p w14:paraId="5276AED6">
      <w:pPr>
        <w:keepNext w:val="0"/>
        <w:keepLines w:val="0"/>
        <w:pageBreakBefore w:val="0"/>
        <w:kinsoku/>
        <w:wordWrap/>
        <w:overflowPunct/>
        <w:autoSpaceDE/>
        <w:autoSpaceDN/>
        <w:bidi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如果某投标人的投标总价下浮率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75995BAD">
      <w:pPr>
        <w:keepNext w:val="0"/>
        <w:keepLines w:val="0"/>
        <w:pageBreakBefore w:val="0"/>
        <w:kinsoku/>
        <w:wordWrap/>
        <w:overflowPunct/>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bookmarkStart w:id="105" w:name="_Toc14163"/>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施工组织设计的质量、进度保障措施是否符合国家和省市现行有关规范、规定、标准，是否能实现工程质量、进度管理目标。</w:t>
      </w:r>
      <w:bookmarkEnd w:id="105"/>
    </w:p>
    <w:p w14:paraId="76DDDEAC">
      <w:pPr>
        <w:keepNext w:val="0"/>
        <w:keepLines w:val="0"/>
        <w:pageBreakBefore w:val="0"/>
        <w:kinsoku/>
        <w:wordWrap/>
        <w:overflowPunct/>
        <w:autoSpaceDE/>
        <w:autoSpaceDN/>
        <w:bidi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bookmarkStart w:id="106" w:name="_Toc29261"/>
      <w:r>
        <w:rPr>
          <w:rFonts w:hint="eastAsia" w:ascii="宋体" w:hAnsi="宋体" w:eastAsia="宋体" w:cs="宋体"/>
          <w:b/>
          <w:bCs/>
          <w:snapToGrid w:val="0"/>
          <w:color w:val="auto"/>
          <w:kern w:val="0"/>
          <w:sz w:val="24"/>
          <w:szCs w:val="24"/>
          <w:highlight w:val="none"/>
        </w:rPr>
        <w:t xml:space="preserve">15.4.4  </w:t>
      </w:r>
      <w:r>
        <w:rPr>
          <w:rFonts w:hint="eastAsia" w:ascii="宋体" w:hAnsi="宋体" w:eastAsia="宋体" w:cs="宋体"/>
          <w:b w:val="0"/>
          <w:bCs w:val="0"/>
          <w:snapToGrid w:val="0"/>
          <w:color w:val="auto"/>
          <w:kern w:val="0"/>
          <w:sz w:val="24"/>
          <w:szCs w:val="24"/>
          <w:highlight w:val="none"/>
        </w:rPr>
        <w:t>否决投标说明</w:t>
      </w:r>
      <w:bookmarkEnd w:id="93"/>
      <w:bookmarkEnd w:id="94"/>
      <w:bookmarkEnd w:id="95"/>
      <w:bookmarkEnd w:id="106"/>
    </w:p>
    <w:p w14:paraId="23A70E99">
      <w:pPr>
        <w:keepNext w:val="0"/>
        <w:keepLines w:val="0"/>
        <w:pageBreakBefore w:val="0"/>
        <w:kinsoku/>
        <w:wordWrap/>
        <w:overflowPunct/>
        <w:autoSpaceDE/>
        <w:autoSpaceDN/>
        <w:bidi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1AC88C47">
      <w:pPr>
        <w:pStyle w:val="13"/>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温馨提示：依据2017年12月27日修改的《中华人民共和国招标投标法》“第四十二条评标委员会经评审，认为所有投标都不符合招标文件要求的，可以否决所有投标。依法必须进行招标的项目的所有投标被否决的，招标人应当依照本法重新招标。”及2018年11月29日修订的《广东省实施〈中华人民共和国招标投标法〉办法》取消“经评议有效投标的投标人少于三人”必须重新招标的限制。</w:t>
      </w:r>
    </w:p>
    <w:p w14:paraId="33BC85C8">
      <w:pPr>
        <w:pageBreakBefore w:val="0"/>
        <w:kinsoku/>
        <w:wordWrap/>
        <w:overflowPunct/>
        <w:bidi w:val="0"/>
        <w:spacing w:before="78" w:line="360" w:lineRule="auto"/>
        <w:ind w:left="5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0" distR="0" simplePos="0" relativeHeight="25165926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1" name="IM 46"/>
            <wp:cNvGraphicFramePr/>
            <a:graphic xmlns:a="http://schemas.openxmlformats.org/drawingml/2006/main">
              <a:graphicData uri="http://schemas.openxmlformats.org/drawingml/2006/picture">
                <pic:pic xmlns:pic="http://schemas.openxmlformats.org/drawingml/2006/picture">
                  <pic:nvPicPr>
                    <pic:cNvPr id="1" name="IM 46"/>
                    <pic:cNvPicPr/>
                  </pic:nvPicPr>
                  <pic:blipFill>
                    <a:blip r:embed="rId8"/>
                    <a:stretch>
                      <a:fillRect/>
                    </a:stretch>
                  </pic:blipFill>
                  <pic:spPr>
                    <a:xfrm>
                      <a:off x="0" y="0"/>
                      <a:ext cx="6350" cy="279400"/>
                    </a:xfrm>
                    <a:prstGeom prst="rect">
                      <a:avLst/>
                    </a:prstGeom>
                    <a:noFill/>
                    <a:ln>
                      <a:noFill/>
                    </a:ln>
                  </pic:spPr>
                </pic:pic>
              </a:graphicData>
            </a:graphic>
          </wp:anchor>
        </w:drawing>
      </w:r>
      <w:bookmarkStart w:id="107" w:name="bookmark128"/>
      <w:bookmarkEnd w:id="107"/>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434E402C">
      <w:pPr>
        <w:keepNext w:val="0"/>
        <w:keepLines w:val="0"/>
        <w:pageBreakBefore w:val="0"/>
        <w:kinsoku/>
        <w:wordWrap/>
        <w:overflowPunct/>
        <w:autoSpaceDE/>
        <w:autoSpaceDN/>
        <w:bidi w:val="0"/>
        <w:adjustRightInd w:val="0"/>
        <w:snapToGrid w:val="0"/>
        <w:spacing w:line="360" w:lineRule="auto"/>
        <w:ind w:firstLine="482" w:firstLineChars="200"/>
        <w:rPr>
          <w:rFonts w:hint="eastAsia" w:ascii="宋体" w:hAnsi="宋体" w:eastAsia="宋体" w:cs="宋体"/>
          <w:b w:val="0"/>
          <w:bCs w:val="0"/>
          <w:snapToGrid w:val="0"/>
          <w:color w:val="auto"/>
          <w:kern w:val="0"/>
          <w:sz w:val="24"/>
          <w:szCs w:val="24"/>
          <w:highlight w:val="none"/>
        </w:rPr>
      </w:pPr>
      <w:bookmarkStart w:id="108" w:name="_Toc28572"/>
      <w:bookmarkStart w:id="109" w:name="_Toc1868"/>
      <w:bookmarkStart w:id="110" w:name="_Toc10503"/>
      <w:bookmarkStart w:id="111" w:name="_Toc4119"/>
      <w:r>
        <w:rPr>
          <w:rFonts w:hint="eastAsia" w:ascii="宋体" w:hAnsi="宋体" w:eastAsia="宋体" w:cs="宋体"/>
          <w:b/>
          <w:bCs/>
          <w:snapToGrid w:val="0"/>
          <w:color w:val="auto"/>
          <w:kern w:val="0"/>
          <w:sz w:val="24"/>
          <w:szCs w:val="24"/>
          <w:highlight w:val="none"/>
        </w:rPr>
        <w:t xml:space="preserve">15.5.1  </w:t>
      </w:r>
      <w:r>
        <w:rPr>
          <w:rFonts w:hint="eastAsia" w:ascii="宋体" w:hAnsi="宋体" w:eastAsia="宋体" w:cs="宋体"/>
          <w:b w:val="0"/>
          <w:bCs w:val="0"/>
          <w:snapToGrid w:val="0"/>
          <w:color w:val="auto"/>
          <w:kern w:val="0"/>
          <w:sz w:val="24"/>
          <w:szCs w:val="24"/>
          <w:highlight w:val="none"/>
        </w:rPr>
        <w:t>“综合评估法 ”评审程序</w:t>
      </w:r>
      <w:bookmarkEnd w:id="108"/>
      <w:bookmarkEnd w:id="109"/>
      <w:bookmarkEnd w:id="110"/>
      <w:bookmarkEnd w:id="111"/>
    </w:p>
    <w:p w14:paraId="67130DFF">
      <w:pPr>
        <w:pageBreakBefore w:val="0"/>
        <w:kinsoku/>
        <w:wordWrap/>
        <w:overflowPunct/>
        <w:bidi w:val="0"/>
        <w:spacing w:before="152" w:line="360"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%；投标报价满分100分，权重为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。两大部分权重之和应为100%。</w:t>
      </w:r>
    </w:p>
    <w:p w14:paraId="3867D301">
      <w:pPr>
        <w:pageBreakBefore w:val="0"/>
        <w:kinsoku/>
        <w:wordWrap/>
        <w:overflowPunct/>
        <w:bidi w:val="0"/>
        <w:spacing w:before="153" w:line="360"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451EA660">
      <w:pPr>
        <w:pageBreakBefore w:val="0"/>
        <w:kinsoku/>
        <w:wordWrap/>
        <w:overflowPunct/>
        <w:bidi w:val="0"/>
        <w:spacing w:before="152" w:line="360" w:lineRule="auto"/>
        <w:ind w:left="14" w:right="81" w:firstLine="476"/>
        <w:rPr>
          <w:rFonts w:hint="eastAsia" w:ascii="宋体" w:hAnsi="宋体" w:eastAsia="宋体" w:cs="宋体"/>
          <w:color w:val="auto"/>
          <w:spacing w:val="-1"/>
          <w:sz w:val="24"/>
          <w:szCs w:val="24"/>
          <w:highlight w:val="none"/>
        </w:rPr>
      </w:pPr>
      <w:bookmarkStart w:id="112" w:name="_Toc16570"/>
      <w:bookmarkStart w:id="113" w:name="_Toc17510"/>
      <w:bookmarkStart w:id="114" w:name="_Toc18029"/>
      <w:bookmarkStart w:id="115" w:name="_Toc22949"/>
      <w:r>
        <w:rPr>
          <w:rFonts w:hint="eastAsia" w:ascii="宋体" w:hAnsi="宋体" w:eastAsia="宋体" w:cs="宋体"/>
          <w:color w:val="auto"/>
          <w:spacing w:val="-1"/>
          <w:sz w:val="24"/>
          <w:szCs w:val="24"/>
          <w:highlight w:val="none"/>
        </w:rPr>
        <w:t>（1）商务技术得分 M</w:t>
      </w:r>
      <w:bookmarkEnd w:id="112"/>
      <w:bookmarkEnd w:id="113"/>
      <w:bookmarkEnd w:id="114"/>
      <w:bookmarkEnd w:id="115"/>
    </w:p>
    <w:p w14:paraId="2876E1BE">
      <w:pPr>
        <w:pageBreakBefore w:val="0"/>
        <w:kinsoku/>
        <w:wordWrap/>
        <w:overflowPunct/>
        <w:bidi w:val="0"/>
        <w:spacing w:before="153" w:line="360"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lang w:eastAsia="zh-CN"/>
        </w:rPr>
        <w:t>.</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24"/>
          <w:szCs w:val="24"/>
          <w:highlight w:val="none"/>
        </w:rPr>
        <w:t>1</w:t>
      </w:r>
      <w:r>
        <w:rPr>
          <w:rFonts w:hint="eastAsia" w:ascii="宋体" w:hAnsi="宋体" w:eastAsia="宋体" w:cs="宋体"/>
          <w:color w:val="auto"/>
          <w:spacing w:val="-1"/>
          <w:sz w:val="24"/>
          <w:szCs w:val="24"/>
          <w:highlight w:val="none"/>
        </w:rPr>
        <w:t>。</w:t>
      </w:r>
    </w:p>
    <w:p w14:paraId="563951AA">
      <w:pPr>
        <w:pageBreakBefore w:val="0"/>
        <w:kinsoku/>
        <w:wordWrap/>
        <w:overflowPunct/>
        <w:bidi w:val="0"/>
        <w:spacing w:before="154" w:line="360"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lang w:eastAsia="zh-CN"/>
        </w:rPr>
        <w:t>.</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24"/>
          <w:szCs w:val="24"/>
          <w:highlight w:val="none"/>
        </w:rPr>
        <w:t>2</w:t>
      </w:r>
      <w:r>
        <w:rPr>
          <w:rFonts w:hint="eastAsia" w:ascii="宋体" w:hAnsi="宋体" w:eastAsia="宋体" w:cs="宋体"/>
          <w:color w:val="auto"/>
          <w:spacing w:val="-1"/>
          <w:sz w:val="24"/>
          <w:szCs w:val="24"/>
          <w:highlight w:val="none"/>
        </w:rPr>
        <w:t>。</w:t>
      </w:r>
    </w:p>
    <w:p w14:paraId="2053FBB2">
      <w:pPr>
        <w:pageBreakBefore w:val="0"/>
        <w:kinsoku/>
        <w:wordWrap/>
        <w:overflowPunct/>
        <w:bidi w:val="0"/>
        <w:spacing w:before="155" w:line="360" w:lineRule="auto"/>
        <w:ind w:left="491"/>
        <w:rPr>
          <w:rFonts w:hint="eastAsia" w:ascii="宋体" w:hAnsi="宋体" w:eastAsia="宋体" w:cs="宋体"/>
          <w:color w:val="auto"/>
          <w:sz w:val="24"/>
          <w:szCs w:val="24"/>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lang w:eastAsia="zh-CN"/>
        </w:rPr>
        <w:t>.</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24"/>
          <w:szCs w:val="24"/>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24"/>
          <w:szCs w:val="24"/>
          <w:highlight w:val="none"/>
        </w:rPr>
        <w:t>2</w:t>
      </w:r>
    </w:p>
    <w:p w14:paraId="2874B8C1">
      <w:pPr>
        <w:pageBreakBefore w:val="0"/>
        <w:kinsoku/>
        <w:wordWrap/>
        <w:overflowPunct/>
        <w:bidi w:val="0"/>
        <w:spacing w:before="139" w:line="36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24"/>
          <w:szCs w:val="24"/>
          <w:highlight w:val="none"/>
        </w:rPr>
        <w:t>1</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24"/>
          <w:szCs w:val="24"/>
          <w:highlight w:val="none"/>
        </w:rPr>
        <w:t>2</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2BE6EBBE">
      <w:pPr>
        <w:pageBreakBefore w:val="0"/>
        <w:kinsoku/>
        <w:wordWrap/>
        <w:overflowPunct/>
        <w:bidi w:val="0"/>
        <w:spacing w:before="106" w:line="360" w:lineRule="auto"/>
        <w:ind w:left="7" w:right="17" w:firstLine="489"/>
        <w:rPr>
          <w:rFonts w:hint="eastAsia" w:ascii="宋体" w:hAnsi="宋体" w:eastAsia="宋体" w:cs="宋体"/>
          <w:color w:val="auto"/>
          <w:spacing w:val="-9"/>
          <w:sz w:val="24"/>
          <w:szCs w:val="24"/>
          <w:highlight w:val="none"/>
        </w:rPr>
      </w:pPr>
      <w:bookmarkStart w:id="116" w:name="_Toc3234"/>
      <w:bookmarkStart w:id="117" w:name="_Toc16136"/>
      <w:bookmarkStart w:id="118" w:name="_Toc3958"/>
      <w:bookmarkStart w:id="119" w:name="_Toc27609"/>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投标报价得分 N</w:t>
      </w:r>
      <w:bookmarkEnd w:id="116"/>
      <w:bookmarkEnd w:id="117"/>
      <w:bookmarkEnd w:id="118"/>
      <w:bookmarkEnd w:id="119"/>
    </w:p>
    <w:p w14:paraId="39B5AE92">
      <w:pPr>
        <w:pageBreakBefore w:val="0"/>
        <w:kinsoku/>
        <w:wordWrap/>
        <w:overflowPunct/>
        <w:bidi w:val="0"/>
        <w:spacing w:before="106" w:line="360" w:lineRule="auto"/>
        <w:ind w:left="7" w:right="17" w:firstLine="489"/>
        <w:rPr>
          <w:rFonts w:hint="eastAsia" w:ascii="宋体" w:hAnsi="宋体" w:eastAsia="宋体" w:cs="宋体"/>
          <w:color w:val="auto"/>
          <w:spacing w:val="-9"/>
          <w:sz w:val="24"/>
          <w:szCs w:val="24"/>
          <w:highlight w:val="none"/>
        </w:rPr>
      </w:pPr>
      <w:r>
        <w:rPr>
          <w:rFonts w:hint="eastAsia" w:ascii="宋体" w:hAnsi="宋体" w:eastAsia="宋体" w:cs="宋体"/>
          <w:b/>
          <w:bCs/>
          <w:color w:val="auto"/>
          <w:spacing w:val="-9"/>
          <w:sz w:val="24"/>
          <w:szCs w:val="24"/>
          <w:highlight w:val="none"/>
        </w:rPr>
        <w:t>a</w:t>
      </w:r>
      <w:r>
        <w:rPr>
          <w:rFonts w:hint="eastAsia" w:ascii="宋体" w:hAnsi="宋体" w:eastAsia="宋体" w:cs="宋体"/>
          <w:b/>
          <w:bCs/>
          <w:color w:val="auto"/>
          <w:spacing w:val="-9"/>
          <w:sz w:val="24"/>
          <w:szCs w:val="24"/>
          <w:highlight w:val="none"/>
          <w:lang w:eastAsia="zh-CN"/>
        </w:rPr>
        <w:t>.</w:t>
      </w:r>
      <w:r>
        <w:rPr>
          <w:rFonts w:hint="eastAsia" w:ascii="宋体" w:hAnsi="宋体" w:eastAsia="宋体" w:cs="宋体"/>
          <w:color w:val="auto"/>
          <w:spacing w:val="-9"/>
          <w:sz w:val="24"/>
          <w:szCs w:val="24"/>
          <w:highlight w:val="none"/>
        </w:rPr>
        <w:t>评标委员会按照《综合评分表》投标报价部分指定的方法计算评标基准价D。</w:t>
      </w:r>
    </w:p>
    <w:p w14:paraId="67AD0E8C">
      <w:pPr>
        <w:pageBreakBefore w:val="0"/>
        <w:kinsoku/>
        <w:wordWrap/>
        <w:overflowPunct/>
        <w:bidi w:val="0"/>
        <w:spacing w:before="155" w:line="360"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 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1A1D4778">
      <w:pPr>
        <w:pageBreakBefore w:val="0"/>
        <w:kinsoku/>
        <w:wordWrap/>
        <w:overflowPunct/>
        <w:bidi w:val="0"/>
        <w:spacing w:before="118" w:line="360" w:lineRule="auto"/>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30B0BB24">
      <w:pPr>
        <w:pageBreakBefore w:val="0"/>
        <w:kinsoku/>
        <w:wordWrap/>
        <w:overflowPunct/>
        <w:bidi w:val="0"/>
        <w:spacing w:before="106" w:line="360"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pacing w:val="-8"/>
          <w:sz w:val="24"/>
          <w:szCs w:val="24"/>
          <w:highlight w:val="none"/>
        </w:rPr>
        <w:t>E＝</w:t>
      </w:r>
      <w:r>
        <w:rPr>
          <w:rFonts w:hint="eastAsia" w:ascii="宋体" w:hAnsi="宋体" w:eastAsia="宋体" w:cs="宋体"/>
          <w:b w:val="0"/>
          <w:bCs w:val="0"/>
          <w:color w:val="auto"/>
          <w:spacing w:val="-8"/>
          <w:sz w:val="24"/>
          <w:szCs w:val="24"/>
          <w:highlight w:val="none"/>
        </w:rPr>
        <w:t>1</w:t>
      </w:r>
      <w:r>
        <w:rPr>
          <w:rFonts w:hint="eastAsia" w:ascii="宋体" w:hAnsi="宋体" w:eastAsia="宋体" w:cs="宋体"/>
          <w:b w:val="0"/>
          <w:bCs w:val="0"/>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b w:val="0"/>
          <w:bCs w:val="0"/>
          <w:color w:val="auto"/>
          <w:spacing w:val="-8"/>
          <w:sz w:val="24"/>
          <w:szCs w:val="24"/>
          <w:highlight w:val="none"/>
        </w:rPr>
        <w:t>0.5</w:t>
      </w:r>
      <w:r>
        <w:rPr>
          <w:rFonts w:hint="eastAsia" w:ascii="宋体" w:hAnsi="宋体" w:eastAsia="宋体" w:cs="宋体"/>
          <w:b/>
          <w:bCs/>
          <w:color w:val="auto"/>
          <w:spacing w:val="-8"/>
          <w:sz w:val="24"/>
          <w:szCs w:val="24"/>
          <w:highlight w:val="none"/>
        </w:rPr>
        <w:t>。</w:t>
      </w:r>
    </w:p>
    <w:p w14:paraId="3235F073">
      <w:pPr>
        <w:pageBreakBefore w:val="0"/>
        <w:kinsoku/>
        <w:wordWrap/>
        <w:overflowPunct/>
        <w:bidi w:val="0"/>
        <w:spacing w:before="152" w:line="360" w:lineRule="auto"/>
        <w:ind w:left="14" w:right="81" w:firstLine="476"/>
        <w:rPr>
          <w:rFonts w:hint="eastAsia" w:ascii="宋体" w:hAnsi="宋体" w:eastAsia="宋体" w:cs="宋体"/>
          <w:color w:val="auto"/>
          <w:spacing w:val="-1"/>
          <w:sz w:val="24"/>
          <w:szCs w:val="24"/>
          <w:highlight w:val="none"/>
          <w:lang w:eastAsia="zh-CN"/>
        </w:rPr>
      </w:pPr>
      <w:bookmarkStart w:id="120" w:name="_Toc4990"/>
      <w:bookmarkStart w:id="121" w:name="_Toc23551"/>
      <w:bookmarkStart w:id="122" w:name="_Toc3861"/>
      <w:bookmarkStart w:id="123" w:name="_Toc7915"/>
      <w:r>
        <w:rPr>
          <w:rFonts w:hint="eastAsia" w:ascii="宋体" w:hAnsi="宋体" w:eastAsia="宋体" w:cs="宋体"/>
          <w:color w:val="auto"/>
          <w:spacing w:val="-1"/>
          <w:sz w:val="24"/>
          <w:szCs w:val="24"/>
          <w:highlight w:val="none"/>
          <w:lang w:eastAsia="zh-CN"/>
        </w:rPr>
        <w:t>（3）综合得分</w:t>
      </w:r>
      <w:bookmarkEnd w:id="120"/>
      <w:bookmarkEnd w:id="121"/>
      <w:bookmarkEnd w:id="122"/>
      <w:bookmarkEnd w:id="123"/>
    </w:p>
    <w:p w14:paraId="1249D688">
      <w:pPr>
        <w:pageBreakBefore w:val="0"/>
        <w:kinsoku/>
        <w:wordWrap/>
        <w:overflowPunct/>
        <w:bidi w:val="0"/>
        <w:spacing w:before="153" w:line="36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8A23B7A">
      <w:pPr>
        <w:pageBreakBefore w:val="0"/>
        <w:kinsoku/>
        <w:wordWrap/>
        <w:overflowPunct/>
        <w:bidi w:val="0"/>
        <w:spacing w:before="155" w:line="360"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 xml:space="preserve">×商务技术权重＋N×投标报价权重式中：M </w:t>
      </w:r>
      <w:r>
        <w:rPr>
          <w:rFonts w:hint="eastAsia" w:ascii="宋体" w:hAnsi="宋体" w:eastAsia="宋体" w:cs="宋体"/>
          <w:color w:val="auto"/>
          <w:sz w:val="24"/>
          <w:szCs w:val="24"/>
          <w:highlight w:val="none"/>
        </w:rPr>
        <w:t>为商务技术得分，N 为投标报价得分。</w:t>
      </w:r>
    </w:p>
    <w:p w14:paraId="7C231916">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bookmarkStart w:id="124" w:name="_Toc16789"/>
      <w:bookmarkStart w:id="125" w:name="_Toc25214"/>
      <w:bookmarkStart w:id="126" w:name="_Toc2885"/>
      <w:bookmarkStart w:id="127" w:name="_Toc30671"/>
      <w:r>
        <w:rPr>
          <w:rFonts w:hint="eastAsia" w:ascii="宋体" w:hAnsi="宋体" w:eastAsia="宋体" w:cs="宋体"/>
          <w:color w:val="auto"/>
          <w:sz w:val="24"/>
          <w:szCs w:val="24"/>
          <w:highlight w:val="none"/>
        </w:rPr>
        <w:t>（4）评标委员会汇总、比较所有投标人的综合得分后，取综合得分最高的投标</w:t>
      </w:r>
      <w:bookmarkEnd w:id="124"/>
      <w:bookmarkEnd w:id="125"/>
      <w:bookmarkEnd w:id="126"/>
      <w:bookmarkEnd w:id="127"/>
      <w:r>
        <w:rPr>
          <w:rFonts w:hint="eastAsia" w:ascii="宋体" w:hAnsi="宋体" w:eastAsia="宋体" w:cs="宋体"/>
          <w:color w:val="auto"/>
          <w:sz w:val="24"/>
          <w:szCs w:val="24"/>
          <w:highlight w:val="none"/>
        </w:rPr>
        <w:t>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7F055B59">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0C3033A6">
      <w:pPr>
        <w:pageBreakBefore w:val="0"/>
        <w:kinsoku/>
        <w:wordWrap/>
        <w:overflowPunct/>
        <w:bidi w:val="0"/>
        <w:rPr>
          <w:rFonts w:hint="eastAsia" w:ascii="宋体" w:hAnsi="宋体" w:eastAsia="宋体" w:cs="宋体"/>
          <w:color w:val="auto"/>
          <w:highlight w:val="none"/>
        </w:rPr>
      </w:pPr>
    </w:p>
    <w:p w14:paraId="26FEE077">
      <w:pPr>
        <w:pageBreakBefore w:val="0"/>
        <w:kinsoku/>
        <w:wordWrap/>
        <w:overflowPunct/>
        <w:bidi w:val="0"/>
        <w:spacing w:before="152" w:line="360" w:lineRule="auto"/>
        <w:ind w:left="14" w:right="81" w:firstLine="476"/>
        <w:jc w:val="center"/>
        <w:rPr>
          <w:rFonts w:hint="eastAsia" w:ascii="宋体" w:hAnsi="宋体" w:eastAsia="宋体" w:cs="宋体"/>
          <w:b/>
          <w:bCs/>
          <w:color w:val="auto"/>
          <w:spacing w:val="-1"/>
          <w:sz w:val="28"/>
          <w:szCs w:val="28"/>
          <w:highlight w:val="none"/>
          <w:lang w:eastAsia="zh-CN"/>
        </w:rPr>
      </w:pPr>
      <w:bookmarkStart w:id="128" w:name="_Toc3020"/>
      <w:bookmarkStart w:id="129" w:name="_Toc17375"/>
      <w:bookmarkStart w:id="130" w:name="_Toc16801"/>
      <w:bookmarkStart w:id="131" w:name="_Toc3839"/>
      <w:r>
        <w:rPr>
          <w:rFonts w:hint="eastAsia" w:ascii="宋体" w:hAnsi="宋体" w:eastAsia="宋体" w:cs="宋体"/>
          <w:b/>
          <w:bCs/>
          <w:color w:val="auto"/>
          <w:spacing w:val="-1"/>
          <w:sz w:val="28"/>
          <w:szCs w:val="28"/>
          <w:highlight w:val="none"/>
        </w:rPr>
        <w:t>综合评分表</w:t>
      </w:r>
      <w:bookmarkEnd w:id="128"/>
      <w:bookmarkEnd w:id="129"/>
      <w:bookmarkEnd w:id="130"/>
      <w:bookmarkEnd w:id="131"/>
    </w:p>
    <w:tbl>
      <w:tblPr>
        <w:tblStyle w:val="25"/>
        <w:tblW w:w="9574" w:type="dxa"/>
        <w:jc w:val="center"/>
        <w:tblLayout w:type="fixed"/>
        <w:tblCellMar>
          <w:top w:w="0" w:type="dxa"/>
          <w:left w:w="108" w:type="dxa"/>
          <w:bottom w:w="0" w:type="dxa"/>
          <w:right w:w="108" w:type="dxa"/>
        </w:tblCellMar>
      </w:tblPr>
      <w:tblGrid>
        <w:gridCol w:w="1404"/>
        <w:gridCol w:w="3757"/>
        <w:gridCol w:w="4413"/>
      </w:tblGrid>
      <w:tr w14:paraId="1F1B52E0">
        <w:tblPrEx>
          <w:tblCellMar>
            <w:top w:w="0" w:type="dxa"/>
            <w:left w:w="108" w:type="dxa"/>
            <w:bottom w:w="0" w:type="dxa"/>
            <w:right w:w="108" w:type="dxa"/>
          </w:tblCellMar>
        </w:tblPrEx>
        <w:trPr>
          <w:trHeight w:val="624" w:hRule="exact"/>
          <w:jc w:val="center"/>
        </w:trPr>
        <w:tc>
          <w:tcPr>
            <w:tcW w:w="9574"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629CB695">
            <w:pPr>
              <w:pStyle w:val="8"/>
              <w:pageBreakBefore w:val="0"/>
              <w:tabs>
                <w:tab w:val="left" w:pos="1354"/>
                <w:tab w:val="left" w:pos="1459"/>
                <w:tab w:val="center" w:pos="3902"/>
                <w:tab w:val="right" w:pos="7805"/>
              </w:tabs>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bookmarkStart w:id="132" w:name="_Toc31744"/>
            <w:bookmarkStart w:id="133" w:name="_Toc9725"/>
            <w:bookmarkStart w:id="134" w:name="_Toc178"/>
            <w:bookmarkStart w:id="135" w:name="_Toc5769"/>
            <w:r>
              <w:rPr>
                <w:rFonts w:hint="eastAsia" w:ascii="宋体" w:hAnsi="宋体" w:eastAsia="宋体" w:cs="宋体"/>
                <w:snapToGrid w:val="0"/>
                <w:color w:val="auto"/>
                <w:kern w:val="0"/>
                <w:sz w:val="21"/>
                <w:szCs w:val="21"/>
                <w:highlight w:val="none"/>
              </w:rPr>
              <w:t>商务部分，满分：</w:t>
            </w:r>
            <w:r>
              <w:rPr>
                <w:rFonts w:hint="eastAsia" w:ascii="宋体" w:hAnsi="宋体" w:eastAsia="宋体" w:cs="宋体"/>
                <w:snapToGrid w:val="0"/>
                <w:color w:val="auto"/>
                <w:kern w:val="0"/>
                <w:sz w:val="21"/>
                <w:szCs w:val="21"/>
                <w:highlight w:val="none"/>
                <w:u w:val="single"/>
              </w:rPr>
              <w:t xml:space="preserve">  80  </w:t>
            </w:r>
            <w:r>
              <w:rPr>
                <w:rFonts w:hint="eastAsia" w:ascii="宋体" w:hAnsi="宋体" w:eastAsia="宋体" w:cs="宋体"/>
                <w:snapToGrid w:val="0"/>
                <w:color w:val="auto"/>
                <w:kern w:val="0"/>
                <w:sz w:val="21"/>
                <w:szCs w:val="21"/>
                <w:highlight w:val="none"/>
              </w:rPr>
              <w:t>分。</w:t>
            </w:r>
          </w:p>
        </w:tc>
      </w:tr>
      <w:tr w14:paraId="09B3945D">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59830F4">
            <w:pPr>
              <w:pStyle w:val="8"/>
              <w:pageBreakBefore w:val="0"/>
              <w:tabs>
                <w:tab w:val="left" w:pos="1354"/>
                <w:tab w:val="left" w:pos="1459"/>
                <w:tab w:val="center" w:pos="3902"/>
                <w:tab w:val="right" w:pos="7805"/>
              </w:tabs>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9BDC374">
            <w:pPr>
              <w:pStyle w:val="8"/>
              <w:pageBreakBefore w:val="0"/>
              <w:tabs>
                <w:tab w:val="left" w:pos="1354"/>
                <w:tab w:val="left" w:pos="1459"/>
                <w:tab w:val="center" w:pos="3902"/>
                <w:tab w:val="right" w:pos="7805"/>
              </w:tabs>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306B959">
            <w:pPr>
              <w:pStyle w:val="8"/>
              <w:pageBreakBefore w:val="0"/>
              <w:tabs>
                <w:tab w:val="left" w:pos="1354"/>
                <w:tab w:val="left" w:pos="1459"/>
                <w:tab w:val="center" w:pos="3902"/>
                <w:tab w:val="right" w:pos="7805"/>
              </w:tabs>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064A2BF8">
        <w:tblPrEx>
          <w:tblCellMar>
            <w:top w:w="0" w:type="dxa"/>
            <w:left w:w="108" w:type="dxa"/>
            <w:bottom w:w="0" w:type="dxa"/>
            <w:right w:w="108" w:type="dxa"/>
          </w:tblCellMar>
        </w:tblPrEx>
        <w:trPr>
          <w:trHeight w:val="601"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60981C9">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企业奖项</w:t>
            </w:r>
          </w:p>
          <w:p w14:paraId="60FBFE31">
            <w:pPr>
              <w:pStyle w:val="8"/>
              <w:pageBreakBefore w:val="0"/>
              <w:kinsoku/>
              <w:wordWrap/>
              <w:overflowPunct/>
              <w:bidi w:val="0"/>
              <w:adjustRightInd w:val="0"/>
              <w:snapToGrid w:val="0"/>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C56346D">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企业近</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年来（</w:t>
            </w:r>
            <w:r>
              <w:rPr>
                <w:rFonts w:hint="eastAsia" w:ascii="宋体" w:hAnsi="宋体" w:eastAsia="宋体" w:cs="宋体"/>
                <w:snapToGrid w:val="0"/>
                <w:color w:val="auto"/>
                <w:kern w:val="0"/>
                <w:sz w:val="21"/>
                <w:szCs w:val="21"/>
                <w:highlight w:val="none"/>
                <w:lang w:val="en-US" w:eastAsia="zh-CN"/>
              </w:rPr>
              <w:t>2022</w:t>
            </w:r>
            <w:r>
              <w:rPr>
                <w:rFonts w:hint="eastAsia" w:ascii="宋体" w:hAnsi="宋体" w:eastAsia="宋体" w:cs="宋体"/>
                <w:snapToGrid w:val="0"/>
                <w:color w:val="auto"/>
                <w:kern w:val="0"/>
                <w:sz w:val="21"/>
                <w:szCs w:val="21"/>
                <w:highlight w:val="none"/>
              </w:rPr>
              <w:t>年1月1日至今）获得</w:t>
            </w:r>
            <w:r>
              <w:rPr>
                <w:rFonts w:hint="eastAsia" w:ascii="宋体" w:hAnsi="宋体" w:eastAsia="宋体" w:cs="宋体"/>
                <w:snapToGrid w:val="0"/>
                <w:color w:val="auto"/>
                <w:kern w:val="0"/>
                <w:sz w:val="21"/>
                <w:szCs w:val="21"/>
                <w:highlight w:val="none"/>
                <w:u w:val="single"/>
                <w:lang w:val="en-US" w:eastAsia="zh-CN"/>
              </w:rPr>
              <w:t xml:space="preserve"> 市政 </w:t>
            </w:r>
            <w:r>
              <w:rPr>
                <w:rFonts w:hint="eastAsia" w:ascii="宋体" w:hAnsi="宋体" w:eastAsia="宋体" w:cs="宋体"/>
                <w:snapToGrid w:val="0"/>
                <w:color w:val="auto"/>
                <w:kern w:val="0"/>
                <w:sz w:val="21"/>
                <w:szCs w:val="21"/>
                <w:highlight w:val="none"/>
              </w:rPr>
              <w:t>工程类奖项情况：</w:t>
            </w:r>
          </w:p>
          <w:p w14:paraId="0AFC5497">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1．获得国家级奖项的，每个得</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8</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p w14:paraId="0C33203D">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2．获得省级奖项的，每个得</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4</w:t>
            </w:r>
            <w:r>
              <w:rPr>
                <w:rFonts w:hint="eastAsia" w:ascii="宋体" w:hAnsi="宋体" w:eastAsia="宋体" w:cs="宋体"/>
                <w:snapToGrid w:val="0"/>
                <w:color w:val="auto"/>
                <w:kern w:val="0"/>
                <w:sz w:val="21"/>
                <w:szCs w:val="21"/>
                <w:highlight w:val="none"/>
              </w:rPr>
              <w:t>分。</w:t>
            </w:r>
          </w:p>
          <w:p w14:paraId="7F4D692C">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3．获得地市级奖项的，每个得</w:t>
            </w:r>
            <w:r>
              <w:rPr>
                <w:rFonts w:hint="eastAsia" w:ascii="宋体" w:hAnsi="宋体" w:eastAsia="宋体" w:cs="宋体"/>
                <w:snapToGrid w:val="0"/>
                <w:color w:val="auto"/>
                <w:kern w:val="0"/>
                <w:sz w:val="21"/>
                <w:szCs w:val="21"/>
                <w:highlight w:val="none"/>
                <w:u w:val="single"/>
                <w:lang w:val="en-US" w:eastAsia="zh-CN"/>
              </w:rPr>
              <w:t>2</w:t>
            </w:r>
            <w:r>
              <w:rPr>
                <w:rFonts w:hint="eastAsia" w:ascii="宋体" w:hAnsi="宋体" w:eastAsia="宋体" w:cs="宋体"/>
                <w:snapToGrid w:val="0"/>
                <w:color w:val="auto"/>
                <w:kern w:val="0"/>
                <w:sz w:val="21"/>
                <w:szCs w:val="21"/>
                <w:highlight w:val="none"/>
              </w:rPr>
              <w:t>分。</w:t>
            </w:r>
          </w:p>
          <w:p w14:paraId="552EC3A5">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4．以上奖项均未获得的，不予计分。</w:t>
            </w:r>
          </w:p>
          <w:p w14:paraId="6570029C">
            <w:pPr>
              <w:pStyle w:val="8"/>
              <w:pageBreakBefore w:val="0"/>
              <w:kinsoku/>
              <w:wordWrap/>
              <w:overflowPunct/>
              <w:bidi w:val="0"/>
              <w:adjustRightInd w:val="0"/>
              <w:snapToGrid w:val="0"/>
              <w:spacing w:after="0" w:line="360" w:lineRule="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5．本项最高得1</w:t>
            </w:r>
            <w:r>
              <w:rPr>
                <w:rFonts w:hint="eastAsia" w:ascii="宋体" w:hAnsi="宋体" w:eastAsia="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rPr>
              <w:t>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565D856">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1．允许投标人提交多个业绩，但同一业绩只按最高级别奖项计分一次。</w:t>
            </w:r>
          </w:p>
          <w:p w14:paraId="0E93D69C">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2．需附有关奖项证明彩色扫描件（或打印件）。</w:t>
            </w:r>
          </w:p>
          <w:p w14:paraId="02C2166E">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3．颁发机构限定以下范围：</w:t>
            </w:r>
          </w:p>
          <w:p w14:paraId="0B8323B6">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①国家级奖项：</w:t>
            </w:r>
            <w:r>
              <w:rPr>
                <w:rFonts w:hint="eastAsia" w:ascii="宋体" w:hAnsi="宋体" w:eastAsia="宋体" w:cs="宋体"/>
                <w:color w:val="auto"/>
                <w:sz w:val="21"/>
                <w:szCs w:val="21"/>
                <w:highlight w:val="none"/>
                <w:u w:val="single"/>
              </w:rPr>
              <w:t>国务院、住建部、国家</w:t>
            </w:r>
            <w:r>
              <w:rPr>
                <w:rFonts w:hint="eastAsia" w:ascii="宋体" w:hAnsi="宋体" w:eastAsia="宋体" w:cs="宋体"/>
                <w:color w:val="auto"/>
                <w:sz w:val="21"/>
                <w:szCs w:val="21"/>
                <w:highlight w:val="none"/>
                <w:u w:val="single"/>
                <w:lang w:val="en-US" w:eastAsia="zh-CN"/>
              </w:rPr>
              <w:t>级行业协会</w:t>
            </w:r>
            <w:r>
              <w:rPr>
                <w:rFonts w:hint="eastAsia" w:ascii="宋体" w:hAnsi="宋体" w:eastAsia="宋体" w:cs="宋体"/>
                <w:color w:val="auto"/>
                <w:sz w:val="21"/>
                <w:szCs w:val="21"/>
                <w:highlight w:val="none"/>
                <w:u w:val="single"/>
              </w:rPr>
              <w:t>；（相关协会需经民政部门备案，须提供备案截图，否则不得分）；</w:t>
            </w:r>
          </w:p>
          <w:p w14:paraId="0ACF82E7">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②省级奖项：</w:t>
            </w:r>
            <w:r>
              <w:rPr>
                <w:rFonts w:hint="eastAsia" w:ascii="宋体" w:hAnsi="宋体" w:eastAsia="宋体" w:cs="宋体"/>
                <w:color w:val="auto"/>
                <w:sz w:val="21"/>
                <w:szCs w:val="21"/>
                <w:highlight w:val="none"/>
                <w:u w:val="single"/>
              </w:rPr>
              <w:t>省级人民政府、省级住建部门、省</w:t>
            </w:r>
            <w:r>
              <w:rPr>
                <w:rFonts w:hint="eastAsia" w:ascii="宋体" w:hAnsi="宋体" w:eastAsia="宋体" w:cs="宋体"/>
                <w:color w:val="auto"/>
                <w:sz w:val="21"/>
                <w:szCs w:val="21"/>
                <w:highlight w:val="none"/>
                <w:u w:val="single"/>
                <w:lang w:val="en-US" w:eastAsia="zh-CN"/>
              </w:rPr>
              <w:t>级行业协会</w:t>
            </w:r>
            <w:r>
              <w:rPr>
                <w:rFonts w:hint="eastAsia" w:ascii="宋体" w:hAnsi="宋体" w:eastAsia="宋体" w:cs="宋体"/>
                <w:color w:val="auto"/>
                <w:sz w:val="21"/>
                <w:szCs w:val="21"/>
                <w:highlight w:val="none"/>
                <w:u w:val="single"/>
              </w:rPr>
              <w:t>；（相关协会需经民政部门备案，须提供备案截图，否则不得分）；</w:t>
            </w:r>
          </w:p>
          <w:p w14:paraId="1DB9E682">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③地市级奖项：</w:t>
            </w:r>
            <w:r>
              <w:rPr>
                <w:rFonts w:hint="eastAsia" w:ascii="宋体" w:hAnsi="宋体" w:eastAsia="宋体" w:cs="宋体"/>
                <w:color w:val="auto"/>
                <w:sz w:val="21"/>
                <w:szCs w:val="21"/>
                <w:highlight w:val="none"/>
                <w:u w:val="single"/>
              </w:rPr>
              <w:t xml:space="preserve"> 地市级人民政府、地市级住建部门、</w:t>
            </w:r>
            <w:r>
              <w:rPr>
                <w:rFonts w:hint="eastAsia" w:ascii="宋体" w:hAnsi="宋体" w:eastAsia="宋体" w:cs="宋体"/>
                <w:color w:val="auto"/>
                <w:sz w:val="21"/>
                <w:szCs w:val="21"/>
                <w:highlight w:val="none"/>
                <w:u w:val="single"/>
                <w:lang w:val="en-US" w:eastAsia="zh-CN"/>
              </w:rPr>
              <w:t>地级市行业协会</w:t>
            </w:r>
            <w:r>
              <w:rPr>
                <w:rFonts w:hint="eastAsia" w:ascii="宋体" w:hAnsi="宋体" w:eastAsia="宋体" w:cs="宋体"/>
                <w:color w:val="auto"/>
                <w:sz w:val="21"/>
                <w:szCs w:val="21"/>
                <w:highlight w:val="none"/>
                <w:u w:val="single"/>
              </w:rPr>
              <w:t>。（相关协会需经民政部门备案，须提供备案截图，否则不得分）。</w:t>
            </w:r>
          </w:p>
          <w:p w14:paraId="2475C22D">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4．获奖时间以奖项证明的落款日期为准。</w:t>
            </w:r>
          </w:p>
          <w:p w14:paraId="1BC8AE99">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5．任一奖项有以下情形之一的，该奖项视为无效，不予计分：</w:t>
            </w:r>
          </w:p>
          <w:p w14:paraId="4AF033A7">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①奖项不属于指定类别的；</w:t>
            </w:r>
          </w:p>
          <w:p w14:paraId="7190577A">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②颁发机构不符合要求的；</w:t>
            </w:r>
          </w:p>
          <w:p w14:paraId="105D09CF">
            <w:pPr>
              <w:pStyle w:val="22"/>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③获奖时间不符合要求的。</w:t>
            </w:r>
          </w:p>
          <w:p w14:paraId="2A67881F">
            <w:pPr>
              <w:pStyle w:val="8"/>
              <w:keepNext w:val="0"/>
              <w:keepLines w:val="0"/>
              <w:pageBreakBefore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说明：以上所称“要求”均指本表评分标准及备注的要求，下同。</w:t>
            </w:r>
          </w:p>
        </w:tc>
      </w:tr>
      <w:tr w14:paraId="66393965">
        <w:tblPrEx>
          <w:tblCellMar>
            <w:top w:w="0" w:type="dxa"/>
            <w:left w:w="108" w:type="dxa"/>
            <w:bottom w:w="0" w:type="dxa"/>
            <w:right w:w="108" w:type="dxa"/>
          </w:tblCellMar>
        </w:tblPrEx>
        <w:trPr>
          <w:trHeight w:val="414"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FFAA5DC">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5D7042B1">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综合素质（10分）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5A1362A">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项目经理工程类技术职称情况：</w:t>
            </w:r>
          </w:p>
          <w:p w14:paraId="345C0AB2">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1．具备中级工程师及以上职称的，得 10 分。</w:t>
            </w:r>
          </w:p>
          <w:p w14:paraId="357D9354">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2．具备助理工程师职称的，得 5 分。</w:t>
            </w:r>
          </w:p>
          <w:p w14:paraId="422FC781">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4．不具备以上职称的，或未提供职称证彩色扫描件的，不予计分。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461C1FA9">
            <w:pPr>
              <w:pageBreakBefore w:val="0"/>
              <w:kinsoku/>
              <w:wordWrap/>
              <w:overflowPunct/>
              <w:bidi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1．需附有效的有关证明彩色扫描件（或打印件）。</w:t>
            </w:r>
          </w:p>
          <w:p w14:paraId="5276AEB9">
            <w:pPr>
              <w:pStyle w:val="8"/>
              <w:pageBreakBefore w:val="0"/>
              <w:kinsoku/>
              <w:wordWrap/>
              <w:overflowPunct/>
              <w:bidi w:val="0"/>
              <w:adjustRightInd w:val="0"/>
              <w:snapToGrid w:val="0"/>
              <w:spacing w:after="0"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2．不符合评分标准和备注规定的，不计分。</w:t>
            </w:r>
          </w:p>
        </w:tc>
      </w:tr>
      <w:tr w14:paraId="361B3A46">
        <w:tblPrEx>
          <w:tblCellMar>
            <w:top w:w="0" w:type="dxa"/>
            <w:left w:w="108" w:type="dxa"/>
            <w:bottom w:w="0" w:type="dxa"/>
            <w:right w:w="108" w:type="dxa"/>
          </w:tblCellMar>
        </w:tblPrEx>
        <w:trPr>
          <w:trHeight w:val="58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E0D4DB3">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企业业绩</w:t>
            </w:r>
          </w:p>
          <w:p w14:paraId="4AFBF8E1">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A2AB623">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企业近</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年来（</w:t>
            </w:r>
            <w:r>
              <w:rPr>
                <w:rFonts w:hint="eastAsia" w:ascii="宋体" w:hAnsi="宋体" w:eastAsia="宋体" w:cs="宋体"/>
                <w:snapToGrid w:val="0"/>
                <w:color w:val="auto"/>
                <w:kern w:val="0"/>
                <w:sz w:val="21"/>
                <w:szCs w:val="21"/>
                <w:highlight w:val="none"/>
                <w:lang w:val="en-US" w:eastAsia="zh-CN"/>
              </w:rPr>
              <w:t>2022</w:t>
            </w:r>
            <w:r>
              <w:rPr>
                <w:rFonts w:hint="eastAsia" w:ascii="宋体" w:hAnsi="宋体" w:eastAsia="宋体" w:cs="宋体"/>
                <w:snapToGrid w:val="0"/>
                <w:color w:val="auto"/>
                <w:kern w:val="0"/>
                <w:sz w:val="21"/>
                <w:szCs w:val="21"/>
                <w:highlight w:val="none"/>
              </w:rPr>
              <w:t>年1月1日至今）业绩情况：</w:t>
            </w:r>
          </w:p>
          <w:p w14:paraId="73B1F2B2">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u w:val="single"/>
              </w:rPr>
              <w:t xml:space="preserve"> 完成 </w:t>
            </w:r>
            <w:r>
              <w:rPr>
                <w:rFonts w:hint="eastAsia" w:ascii="宋体" w:hAnsi="宋体" w:eastAsia="宋体" w:cs="宋体"/>
                <w:snapToGrid w:val="0"/>
                <w:color w:val="auto"/>
                <w:kern w:val="0"/>
                <w:sz w:val="21"/>
                <w:szCs w:val="21"/>
                <w:highlight w:val="none"/>
              </w:rPr>
              <w:t>过类似工程的，每个得</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rPr>
              <w:t>分。</w:t>
            </w:r>
          </w:p>
          <w:p w14:paraId="548A7D41">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2．未</w:t>
            </w:r>
            <w:r>
              <w:rPr>
                <w:rFonts w:hint="eastAsia" w:ascii="宋体" w:hAnsi="宋体" w:eastAsia="宋体" w:cs="宋体"/>
                <w:snapToGrid w:val="0"/>
                <w:color w:val="auto"/>
                <w:kern w:val="0"/>
                <w:sz w:val="21"/>
                <w:szCs w:val="21"/>
                <w:highlight w:val="none"/>
                <w:u w:val="single"/>
              </w:rPr>
              <w:t xml:space="preserve"> 完成 </w:t>
            </w:r>
            <w:r>
              <w:rPr>
                <w:rFonts w:hint="eastAsia" w:ascii="宋体" w:hAnsi="宋体" w:eastAsia="宋体" w:cs="宋体"/>
                <w:snapToGrid w:val="0"/>
                <w:color w:val="auto"/>
                <w:kern w:val="0"/>
                <w:sz w:val="21"/>
                <w:szCs w:val="21"/>
                <w:highlight w:val="none"/>
              </w:rPr>
              <w:t>过类似工程的，不予计分。</w:t>
            </w:r>
          </w:p>
          <w:p w14:paraId="50499C2F">
            <w:pPr>
              <w:pStyle w:val="8"/>
              <w:pageBreakBefore w:val="0"/>
              <w:kinsoku/>
              <w:wordWrap/>
              <w:overflowPunct/>
              <w:bidi w:val="0"/>
              <w:adjustRightInd w:val="0"/>
              <w:snapToGrid w:val="0"/>
              <w:spacing w:after="0"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rPr>
              <w:t>3．本项最高得</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 xml:space="preserve">分。 </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4F587F1F">
            <w:pPr>
              <w:pStyle w:val="8"/>
              <w:keepNext w:val="0"/>
              <w:keepLines w:val="0"/>
              <w:pageBreakBefore w:val="0"/>
              <w:widowControl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1．类似工程指：单项工程造价</w:t>
            </w:r>
            <w:r>
              <w:rPr>
                <w:rFonts w:hint="eastAsia" w:ascii="宋体" w:hAnsi="宋体" w:eastAsia="宋体" w:cs="宋体"/>
                <w:b/>
                <w:bCs/>
                <w:snapToGrid w:val="0"/>
                <w:color w:val="auto"/>
                <w:kern w:val="0"/>
                <w:sz w:val="21"/>
                <w:szCs w:val="21"/>
                <w:highlight w:val="none"/>
              </w:rPr>
              <w:t>≥</w:t>
            </w:r>
            <w:r>
              <w:rPr>
                <w:rFonts w:hint="eastAsia" w:ascii="宋体" w:hAnsi="宋体" w:eastAsia="宋体" w:cs="宋体"/>
                <w:b/>
                <w:bCs/>
                <w:snapToGrid w:val="0"/>
                <w:color w:val="auto"/>
                <w:kern w:val="0"/>
                <w:sz w:val="21"/>
                <w:szCs w:val="21"/>
                <w:highlight w:val="none"/>
                <w:lang w:val="en-US" w:eastAsia="zh-CN"/>
              </w:rPr>
              <w:t>1300</w:t>
            </w:r>
            <w:r>
              <w:rPr>
                <w:rFonts w:hint="eastAsia" w:ascii="宋体" w:hAnsi="宋体" w:eastAsia="宋体" w:cs="宋体"/>
                <w:b/>
                <w:bCs/>
                <w:snapToGrid w:val="0"/>
                <w:color w:val="auto"/>
                <w:kern w:val="0"/>
                <w:sz w:val="21"/>
                <w:szCs w:val="21"/>
                <w:highlight w:val="none"/>
              </w:rPr>
              <w:t>万元</w:t>
            </w:r>
            <w:r>
              <w:rPr>
                <w:rFonts w:hint="eastAsia" w:ascii="宋体" w:hAnsi="宋体" w:eastAsia="宋体" w:cs="宋体"/>
                <w:snapToGrid w:val="0"/>
                <w:color w:val="auto"/>
                <w:kern w:val="0"/>
                <w:sz w:val="21"/>
                <w:szCs w:val="21"/>
                <w:highlight w:val="none"/>
              </w:rPr>
              <w:t>的</w:t>
            </w:r>
            <w:r>
              <w:rPr>
                <w:rFonts w:hint="eastAsia" w:ascii="宋体" w:hAnsi="宋体" w:eastAsia="宋体" w:cs="宋体"/>
                <w:snapToGrid w:val="0"/>
                <w:color w:val="auto"/>
                <w:kern w:val="0"/>
                <w:sz w:val="21"/>
                <w:szCs w:val="21"/>
                <w:highlight w:val="none"/>
                <w:lang w:val="en-US" w:eastAsia="zh-CN"/>
              </w:rPr>
              <w:t>市政工程</w:t>
            </w:r>
            <w:r>
              <w:rPr>
                <w:rFonts w:hint="eastAsia" w:ascii="宋体" w:hAnsi="宋体" w:eastAsia="宋体" w:cs="宋体"/>
                <w:snapToGrid w:val="0"/>
                <w:color w:val="auto"/>
                <w:kern w:val="0"/>
                <w:sz w:val="21"/>
                <w:szCs w:val="21"/>
                <w:highlight w:val="none"/>
              </w:rPr>
              <w:t>施工总承包或设计、施工总承包或勘察、设计、施工总承包的工程。</w:t>
            </w:r>
          </w:p>
          <w:p w14:paraId="0D3BD4E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2．需附有关业绩（仅限于以施工总承包单位身份参建的项目）合同协议书和竣工验收报告的彩色扫描件。</w:t>
            </w:r>
          </w:p>
          <w:p w14:paraId="2A91742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i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3．业绩时间以竣工验收报告日期为准。</w:t>
            </w:r>
          </w:p>
          <w:p w14:paraId="4B4EB2F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4．任一业绩有以下情形之一的，该业绩视为无效，不予计分：</w:t>
            </w:r>
          </w:p>
          <w:p w14:paraId="0DA4135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①业绩不属于类似工程的；</w:t>
            </w:r>
          </w:p>
          <w:p w14:paraId="2FAB584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②不是以指定身份参建的；</w:t>
            </w:r>
          </w:p>
          <w:p w14:paraId="142C19C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③业绩时间不符合要求的；</w:t>
            </w:r>
          </w:p>
          <w:p w14:paraId="464D37C4">
            <w:pPr>
              <w:pStyle w:val="8"/>
              <w:keepNext w:val="0"/>
              <w:keepLines w:val="0"/>
              <w:pageBreakBefore w:val="0"/>
              <w:widowControl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④业绩未竣工验收的。</w:t>
            </w:r>
          </w:p>
        </w:tc>
      </w:tr>
      <w:tr w14:paraId="6CD7C66E">
        <w:tblPrEx>
          <w:tblCellMar>
            <w:top w:w="0" w:type="dxa"/>
            <w:left w:w="108" w:type="dxa"/>
            <w:bottom w:w="0" w:type="dxa"/>
            <w:right w:w="108" w:type="dxa"/>
          </w:tblCellMar>
        </w:tblPrEx>
        <w:trPr>
          <w:trHeight w:val="58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DB98355">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企业银行</w:t>
            </w:r>
          </w:p>
          <w:p w14:paraId="5FD63D00">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资信评级</w:t>
            </w:r>
          </w:p>
          <w:p w14:paraId="77B285E0">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89D8DE2">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1．银行资信评级AAA得</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p w14:paraId="0FF5B20E">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2．银行资信评级AA（含AA＋、AA－）,得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p w14:paraId="58C9783A">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3．银行资信评级A（含A＋、A－）,得1分；</w:t>
            </w:r>
          </w:p>
          <w:p w14:paraId="41E69850">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4．未获得过以上评级的，或评级证书无效的，不予计分。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915AEB2">
            <w:pPr>
              <w:pageBreakBefore w:val="0"/>
              <w:kinsoku/>
              <w:wordWrap/>
              <w:overflowPunct/>
              <w:bidi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1．需附在有效期内的资信评级证书（证明）彩色扫描件。</w:t>
            </w:r>
          </w:p>
          <w:p w14:paraId="21D42D1D">
            <w:pPr>
              <w:pageBreakBefore w:val="0"/>
              <w:kinsoku/>
              <w:wordWrap/>
              <w:overflowPunct/>
              <w:bidi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2．评级证书（证明）须由</w:t>
            </w:r>
            <w:r>
              <w:rPr>
                <w:rFonts w:hint="eastAsia" w:ascii="宋体" w:hAnsi="宋体" w:eastAsia="宋体" w:cs="宋体"/>
                <w:snapToGrid w:val="0"/>
                <w:color w:val="auto"/>
                <w:kern w:val="0"/>
                <w:sz w:val="21"/>
                <w:szCs w:val="21"/>
                <w:highlight w:val="none"/>
                <w:u w:val="single"/>
              </w:rPr>
              <w:t>企业基本账户开户银行/市级或以上金融机构</w:t>
            </w:r>
            <w:r>
              <w:rPr>
                <w:rFonts w:hint="eastAsia" w:ascii="宋体" w:hAnsi="宋体" w:eastAsia="宋体" w:cs="宋体"/>
                <w:snapToGrid w:val="0"/>
                <w:color w:val="auto"/>
                <w:kern w:val="0"/>
                <w:sz w:val="21"/>
                <w:szCs w:val="21"/>
                <w:highlight w:val="none"/>
              </w:rPr>
              <w:t>出具。</w:t>
            </w:r>
          </w:p>
          <w:p w14:paraId="29E0C15D">
            <w:pPr>
              <w:pageBreakBefore w:val="0"/>
              <w:kinsoku/>
              <w:wordWrap/>
              <w:overflowPunct/>
              <w:bidi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3．评级证书（证明）有以下情形之一的，视为无效：</w:t>
            </w:r>
          </w:p>
          <w:p w14:paraId="4ADF9A4D">
            <w:pPr>
              <w:pageBreakBefore w:val="0"/>
              <w:kinsoku/>
              <w:wordWrap/>
              <w:overflowPunct/>
              <w:bidi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①评级证书（证明）不在有效期内的；</w:t>
            </w:r>
          </w:p>
          <w:p w14:paraId="21AAA862">
            <w:pPr>
              <w:pageBreakBefore w:val="0"/>
              <w:kinsoku/>
              <w:wordWrap/>
              <w:overflowPunct/>
              <w:bidi w:val="0"/>
              <w:spacing w:line="360" w:lineRule="auto"/>
              <w:rPr>
                <w:rFonts w:hint="eastAsia" w:ascii="宋体" w:hAnsi="宋体" w:eastAsia="宋体" w:cs="宋体"/>
                <w:color w:val="auto"/>
                <w:spacing w:val="8"/>
                <w:sz w:val="21"/>
                <w:szCs w:val="21"/>
                <w:highlight w:val="none"/>
              </w:rPr>
            </w:pPr>
            <w:r>
              <w:rPr>
                <w:rFonts w:hint="eastAsia" w:ascii="宋体" w:hAnsi="宋体" w:eastAsia="宋体" w:cs="宋体"/>
                <w:snapToGrid w:val="0"/>
                <w:color w:val="auto"/>
                <w:kern w:val="0"/>
                <w:sz w:val="21"/>
                <w:szCs w:val="21"/>
                <w:highlight w:val="none"/>
              </w:rPr>
              <w:t>②出具机构不符合要求的。</w:t>
            </w:r>
          </w:p>
        </w:tc>
      </w:tr>
      <w:tr w14:paraId="574B5E47">
        <w:tblPrEx>
          <w:tblCellMar>
            <w:top w:w="0" w:type="dxa"/>
            <w:left w:w="108" w:type="dxa"/>
            <w:bottom w:w="0" w:type="dxa"/>
            <w:right w:w="108" w:type="dxa"/>
          </w:tblCellMar>
        </w:tblPrEx>
        <w:trPr>
          <w:trHeight w:val="814"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F1CA798">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企业管理</w:t>
            </w:r>
          </w:p>
          <w:p w14:paraId="5B08692A">
            <w:pPr>
              <w:pStyle w:val="8"/>
              <w:pageBreakBefore w:val="0"/>
              <w:kinsoku/>
              <w:wordWrap/>
              <w:overflowPunct/>
              <w:bidi w:val="0"/>
              <w:adjustRightInd w:val="0"/>
              <w:snapToGrid w:val="0"/>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体系认证</w:t>
            </w:r>
          </w:p>
          <w:p w14:paraId="7866032A">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0BC62E2">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1．质量管理体系认证证书、职业健康安全管理体系认证证书、环境管理体系认证证书中，每获得1项认证得3分，最高得9分。</w:t>
            </w:r>
          </w:p>
          <w:p w14:paraId="1309C703">
            <w:pPr>
              <w:pStyle w:val="8"/>
              <w:pageBreakBefore w:val="0"/>
              <w:kinsoku/>
              <w:wordWrap/>
              <w:overflowPunct/>
              <w:bidi w:val="0"/>
              <w:adjustRightInd w:val="0"/>
              <w:snapToGrid w:val="0"/>
              <w:spacing w:after="0" w:line="360" w:lineRule="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bidi="ar-SA"/>
              </w:rPr>
              <w:t>2．未获得以上认证的，不予计分。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FB1176E">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1．需附在有效期内的体系认证证书彩色扫描件（或打印件）。</w:t>
            </w:r>
          </w:p>
          <w:p w14:paraId="78119760">
            <w:pPr>
              <w:pageBreakBefore w:val="0"/>
              <w:kinsoku/>
              <w:wordWrap/>
              <w:overflowPunct/>
              <w:bidi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2．证书不在有效期内的，不计分。</w:t>
            </w:r>
          </w:p>
        </w:tc>
      </w:tr>
      <w:tr w14:paraId="5C0EED03">
        <w:tblPrEx>
          <w:tblCellMar>
            <w:top w:w="0" w:type="dxa"/>
            <w:left w:w="108" w:type="dxa"/>
            <w:bottom w:w="0" w:type="dxa"/>
            <w:right w:w="108" w:type="dxa"/>
          </w:tblCellMar>
        </w:tblPrEx>
        <w:trPr>
          <w:trHeight w:val="814"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F52ADB7">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w:t>
            </w:r>
          </w:p>
          <w:p w14:paraId="093D9219">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财务状况</w:t>
            </w:r>
          </w:p>
          <w:p w14:paraId="0D3F8BE8">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11</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8EF00D5">
            <w:pPr>
              <w:pStyle w:val="43"/>
              <w:pageBreakBefore w:val="0"/>
              <w:numPr>
                <w:ilvl w:val="0"/>
                <w:numId w:val="1"/>
              </w:numPr>
              <w:kinsoku/>
              <w:wordWrap/>
              <w:overflowPunct/>
              <w:bidi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提供不少于</w:t>
            </w:r>
            <w:r>
              <w:rPr>
                <w:rFonts w:hint="eastAsia" w:ascii="宋体" w:hAnsi="宋体" w:eastAsia="宋体" w:cs="宋体"/>
                <w:snapToGrid w:val="0"/>
                <w:color w:val="auto"/>
                <w:kern w:val="0"/>
                <w:sz w:val="21"/>
                <w:szCs w:val="21"/>
                <w:highlight w:val="none"/>
                <w:u w:val="single"/>
                <w:lang w:val="en-US" w:eastAsia="zh-CN"/>
              </w:rPr>
              <w:t xml:space="preserve"> 200</w:t>
            </w:r>
            <w:r>
              <w:rPr>
                <w:rFonts w:hint="eastAsia" w:ascii="宋体" w:hAnsi="宋体" w:eastAsia="宋体" w:cs="宋体"/>
                <w:snapToGrid w:val="0"/>
                <w:color w:val="auto"/>
                <w:kern w:val="0"/>
                <w:sz w:val="21"/>
                <w:szCs w:val="21"/>
                <w:highlight w:val="none"/>
              </w:rPr>
              <w:t>万元银行授信证明的，得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p w14:paraId="621B02EE">
            <w:pPr>
              <w:pStyle w:val="43"/>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2．提供投标人基本账户在本项目招标公告发布之日起至投标截止时间期间出现过至少连续3日不少于</w:t>
            </w:r>
            <w:r>
              <w:rPr>
                <w:rFonts w:hint="eastAsia" w:ascii="宋体" w:hAnsi="宋体" w:eastAsia="宋体" w:cs="宋体"/>
                <w:snapToGrid w:val="0"/>
                <w:color w:val="auto"/>
                <w:kern w:val="0"/>
                <w:sz w:val="21"/>
                <w:szCs w:val="21"/>
                <w:highlight w:val="none"/>
                <w:u w:val="single"/>
                <w:lang w:val="en-US" w:eastAsia="zh-CN"/>
              </w:rPr>
              <w:t xml:space="preserve"> 200</w:t>
            </w:r>
            <w:r>
              <w:rPr>
                <w:rFonts w:hint="eastAsia" w:ascii="宋体" w:hAnsi="宋体" w:eastAsia="宋体" w:cs="宋体"/>
                <w:snapToGrid w:val="0"/>
                <w:color w:val="auto"/>
                <w:kern w:val="0"/>
                <w:sz w:val="21"/>
                <w:szCs w:val="21"/>
                <w:highlight w:val="none"/>
              </w:rPr>
              <w:t>万元存款余额资金流水证明的，得</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D610388">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1．需附在有效期内的有关证明电子扫描件。</w:t>
            </w:r>
          </w:p>
          <w:p w14:paraId="5B40A48A">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2．银行授信证明有以下情形之一的，视为无效，不予计分：</w:t>
            </w:r>
          </w:p>
          <w:p w14:paraId="552D2110">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①授信证明不在有效期内的；</w:t>
            </w:r>
          </w:p>
          <w:p w14:paraId="3E82B442">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②授信额度不符合要求的；</w:t>
            </w:r>
          </w:p>
          <w:p w14:paraId="37A63281">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3．存款余额资金流水证明有以下情形之一的，视为无效，不予计分：</w:t>
            </w:r>
          </w:p>
          <w:p w14:paraId="1F30CB4C">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①存款账户不是基本账户的；</w:t>
            </w:r>
          </w:p>
          <w:p w14:paraId="6327F6EB">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②存款时间不符合要求的；</w:t>
            </w:r>
          </w:p>
          <w:p w14:paraId="7F2BB36E">
            <w:pPr>
              <w:pStyle w:val="8"/>
              <w:pageBreakBefore w:val="0"/>
              <w:kinsoku/>
              <w:wordWrap/>
              <w:overflowPunct/>
              <w:bidi w:val="0"/>
              <w:adjustRightInd w:val="0"/>
              <w:snapToGrid w:val="0"/>
              <w:spacing w:after="0"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③存款额度不符合要求的。</w:t>
            </w:r>
          </w:p>
        </w:tc>
      </w:tr>
      <w:tr w14:paraId="2A01DA77">
        <w:tblPrEx>
          <w:tblCellMar>
            <w:top w:w="0" w:type="dxa"/>
            <w:left w:w="108" w:type="dxa"/>
            <w:bottom w:w="0" w:type="dxa"/>
            <w:right w:w="108" w:type="dxa"/>
          </w:tblCellMar>
        </w:tblPrEx>
        <w:trPr>
          <w:trHeight w:val="814" w:hRule="atLeast"/>
          <w:jc w:val="center"/>
        </w:trPr>
        <w:tc>
          <w:tcPr>
            <w:tcW w:w="1404" w:type="dxa"/>
            <w:vMerge w:val="restart"/>
            <w:tcBorders>
              <w:top w:val="single" w:color="auto" w:sz="4" w:space="0"/>
              <w:left w:val="single" w:color="auto" w:sz="4" w:space="0"/>
              <w:bottom w:val="single" w:color="auto" w:sz="4" w:space="0"/>
              <w:right w:val="single" w:color="auto" w:sz="4" w:space="0"/>
            </w:tcBorders>
            <w:noWrap w:val="0"/>
            <w:vAlign w:val="center"/>
          </w:tcPr>
          <w:p w14:paraId="098BBCA8">
            <w:pPr>
              <w:pStyle w:val="21"/>
              <w:pageBreakBefore w:val="0"/>
              <w:kinsoku/>
              <w:wordWrap/>
              <w:overflowPunct/>
              <w:bidi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招标人自选项</w:t>
            </w:r>
          </w:p>
          <w:p w14:paraId="27C11A40">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20</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3341226">
            <w:pPr>
              <w:pStyle w:val="43"/>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1.获得过中国建筑业协会颁发的“创建鲁班奖工程优秀企业”得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p w14:paraId="2AF0F437">
            <w:pPr>
              <w:pStyle w:val="43"/>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2．其他情形的，不予计分。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60D25336">
            <w:pPr>
              <w:pStyle w:val="43"/>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1．需提供证书彩色扫描件（或打印件）。</w:t>
            </w:r>
          </w:p>
          <w:p w14:paraId="77B0EC2C">
            <w:pPr>
              <w:pStyle w:val="43"/>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2．奖项类别、颁发机构、不符合评分标准和备注规定的，不计分。</w:t>
            </w:r>
          </w:p>
        </w:tc>
      </w:tr>
      <w:tr w14:paraId="636EFEB4">
        <w:tblPrEx>
          <w:tblCellMar>
            <w:top w:w="0" w:type="dxa"/>
            <w:left w:w="108" w:type="dxa"/>
            <w:bottom w:w="0" w:type="dxa"/>
            <w:right w:w="108" w:type="dxa"/>
          </w:tblCellMar>
        </w:tblPrEx>
        <w:trPr>
          <w:trHeight w:val="2687" w:hRule="atLeast"/>
          <w:jc w:val="center"/>
        </w:trPr>
        <w:tc>
          <w:tcPr>
            <w:tcW w:w="1404" w:type="dxa"/>
            <w:vMerge w:val="continue"/>
            <w:tcBorders>
              <w:top w:val="single" w:color="auto" w:sz="4" w:space="0"/>
              <w:left w:val="single" w:color="auto" w:sz="4" w:space="0"/>
              <w:bottom w:val="single" w:color="auto" w:sz="4" w:space="0"/>
              <w:right w:val="single" w:color="auto" w:sz="4" w:space="0"/>
            </w:tcBorders>
            <w:noWrap w:val="0"/>
            <w:vAlign w:val="center"/>
          </w:tcPr>
          <w:p w14:paraId="597E32F9">
            <w:pPr>
              <w:pageBreakBefore w:val="0"/>
              <w:kinsoku/>
              <w:wordWrap/>
              <w:overflowPunct/>
              <w:bidi w:val="0"/>
              <w:spacing w:line="360" w:lineRule="auto"/>
              <w:rPr>
                <w:rFonts w:hint="eastAsia" w:ascii="宋体" w:hAnsi="宋体" w:eastAsia="宋体" w:cs="宋体"/>
                <w:snapToGrid w:val="0"/>
                <w:color w:val="auto"/>
                <w:kern w:val="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093A512">
            <w:pPr>
              <w:keepNext w:val="0"/>
              <w:keepLines w:val="0"/>
              <w:pageBreakBefore w:val="0"/>
              <w:widowControl w:val="0"/>
              <w:kinsoku/>
              <w:wordWrap/>
              <w:overflowPunct/>
              <w:topLinePunct w:val="0"/>
              <w:autoSpaceDE/>
              <w:autoSpaceDN/>
              <w:bidi w:val="0"/>
              <w:adjustRightInd w:val="0"/>
              <w:snapToGrid w:val="0"/>
              <w:spacing w:afterAutospacing="0" w:line="360" w:lineRule="auto"/>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1.企业近3年度（2022年度至今）获得过“中国建筑业协会”颁发的企业信用等级 AAA级证书的得5分；</w:t>
            </w:r>
          </w:p>
          <w:p w14:paraId="020C928D">
            <w:pPr>
              <w:keepNext w:val="0"/>
              <w:keepLines w:val="0"/>
              <w:pageBreakBefore w:val="0"/>
              <w:widowControl w:val="0"/>
              <w:kinsoku/>
              <w:wordWrap/>
              <w:overflowPunct/>
              <w:topLinePunct w:val="0"/>
              <w:autoSpaceDE/>
              <w:autoSpaceDN/>
              <w:bidi w:val="0"/>
              <w:adjustRightInd w:val="0"/>
              <w:snapToGrid w:val="0"/>
              <w:spacing w:afterAutospacing="0" w:line="360" w:lineRule="auto"/>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2．其他情形的，不予计分。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07B46A75">
            <w:pPr>
              <w:keepNext w:val="0"/>
              <w:keepLines w:val="0"/>
              <w:pageBreakBefore w:val="0"/>
              <w:widowControl w:val="0"/>
              <w:kinsoku/>
              <w:wordWrap/>
              <w:overflowPunct/>
              <w:topLinePunct w:val="0"/>
              <w:autoSpaceDE/>
              <w:autoSpaceDN/>
              <w:bidi w:val="0"/>
              <w:adjustRightInd w:val="0"/>
              <w:snapToGrid w:val="0"/>
              <w:spacing w:afterAutospacing="0" w:line="360" w:lineRule="auto"/>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1．需附有关证书彩色扫描件（或打印件）。</w:t>
            </w:r>
          </w:p>
          <w:p w14:paraId="36E4B6B8">
            <w:pPr>
              <w:keepNext w:val="0"/>
              <w:keepLines w:val="0"/>
              <w:pageBreakBefore w:val="0"/>
              <w:widowControl w:val="0"/>
              <w:kinsoku/>
              <w:wordWrap/>
              <w:overflowPunct/>
              <w:topLinePunct w:val="0"/>
              <w:autoSpaceDE/>
              <w:autoSpaceDN/>
              <w:bidi w:val="0"/>
              <w:adjustRightInd w:val="0"/>
              <w:snapToGrid w:val="0"/>
              <w:spacing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bidi="ar-SA"/>
              </w:rPr>
              <w:t>2．证书类别、颁发机构、不符合评分标准和备注规定的，不计分。</w:t>
            </w:r>
          </w:p>
        </w:tc>
      </w:tr>
      <w:tr w14:paraId="46895B6E">
        <w:tblPrEx>
          <w:tblCellMar>
            <w:top w:w="0" w:type="dxa"/>
            <w:left w:w="108" w:type="dxa"/>
            <w:bottom w:w="0" w:type="dxa"/>
            <w:right w:w="108" w:type="dxa"/>
          </w:tblCellMar>
        </w:tblPrEx>
        <w:trPr>
          <w:trHeight w:val="1975" w:hRule="atLeast"/>
          <w:jc w:val="center"/>
        </w:trPr>
        <w:tc>
          <w:tcPr>
            <w:tcW w:w="1404" w:type="dxa"/>
            <w:vMerge w:val="continue"/>
            <w:tcBorders>
              <w:top w:val="single" w:color="auto" w:sz="4" w:space="0"/>
              <w:left w:val="single" w:color="auto" w:sz="4" w:space="0"/>
              <w:bottom w:val="single" w:color="auto" w:sz="4" w:space="0"/>
              <w:right w:val="single" w:color="auto" w:sz="4" w:space="0"/>
            </w:tcBorders>
            <w:noWrap w:val="0"/>
            <w:vAlign w:val="center"/>
          </w:tcPr>
          <w:p w14:paraId="5957894D">
            <w:pPr>
              <w:pageBreakBefore w:val="0"/>
              <w:kinsoku/>
              <w:wordWrap/>
              <w:overflowPunct/>
              <w:bidi w:val="0"/>
              <w:spacing w:line="360" w:lineRule="auto"/>
              <w:rPr>
                <w:rFonts w:hint="eastAsia" w:ascii="宋体" w:hAnsi="宋体" w:eastAsia="宋体" w:cs="宋体"/>
                <w:snapToGrid w:val="0"/>
                <w:color w:val="auto"/>
                <w:kern w:val="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5BA03CE">
            <w:pPr>
              <w:keepNext w:val="0"/>
              <w:keepLines w:val="0"/>
              <w:pageBreakBefore w:val="0"/>
              <w:widowControl/>
              <w:suppressLineNumbers w:val="0"/>
              <w:kinsoku/>
              <w:wordWrap/>
              <w:overflowPunct/>
              <w:bidi w:val="0"/>
              <w:spacing w:line="360" w:lineRule="auto"/>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企业连续 3 年或 3 年以上（含 3 年）获得纳税信用 A 级纳税人的，得 5 分；(其中必须有 2024 年度)</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0B3C0CB6">
            <w:pPr>
              <w:keepNext w:val="0"/>
              <w:keepLines w:val="0"/>
              <w:pageBreakBefore w:val="0"/>
              <w:widowControl w:val="0"/>
              <w:kinsoku/>
              <w:wordWrap/>
              <w:overflowPunct/>
              <w:topLinePunct w:val="0"/>
              <w:autoSpaceDE/>
              <w:autoSpaceDN/>
              <w:bidi w:val="0"/>
              <w:adjustRightInd w:val="0"/>
              <w:snapToGrid w:val="0"/>
              <w:spacing w:afterAutospacing="0" w:line="360" w:lineRule="auto"/>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1．必须提供企业纳税信用 A 级纳税人证明材料（或证书）及国家税务总局网上查询截图，否则不得分。 </w:t>
            </w:r>
          </w:p>
          <w:p w14:paraId="09615A2C">
            <w:pPr>
              <w:keepNext w:val="0"/>
              <w:keepLines w:val="0"/>
              <w:pageBreakBefore w:val="0"/>
              <w:widowControl w:val="0"/>
              <w:kinsoku/>
              <w:wordWrap/>
              <w:overflowPunct/>
              <w:topLinePunct w:val="0"/>
              <w:autoSpaceDE/>
              <w:autoSpaceDN/>
              <w:bidi w:val="0"/>
              <w:adjustRightInd w:val="0"/>
              <w:snapToGrid w:val="0"/>
              <w:spacing w:afterAutospacing="0"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bidi="ar-SA"/>
              </w:rPr>
              <w:t>2．只计算投标人自身（不计算投标人的分公司、子公司及分支机构）</w:t>
            </w:r>
          </w:p>
        </w:tc>
      </w:tr>
      <w:tr w14:paraId="025409B6">
        <w:tblPrEx>
          <w:tblCellMar>
            <w:top w:w="0" w:type="dxa"/>
            <w:left w:w="108" w:type="dxa"/>
            <w:bottom w:w="0" w:type="dxa"/>
            <w:right w:w="108" w:type="dxa"/>
          </w:tblCellMar>
        </w:tblPrEx>
        <w:trPr>
          <w:trHeight w:val="1975" w:hRule="atLeast"/>
          <w:jc w:val="center"/>
        </w:trPr>
        <w:tc>
          <w:tcPr>
            <w:tcW w:w="1404" w:type="dxa"/>
            <w:vMerge w:val="continue"/>
            <w:tcBorders>
              <w:top w:val="single" w:color="auto" w:sz="4" w:space="0"/>
              <w:left w:val="single" w:color="auto" w:sz="4" w:space="0"/>
              <w:bottom w:val="single" w:color="auto" w:sz="4" w:space="0"/>
              <w:right w:val="single" w:color="auto" w:sz="4" w:space="0"/>
            </w:tcBorders>
            <w:noWrap w:val="0"/>
            <w:vAlign w:val="center"/>
          </w:tcPr>
          <w:p w14:paraId="5F74D93D">
            <w:pPr>
              <w:pageBreakBefore w:val="0"/>
              <w:kinsoku/>
              <w:wordWrap/>
              <w:overflowPunct/>
              <w:bidi w:val="0"/>
              <w:spacing w:line="360" w:lineRule="auto"/>
              <w:rPr>
                <w:rFonts w:hint="eastAsia" w:ascii="宋体" w:hAnsi="宋体" w:eastAsia="宋体" w:cs="宋体"/>
                <w:snapToGrid w:val="0"/>
                <w:color w:val="auto"/>
                <w:kern w:val="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AC9DC8D">
            <w:pPr>
              <w:pStyle w:val="43"/>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企业近3年来（2022年1月1日至今）企业获得过地级市或地级市以上建筑协会颁发的“优秀典型施工企业”得5分。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7C4A73D">
            <w:pPr>
              <w:pStyle w:val="43"/>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1.需提供证书彩色扫描件（或打印件）和相关部门网站截图。</w:t>
            </w:r>
          </w:p>
          <w:p w14:paraId="240D4C4D">
            <w:pPr>
              <w:pStyle w:val="43"/>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2.奖项类别、颁发机构、不符合评分标准和备注规定的，不计分。</w:t>
            </w:r>
          </w:p>
        </w:tc>
      </w:tr>
      <w:tr w14:paraId="21CF54C6">
        <w:tblPrEx>
          <w:tblCellMar>
            <w:top w:w="0" w:type="dxa"/>
            <w:left w:w="108" w:type="dxa"/>
            <w:bottom w:w="0" w:type="dxa"/>
            <w:right w:w="108" w:type="dxa"/>
          </w:tblCellMar>
        </w:tblPrEx>
        <w:trPr>
          <w:trHeight w:val="624" w:hRule="exact"/>
          <w:jc w:val="center"/>
        </w:trPr>
        <w:tc>
          <w:tcPr>
            <w:tcW w:w="9574"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56A34A52">
            <w:pPr>
              <w:pStyle w:val="8"/>
              <w:pageBreakBefore w:val="0"/>
              <w:kinsoku/>
              <w:wordWrap/>
              <w:overflowPunct/>
              <w:bidi w:val="0"/>
              <w:adjustRightInd w:val="0"/>
              <w:snapToGrid w:val="0"/>
              <w:spacing w:after="0"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技术部分（施工组织设计），满分：</w:t>
            </w:r>
            <w:r>
              <w:rPr>
                <w:rFonts w:hint="eastAsia" w:ascii="宋体" w:hAnsi="宋体" w:eastAsia="宋体" w:cs="宋体"/>
                <w:snapToGrid w:val="0"/>
                <w:color w:val="auto"/>
                <w:kern w:val="0"/>
                <w:sz w:val="21"/>
                <w:szCs w:val="21"/>
                <w:highlight w:val="none"/>
                <w:u w:val="single"/>
              </w:rPr>
              <w:t xml:space="preserve">  20  </w:t>
            </w:r>
            <w:r>
              <w:rPr>
                <w:rFonts w:hint="eastAsia" w:ascii="宋体" w:hAnsi="宋体" w:eastAsia="宋体" w:cs="宋体"/>
                <w:snapToGrid w:val="0"/>
                <w:color w:val="auto"/>
                <w:kern w:val="0"/>
                <w:sz w:val="21"/>
                <w:szCs w:val="21"/>
                <w:highlight w:val="none"/>
              </w:rPr>
              <w:t>分。</w:t>
            </w:r>
          </w:p>
        </w:tc>
      </w:tr>
      <w:tr w14:paraId="354BEFFE">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02EF86E">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CD9396B">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563169C0">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14C8578D">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F190D52">
            <w:pPr>
              <w:pStyle w:val="6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总体概述</w:t>
            </w:r>
          </w:p>
          <w:p w14:paraId="22F4B157">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6A18E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63175A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649981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2D49B997">
            <w:pPr>
              <w:pStyle w:val="8"/>
              <w:pageBreakBefore w:val="0"/>
              <w:kinsoku/>
              <w:wordWrap/>
              <w:overflowPunct/>
              <w:bidi w:val="0"/>
              <w:adjustRightInd w:val="0"/>
              <w:snapToGrid w:val="0"/>
              <w:spacing w:after="0"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08845D13">
            <w:pPr>
              <w:pStyle w:val="8"/>
              <w:pageBreakBefore w:val="0"/>
              <w:kinsoku/>
              <w:wordWrap/>
              <w:overflowPunct/>
              <w:bidi w:val="0"/>
              <w:adjustRightInd w:val="0"/>
              <w:snapToGrid w:val="0"/>
              <w:spacing w:after="0"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46575C56">
            <w:pPr>
              <w:pStyle w:val="8"/>
              <w:pageBreakBefore w:val="0"/>
              <w:kinsoku/>
              <w:wordWrap/>
              <w:overflowPunct/>
              <w:bidi w:val="0"/>
              <w:adjustRightInd w:val="0"/>
              <w:snapToGrid w:val="0"/>
              <w:spacing w:after="0"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【良】对项目总体有一定认识，表述清晰、完整，措施具体有效；施工段划分呼应总体表述，划分清晰，符合规范要求。</w:t>
            </w:r>
          </w:p>
          <w:p w14:paraId="0EDC9B5F">
            <w:pPr>
              <w:pStyle w:val="8"/>
              <w:pageBreakBefore w:val="0"/>
              <w:kinsoku/>
              <w:wordWrap/>
              <w:overflowPunct/>
              <w:bidi w:val="0"/>
              <w:adjustRightInd w:val="0"/>
              <w:snapToGrid w:val="0"/>
              <w:spacing w:after="0"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【中】对项目总体有认识，有一定的措施但部分不具体；施工段划分较合理，符合规范要求。</w:t>
            </w:r>
          </w:p>
          <w:p w14:paraId="170382AC">
            <w:pPr>
              <w:pStyle w:val="8"/>
              <w:pageBreakBefore w:val="0"/>
              <w:kinsoku/>
              <w:wordWrap/>
              <w:overflowPunct/>
              <w:bidi w:val="0"/>
              <w:adjustRightInd w:val="0"/>
              <w:snapToGrid w:val="0"/>
              <w:spacing w:after="0"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【差】对项目认识不足，表述不清晰，措施不具体；施工段划分不合理。</w:t>
            </w:r>
          </w:p>
        </w:tc>
      </w:tr>
      <w:tr w14:paraId="7434978A">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195FE94">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施工总进</w:t>
            </w:r>
          </w:p>
          <w:p w14:paraId="2F80A46D">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度计划及</w:t>
            </w:r>
          </w:p>
          <w:p w14:paraId="35B10594">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2213EC1D">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3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2E963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6F1D1A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45CE19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774A7FF0">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3461E5C1">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1060F7A4">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787F8306">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4820399E">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11CE6541">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74AAE29">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14:paraId="7BFB65AC">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1A9B11A1">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4</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C2460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427D01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1AABD2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3D474123">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83B2D7C">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【优】应用新技术、新工艺、新材料、新设备，针对项目实际提出先进、可行、具体的保证措施。超过招标文件的质量要求。</w:t>
            </w:r>
          </w:p>
          <w:p w14:paraId="3BEE79A1">
            <w:pPr>
              <w:pageBreakBefore w:val="0"/>
              <w:kinsoku/>
              <w:wordWrap/>
              <w:overflowPunct/>
              <w:bidi w:val="0"/>
              <w:spacing w:line="360" w:lineRule="auto"/>
              <w:rPr>
                <w:rFonts w:hint="eastAsia" w:ascii="宋体" w:hAnsi="宋体" w:eastAsia="宋体" w:cs="宋体"/>
                <w:color w:val="auto"/>
                <w:sz w:val="21"/>
                <w:szCs w:val="21"/>
                <w:highlight w:val="none"/>
              </w:rPr>
            </w:pPr>
          </w:p>
          <w:p w14:paraId="65EFBC97">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【良】针对项目实际提出先进、可行、具体的保证措施。满足招标文件的质量要求</w:t>
            </w:r>
          </w:p>
          <w:p w14:paraId="2E099096">
            <w:pPr>
              <w:pageBreakBefore w:val="0"/>
              <w:kinsoku/>
              <w:wordWrap/>
              <w:overflowPunct/>
              <w:bidi w:val="0"/>
              <w:spacing w:line="360" w:lineRule="auto"/>
              <w:rPr>
                <w:rFonts w:hint="eastAsia" w:ascii="宋体" w:hAnsi="宋体" w:eastAsia="宋体" w:cs="宋体"/>
                <w:color w:val="auto"/>
                <w:sz w:val="21"/>
                <w:szCs w:val="21"/>
                <w:highlight w:val="none"/>
              </w:rPr>
            </w:pPr>
          </w:p>
          <w:p w14:paraId="33EA5BDA">
            <w:pPr>
              <w:pStyle w:val="8"/>
              <w:pageBreakBefore w:val="0"/>
              <w:kinsoku/>
              <w:wordWrap/>
              <w:overflowPunct/>
              <w:bidi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【中】具体措施可行。满足招标文件的质量要求。</w:t>
            </w:r>
          </w:p>
          <w:p w14:paraId="42DE22BF">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【差】措施不可行，没有质量违约责任承诺。</w:t>
            </w:r>
          </w:p>
        </w:tc>
      </w:tr>
      <w:tr w14:paraId="38E33D36">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1ADC616">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w:t>
            </w:r>
          </w:p>
          <w:p w14:paraId="6396215C">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技术措施</w:t>
            </w:r>
          </w:p>
          <w:p w14:paraId="413E2AFD">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995C4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429FDF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2101FD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4569A54B">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B9B3AE1">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72DBEA1C">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6F7B0832">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347A970A">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72605D53">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FB188E6">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绿色施工、</w:t>
            </w:r>
          </w:p>
          <w:p w14:paraId="5B4188DD">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安全防护、</w:t>
            </w:r>
          </w:p>
          <w:p w14:paraId="7C9149E9">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文明施工</w:t>
            </w:r>
          </w:p>
          <w:p w14:paraId="5387C228">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措施计划</w:t>
            </w:r>
          </w:p>
          <w:p w14:paraId="09745982">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73C5C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7DC55C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17D83A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438D9127">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11BBAB07">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【优】针对项目实际情况，有先进、具体、完整、可行的措施，采用规范准确、清晰。</w:t>
            </w:r>
          </w:p>
          <w:p w14:paraId="264F0675">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【良】针对项目实际情况，有合理的措施且具体、完整，采用规范准确。</w:t>
            </w:r>
          </w:p>
          <w:p w14:paraId="59094074">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【中】有基本合理的措施，采用规范准确。</w:t>
            </w:r>
          </w:p>
          <w:p w14:paraId="6AC708DA">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【差】措施不力，采用规范不正确。</w:t>
            </w:r>
          </w:p>
        </w:tc>
      </w:tr>
      <w:tr w14:paraId="1DE39B1C">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4ACDB3B">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施工平面</w:t>
            </w:r>
          </w:p>
          <w:p w14:paraId="38898111">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布置和临时设施布置</w:t>
            </w:r>
          </w:p>
          <w:p w14:paraId="1162D222">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BDF4C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67A730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2CF093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44D7E8B0">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6A0F959A">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【优】总体布置有针对性、合理，较好满足施工需要，符合绿色施工、安全防护、文明施工要求。</w:t>
            </w:r>
          </w:p>
          <w:p w14:paraId="5A281916">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【良】总体布置合理，能满足施工需要，基本符合绿色施工、安全防护、文明施工要求。</w:t>
            </w:r>
          </w:p>
          <w:p w14:paraId="09763546">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【中】总体布置基本合理，基本满足施工需要。</w:t>
            </w:r>
          </w:p>
          <w:p w14:paraId="5C0C5DC2">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【差】总体布置不合理，不符合绿色施工、安全防护、文明施工要求。</w:t>
            </w:r>
          </w:p>
        </w:tc>
      </w:tr>
      <w:tr w14:paraId="01F4D038">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EA599B3">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00A91BAD">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413F526E">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02C47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15331A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3E73D2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29710D32">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440CF39C">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w:t>
            </w:r>
          </w:p>
          <w:p w14:paraId="79DBB352">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【良】组织机构形式合理，指挥系统，生产及质量、绿色施工、安全、文明施工、创优达标监控系统、联络协调系统齐全。</w:t>
            </w:r>
          </w:p>
          <w:p w14:paraId="553DFDD4">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w:t>
            </w:r>
          </w:p>
          <w:p w14:paraId="4C7510B6">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【差】组织机构形式合理，指挥系统，生产及质量、绿色施工、安全、文明施工、创优达标监控系统、联络协调系统不齐全。</w:t>
            </w:r>
          </w:p>
        </w:tc>
      </w:tr>
      <w:tr w14:paraId="3A8826C2">
        <w:tblPrEx>
          <w:tblCellMar>
            <w:top w:w="0" w:type="dxa"/>
            <w:left w:w="108" w:type="dxa"/>
            <w:bottom w:w="0" w:type="dxa"/>
            <w:right w:w="108" w:type="dxa"/>
          </w:tblCellMar>
        </w:tblPrEx>
        <w:trPr>
          <w:trHeight w:val="746" w:hRule="atLeast"/>
          <w:jc w:val="center"/>
        </w:trPr>
        <w:tc>
          <w:tcPr>
            <w:tcW w:w="9574" w:type="dxa"/>
            <w:gridSpan w:val="3"/>
            <w:tcBorders>
              <w:top w:val="single" w:color="auto" w:sz="4" w:space="0"/>
              <w:left w:val="single" w:color="auto" w:sz="4" w:space="0"/>
              <w:bottom w:val="single" w:color="auto" w:sz="4" w:space="0"/>
              <w:right w:val="single" w:color="auto" w:sz="4" w:space="0"/>
            </w:tcBorders>
            <w:noWrap w:val="0"/>
            <w:vAlign w:val="center"/>
          </w:tcPr>
          <w:p w14:paraId="7A5B6DB0">
            <w:pPr>
              <w:pStyle w:val="45"/>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投标报价部分，满分：100分。</w:t>
            </w:r>
          </w:p>
        </w:tc>
      </w:tr>
      <w:tr w14:paraId="072CD453">
        <w:tblPrEx>
          <w:tblCellMar>
            <w:top w:w="0" w:type="dxa"/>
            <w:left w:w="108" w:type="dxa"/>
            <w:bottom w:w="0" w:type="dxa"/>
            <w:right w:w="108" w:type="dxa"/>
          </w:tblCellMar>
        </w:tblPrEx>
        <w:trPr>
          <w:trHeight w:val="74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70E070E">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评分事项</w:t>
            </w:r>
          </w:p>
        </w:tc>
        <w:tc>
          <w:tcPr>
            <w:tcW w:w="8170" w:type="dxa"/>
            <w:gridSpan w:val="2"/>
            <w:tcBorders>
              <w:top w:val="single" w:color="auto" w:sz="4" w:space="0"/>
              <w:left w:val="single" w:color="auto" w:sz="4" w:space="0"/>
              <w:bottom w:val="single" w:color="auto" w:sz="4" w:space="0"/>
              <w:right w:val="single" w:color="auto" w:sz="4" w:space="0"/>
            </w:tcBorders>
            <w:noWrap w:val="0"/>
            <w:vAlign w:val="center"/>
          </w:tcPr>
          <w:p w14:paraId="36870AF3">
            <w:pPr>
              <w:pStyle w:val="45"/>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评分方法</w:t>
            </w:r>
          </w:p>
        </w:tc>
      </w:tr>
      <w:tr w14:paraId="1A2ADB68">
        <w:tblPrEx>
          <w:tblCellMar>
            <w:top w:w="0" w:type="dxa"/>
            <w:left w:w="108" w:type="dxa"/>
            <w:bottom w:w="0" w:type="dxa"/>
            <w:right w:w="108" w:type="dxa"/>
          </w:tblCellMar>
        </w:tblPrEx>
        <w:trPr>
          <w:trHeight w:val="1408"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03447AA">
            <w:pPr>
              <w:pStyle w:val="8"/>
              <w:pageBreakBefore w:val="0"/>
              <w:kinsoku/>
              <w:wordWrap/>
              <w:overflowPunct/>
              <w:bidi w:val="0"/>
              <w:adjustRightInd w:val="0"/>
              <w:snapToGrid w:val="0"/>
              <w:spacing w:after="0"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评标基准价D</w:t>
            </w:r>
          </w:p>
        </w:tc>
        <w:tc>
          <w:tcPr>
            <w:tcW w:w="8170" w:type="dxa"/>
            <w:gridSpan w:val="2"/>
            <w:tcBorders>
              <w:top w:val="single" w:color="auto" w:sz="4" w:space="0"/>
              <w:left w:val="single" w:color="auto" w:sz="4" w:space="0"/>
              <w:bottom w:val="single" w:color="auto" w:sz="4" w:space="0"/>
              <w:right w:val="single" w:color="auto" w:sz="4" w:space="0"/>
            </w:tcBorders>
            <w:noWrap w:val="0"/>
            <w:vAlign w:val="center"/>
          </w:tcPr>
          <w:p w14:paraId="40922837">
            <w:pPr>
              <w:pageBreakBefore w:val="0"/>
              <w:numPr>
                <w:ilvl w:val="0"/>
                <w:numId w:val="2"/>
              </w:numPr>
              <w:kinsoku/>
              <w:wordWrap/>
              <w:overflowPunct/>
              <w:bidi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确定招标控制价下浮系数n：用1～21号球分别代表一个下浮系数，由评委代表从这21个号码中随机抽取</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次，每次抽取1个号码，抽出的号球不参与下次抽取。所抽取的3个号码对应下浮系数的算术平均值作为招标控制价下浮系数n。具体号码对应的下浮系数见下表。</w:t>
            </w:r>
          </w:p>
          <w:tbl>
            <w:tblPr>
              <w:tblStyle w:val="25"/>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476263E9">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F92C6BD">
                  <w:pPr>
                    <w:pageBreakBefore w:val="0"/>
                    <w:kinsoku/>
                    <w:wordWrap/>
                    <w:overflowPunct/>
                    <w:bidi w:val="0"/>
                    <w:adjustRightInd w:val="0"/>
                    <w:snapToGrid w:val="0"/>
                    <w:spacing w:line="360" w:lineRule="auto"/>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4C537ED7">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3C46FA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5D43B0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76DBFE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A3A11F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62190C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64014D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14:paraId="36A116A0">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2169DCD">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6019B87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8A24C7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0.1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0831B14">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0.2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3B3E52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0.3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C30542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0.4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092EAB4">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0.5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6191E7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0.6</w:t>
                  </w:r>
                </w:p>
              </w:tc>
            </w:tr>
            <w:tr w14:paraId="28BBE463">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555EE3A">
                  <w:pPr>
                    <w:pageBreakBefore w:val="0"/>
                    <w:kinsoku/>
                    <w:wordWrap/>
                    <w:overflowPunct/>
                    <w:bidi w:val="0"/>
                    <w:adjustRightInd w:val="0"/>
                    <w:snapToGrid w:val="0"/>
                    <w:spacing w:line="360" w:lineRule="auto"/>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B99E47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915894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356781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DBD198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0EA3DE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253335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2E228E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14:paraId="7E64BF86">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6D899E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3B5C7A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0.7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C2AB86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0.8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EE9300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0.9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1CADAD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4CA2F86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3D60C0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63AE90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1.3</w:t>
                  </w:r>
                </w:p>
              </w:tc>
            </w:tr>
            <w:tr w14:paraId="22FDAB7F">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DE25220">
                  <w:pPr>
                    <w:pageBreakBefore w:val="0"/>
                    <w:kinsoku/>
                    <w:wordWrap/>
                    <w:overflowPunct/>
                    <w:bidi w:val="0"/>
                    <w:adjustRightInd w:val="0"/>
                    <w:snapToGrid w:val="0"/>
                    <w:spacing w:line="360" w:lineRule="auto"/>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2DC992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5D0B3A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69EF10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32D462D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82C70D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9C8D207">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E50605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14:paraId="347A0E7D">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9EFC90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490A863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5069B4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FB883D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E13E33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9018AB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1AC4E9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A28D12C">
                  <w:pPr>
                    <w:pageBreakBefore w:val="0"/>
                    <w:kinsoku/>
                    <w:wordWrap/>
                    <w:overflowPunct/>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rPr>
                    <w:t>2</w:t>
                  </w:r>
                </w:p>
              </w:tc>
            </w:tr>
          </w:tbl>
          <w:p w14:paraId="463A755C">
            <w:pPr>
              <w:pStyle w:val="45"/>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（2）评标价D＝招标控制价×（1－n）</w:t>
            </w:r>
          </w:p>
        </w:tc>
      </w:tr>
      <w:tr w14:paraId="7E2D18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4" w:hRule="exact"/>
          <w:jc w:val="center"/>
        </w:trPr>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141B9E">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w:t>
            </w:r>
          </w:p>
          <w:p w14:paraId="3693782C">
            <w:pPr>
              <w:pStyle w:val="36"/>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得分N</w:t>
            </w:r>
          </w:p>
        </w:tc>
        <w:tc>
          <w:tcPr>
            <w:tcW w:w="817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50D8B3">
            <w:pPr>
              <w:pageBreakBefore w:val="0"/>
              <w:kinsoku/>
              <w:wordWrap/>
              <w:overflowPunct/>
              <w:bidi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采用内插法计算某投标人的投标报价得分N，即当投标人的投标总价等于评标基准价时得100分，每高于评标基准价一个百分点扣1分, 每低于评标基准价一个百分点扣0.5分，扣完为止。公式如下：</w:t>
            </w:r>
          </w:p>
          <w:p w14:paraId="4A7CA72F">
            <w:pPr>
              <w:pageBreakBefore w:val="0"/>
              <w:kinsoku/>
              <w:wordWrap/>
              <w:overflowPunct/>
              <w:bidi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284593EA">
            <w:pPr>
              <w:pageBreakBefore w:val="0"/>
              <w:kinsoku/>
              <w:wordWrap/>
              <w:overflowPunct/>
              <w:bidi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式中：D为评标基准价；Di为某投标人的投标总价；E为扣分因子，当Di＞D时，E＝1；当Di＜D时，E＝0.5。</w:t>
            </w:r>
          </w:p>
        </w:tc>
      </w:tr>
    </w:tbl>
    <w:p w14:paraId="418D5172">
      <w:pPr>
        <w:pageBreakBefore w:val="0"/>
        <w:kinsoku/>
        <w:wordWrap/>
        <w:overflowPunct/>
        <w:bidi w:val="0"/>
        <w:spacing w:before="38" w:line="360" w:lineRule="auto"/>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rPr>
        <w:t xml:space="preserve">15.5.2  </w:t>
      </w:r>
      <w:r>
        <w:rPr>
          <w:rFonts w:hint="eastAsia" w:ascii="宋体" w:hAnsi="宋体" w:eastAsia="宋体" w:cs="宋体"/>
          <w:b w:val="0"/>
          <w:bCs w:val="0"/>
          <w:color w:val="auto"/>
          <w:spacing w:val="-2"/>
          <w:sz w:val="24"/>
          <w:szCs w:val="24"/>
          <w:highlight w:val="none"/>
        </w:rPr>
        <w:t>否决投标说明</w:t>
      </w:r>
      <w:bookmarkEnd w:id="132"/>
      <w:bookmarkEnd w:id="133"/>
      <w:bookmarkEnd w:id="134"/>
      <w:bookmarkEnd w:id="135"/>
    </w:p>
    <w:p w14:paraId="4FE43509">
      <w:pPr>
        <w:pageBreakBefore w:val="0"/>
        <w:kinsoku/>
        <w:wordWrap/>
        <w:overflowPunct/>
        <w:bidi w:val="0"/>
        <w:spacing w:before="150" w:line="360" w:lineRule="auto"/>
        <w:ind w:right="195" w:firstLine="46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5"/>
          <w:sz w:val="24"/>
          <w:szCs w:val="24"/>
          <w:highlight w:val="none"/>
        </w:rPr>
        <w:t xml:space="preserve">4 </w:t>
      </w:r>
      <w:r>
        <w:rPr>
          <w:rFonts w:hint="eastAsia" w:ascii="宋体" w:hAnsi="宋体" w:eastAsia="宋体" w:cs="宋体"/>
          <w:color w:val="auto"/>
          <w:spacing w:val="-5"/>
          <w:sz w:val="24"/>
          <w:szCs w:val="24"/>
          <w:highlight w:val="none"/>
        </w:rPr>
        <w:t>条中集</w:t>
      </w:r>
      <w:r>
        <w:rPr>
          <w:rFonts w:hint="eastAsia" w:ascii="宋体" w:hAnsi="宋体" w:eastAsia="宋体" w:cs="宋体"/>
          <w:color w:val="auto"/>
          <w:spacing w:val="-1"/>
          <w:sz w:val="24"/>
          <w:szCs w:val="24"/>
          <w:highlight w:val="none"/>
        </w:rPr>
        <w:t>中列示。投标人有其中所列任何一种情形的，由评标委员会</w:t>
      </w:r>
      <w:r>
        <w:rPr>
          <w:rFonts w:hint="eastAsia" w:ascii="宋体" w:hAnsi="宋体" w:eastAsia="宋体" w:cs="宋体"/>
          <w:color w:val="auto"/>
          <w:spacing w:val="-5"/>
          <w:sz w:val="24"/>
          <w:szCs w:val="24"/>
          <w:highlight w:val="none"/>
        </w:rPr>
        <w:t>否决其投标。评标委员会经评审，认为所有投标都不符合招标文件要求的，可否决所有投标，项目的所有投标被否决的，招标人应依法重新组织招标。</w:t>
      </w:r>
    </w:p>
    <w:p w14:paraId="2B7FCCB7">
      <w:pPr>
        <w:pageBreakBefore w:val="0"/>
        <w:kinsoku/>
        <w:wordWrap/>
        <w:overflowPunct/>
        <w:bidi w:val="0"/>
        <w:spacing w:before="59" w:line="36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2A888BCA">
      <w:pPr>
        <w:pageBreakBefore w:val="0"/>
        <w:kinsoku/>
        <w:wordWrap/>
        <w:overflowPunct/>
        <w:bidi w:val="0"/>
        <w:spacing w:before="78" w:line="360" w:lineRule="auto"/>
        <w:ind w:left="496"/>
        <w:outlineLvl w:val="2"/>
        <w:rPr>
          <w:rFonts w:hint="eastAsia" w:ascii="宋体" w:hAnsi="宋体" w:eastAsia="宋体" w:cs="宋体"/>
          <w:color w:val="auto"/>
          <w:sz w:val="24"/>
          <w:szCs w:val="24"/>
          <w:highlight w:val="none"/>
        </w:rPr>
      </w:pPr>
      <w:bookmarkStart w:id="136" w:name="bookmark137"/>
      <w:bookmarkEnd w:id="136"/>
      <w:bookmarkStart w:id="137" w:name="_Toc21307"/>
      <w:bookmarkStart w:id="138" w:name="_Toc269"/>
      <w:r>
        <w:rPr>
          <w:rFonts w:hint="eastAsia" w:ascii="宋体" w:hAnsi="宋体" w:eastAsia="宋体" w:cs="宋体"/>
          <w:b/>
          <w:bCs/>
          <w:color w:val="auto"/>
          <w:spacing w:val="-7"/>
          <w:sz w:val="24"/>
          <w:szCs w:val="24"/>
          <w:highlight w:val="none"/>
        </w:rPr>
        <w:t>16</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b/>
          <w:bCs/>
          <w:color w:val="auto"/>
          <w:spacing w:val="-7"/>
          <w:sz w:val="24"/>
          <w:szCs w:val="24"/>
          <w:highlight w:val="none"/>
        </w:rPr>
        <w:t>中标候选人公示</w:t>
      </w:r>
      <w:bookmarkEnd w:id="137"/>
      <w:bookmarkEnd w:id="138"/>
    </w:p>
    <w:p w14:paraId="14D4EA81">
      <w:pPr>
        <w:pageBreakBefore w:val="0"/>
        <w:kinsoku/>
        <w:wordWrap/>
        <w:overflowPunct/>
        <w:bidi w:val="0"/>
        <w:spacing w:before="135" w:line="360" w:lineRule="auto"/>
        <w:ind w:left="2" w:right="105" w:firstLine="49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16.1  </w:t>
      </w:r>
      <w:r>
        <w:rPr>
          <w:rFonts w:hint="eastAsia" w:ascii="宋体" w:hAnsi="宋体" w:eastAsia="宋体" w:cs="宋体"/>
          <w:color w:val="auto"/>
          <w:spacing w:val="1"/>
          <w:sz w:val="24"/>
          <w:szCs w:val="24"/>
          <w:highlight w:val="none"/>
        </w:rPr>
        <w:t>招标人自收到评标委员会提交的书面评标报告和中标候选人名单之日起3日</w:t>
      </w:r>
      <w:r>
        <w:rPr>
          <w:rFonts w:hint="eastAsia" w:ascii="宋体" w:hAnsi="宋体" w:eastAsia="宋体" w:cs="宋体"/>
          <w:color w:val="auto"/>
          <w:spacing w:val="-1"/>
          <w:sz w:val="24"/>
          <w:szCs w:val="24"/>
          <w:highlight w:val="none"/>
        </w:rPr>
        <w:t>内，将评标结果（即中标候选人名单）、中标候选人投标</w:t>
      </w:r>
      <w:r>
        <w:rPr>
          <w:rFonts w:hint="eastAsia" w:ascii="宋体" w:hAnsi="宋体" w:eastAsia="宋体" w:cs="宋体"/>
          <w:color w:val="auto"/>
          <w:spacing w:val="-2"/>
          <w:sz w:val="24"/>
          <w:szCs w:val="24"/>
          <w:highlight w:val="none"/>
        </w:rPr>
        <w:t>文件（指商务标书分册）、评</w:t>
      </w:r>
      <w:r>
        <w:rPr>
          <w:rFonts w:hint="eastAsia" w:ascii="宋体" w:hAnsi="宋体" w:eastAsia="宋体" w:cs="宋体"/>
          <w:color w:val="auto"/>
          <w:sz w:val="24"/>
          <w:szCs w:val="24"/>
          <w:highlight w:val="none"/>
        </w:rPr>
        <w:t>标过程（评标专家姓名用代码标记）一并在广东省招标投标监管网（http://zbtb.gd</w:t>
      </w:r>
      <w:r>
        <w:rPr>
          <w:rFonts w:hint="eastAsia" w:ascii="宋体" w:hAnsi="宋体" w:eastAsia="宋体" w:cs="宋体"/>
          <w:color w:val="auto"/>
          <w:spacing w:val="-1"/>
          <w:sz w:val="24"/>
          <w:szCs w:val="24"/>
          <w:highlight w:val="none"/>
        </w:rPr>
        <w:t>.gov.cn）、全国公共资源交易平台（广东省·韶关市</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https://ygp.gdzwfw.gov.cn/ggzy-po</w:t>
      </w:r>
      <w:r>
        <w:rPr>
          <w:rFonts w:hint="eastAsia" w:ascii="宋体" w:hAnsi="宋体" w:eastAsia="宋体" w:cs="宋体"/>
          <w:color w:val="auto"/>
          <w:spacing w:val="-2"/>
          <w:sz w:val="24"/>
          <w:szCs w:val="24"/>
          <w:highlight w:val="none"/>
        </w:rPr>
        <w:t>rta</w:t>
      </w:r>
      <w:r>
        <w:rPr>
          <w:rFonts w:hint="eastAsia" w:ascii="宋体" w:hAnsi="宋体" w:eastAsia="宋体" w:cs="宋体"/>
          <w:color w:val="auto"/>
          <w:sz w:val="24"/>
          <w:szCs w:val="24"/>
          <w:highlight w:val="none"/>
        </w:rPr>
        <w:t>l/#/440200/index）进行</w:t>
      </w:r>
      <w:r>
        <w:rPr>
          <w:rFonts w:hint="eastAsia" w:ascii="宋体" w:hAnsi="宋体" w:eastAsia="宋体" w:cs="宋体"/>
          <w:color w:val="auto"/>
          <w:spacing w:val="-1"/>
          <w:sz w:val="24"/>
          <w:szCs w:val="24"/>
          <w:highlight w:val="none"/>
        </w:rPr>
        <w:t>公示，公示期不得少于3天。</w:t>
      </w:r>
    </w:p>
    <w:p w14:paraId="5C71A726">
      <w:pPr>
        <w:keepNext w:val="0"/>
        <w:keepLines w:val="0"/>
        <w:pageBreakBefore w:val="0"/>
        <w:widowControl/>
        <w:kinsoku w:val="0"/>
        <w:wordWrap/>
        <w:overflowPunct/>
        <w:topLinePunct w:val="0"/>
        <w:autoSpaceDE w:val="0"/>
        <w:autoSpaceDN w:val="0"/>
        <w:bidi w:val="0"/>
        <w:adjustRightInd w:val="0"/>
        <w:snapToGrid w:val="0"/>
        <w:spacing w:before="78" w:line="360" w:lineRule="auto"/>
        <w:ind w:left="11" w:firstLine="488"/>
        <w:textAlignment w:val="baseline"/>
        <w:rPr>
          <w:rFonts w:hint="eastAsia" w:ascii="宋体" w:hAnsi="宋体" w:eastAsia="宋体" w:cs="宋体"/>
          <w:b w:val="0"/>
          <w:bCs w:val="0"/>
          <w:color w:val="auto"/>
          <w:spacing w:val="24"/>
          <w:w w:val="101"/>
          <w:sz w:val="24"/>
          <w:szCs w:val="24"/>
          <w:highlight w:val="none"/>
        </w:rPr>
      </w:pPr>
      <w:r>
        <w:rPr>
          <w:rFonts w:hint="eastAsia" w:ascii="宋体" w:hAnsi="宋体" w:eastAsia="宋体" w:cs="宋体"/>
          <w:b/>
          <w:bCs/>
          <w:color w:val="auto"/>
          <w:spacing w:val="-2"/>
          <w:sz w:val="24"/>
          <w:szCs w:val="24"/>
          <w:highlight w:val="none"/>
        </w:rPr>
        <w:t xml:space="preserve">16.2 </w:t>
      </w:r>
      <w:r>
        <w:rPr>
          <w:rFonts w:hint="eastAsia" w:ascii="宋体" w:hAnsi="宋体" w:eastAsia="宋体" w:cs="宋体"/>
          <w:b w:val="0"/>
          <w:bCs w:val="0"/>
          <w:color w:val="auto"/>
          <w:spacing w:val="24"/>
          <w:w w:val="101"/>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A8288A7">
      <w:pPr>
        <w:pageBreakBefore w:val="0"/>
        <w:kinsoku/>
        <w:wordWrap/>
        <w:overflowPunct/>
        <w:bidi w:val="0"/>
        <w:spacing w:before="79" w:line="360" w:lineRule="auto"/>
        <w:ind w:left="12" w:right="42" w:firstLine="483"/>
        <w:rPr>
          <w:rFonts w:hint="eastAsia" w:ascii="宋体" w:hAnsi="宋体" w:eastAsia="宋体" w:cs="宋体"/>
          <w:color w:val="auto"/>
          <w:spacing w:val="-4"/>
          <w:sz w:val="24"/>
          <w:szCs w:val="24"/>
          <w:highlight w:val="none"/>
        </w:rPr>
      </w:pPr>
      <w:r>
        <w:rPr>
          <w:rFonts w:hint="eastAsia" w:ascii="宋体" w:hAnsi="宋体" w:eastAsia="宋体" w:cs="宋体"/>
          <w:b/>
          <w:bCs/>
          <w:color w:val="auto"/>
          <w:spacing w:val="-9"/>
          <w:sz w:val="24"/>
          <w:szCs w:val="24"/>
          <w:highlight w:val="none"/>
        </w:rPr>
        <w:t>16.3</w:t>
      </w:r>
      <w:r>
        <w:rPr>
          <w:rFonts w:hint="eastAsia" w:ascii="宋体" w:hAnsi="宋体" w:eastAsia="宋体" w:cs="宋体"/>
          <w:b/>
          <w:bCs/>
          <w:color w:val="auto"/>
          <w:spacing w:val="24"/>
          <w:w w:val="101"/>
          <w:sz w:val="24"/>
          <w:szCs w:val="24"/>
          <w:highlight w:val="none"/>
        </w:rPr>
        <w:t xml:space="preserve">  </w:t>
      </w:r>
      <w:r>
        <w:rPr>
          <w:rFonts w:hint="eastAsia" w:ascii="宋体" w:hAnsi="宋体" w:eastAsia="宋体" w:cs="宋体"/>
          <w:color w:val="auto"/>
          <w:spacing w:val="-9"/>
          <w:sz w:val="24"/>
          <w:szCs w:val="24"/>
          <w:highlight w:val="none"/>
        </w:rPr>
        <w:t>中标候选人公示期满无异议（投诉）后，招标人确定第一中标候选人为中标人，</w:t>
      </w:r>
      <w:r>
        <w:rPr>
          <w:rFonts w:hint="eastAsia" w:ascii="宋体" w:hAnsi="宋体" w:eastAsia="宋体" w:cs="宋体"/>
          <w:color w:val="auto"/>
          <w:spacing w:val="-2"/>
          <w:sz w:val="24"/>
          <w:szCs w:val="24"/>
          <w:highlight w:val="none"/>
        </w:rPr>
        <w:t>并在中标人确定之日起7日内向中标人发出中标通知书。在中标通知书发出后5个工作日内，韶关市公共资源交易中心将投标保证金（或银行保函）退还给中标候选人以外的</w:t>
      </w:r>
      <w:r>
        <w:rPr>
          <w:rFonts w:hint="eastAsia" w:ascii="宋体" w:hAnsi="宋体" w:eastAsia="宋体" w:cs="宋体"/>
          <w:color w:val="auto"/>
          <w:spacing w:val="-4"/>
          <w:sz w:val="24"/>
          <w:szCs w:val="24"/>
          <w:highlight w:val="none"/>
        </w:rPr>
        <w:t>投标人。</w:t>
      </w:r>
    </w:p>
    <w:p w14:paraId="15623CD0">
      <w:pPr>
        <w:pageBreakBefore w:val="0"/>
        <w:kinsoku/>
        <w:wordWrap/>
        <w:overflowPunct/>
        <w:bidi w:val="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br w:type="page"/>
      </w:r>
    </w:p>
    <w:p w14:paraId="79EED929">
      <w:pPr>
        <w:pageBreakBefore w:val="0"/>
        <w:kinsoku/>
        <w:wordWrap/>
        <w:overflowPunct/>
        <w:bidi w:val="0"/>
        <w:spacing w:before="156" w:line="360" w:lineRule="auto"/>
        <w:outlineLvl w:val="1"/>
        <w:rPr>
          <w:rFonts w:hint="eastAsia" w:ascii="宋体" w:hAnsi="宋体" w:eastAsia="宋体" w:cs="宋体"/>
          <w:b/>
          <w:bCs/>
          <w:color w:val="auto"/>
          <w:spacing w:val="-3"/>
          <w:sz w:val="24"/>
          <w:szCs w:val="24"/>
          <w:highlight w:val="none"/>
        </w:rPr>
      </w:pPr>
      <w:bookmarkStart w:id="139" w:name="bookmark138"/>
      <w:bookmarkEnd w:id="139"/>
      <w:bookmarkStart w:id="140" w:name="_Toc28455"/>
      <w:bookmarkStart w:id="141" w:name="_Toc7185"/>
      <w:r>
        <w:rPr>
          <w:rFonts w:hint="eastAsia" w:ascii="宋体" w:hAnsi="宋体" w:eastAsia="宋体" w:cs="宋体"/>
          <w:b/>
          <w:bCs/>
          <w:color w:val="auto"/>
          <w:spacing w:val="-3"/>
          <w:sz w:val="24"/>
          <w:szCs w:val="24"/>
          <w:highlight w:val="none"/>
        </w:rPr>
        <w:t>第四节</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否决投标条件</w:t>
      </w:r>
      <w:bookmarkEnd w:id="140"/>
      <w:bookmarkEnd w:id="141"/>
    </w:p>
    <w:p w14:paraId="02741B16">
      <w:pPr>
        <w:pageBreakBefore w:val="0"/>
        <w:kinsoku/>
        <w:wordWrap/>
        <w:overflowPunct/>
        <w:bidi w:val="0"/>
        <w:spacing w:before="78" w:line="36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5898CA3C">
      <w:pPr>
        <w:pageBreakBefore w:val="0"/>
        <w:kinsoku/>
        <w:wordWrap/>
        <w:overflowPunct/>
        <w:bidi w:val="0"/>
        <w:spacing w:before="34" w:line="360" w:lineRule="auto"/>
        <w:ind w:left="495"/>
        <w:outlineLvl w:val="2"/>
        <w:rPr>
          <w:rFonts w:hint="eastAsia" w:ascii="宋体" w:hAnsi="宋体" w:eastAsia="宋体" w:cs="宋体"/>
          <w:color w:val="auto"/>
          <w:sz w:val="24"/>
          <w:szCs w:val="24"/>
          <w:highlight w:val="none"/>
        </w:rPr>
      </w:pPr>
      <w:bookmarkStart w:id="142" w:name="_Toc8173"/>
      <w:bookmarkStart w:id="143" w:name="_Toc27832"/>
      <w:bookmarkStart w:id="144" w:name="_Toc14475"/>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lang w:eastAsia="zh-CN"/>
        </w:rPr>
        <w:t>.</w:t>
      </w:r>
      <w:r>
        <w:rPr>
          <w:rFonts w:hint="eastAsia" w:ascii="宋体" w:hAnsi="宋体" w:eastAsia="宋体" w:cs="宋体"/>
          <w:b/>
          <w:bCs/>
          <w:color w:val="auto"/>
          <w:spacing w:val="-8"/>
          <w:sz w:val="24"/>
          <w:szCs w:val="24"/>
          <w:highlight w:val="none"/>
        </w:rPr>
        <w:t>资格评审环节</w:t>
      </w:r>
      <w:bookmarkEnd w:id="142"/>
      <w:bookmarkEnd w:id="143"/>
      <w:bookmarkEnd w:id="144"/>
    </w:p>
    <w:p w14:paraId="2CDF8C7C">
      <w:pPr>
        <w:pageBreakBefore w:val="0"/>
        <w:kinsoku/>
        <w:wordWrap/>
        <w:overflowPunct/>
        <w:bidi w:val="0"/>
        <w:spacing w:before="152" w:line="360" w:lineRule="auto"/>
        <w:ind w:left="13" w:right="65" w:firstLine="47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B415A91">
      <w:pPr>
        <w:pageBreakBefore w:val="0"/>
        <w:kinsoku/>
        <w:wordWrap/>
        <w:overflowPunct/>
        <w:bidi w:val="0"/>
        <w:spacing w:before="32" w:line="360"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（1）有本章第三节第</w:t>
      </w:r>
      <w:r>
        <w:rPr>
          <w:rFonts w:hint="eastAsia" w:ascii="宋体" w:hAnsi="宋体" w:eastAsia="宋体" w:cs="宋体"/>
          <w:color w:val="auto"/>
          <w:spacing w:val="-48"/>
          <w:sz w:val="24"/>
          <w:szCs w:val="24"/>
          <w:highlight w:val="none"/>
        </w:rPr>
        <w:t xml:space="preserve"> </w:t>
      </w:r>
      <w:r>
        <w:rPr>
          <w:rFonts w:hint="eastAsia" w:ascii="宋体" w:hAnsi="宋体" w:eastAsia="宋体" w:cs="宋体"/>
          <w:b/>
          <w:bCs/>
          <w:color w:val="auto"/>
          <w:spacing w:val="-2"/>
          <w:sz w:val="24"/>
          <w:szCs w:val="24"/>
          <w:highlight w:val="none"/>
        </w:rPr>
        <w:t xml:space="preserve">2.4 </w:t>
      </w:r>
      <w:r>
        <w:rPr>
          <w:rFonts w:hint="eastAsia" w:ascii="宋体" w:hAnsi="宋体" w:eastAsia="宋体" w:cs="宋体"/>
          <w:color w:val="auto"/>
          <w:spacing w:val="-2"/>
          <w:sz w:val="24"/>
          <w:szCs w:val="24"/>
          <w:highlight w:val="none"/>
        </w:rPr>
        <w:t>条“禁止投标条款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”规定的任何一种情形；</w:t>
      </w:r>
    </w:p>
    <w:p w14:paraId="6E8AB7C8">
      <w:pPr>
        <w:pageBreakBefore w:val="0"/>
        <w:kinsoku/>
        <w:wordWrap/>
        <w:overflowPunct/>
        <w:bidi w:val="0"/>
        <w:spacing w:before="154" w:line="360"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（2）投标人资质不符合规定的；</w:t>
      </w:r>
    </w:p>
    <w:p w14:paraId="2E25D147">
      <w:pPr>
        <w:keepNext w:val="0"/>
        <w:keepLines w:val="0"/>
        <w:pageBreakBefore w:val="0"/>
        <w:widowControl/>
        <w:kinsoku/>
        <w:wordWrap/>
        <w:overflowPunct/>
        <w:topLinePunct w:val="0"/>
        <w:autoSpaceDE w:val="0"/>
        <w:autoSpaceDN w:val="0"/>
        <w:bidi w:val="0"/>
        <w:adjustRightInd w:val="0"/>
        <w:snapToGrid w:val="0"/>
        <w:spacing w:before="153" w:line="360" w:lineRule="auto"/>
        <w:ind w:right="57" w:firstLine="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（3）投标人名称与营业执照、资质证书、安全生产许可证上的企业名称相互不一</w:t>
      </w:r>
      <w:r>
        <w:rPr>
          <w:rFonts w:hint="eastAsia" w:ascii="宋体" w:hAnsi="宋体" w:eastAsia="宋体" w:cs="宋体"/>
          <w:color w:val="auto"/>
          <w:spacing w:val="-1"/>
          <w:sz w:val="24"/>
          <w:szCs w:val="24"/>
          <w:highlight w:val="none"/>
        </w:rPr>
        <w:t>致的；其资质证书、安全生产许可证不是由住房城乡建设主管部门颁发的；营业执照、资质证书、安全生产许可证（含实时网页查询页，可参考网址https://zlaq.mohurd.gov.cnfwmh/bjxcjgl/fwmh/pages/construction_safety/qyaqscxkz/qyaqscxk）被吊销、暂扣或不在有效期内的；</w:t>
      </w:r>
    </w:p>
    <w:p w14:paraId="4D64198E">
      <w:pPr>
        <w:pageBreakBefore w:val="0"/>
        <w:kinsoku/>
        <w:wordWrap/>
        <w:overflowPunct/>
        <w:bidi w:val="0"/>
        <w:spacing w:before="153" w:line="360" w:lineRule="auto"/>
        <w:ind w:left="9" w:right="66"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注：投标人已经工商变更，但其企业资质证书、安全生产许可证</w:t>
      </w:r>
      <w:r>
        <w:rPr>
          <w:rFonts w:hint="eastAsia" w:ascii="宋体" w:hAnsi="宋体" w:eastAsia="宋体" w:cs="宋体"/>
          <w:b/>
          <w:bCs/>
          <w:color w:val="auto"/>
          <w:spacing w:val="-5"/>
          <w:sz w:val="24"/>
          <w:szCs w:val="24"/>
          <w:highlight w:val="none"/>
        </w:rPr>
        <w:t>的企业名称未完成</w:t>
      </w:r>
      <w:r>
        <w:rPr>
          <w:rFonts w:hint="eastAsia" w:ascii="宋体" w:hAnsi="宋体" w:eastAsia="宋体" w:cs="宋体"/>
          <w:b/>
          <w:bCs/>
          <w:color w:val="auto"/>
          <w:spacing w:val="-4"/>
          <w:sz w:val="24"/>
          <w:szCs w:val="24"/>
          <w:highlight w:val="none"/>
        </w:rPr>
        <w:t>变更的，不得否决其投标；投标人营业执照、资质证书、安全生产许可证之间登</w:t>
      </w:r>
      <w:r>
        <w:rPr>
          <w:rFonts w:hint="eastAsia" w:ascii="宋体" w:hAnsi="宋体" w:eastAsia="宋体" w:cs="宋体"/>
          <w:b/>
          <w:bCs/>
          <w:color w:val="auto"/>
          <w:spacing w:val="-5"/>
          <w:sz w:val="24"/>
          <w:szCs w:val="24"/>
          <w:highlight w:val="none"/>
        </w:rPr>
        <w:t>记的信</w:t>
      </w:r>
      <w:r>
        <w:rPr>
          <w:rFonts w:hint="eastAsia" w:ascii="宋体" w:hAnsi="宋体" w:eastAsia="宋体" w:cs="宋体"/>
          <w:b/>
          <w:bCs/>
          <w:color w:val="auto"/>
          <w:spacing w:val="-2"/>
          <w:sz w:val="24"/>
          <w:szCs w:val="24"/>
          <w:highlight w:val="none"/>
        </w:rPr>
        <w:t>息不一致，应当允许投标人澄清，不得直接否决其投</w:t>
      </w:r>
      <w:r>
        <w:rPr>
          <w:rFonts w:hint="eastAsia" w:ascii="宋体" w:hAnsi="宋体" w:eastAsia="宋体" w:cs="宋体"/>
          <w:b/>
          <w:bCs/>
          <w:color w:val="auto"/>
          <w:spacing w:val="-3"/>
          <w:sz w:val="24"/>
          <w:szCs w:val="24"/>
          <w:highlight w:val="none"/>
        </w:rPr>
        <w:t>标。</w:t>
      </w:r>
    </w:p>
    <w:p w14:paraId="1E0C4F2F">
      <w:pPr>
        <w:pageBreakBefore w:val="0"/>
        <w:numPr>
          <w:ilvl w:val="0"/>
          <w:numId w:val="3"/>
        </w:numPr>
        <w:kinsoku/>
        <w:wordWrap/>
        <w:overflowPunct/>
        <w:bidi w:val="0"/>
        <w:spacing w:before="32" w:line="360" w:lineRule="auto"/>
        <w:ind w:left="10" w:right="65" w:firstLine="49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拟派项目经理、项目技术负责人、专职安全员的条件不符合规定的；拟派专</w:t>
      </w:r>
      <w:r>
        <w:rPr>
          <w:rFonts w:hint="eastAsia" w:ascii="宋体" w:hAnsi="宋体" w:eastAsia="宋体" w:cs="宋体"/>
          <w:color w:val="auto"/>
          <w:spacing w:val="-2"/>
          <w:sz w:val="24"/>
          <w:szCs w:val="24"/>
          <w:highlight w:val="none"/>
        </w:rPr>
        <w:t>职安全员数量不符合规</w:t>
      </w:r>
      <w:r>
        <w:rPr>
          <w:rFonts w:hint="eastAsia" w:ascii="宋体" w:hAnsi="宋体" w:eastAsia="宋体" w:cs="宋体"/>
          <w:color w:val="auto"/>
          <w:spacing w:val="1"/>
          <w:sz w:val="24"/>
          <w:szCs w:val="24"/>
          <w:highlight w:val="none"/>
        </w:rPr>
        <w:t>定的；技术负责人未在投标文件《项目技术负责人简历表》中签</w:t>
      </w:r>
      <w:r>
        <w:rPr>
          <w:rFonts w:hint="eastAsia" w:ascii="宋体" w:hAnsi="宋体" w:eastAsia="宋体" w:cs="宋体"/>
          <w:color w:val="auto"/>
          <w:spacing w:val="1"/>
          <w:sz w:val="24"/>
          <w:szCs w:val="24"/>
          <w:highlight w:val="none"/>
          <w:lang w:eastAsia="zh-CN"/>
        </w:rPr>
        <w:t>字确认。</w:t>
      </w:r>
    </w:p>
    <w:p w14:paraId="0EF43D41">
      <w:pPr>
        <w:spacing w:before="34" w:line="360" w:lineRule="auto"/>
        <w:ind w:left="8" w:right="65" w:firstLine="492"/>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温馨提示：建造师打印电子证书后，应在个人签名处手写本人签名，未手写签名或与签名图像笔迹不一致的，该电子证书无效。</w:t>
      </w:r>
    </w:p>
    <w:p w14:paraId="0EC64185">
      <w:pPr>
        <w:pageBreakBefore w:val="0"/>
        <w:kinsoku/>
        <w:wordWrap/>
        <w:overflowPunct/>
        <w:bidi w:val="0"/>
        <w:spacing w:before="34" w:line="360" w:lineRule="auto"/>
        <w:ind w:left="8" w:right="65" w:firstLine="492"/>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（5）《项目经理简历表》中拟派项目经理与</w:t>
      </w:r>
      <w:r>
        <w:rPr>
          <w:rFonts w:hint="eastAsia" w:ascii="宋体" w:hAnsi="宋体" w:eastAsia="宋体" w:cs="宋体"/>
          <w:color w:val="auto"/>
          <w:spacing w:val="-2"/>
          <w:sz w:val="24"/>
          <w:szCs w:val="24"/>
          <w:highlight w:val="none"/>
        </w:rPr>
        <w:t>《开标一览表》不一致的；拟派的项目经理未在投标文件《项目经理简历表》中签字确认；一级建造师的注册证书不是国家住建部颁发的；二级建造师的电子注册证书不是省级住建厅颁发的；建造师的注册单位</w:t>
      </w:r>
      <w:r>
        <w:rPr>
          <w:rFonts w:hint="eastAsia" w:ascii="宋体" w:hAnsi="宋体" w:eastAsia="宋体" w:cs="宋体"/>
          <w:color w:val="auto"/>
          <w:spacing w:val="-8"/>
          <w:sz w:val="24"/>
          <w:szCs w:val="24"/>
          <w:highlight w:val="none"/>
        </w:rPr>
        <w:t>与投标人不一致的；项目管理班子组成人员的各类证书、证件、证明不在有效期内的（建造师注册证书不在使用有效期内的）；擅</w:t>
      </w:r>
      <w:r>
        <w:rPr>
          <w:rFonts w:hint="eastAsia" w:ascii="宋体" w:hAnsi="宋体" w:eastAsia="宋体" w:cs="宋体"/>
          <w:color w:val="auto"/>
          <w:spacing w:val="-2"/>
          <w:sz w:val="24"/>
          <w:szCs w:val="24"/>
          <w:highlight w:val="none"/>
        </w:rPr>
        <w:t>自修改、遗漏《项</w:t>
      </w:r>
      <w:r>
        <w:rPr>
          <w:rFonts w:hint="eastAsia" w:ascii="宋体" w:hAnsi="宋体" w:eastAsia="宋体" w:cs="宋体"/>
          <w:color w:val="auto"/>
          <w:spacing w:val="-3"/>
          <w:sz w:val="24"/>
          <w:szCs w:val="24"/>
          <w:highlight w:val="none"/>
        </w:rPr>
        <w:t>目经理任职声明》实质性内容的；</w:t>
      </w:r>
    </w:p>
    <w:p w14:paraId="5184D12E">
      <w:pPr>
        <w:pageBreakBefore w:val="0"/>
        <w:kinsoku/>
        <w:wordWrap/>
        <w:overflowPunct/>
        <w:bidi w:val="0"/>
        <w:spacing w:before="1" w:line="360" w:lineRule="auto"/>
        <w:ind w:left="28" w:right="66" w:firstLine="46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注：投标人已经工商变更，但其员工执业资格注册证书的注册单</w:t>
      </w:r>
      <w:r>
        <w:rPr>
          <w:rFonts w:hint="eastAsia" w:ascii="宋体" w:hAnsi="宋体" w:eastAsia="宋体" w:cs="宋体"/>
          <w:b/>
          <w:bCs/>
          <w:color w:val="auto"/>
          <w:spacing w:val="-5"/>
          <w:sz w:val="24"/>
          <w:szCs w:val="24"/>
          <w:highlight w:val="none"/>
        </w:rPr>
        <w:t>位名称未完成变更的，不得否决其投标。</w:t>
      </w:r>
    </w:p>
    <w:p w14:paraId="3ED90A44">
      <w:pPr>
        <w:pageBreakBefore w:val="0"/>
        <w:kinsoku/>
        <w:wordWrap/>
        <w:overflowPunct/>
        <w:bidi w:val="0"/>
        <w:spacing w:before="1" w:line="360" w:lineRule="auto"/>
        <w:ind w:left="28" w:right="66" w:firstLine="462"/>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鉴于目前继续教育开展的实际情况，建筑和市政工程施工现场专业人员（例如：施</w:t>
      </w:r>
      <w:bookmarkStart w:id="145" w:name="bookmark139"/>
      <w:bookmarkEnd w:id="145"/>
      <w:r>
        <w:rPr>
          <w:rFonts w:hint="eastAsia" w:ascii="宋体" w:hAnsi="宋体" w:eastAsia="宋体" w:cs="宋体"/>
          <w:b/>
          <w:bCs/>
          <w:color w:val="auto"/>
          <w:spacing w:val="-4"/>
          <w:sz w:val="24"/>
          <w:szCs w:val="24"/>
          <w:highlight w:val="none"/>
        </w:rPr>
        <w:t>工员、质量员、材料员、资料员）的岗位证书或培训证书不审查其证书的有效期。</w:t>
      </w:r>
    </w:p>
    <w:p w14:paraId="2B29F3F6">
      <w:pPr>
        <w:pageBreakBefore w:val="0"/>
        <w:kinsoku/>
        <w:wordWrap/>
        <w:overflowPunct/>
        <w:bidi w:val="0"/>
        <w:spacing w:before="146" w:line="360" w:lineRule="auto"/>
        <w:ind w:left="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（6）招标文件规定不接受联合体投标，但以联合体投标的；</w:t>
      </w:r>
    </w:p>
    <w:p w14:paraId="3741F56B">
      <w:pPr>
        <w:pageBreakBefore w:val="0"/>
        <w:kinsoku/>
        <w:wordWrap/>
        <w:overflowPunct/>
        <w:bidi w:val="0"/>
        <w:spacing w:before="154" w:line="360" w:lineRule="auto"/>
        <w:ind w:right="94" w:firstLine="49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（7）联合体投标，未提交《联合体协议书》的；擅自修改</w:t>
      </w:r>
      <w:r>
        <w:rPr>
          <w:rFonts w:hint="eastAsia" w:ascii="宋体" w:hAnsi="宋体" w:eastAsia="宋体" w:cs="宋体"/>
          <w:color w:val="auto"/>
          <w:spacing w:val="-3"/>
          <w:sz w:val="24"/>
          <w:szCs w:val="24"/>
          <w:highlight w:val="none"/>
        </w:rPr>
        <w:t>、遗漏《联合体协议书》</w:t>
      </w:r>
      <w:r>
        <w:rPr>
          <w:rFonts w:hint="eastAsia" w:ascii="宋体" w:hAnsi="宋体" w:eastAsia="宋体" w:cs="宋体"/>
          <w:color w:val="auto"/>
          <w:spacing w:val="-2"/>
          <w:sz w:val="24"/>
          <w:szCs w:val="24"/>
          <w:highlight w:val="none"/>
        </w:rPr>
        <w:t>实质性内容的；联合体成员的数量、资质不符合规定的；联合体成员同时以自己名义单</w:t>
      </w:r>
      <w:r>
        <w:rPr>
          <w:rFonts w:hint="eastAsia" w:ascii="宋体" w:hAnsi="宋体" w:eastAsia="宋体" w:cs="宋体"/>
          <w:color w:val="auto"/>
          <w:spacing w:val="-1"/>
          <w:sz w:val="24"/>
          <w:szCs w:val="24"/>
          <w:highlight w:val="none"/>
        </w:rPr>
        <w:t>独投标或者参加其他联合体投标的</w:t>
      </w:r>
      <w:r>
        <w:rPr>
          <w:rFonts w:hint="eastAsia" w:ascii="宋体" w:hAnsi="宋体" w:eastAsia="宋体" w:cs="宋体"/>
          <w:color w:val="auto"/>
          <w:spacing w:val="-1"/>
          <w:sz w:val="24"/>
          <w:szCs w:val="24"/>
          <w:highlight w:val="none"/>
          <w:lang w:eastAsia="zh-CN"/>
        </w:rPr>
        <w:t>。</w:t>
      </w:r>
    </w:p>
    <w:p w14:paraId="16A42CB0">
      <w:pPr>
        <w:pageBreakBefore w:val="0"/>
        <w:kinsoku/>
        <w:wordWrap/>
        <w:overflowPunct/>
        <w:bidi w:val="0"/>
        <w:spacing w:before="150" w:line="360" w:lineRule="auto"/>
        <w:ind w:right="200" w:firstLine="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（8）投标人为外省建筑企业，但未提供“进粤企业和人员诚信信息登记平台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”企</w:t>
      </w:r>
      <w:r>
        <w:rPr>
          <w:rFonts w:hint="eastAsia" w:ascii="宋体" w:hAnsi="宋体" w:eastAsia="宋体" w:cs="宋体"/>
          <w:color w:val="auto"/>
          <w:spacing w:val="-1"/>
          <w:sz w:val="24"/>
          <w:szCs w:val="24"/>
          <w:highlight w:val="none"/>
        </w:rPr>
        <w:t>业和拟派人员信息情况打印页或网页截图的。</w:t>
      </w:r>
    </w:p>
    <w:p w14:paraId="46F2E778">
      <w:pPr>
        <w:pageBreakBefore w:val="0"/>
        <w:kinsoku/>
        <w:wordWrap/>
        <w:overflowPunct/>
        <w:bidi w:val="0"/>
        <w:spacing w:before="154" w:line="360" w:lineRule="auto"/>
        <w:ind w:left="477"/>
        <w:outlineLvl w:val="2"/>
        <w:rPr>
          <w:rFonts w:hint="eastAsia" w:ascii="宋体" w:hAnsi="宋体" w:eastAsia="宋体" w:cs="宋体"/>
          <w:color w:val="auto"/>
          <w:sz w:val="24"/>
          <w:szCs w:val="24"/>
          <w:highlight w:val="none"/>
        </w:rPr>
      </w:pPr>
      <w:bookmarkStart w:id="146" w:name="_Toc5819"/>
      <w:bookmarkStart w:id="147" w:name="_Toc29071"/>
      <w:bookmarkStart w:id="148" w:name="_Toc12644"/>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lang w:eastAsia="zh-CN"/>
        </w:rPr>
        <w:t>.</w:t>
      </w:r>
      <w:r>
        <w:rPr>
          <w:rFonts w:hint="eastAsia" w:ascii="宋体" w:hAnsi="宋体" w:eastAsia="宋体" w:cs="宋体"/>
          <w:b/>
          <w:bCs/>
          <w:color w:val="auto"/>
          <w:spacing w:val="-7"/>
          <w:sz w:val="24"/>
          <w:szCs w:val="24"/>
          <w:highlight w:val="none"/>
        </w:rPr>
        <w:t>形式评审环节</w:t>
      </w:r>
      <w:bookmarkEnd w:id="146"/>
      <w:bookmarkEnd w:id="147"/>
      <w:bookmarkEnd w:id="148"/>
    </w:p>
    <w:p w14:paraId="17FA0E7B">
      <w:pPr>
        <w:pageBreakBefore w:val="0"/>
        <w:kinsoku/>
        <w:wordWrap/>
        <w:overflowPunct/>
        <w:bidi w:val="0"/>
        <w:spacing w:before="151" w:line="360" w:lineRule="auto"/>
        <w:ind w:right="200" w:firstLine="48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488D5B8">
      <w:pPr>
        <w:pageBreakBefore w:val="0"/>
        <w:kinsoku/>
        <w:wordWrap/>
        <w:overflowPunct/>
        <w:bidi w:val="0"/>
        <w:spacing w:before="32" w:line="360" w:lineRule="auto"/>
        <w:ind w:left="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01C21B1D">
      <w:pPr>
        <w:pageBreakBefore w:val="0"/>
        <w:kinsoku/>
        <w:wordWrap/>
        <w:overflowPunct/>
        <w:bidi w:val="0"/>
        <w:spacing w:before="153" w:line="360" w:lineRule="auto"/>
        <w:ind w:left="1" w:right="200" w:firstLine="49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7C87715B">
      <w:pPr>
        <w:pageBreakBefore w:val="0"/>
        <w:kinsoku/>
        <w:wordWrap/>
        <w:overflowPunct/>
        <w:bidi w:val="0"/>
        <w:spacing w:before="136" w:line="360" w:lineRule="auto"/>
        <w:ind w:left="8" w:right="200" w:firstLine="42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64A608C1">
      <w:pPr>
        <w:pageBreakBefore w:val="0"/>
        <w:kinsoku/>
        <w:wordWrap/>
        <w:overflowPunct/>
        <w:bidi w:val="0"/>
        <w:spacing w:before="209" w:line="360"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5001A17B">
      <w:pPr>
        <w:pageBreakBefore w:val="0"/>
        <w:kinsoku/>
        <w:wordWrap/>
        <w:overflowPunct/>
        <w:bidi w:val="0"/>
        <w:spacing w:before="206" w:line="360" w:lineRule="auto"/>
        <w:ind w:left="1" w:firstLine="4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（5）招标文件规定施工组织设计采用“暗标</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”方式进行评审，但施工组织设计的</w:t>
      </w:r>
      <w:r>
        <w:rPr>
          <w:rFonts w:hint="eastAsia" w:ascii="宋体" w:hAnsi="宋体" w:eastAsia="宋体" w:cs="宋体"/>
          <w:color w:val="auto"/>
          <w:spacing w:val="-4"/>
          <w:sz w:val="24"/>
          <w:szCs w:val="24"/>
          <w:highlight w:val="none"/>
        </w:rPr>
        <w:t>规格颜色、文字排版、正文篇幅（若有）不符合规定的；其任何部位出现手写以及涂改、</w:t>
      </w:r>
      <w:r>
        <w:rPr>
          <w:rFonts w:hint="eastAsia" w:ascii="宋体" w:hAnsi="宋体" w:eastAsia="宋体" w:cs="宋体"/>
          <w:color w:val="auto"/>
          <w:spacing w:val="-3"/>
          <w:sz w:val="24"/>
          <w:szCs w:val="24"/>
          <w:highlight w:val="none"/>
        </w:rPr>
        <w:t>行间插字或删除痕迹的；其任何部位出现投标人的名称和其它可识别投标人身份的字符、</w:t>
      </w:r>
      <w:r>
        <w:rPr>
          <w:rFonts w:hint="eastAsia" w:ascii="宋体" w:hAnsi="宋体" w:eastAsia="宋体" w:cs="宋体"/>
          <w:color w:val="auto"/>
          <w:spacing w:val="-1"/>
          <w:sz w:val="24"/>
          <w:szCs w:val="24"/>
          <w:highlight w:val="none"/>
        </w:rPr>
        <w:t>徽标、人员名称以及其他特殊标记的。</w:t>
      </w:r>
    </w:p>
    <w:p w14:paraId="7F1D1627">
      <w:pPr>
        <w:pageBreakBefore w:val="0"/>
        <w:kinsoku/>
        <w:wordWrap/>
        <w:overflowPunct/>
        <w:bidi w:val="0"/>
        <w:spacing w:before="227" w:line="360" w:lineRule="auto"/>
        <w:ind w:left="475"/>
        <w:outlineLvl w:val="2"/>
        <w:rPr>
          <w:rFonts w:hint="eastAsia" w:ascii="宋体" w:hAnsi="宋体" w:eastAsia="宋体" w:cs="宋体"/>
          <w:color w:val="auto"/>
          <w:sz w:val="24"/>
          <w:szCs w:val="24"/>
          <w:highlight w:val="none"/>
        </w:rPr>
      </w:pPr>
      <w:bookmarkStart w:id="149" w:name="_Toc26522"/>
      <w:bookmarkStart w:id="150" w:name="_Toc4409"/>
      <w:bookmarkStart w:id="151" w:name="_Toc11391"/>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lang w:eastAsia="zh-CN"/>
        </w:rPr>
        <w:t>.</w:t>
      </w:r>
      <w:r>
        <w:rPr>
          <w:rFonts w:hint="eastAsia" w:ascii="宋体" w:hAnsi="宋体" w:eastAsia="宋体" w:cs="宋体"/>
          <w:b/>
          <w:bCs/>
          <w:color w:val="auto"/>
          <w:spacing w:val="-6"/>
          <w:sz w:val="24"/>
          <w:szCs w:val="24"/>
          <w:highlight w:val="none"/>
        </w:rPr>
        <w:t>响应性评审环节</w:t>
      </w:r>
      <w:bookmarkEnd w:id="149"/>
      <w:bookmarkEnd w:id="150"/>
      <w:bookmarkEnd w:id="151"/>
    </w:p>
    <w:p w14:paraId="54C4FB24">
      <w:pPr>
        <w:keepNext w:val="0"/>
        <w:keepLines w:val="0"/>
        <w:pageBreakBefore w:val="0"/>
        <w:widowControl w:val="0"/>
        <w:kinsoku/>
        <w:wordWrap/>
        <w:overflowPunct/>
        <w:topLinePunct w:val="0"/>
        <w:autoSpaceDE w:val="0"/>
        <w:autoSpaceDN w:val="0"/>
        <w:bidi w:val="0"/>
        <w:adjustRightInd w:val="0"/>
        <w:snapToGrid w:val="0"/>
        <w:spacing w:before="151" w:line="360" w:lineRule="auto"/>
        <w:ind w:left="1" w:right="198" w:firstLine="48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2E235325">
      <w:pPr>
        <w:keepNext w:val="0"/>
        <w:keepLines w:val="0"/>
        <w:pageBreakBefore w:val="0"/>
        <w:widowControl w:val="0"/>
        <w:kinsoku/>
        <w:wordWrap/>
        <w:overflowPunct/>
        <w:topLinePunct w:val="0"/>
        <w:autoSpaceDE w:val="0"/>
        <w:autoSpaceDN w:val="0"/>
        <w:bidi w:val="0"/>
        <w:adjustRightInd w:val="0"/>
        <w:snapToGrid w:val="0"/>
        <w:spacing w:before="31" w:line="360" w:lineRule="auto"/>
        <w:ind w:left="40" w:right="198" w:firstLine="45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4086BFDC">
      <w:pPr>
        <w:keepNext w:val="0"/>
        <w:keepLines w:val="0"/>
        <w:pageBreakBefore w:val="0"/>
        <w:widowControl w:val="0"/>
        <w:kinsoku/>
        <w:wordWrap/>
        <w:overflowPunct/>
        <w:topLinePunct w:val="0"/>
        <w:autoSpaceDE w:val="0"/>
        <w:autoSpaceDN w:val="0"/>
        <w:bidi w:val="0"/>
        <w:adjustRightInd w:val="0"/>
        <w:snapToGrid w:val="0"/>
        <w:spacing w:before="157" w:line="360" w:lineRule="auto"/>
        <w:ind w:left="2" w:right="198"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2434B2FC">
      <w:pPr>
        <w:keepNext w:val="0"/>
        <w:keepLines w:val="0"/>
        <w:pageBreakBefore w:val="0"/>
        <w:widowControl w:val="0"/>
        <w:kinsoku/>
        <w:wordWrap/>
        <w:overflowPunct/>
        <w:topLinePunct w:val="0"/>
        <w:autoSpaceDE w:val="0"/>
        <w:autoSpaceDN w:val="0"/>
        <w:bidi w:val="0"/>
        <w:adjustRightInd w:val="0"/>
        <w:snapToGrid w:val="0"/>
        <w:spacing w:before="156" w:line="360" w:lineRule="auto"/>
        <w:ind w:right="200" w:firstLine="480"/>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10D18E62">
      <w:pPr>
        <w:keepNext w:val="0"/>
        <w:keepLines w:val="0"/>
        <w:pageBreakBefore w:val="0"/>
        <w:widowControl w:val="0"/>
        <w:kinsoku/>
        <w:wordWrap/>
        <w:overflowPunct/>
        <w:topLinePunct w:val="0"/>
        <w:autoSpaceDE w:val="0"/>
        <w:autoSpaceDN w:val="0"/>
        <w:bidi w:val="0"/>
        <w:adjustRightInd w:val="0"/>
        <w:snapToGrid w:val="0"/>
        <w:spacing w:before="78" w:line="360" w:lineRule="auto"/>
        <w:ind w:left="2" w:right="81"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（3）投标人委托造价咨询单位编制《投标总价》，但未在《投标总价扉页》（即扉—3）“投标人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63FE82E3">
      <w:pPr>
        <w:keepNext w:val="0"/>
        <w:keepLines w:val="0"/>
        <w:pageBreakBefore w:val="0"/>
        <w:widowControl w:val="0"/>
        <w:kinsoku/>
        <w:wordWrap/>
        <w:overflowPunct/>
        <w:topLinePunct w:val="0"/>
        <w:autoSpaceDE w:val="0"/>
        <w:autoSpaceDN w:val="0"/>
        <w:bidi w:val="0"/>
        <w:adjustRightInd w:val="0"/>
        <w:snapToGrid w:val="0"/>
        <w:spacing w:before="151" w:line="360" w:lineRule="auto"/>
        <w:ind w:right="21"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招标控制价</w:t>
      </w:r>
      <w:r>
        <w:rPr>
          <w:rFonts w:hint="eastAsia" w:ascii="宋体" w:hAnsi="宋体" w:eastAsia="宋体" w:cs="宋体"/>
          <w:color w:val="auto"/>
          <w:spacing w:val="-2"/>
          <w:sz w:val="24"/>
          <w:szCs w:val="24"/>
          <w:highlight w:val="none"/>
        </w:rPr>
        <w:t>的；绿色施工安全防护措施费少于规定的；暂列金额、暂估</w:t>
      </w:r>
      <w:r>
        <w:rPr>
          <w:rFonts w:hint="eastAsia" w:ascii="宋体" w:hAnsi="宋体" w:eastAsia="宋体" w:cs="宋体"/>
          <w:color w:val="auto"/>
          <w:spacing w:val="-3"/>
          <w:sz w:val="24"/>
          <w:szCs w:val="24"/>
          <w:highlight w:val="none"/>
        </w:rPr>
        <w:t>价未按照招标工程量清单统一报价的；投标总价下浮率超过15%，又未提供相应书面说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A4B5CD1">
      <w:pPr>
        <w:keepNext w:val="0"/>
        <w:keepLines w:val="0"/>
        <w:pageBreakBefore w:val="0"/>
        <w:widowControl w:val="0"/>
        <w:kinsoku/>
        <w:wordWrap/>
        <w:overflowPunct/>
        <w:topLinePunct w:val="0"/>
        <w:autoSpaceDE w:val="0"/>
        <w:autoSpaceDN w:val="0"/>
        <w:bidi w:val="0"/>
        <w:adjustRightInd w:val="0"/>
        <w:snapToGrid w:val="0"/>
        <w:spacing w:before="156" w:line="360" w:lineRule="auto"/>
        <w:ind w:right="81"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1590734">
      <w:pPr>
        <w:pageBreakBefore w:val="0"/>
        <w:kinsoku/>
        <w:wordWrap/>
        <w:overflowPunct/>
        <w:bidi w:val="0"/>
        <w:spacing w:before="151" w:line="360" w:lineRule="auto"/>
        <w:ind w:left="476"/>
        <w:outlineLvl w:val="2"/>
        <w:rPr>
          <w:rFonts w:hint="eastAsia" w:ascii="宋体" w:hAnsi="宋体" w:eastAsia="宋体" w:cs="宋体"/>
          <w:color w:val="auto"/>
          <w:sz w:val="24"/>
          <w:szCs w:val="24"/>
          <w:highlight w:val="none"/>
        </w:rPr>
      </w:pPr>
      <w:bookmarkStart w:id="152" w:name="_Toc14523"/>
      <w:bookmarkStart w:id="153" w:name="_Toc21929"/>
      <w:bookmarkStart w:id="154" w:name="_Toc29500"/>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lang w:eastAsia="zh-CN"/>
        </w:rPr>
        <w:t>.</w:t>
      </w:r>
      <w:r>
        <w:rPr>
          <w:rFonts w:hint="eastAsia" w:ascii="宋体" w:hAnsi="宋体" w:eastAsia="宋体" w:cs="宋体"/>
          <w:b/>
          <w:bCs/>
          <w:color w:val="auto"/>
          <w:spacing w:val="-11"/>
          <w:sz w:val="24"/>
          <w:szCs w:val="24"/>
          <w:highlight w:val="none"/>
        </w:rPr>
        <w:t>其他</w:t>
      </w:r>
      <w:bookmarkEnd w:id="152"/>
      <w:bookmarkEnd w:id="153"/>
      <w:bookmarkEnd w:id="154"/>
    </w:p>
    <w:p w14:paraId="46C8107D">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在任何评标环节（或阶段），投标人有下列情形之一的，评标委员会应否决其投标。被否决的投标人，不进入下一环节（或阶段）。</w:t>
      </w:r>
    </w:p>
    <w:p w14:paraId="6A70F2F8">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（1）不按评标委员会要求澄清、说明或补正的；</w:t>
      </w:r>
    </w:p>
    <w:p w14:paraId="4CBBCC9F">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（2）有下列情形之一，被评标委员会认定属于串通投标的：</w:t>
      </w:r>
    </w:p>
    <w:p w14:paraId="271141C1">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①不同投标人的投标文件两处以上（含两处）错、漏一致；</w:t>
      </w:r>
    </w:p>
    <w:p w14:paraId="55C46FE0">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087B172A">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③不同投标人的投标各项报价存在异常一致或者呈规律性变化；</w:t>
      </w:r>
    </w:p>
    <w:p w14:paraId="29190383">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④不同投标人的投标文件由同一单位或者同一个人编制；</w:t>
      </w:r>
    </w:p>
    <w:p w14:paraId="724112B1">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⑤不同投标人的投标文件中投标资料（包括电子资料）相互混装或项目班子成员出现同一人；</w:t>
      </w:r>
    </w:p>
    <w:p w14:paraId="2E9AD515">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⑥不同投标人的投标文件由同一电脑编制或同一台附属设备打印，或投标报价用同一个预算编制软件密码锁制作或出自同一电子文档；</w:t>
      </w:r>
    </w:p>
    <w:p w14:paraId="6E160A6D">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⑦不同投标人的投标保证由同一企业或同一账户资金缴纳；</w:t>
      </w:r>
    </w:p>
    <w:p w14:paraId="60106AC0">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536ABDEB">
      <w:pPr>
        <w:rPr>
          <w:rFonts w:hint="eastAsia" w:ascii="宋体" w:hAnsi="宋体" w:eastAsia="宋体" w:cs="宋体"/>
          <w:b/>
          <w:bCs/>
          <w:color w:val="auto"/>
          <w:spacing w:val="-3"/>
          <w:sz w:val="24"/>
          <w:szCs w:val="24"/>
          <w:highlight w:val="none"/>
        </w:rPr>
      </w:pPr>
      <w:bookmarkStart w:id="155" w:name="bookmark57"/>
      <w:bookmarkEnd w:id="155"/>
      <w:bookmarkStart w:id="156" w:name="_Toc20000"/>
      <w:bookmarkStart w:id="157" w:name="_Toc20640"/>
      <w:r>
        <w:rPr>
          <w:rFonts w:hint="eastAsia" w:ascii="宋体" w:hAnsi="宋体" w:eastAsia="宋体" w:cs="宋体"/>
          <w:b/>
          <w:bCs/>
          <w:color w:val="auto"/>
          <w:spacing w:val="-3"/>
          <w:sz w:val="24"/>
          <w:szCs w:val="24"/>
          <w:highlight w:val="none"/>
        </w:rPr>
        <w:br w:type="page"/>
      </w:r>
    </w:p>
    <w:p w14:paraId="53EB2D8B">
      <w:pPr>
        <w:pageBreakBefore w:val="0"/>
        <w:kinsoku/>
        <w:wordWrap/>
        <w:overflowPunct/>
        <w:bidi w:val="0"/>
        <w:spacing w:before="78" w:line="360" w:lineRule="auto"/>
        <w:jc w:val="center"/>
        <w:outlineLvl w:val="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第二章</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中标人须知</w:t>
      </w:r>
      <w:bookmarkEnd w:id="156"/>
      <w:bookmarkEnd w:id="157"/>
    </w:p>
    <w:p w14:paraId="33D1480D">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rPr>
      </w:pPr>
      <w:bookmarkStart w:id="158" w:name="_Toc9110"/>
      <w:bookmarkStart w:id="159" w:name="_Toc11992"/>
      <w:r>
        <w:rPr>
          <w:rFonts w:hint="eastAsia" w:ascii="宋体" w:hAnsi="宋体" w:eastAsia="宋体" w:cs="宋体"/>
          <w:b/>
          <w:bCs/>
          <w:color w:val="auto"/>
          <w:spacing w:val="-11"/>
          <w:sz w:val="24"/>
          <w:szCs w:val="24"/>
          <w:highlight w:val="none"/>
        </w:rPr>
        <w:t>1</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中标通知书</w:t>
      </w:r>
      <w:bookmarkEnd w:id="158"/>
      <w:bookmarkEnd w:id="159"/>
    </w:p>
    <w:p w14:paraId="51329CD9">
      <w:pPr>
        <w:pageBreakBefore w:val="0"/>
        <w:kinsoku/>
        <w:wordWrap/>
        <w:overflowPunct/>
        <w:bidi w:val="0"/>
        <w:spacing w:before="152" w:line="360" w:lineRule="auto"/>
        <w:ind w:left="17" w:firstLine="559"/>
        <w:jc w:val="both"/>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招标人确定第一中标候选人为中标人，并在中标人确定之日起7日内向中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6832A809">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rPr>
      </w:pPr>
      <w:bookmarkStart w:id="160" w:name="_Toc7161"/>
      <w:bookmarkStart w:id="161" w:name="_Toc10616"/>
      <w:r>
        <w:rPr>
          <w:rFonts w:hint="eastAsia" w:ascii="宋体" w:hAnsi="宋体" w:eastAsia="宋体" w:cs="宋体"/>
          <w:b/>
          <w:bCs/>
          <w:color w:val="auto"/>
          <w:spacing w:val="-11"/>
          <w:sz w:val="24"/>
          <w:szCs w:val="24"/>
          <w:highlight w:val="none"/>
        </w:rPr>
        <w:t>2</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中标结果公示</w:t>
      </w:r>
      <w:bookmarkEnd w:id="160"/>
      <w:bookmarkEnd w:id="161"/>
    </w:p>
    <w:p w14:paraId="5173095A">
      <w:pPr>
        <w:pageBreakBefore w:val="0"/>
        <w:kinsoku/>
        <w:wordWrap/>
        <w:overflowPunct/>
        <w:bidi w:val="0"/>
        <w:spacing w:before="115" w:line="360" w:lineRule="auto"/>
        <w:ind w:left="2" w:right="203" w:firstLine="595"/>
        <w:jc w:val="both"/>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w:t>
      </w:r>
      <w:r>
        <w:rPr>
          <w:rFonts w:hint="eastAsia" w:ascii="宋体" w:hAnsi="宋体" w:eastAsia="宋体" w:cs="宋体"/>
          <w:color w:val="auto"/>
          <w:spacing w:val="50"/>
          <w:w w:val="101"/>
          <w:sz w:val="24"/>
          <w:szCs w:val="24"/>
          <w:highlight w:val="none"/>
        </w:rPr>
        <w:t xml:space="preserve"> </w:t>
      </w:r>
      <w:r>
        <w:rPr>
          <w:rFonts w:hint="eastAsia" w:ascii="宋体" w:hAnsi="宋体" w:eastAsia="宋体" w:cs="宋体"/>
          <w:color w:val="auto"/>
          <w:spacing w:val="-2"/>
          <w:sz w:val="24"/>
          <w:szCs w:val="24"/>
          <w:highlight w:val="none"/>
        </w:rPr>
        <w:t>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AC0E276">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rPr>
      </w:pPr>
      <w:bookmarkStart w:id="162" w:name="_Toc15464"/>
      <w:bookmarkStart w:id="163" w:name="_Toc28533"/>
      <w:r>
        <w:rPr>
          <w:rFonts w:hint="eastAsia" w:ascii="宋体" w:hAnsi="宋体" w:eastAsia="宋体" w:cs="宋体"/>
          <w:b/>
          <w:bCs/>
          <w:color w:val="auto"/>
          <w:spacing w:val="-11"/>
          <w:sz w:val="24"/>
          <w:szCs w:val="24"/>
          <w:highlight w:val="none"/>
        </w:rPr>
        <w:t>3</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履约保证</w:t>
      </w:r>
      <w:bookmarkEnd w:id="162"/>
      <w:bookmarkEnd w:id="163"/>
    </w:p>
    <w:p w14:paraId="6B965CAC">
      <w:pPr>
        <w:keepNext w:val="0"/>
        <w:keepLines w:val="0"/>
        <w:pageBreakBefore w:val="0"/>
        <w:widowControl/>
        <w:kinsoku/>
        <w:wordWrap/>
        <w:overflowPunct/>
        <w:topLinePunct w:val="0"/>
        <w:autoSpaceDE w:val="0"/>
        <w:autoSpaceDN w:val="0"/>
        <w:bidi w:val="0"/>
        <w:adjustRightInd w:val="0"/>
        <w:snapToGrid w:val="0"/>
        <w:spacing w:before="153" w:line="360"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10</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5</w:t>
      </w:r>
      <w:r>
        <w:rPr>
          <w:rFonts w:hint="eastAsia" w:ascii="宋体" w:hAnsi="宋体" w:eastAsia="宋体" w:cs="宋体"/>
          <w:color w:val="auto"/>
          <w:spacing w:val="-1"/>
          <w:position w:val="2"/>
          <w:sz w:val="24"/>
          <w:szCs w:val="24"/>
          <w:highlight w:val="none"/>
          <w:u w:val="single"/>
        </w:rPr>
        <w:t>%</w:t>
      </w:r>
      <w:r>
        <w:rPr>
          <w:rFonts w:hint="eastAsia" w:ascii="宋体" w:hAnsi="宋体" w:eastAsia="宋体" w:cs="宋体"/>
          <w:color w:val="auto"/>
          <w:spacing w:val="-1"/>
          <w:position w:val="2"/>
          <w:sz w:val="24"/>
          <w:szCs w:val="24"/>
          <w:highlight w:val="none"/>
        </w:rPr>
        <w:t>的履约保证。联合体中标的，由联合体牵头人提交。</w:t>
      </w:r>
    </w:p>
    <w:p w14:paraId="419293D0">
      <w:pPr>
        <w:keepNext w:val="0"/>
        <w:keepLines w:val="0"/>
        <w:pageBreakBefore w:val="0"/>
        <w:widowControl w:val="0"/>
        <w:kinsoku/>
        <w:wordWrap/>
        <w:overflowPunct/>
        <w:topLinePunct w:val="0"/>
        <w:autoSpaceDE w:val="0"/>
        <w:autoSpaceDN w:val="0"/>
        <w:bidi w:val="0"/>
        <w:adjustRightInd w:val="0"/>
        <w:snapToGrid w:val="0"/>
        <w:spacing w:before="89" w:line="360" w:lineRule="auto"/>
        <w:ind w:left="12" w:right="108" w:firstLine="473"/>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29CA7BCE">
      <w:pPr>
        <w:keepNext w:val="0"/>
        <w:keepLines w:val="0"/>
        <w:pageBreakBefore w:val="0"/>
        <w:widowControl w:val="0"/>
        <w:kinsoku/>
        <w:wordWrap/>
        <w:overflowPunct/>
        <w:topLinePunct w:val="0"/>
        <w:autoSpaceDE w:val="0"/>
        <w:autoSpaceDN w:val="0"/>
        <w:bidi w:val="0"/>
        <w:adjustRightInd w:val="0"/>
        <w:snapToGrid w:val="0"/>
        <w:spacing w:line="360" w:lineRule="auto"/>
        <w:ind w:firstLine="562"/>
        <w:textAlignment w:val="baseline"/>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0C149FC0">
      <w:pPr>
        <w:keepNext w:val="0"/>
        <w:keepLines w:val="0"/>
        <w:pageBreakBefore w:val="0"/>
        <w:widowControl w:val="0"/>
        <w:kinsoku/>
        <w:wordWrap/>
        <w:overflowPunct/>
        <w:topLinePunct w:val="0"/>
        <w:autoSpaceDE w:val="0"/>
        <w:autoSpaceDN w:val="0"/>
        <w:bidi w:val="0"/>
        <w:adjustRightInd w:val="0"/>
        <w:snapToGrid w:val="0"/>
        <w:spacing w:before="145" w:line="360" w:lineRule="auto"/>
        <w:ind w:left="12" w:right="108"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中标人在领取中标通知书之日起10个工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出第一次提醒函；在领取中标通知书之日起15个工作日内仍未提交的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二次提醒函；在领取中标通知书之日起20个工作日内仍未提交的，视其放弃中标。并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03CC3AE0">
      <w:pPr>
        <w:keepNext w:val="0"/>
        <w:keepLines w:val="0"/>
        <w:pageBreakBefore w:val="0"/>
        <w:widowControl w:val="0"/>
        <w:kinsoku/>
        <w:wordWrap/>
        <w:overflowPunct/>
        <w:topLinePunct w:val="0"/>
        <w:autoSpaceDE w:val="0"/>
        <w:autoSpaceDN w:val="0"/>
        <w:bidi w:val="0"/>
        <w:adjustRightInd w:val="0"/>
        <w:snapToGrid w:val="0"/>
        <w:spacing w:before="152" w:line="360" w:lineRule="auto"/>
        <w:ind w:left="12" w:right="108"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3E738746">
      <w:pPr>
        <w:keepNext w:val="0"/>
        <w:keepLines w:val="0"/>
        <w:pageBreakBefore w:val="0"/>
        <w:widowControl w:val="0"/>
        <w:kinsoku/>
        <w:wordWrap/>
        <w:overflowPunct/>
        <w:topLinePunct w:val="0"/>
        <w:autoSpaceDE w:val="0"/>
        <w:autoSpaceDN w:val="0"/>
        <w:bidi w:val="0"/>
        <w:adjustRightInd w:val="0"/>
        <w:snapToGrid w:val="0"/>
        <w:spacing w:before="154" w:line="360" w:lineRule="auto"/>
        <w:ind w:left="486"/>
        <w:textAlignment w:val="baseline"/>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2AC22F1D">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rPr>
      </w:pPr>
      <w:bookmarkStart w:id="164" w:name="_Toc8851"/>
      <w:bookmarkStart w:id="165" w:name="_Toc23236"/>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合同订立</w:t>
      </w:r>
      <w:bookmarkEnd w:id="164"/>
      <w:bookmarkEnd w:id="165"/>
    </w:p>
    <w:p w14:paraId="7ECD82C0">
      <w:pPr>
        <w:pageBreakBefore w:val="0"/>
        <w:kinsoku/>
        <w:wordWrap/>
        <w:overflowPunct/>
        <w:bidi w:val="0"/>
        <w:spacing w:before="150" w:line="360"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6CC66F44">
      <w:pPr>
        <w:pageBreakBefore w:val="0"/>
        <w:kinsoku/>
        <w:wordWrap/>
        <w:overflowPunct/>
        <w:bidi w:val="0"/>
        <w:spacing w:before="150" w:line="360" w:lineRule="auto"/>
        <w:ind w:left="13" w:right="108" w:firstLine="474"/>
        <w:rPr>
          <w:rFonts w:hint="eastAsia" w:ascii="宋体" w:hAnsi="宋体" w:eastAsia="宋体" w:cs="宋体"/>
          <w:b w:val="0"/>
          <w:bCs w:val="0"/>
          <w:color w:val="auto"/>
          <w:sz w:val="24"/>
          <w:szCs w:val="24"/>
          <w:highlight w:val="none"/>
        </w:rPr>
      </w:pPr>
      <w:bookmarkStart w:id="166" w:name="_Toc24043"/>
      <w:r>
        <w:rPr>
          <w:rFonts w:hint="eastAsia" w:ascii="宋体" w:hAnsi="宋体" w:eastAsia="宋体" w:cs="宋体"/>
          <w:b/>
          <w:bCs/>
          <w:color w:val="auto"/>
          <w:sz w:val="24"/>
          <w:szCs w:val="24"/>
          <w:highlight w:val="none"/>
        </w:rPr>
        <w:t xml:space="preserve">4.2  </w:t>
      </w:r>
      <w:r>
        <w:rPr>
          <w:rFonts w:hint="eastAsia" w:ascii="宋体" w:hAnsi="宋体" w:eastAsia="宋体" w:cs="宋体"/>
          <w:b w:val="0"/>
          <w:bCs w:val="0"/>
          <w:color w:val="auto"/>
          <w:sz w:val="24"/>
          <w:szCs w:val="24"/>
          <w:highlight w:val="none"/>
        </w:rPr>
        <w:t>不正常报价的梳理和确认</w:t>
      </w:r>
      <w:bookmarkEnd w:id="166"/>
    </w:p>
    <w:p w14:paraId="0F0E66BC">
      <w:pPr>
        <w:pageBreakBefore w:val="0"/>
        <w:kinsoku/>
        <w:wordWrap/>
        <w:overflowPunct/>
        <w:bidi w:val="0"/>
        <w:spacing w:before="154" w:line="360"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权编制本项目招标控制价的造价咨询单位实施。</w:t>
      </w:r>
    </w:p>
    <w:p w14:paraId="60493062">
      <w:pPr>
        <w:pageBreakBefore w:val="0"/>
        <w:kinsoku/>
        <w:wordWrap/>
        <w:overflowPunct/>
        <w:bidi w:val="0"/>
        <w:spacing w:before="121" w:line="360"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7BB0AF98">
      <w:pPr>
        <w:pageBreakBefore w:val="0"/>
        <w:kinsoku/>
        <w:wordWrap/>
        <w:overflowPunct/>
        <w:bidi w:val="0"/>
        <w:spacing w:before="157" w:line="360"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1AF8E3BC">
      <w:pPr>
        <w:pageBreakBefore w:val="0"/>
        <w:kinsoku/>
        <w:wordWrap/>
        <w:overflowPunct/>
        <w:bidi w:val="0"/>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对于投标报价中综合单价相对招标控制价《分部分项工程和单价措施项目清单与计价表》中对应综合单价的偏差大于±15%</w:t>
      </w:r>
      <w:r>
        <w:rPr>
          <w:rFonts w:hint="eastAsia" w:ascii="宋体" w:hAnsi="宋体" w:eastAsia="宋体" w:cs="宋体"/>
          <w:color w:val="auto"/>
          <w:spacing w:val="2"/>
          <w:sz w:val="24"/>
          <w:szCs w:val="24"/>
          <w:highlight w:val="none"/>
        </w:rPr>
        <w:t>的清</w:t>
      </w:r>
      <w:r>
        <w:rPr>
          <w:rFonts w:hint="eastAsia" w:ascii="宋体" w:hAnsi="宋体" w:eastAsia="宋体" w:cs="宋体"/>
          <w:color w:val="auto"/>
          <w:spacing w:val="-3"/>
          <w:sz w:val="24"/>
          <w:szCs w:val="24"/>
          <w:highlight w:val="none"/>
        </w:rPr>
        <w:t>单项目，视为不平衡报价项目。</w:t>
      </w:r>
    </w:p>
    <w:p w14:paraId="48F72EBF">
      <w:pPr>
        <w:pageBreakBefore w:val="0"/>
        <w:kinsoku/>
        <w:wordWrap/>
        <w:overflowPunct/>
        <w:bidi w:val="0"/>
        <w:spacing w:before="146" w:line="36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489EB373">
      <w:pPr>
        <w:pageBreakBefore w:val="0"/>
        <w:kinsoku/>
        <w:wordWrap/>
        <w:overflowPunct/>
        <w:bidi w:val="0"/>
        <w:spacing w:before="34" w:line="360"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46FD6D81">
      <w:pPr>
        <w:pageBreakBefore w:val="0"/>
        <w:kinsoku/>
        <w:wordWrap/>
        <w:overflowPunct/>
        <w:bidi w:val="0"/>
        <w:spacing w:before="33" w:line="360"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3442E2E5">
      <w:pPr>
        <w:pageBreakBefore w:val="0"/>
        <w:kinsoku/>
        <w:wordWrap/>
        <w:overflowPunct/>
        <w:bidi w:val="0"/>
        <w:spacing w:before="120" w:line="360" w:lineRule="auto"/>
        <w:ind w:left="11" w:right="28" w:firstLine="476"/>
        <w:rPr>
          <w:rFonts w:hint="eastAsia" w:ascii="宋体" w:hAnsi="宋体" w:eastAsia="宋体" w:cs="宋体"/>
          <w:b/>
          <w:bCs/>
          <w:color w:val="auto"/>
          <w:spacing w:val="-4"/>
          <w:sz w:val="24"/>
          <w:szCs w:val="24"/>
          <w:highlight w:val="none"/>
        </w:rPr>
      </w:pPr>
      <w:bookmarkStart w:id="167" w:name="_Toc17784"/>
      <w:r>
        <w:rPr>
          <w:rFonts w:hint="eastAsia" w:ascii="宋体" w:hAnsi="宋体" w:eastAsia="宋体" w:cs="宋体"/>
          <w:b/>
          <w:bCs/>
          <w:color w:val="auto"/>
          <w:spacing w:val="-4"/>
          <w:sz w:val="24"/>
          <w:szCs w:val="24"/>
          <w:highlight w:val="none"/>
        </w:rPr>
        <w:t xml:space="preserve">4.3  </w:t>
      </w:r>
      <w:r>
        <w:rPr>
          <w:rFonts w:hint="eastAsia" w:ascii="宋体" w:hAnsi="宋体" w:eastAsia="宋体" w:cs="宋体"/>
          <w:b w:val="0"/>
          <w:bCs w:val="0"/>
          <w:color w:val="auto"/>
          <w:spacing w:val="-4"/>
          <w:sz w:val="24"/>
          <w:szCs w:val="24"/>
          <w:highlight w:val="none"/>
        </w:rPr>
        <w:t>本招标项目合同计价方式为：</w:t>
      </w:r>
      <w:r>
        <w:rPr>
          <w:rFonts w:hint="eastAsia" w:ascii="宋体" w:hAnsi="宋体" w:eastAsia="宋体" w:cs="宋体"/>
          <w:b w:val="0"/>
          <w:bCs w:val="0"/>
          <w:color w:val="auto"/>
          <w:spacing w:val="-4"/>
          <w:sz w:val="24"/>
          <w:szCs w:val="24"/>
          <w:highlight w:val="none"/>
          <w:u w:val="single"/>
          <w:lang w:eastAsia="zh-CN"/>
        </w:rPr>
        <w:t>单</w:t>
      </w:r>
      <w:r>
        <w:rPr>
          <w:rFonts w:hint="eastAsia" w:ascii="宋体" w:hAnsi="宋体" w:eastAsia="宋体" w:cs="宋体"/>
          <w:b w:val="0"/>
          <w:bCs w:val="0"/>
          <w:color w:val="auto"/>
          <w:spacing w:val="-4"/>
          <w:sz w:val="24"/>
          <w:szCs w:val="24"/>
          <w:highlight w:val="none"/>
          <w:u w:val="single"/>
        </w:rPr>
        <w:t>价</w:t>
      </w:r>
      <w:r>
        <w:rPr>
          <w:rFonts w:hint="eastAsia" w:ascii="宋体" w:hAnsi="宋体" w:eastAsia="宋体" w:cs="宋体"/>
          <w:b w:val="0"/>
          <w:bCs w:val="0"/>
          <w:color w:val="auto"/>
          <w:spacing w:val="-4"/>
          <w:sz w:val="24"/>
          <w:szCs w:val="24"/>
          <w:highlight w:val="none"/>
        </w:rPr>
        <w:t>合同。</w:t>
      </w:r>
      <w:bookmarkEnd w:id="167"/>
    </w:p>
    <w:p w14:paraId="2F349CEC">
      <w:pPr>
        <w:pageBreakBefore w:val="0"/>
        <w:kinsoku/>
        <w:wordWrap/>
        <w:overflowPunct/>
        <w:bidi w:val="0"/>
        <w:spacing w:before="120" w:line="360"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7B139D88">
      <w:pPr>
        <w:pageBreakBefore w:val="0"/>
        <w:kinsoku/>
        <w:wordWrap/>
        <w:overflowPunct/>
        <w:bidi w:val="0"/>
        <w:spacing w:before="158" w:line="360"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 天内仍未签订，视其放弃中标。</w:t>
      </w:r>
    </w:p>
    <w:p w14:paraId="5665F3E1">
      <w:pPr>
        <w:pageBreakBefore w:val="0"/>
        <w:kinsoku/>
        <w:wordWrap/>
        <w:overflowPunct/>
        <w:bidi w:val="0"/>
        <w:spacing w:before="155" w:line="360" w:lineRule="auto"/>
        <w:ind w:left="12" w:right="82" w:firstLine="474"/>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在书面合同订立之日起2个工作日内，由中标人或招标代理机构将合同上传至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建设工程交易系统，并发起退还投标保证的申请。韶关市公共资源交易中心在收到申请之日起3个工作日内，将投标保证金（或银行保函）退还给中标人和其他中标候选人。</w:t>
      </w:r>
    </w:p>
    <w:p w14:paraId="2C73A4D6">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rPr>
      </w:pPr>
      <w:bookmarkStart w:id="168" w:name="_Toc23772"/>
      <w:bookmarkStart w:id="169" w:name="_Toc21620"/>
      <w:r>
        <w:rPr>
          <w:rFonts w:hint="eastAsia" w:ascii="宋体" w:hAnsi="宋体" w:eastAsia="宋体" w:cs="宋体"/>
          <w:b/>
          <w:bCs/>
          <w:color w:val="auto"/>
          <w:spacing w:val="-11"/>
          <w:sz w:val="24"/>
          <w:szCs w:val="24"/>
          <w:highlight w:val="none"/>
        </w:rPr>
        <w:t>5</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放弃中标的处理</w:t>
      </w:r>
      <w:bookmarkEnd w:id="168"/>
      <w:bookmarkEnd w:id="169"/>
    </w:p>
    <w:p w14:paraId="6DEC4651">
      <w:pPr>
        <w:pageBreakBefore w:val="0"/>
        <w:kinsoku/>
        <w:wordWrap/>
        <w:overflowPunct/>
        <w:bidi w:val="0"/>
        <w:spacing w:before="150" w:line="360"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395ACED5">
      <w:pPr>
        <w:pageBreakBefore w:val="0"/>
        <w:kinsoku/>
        <w:wordWrap/>
        <w:overflowPunct/>
        <w:bidi w:val="0"/>
        <w:spacing w:before="79" w:line="360" w:lineRule="auto"/>
        <w:ind w:left="10" w:right="91" w:firstLine="479"/>
        <w:rPr>
          <w:rFonts w:hint="default" w:ascii="宋体" w:hAnsi="宋体" w:eastAsia="宋体" w:cs="宋体"/>
          <w:color w:val="auto"/>
          <w:highlight w:val="none"/>
          <w:lang w:val="en-US" w:eastAsia="zh-CN"/>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70" w:name="bookmark84"/>
      <w:bookmarkEnd w:id="170"/>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326B6CF0">
      <w:pPr>
        <w:pageBreakBefore w:val="0"/>
        <w:kinsoku/>
        <w:wordWrap/>
        <w:overflowPunct/>
        <w:bidi w:val="0"/>
        <w:rPr>
          <w:rFonts w:hint="eastAsia" w:ascii="宋体" w:hAnsi="宋体" w:eastAsia="宋体" w:cs="宋体"/>
          <w:color w:val="auto"/>
          <w:highlight w:val="none"/>
          <w:lang w:val="en-US" w:eastAsia="zh-CN"/>
        </w:rPr>
      </w:pPr>
    </w:p>
    <w:p w14:paraId="5B389023">
      <w:pPr>
        <w:pageBreakBefore w:val="0"/>
        <w:kinsoku/>
        <w:wordWrap/>
        <w:overflowPunct/>
        <w:bidi w:val="0"/>
        <w:rPr>
          <w:rFonts w:hint="eastAsia" w:ascii="宋体" w:hAnsi="宋体" w:eastAsia="宋体" w:cs="宋体"/>
          <w:color w:val="auto"/>
          <w:highlight w:val="none"/>
          <w:lang w:val="en-US" w:eastAsia="zh-CN"/>
        </w:rPr>
      </w:pPr>
    </w:p>
    <w:p w14:paraId="6444F542">
      <w:pPr>
        <w:pageBreakBefore w:val="0"/>
        <w:kinsoku/>
        <w:wordWrap/>
        <w:overflowPunct/>
        <w:bidi w:val="0"/>
        <w:rPr>
          <w:rFonts w:hint="eastAsia" w:ascii="宋体" w:hAnsi="宋体" w:eastAsia="宋体" w:cs="宋体"/>
          <w:color w:val="auto"/>
          <w:highlight w:val="none"/>
          <w:lang w:val="en-US" w:eastAsia="zh-CN"/>
        </w:rPr>
      </w:pPr>
    </w:p>
    <w:p w14:paraId="33DC35FD">
      <w:pPr>
        <w:pageBreakBefore w:val="0"/>
        <w:kinsoku/>
        <w:wordWrap/>
        <w:overflowPunct/>
        <w:bidi w:val="0"/>
        <w:rPr>
          <w:rFonts w:hint="eastAsia" w:ascii="宋体" w:hAnsi="宋体" w:eastAsia="宋体" w:cs="宋体"/>
          <w:color w:val="auto"/>
          <w:highlight w:val="none"/>
          <w:lang w:val="en-US" w:eastAsia="zh-CN"/>
        </w:rPr>
      </w:pPr>
    </w:p>
    <w:p w14:paraId="6E838CFD">
      <w:pPr>
        <w:pageBreakBefore w:val="0"/>
        <w:kinsoku/>
        <w:wordWrap/>
        <w:overflowPunct/>
        <w:bidi w:val="0"/>
        <w:rPr>
          <w:rFonts w:hint="eastAsia" w:ascii="宋体" w:hAnsi="宋体" w:eastAsia="宋体" w:cs="宋体"/>
          <w:color w:val="auto"/>
          <w:highlight w:val="none"/>
          <w:lang w:val="en-US" w:eastAsia="zh-CN"/>
        </w:rPr>
      </w:pPr>
    </w:p>
    <w:p w14:paraId="1778A1B0">
      <w:pPr>
        <w:pageBreakBefore w:val="0"/>
        <w:kinsoku/>
        <w:wordWrap/>
        <w:overflowPunct/>
        <w:bidi w:val="0"/>
        <w:rPr>
          <w:rFonts w:hint="eastAsia" w:ascii="宋体" w:hAnsi="宋体" w:eastAsia="宋体" w:cs="宋体"/>
          <w:color w:val="auto"/>
          <w:highlight w:val="none"/>
          <w:lang w:val="en-US" w:eastAsia="zh-CN"/>
        </w:rPr>
      </w:pPr>
    </w:p>
    <w:p w14:paraId="18DDD488">
      <w:pPr>
        <w:pageBreakBefore w:val="0"/>
        <w:kinsoku/>
        <w:wordWrap/>
        <w:overflowPunct/>
        <w:bidi w:val="0"/>
        <w:rPr>
          <w:rFonts w:hint="eastAsia" w:ascii="宋体" w:hAnsi="宋体" w:eastAsia="宋体" w:cs="宋体"/>
          <w:color w:val="auto"/>
          <w:highlight w:val="none"/>
          <w:lang w:val="en-US" w:eastAsia="zh-CN"/>
        </w:rPr>
      </w:pPr>
    </w:p>
    <w:p w14:paraId="79F60456">
      <w:pPr>
        <w:pStyle w:val="6"/>
        <w:pageBreakBefore w:val="0"/>
        <w:kinsoku/>
        <w:wordWrap/>
        <w:overflowPunct/>
        <w:bidi w:val="0"/>
        <w:rPr>
          <w:rFonts w:hint="eastAsia" w:ascii="宋体" w:hAnsi="宋体" w:eastAsia="宋体" w:cs="宋体"/>
          <w:color w:val="auto"/>
          <w:highlight w:val="none"/>
          <w:lang w:val="en-US" w:eastAsia="zh-CN"/>
        </w:rPr>
      </w:pPr>
    </w:p>
    <w:p w14:paraId="464C7AD6">
      <w:pPr>
        <w:pageBreakBefore w:val="0"/>
        <w:kinsoku/>
        <w:wordWrap/>
        <w:overflowPunct/>
        <w:bidi w:val="0"/>
        <w:rPr>
          <w:rFonts w:hint="eastAsia" w:ascii="宋体" w:hAnsi="宋体" w:eastAsia="宋体" w:cs="宋体"/>
          <w:color w:val="auto"/>
          <w:highlight w:val="none"/>
          <w:lang w:val="en-US" w:eastAsia="zh-CN"/>
        </w:rPr>
      </w:pPr>
    </w:p>
    <w:p w14:paraId="74C00C7D">
      <w:pPr>
        <w:pStyle w:val="6"/>
        <w:pageBreakBefore w:val="0"/>
        <w:kinsoku/>
        <w:wordWrap/>
        <w:overflowPunct/>
        <w:bidi w:val="0"/>
        <w:rPr>
          <w:rFonts w:hint="eastAsia"/>
          <w:color w:val="auto"/>
          <w:highlight w:val="none"/>
          <w:lang w:val="en-US" w:eastAsia="zh-CN"/>
        </w:rPr>
      </w:pPr>
    </w:p>
    <w:p w14:paraId="43A791B5">
      <w:pPr>
        <w:pageBreakBefore w:val="0"/>
        <w:kinsoku/>
        <w:wordWrap/>
        <w:overflowPunct/>
        <w:bidi w:val="0"/>
        <w:rPr>
          <w:rFonts w:hint="eastAsia" w:ascii="宋体" w:hAnsi="宋体" w:eastAsia="宋体" w:cs="宋体"/>
          <w:color w:val="auto"/>
          <w:highlight w:val="none"/>
          <w:lang w:val="en-US" w:eastAsia="zh-CN"/>
        </w:rPr>
      </w:pPr>
    </w:p>
    <w:p w14:paraId="21CE945E">
      <w:pPr>
        <w:pageBreakBefore w:val="0"/>
        <w:kinsoku/>
        <w:wordWrap/>
        <w:overflowPunct/>
        <w:bidi w:val="0"/>
        <w:rPr>
          <w:rFonts w:hint="eastAsia" w:ascii="宋体" w:hAnsi="宋体" w:eastAsia="宋体" w:cs="宋体"/>
          <w:color w:val="auto"/>
          <w:highlight w:val="none"/>
          <w:lang w:val="en-US" w:eastAsia="zh-CN"/>
        </w:rPr>
      </w:pPr>
    </w:p>
    <w:p w14:paraId="36A6D888">
      <w:pPr>
        <w:pageBreakBefore w:val="0"/>
        <w:kinsoku/>
        <w:wordWrap/>
        <w:overflowPunct/>
        <w:bidi w:val="0"/>
        <w:rPr>
          <w:rFonts w:hint="eastAsia" w:ascii="宋体" w:hAnsi="宋体" w:eastAsia="宋体" w:cs="宋体"/>
          <w:color w:val="auto"/>
          <w:highlight w:val="none"/>
          <w:lang w:val="en-US" w:eastAsia="zh-CN"/>
        </w:rPr>
      </w:pPr>
    </w:p>
    <w:p w14:paraId="32A3C541">
      <w:pPr>
        <w:pageBreakBefore w:val="0"/>
        <w:kinsoku/>
        <w:wordWrap/>
        <w:overflowPunct/>
        <w:bidi w:val="0"/>
        <w:spacing w:before="78" w:line="360" w:lineRule="auto"/>
        <w:ind w:left="2923"/>
        <w:outlineLvl w:val="0"/>
        <w:rPr>
          <w:rFonts w:hint="eastAsia" w:ascii="宋体" w:hAnsi="宋体" w:eastAsia="宋体" w:cs="宋体"/>
          <w:color w:val="auto"/>
          <w:highlight w:val="none"/>
        </w:rPr>
      </w:pPr>
      <w:bookmarkStart w:id="171" w:name="bookmark86"/>
      <w:bookmarkEnd w:id="171"/>
      <w:bookmarkStart w:id="172" w:name="_Toc6714"/>
      <w:bookmarkStart w:id="173" w:name="_Toc24083"/>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拟签订合同的主要条款</w:t>
      </w:r>
      <w:bookmarkEnd w:id="172"/>
      <w:bookmarkEnd w:id="173"/>
    </w:p>
    <w:p w14:paraId="3ABC111F">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rPr>
      </w:pPr>
      <w:bookmarkStart w:id="174" w:name="_Toc9967"/>
      <w:bookmarkStart w:id="175" w:name="_Toc16212"/>
      <w:r>
        <w:rPr>
          <w:rFonts w:hint="eastAsia" w:ascii="宋体" w:hAnsi="宋体" w:eastAsia="宋体" w:cs="宋体"/>
          <w:b/>
          <w:bCs/>
          <w:color w:val="auto"/>
          <w:spacing w:val="-11"/>
          <w:sz w:val="24"/>
          <w:szCs w:val="24"/>
          <w:highlight w:val="none"/>
        </w:rPr>
        <w:t>1</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工程承包方式</w:t>
      </w:r>
      <w:bookmarkEnd w:id="174"/>
      <w:bookmarkEnd w:id="175"/>
    </w:p>
    <w:p w14:paraId="44A100EA">
      <w:pPr>
        <w:pageBreakBefore w:val="0"/>
        <w:kinsoku/>
        <w:wordWrap/>
        <w:overflowPunct/>
        <w:bidi w:val="0"/>
        <w:spacing w:before="153" w:line="360"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承包人以中标价按包工包料、包质量、包安全包文明施工、包工期方式总承包施工，不允许转包和违法分包，如果确需分包须与发包人协商，在得到发包人和监理单位同意后报建设行政主管部门备案。</w:t>
      </w:r>
    </w:p>
    <w:p w14:paraId="357A5275">
      <w:pPr>
        <w:pageBreakBefore w:val="0"/>
        <w:kinsoku/>
        <w:wordWrap/>
        <w:overflowPunct/>
        <w:bidi w:val="0"/>
        <w:spacing w:before="153" w:line="36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498F9F49">
      <w:pPr>
        <w:pageBreakBefore w:val="0"/>
        <w:kinsoku/>
        <w:wordWrap/>
        <w:overflowPunct/>
        <w:bidi w:val="0"/>
        <w:spacing w:before="156" w:line="36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7B11DC55">
      <w:pPr>
        <w:pageBreakBefore w:val="0"/>
        <w:kinsoku/>
        <w:wordWrap/>
        <w:overflowPunct/>
        <w:bidi w:val="0"/>
        <w:spacing w:before="153" w:line="36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2599FB52">
      <w:pPr>
        <w:pageBreakBefore w:val="0"/>
        <w:kinsoku/>
        <w:wordWrap/>
        <w:overflowPunct/>
        <w:bidi w:val="0"/>
        <w:spacing w:before="154" w:line="360" w:lineRule="auto"/>
        <w:ind w:left="580"/>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325AF9D0">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rPr>
      </w:pPr>
      <w:bookmarkStart w:id="176" w:name="bookmark88"/>
      <w:bookmarkEnd w:id="176"/>
      <w:bookmarkStart w:id="177" w:name="_Toc32757"/>
      <w:bookmarkStart w:id="178" w:name="_Toc4294"/>
      <w:r>
        <w:rPr>
          <w:rFonts w:hint="eastAsia" w:ascii="宋体" w:hAnsi="宋体" w:eastAsia="宋体" w:cs="宋体"/>
          <w:b/>
          <w:bCs/>
          <w:color w:val="auto"/>
          <w:spacing w:val="-11"/>
          <w:sz w:val="24"/>
          <w:szCs w:val="24"/>
          <w:highlight w:val="none"/>
        </w:rPr>
        <w:t>2</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工程结算原则</w:t>
      </w:r>
      <w:bookmarkEnd w:id="177"/>
      <w:bookmarkEnd w:id="178"/>
    </w:p>
    <w:p w14:paraId="6CAE90BE">
      <w:pPr>
        <w:pageBreakBefore w:val="0"/>
        <w:kinsoku/>
        <w:wordWrap/>
        <w:overflowPunct/>
        <w:bidi w:val="0"/>
        <w:spacing w:before="155" w:line="360" w:lineRule="auto"/>
        <w:ind w:left="12" w:right="231" w:firstLine="476"/>
        <w:rPr>
          <w:rFonts w:hint="eastAsia" w:ascii="宋体" w:hAnsi="宋体" w:eastAsia="宋体" w:cs="宋体"/>
          <w:b w:val="0"/>
          <w:bCs w:val="0"/>
          <w:color w:val="auto"/>
          <w:spacing w:val="2"/>
          <w:sz w:val="24"/>
          <w:szCs w:val="24"/>
          <w:highlight w:val="none"/>
        </w:rPr>
      </w:pPr>
      <w:bookmarkStart w:id="179" w:name="_Toc15115"/>
      <w:r>
        <w:rPr>
          <w:rFonts w:hint="eastAsia" w:ascii="宋体" w:hAnsi="宋体" w:eastAsia="宋体" w:cs="宋体"/>
          <w:b/>
          <w:bCs/>
          <w:color w:val="auto"/>
          <w:spacing w:val="2"/>
          <w:sz w:val="24"/>
          <w:szCs w:val="24"/>
          <w:highlight w:val="none"/>
        </w:rPr>
        <w:t xml:space="preserve">2.1 </w:t>
      </w:r>
      <w:r>
        <w:rPr>
          <w:rFonts w:hint="eastAsia" w:ascii="宋体" w:hAnsi="宋体" w:eastAsia="宋体" w:cs="宋体"/>
          <w:b w:val="0"/>
          <w:bCs w:val="0"/>
          <w:color w:val="auto"/>
          <w:spacing w:val="2"/>
          <w:sz w:val="24"/>
          <w:szCs w:val="24"/>
          <w:highlight w:val="none"/>
        </w:rPr>
        <w:t>承包人的投标总价为中标价，即为签约合同价。</w:t>
      </w:r>
      <w:bookmarkEnd w:id="179"/>
    </w:p>
    <w:p w14:paraId="467FC701">
      <w:pPr>
        <w:pageBreakBefore w:val="0"/>
        <w:kinsoku/>
        <w:wordWrap/>
        <w:overflowPunct/>
        <w:bidi w:val="0"/>
        <w:spacing w:before="155" w:line="360"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量按《建设工程工程量清单计价规范》（GB50500—2013）对工程计量的规定进行计量，</w:t>
      </w:r>
      <w:r>
        <w:rPr>
          <w:rFonts w:hint="eastAsia" w:ascii="宋体" w:hAnsi="宋体" w:eastAsia="宋体" w:cs="宋体"/>
          <w:color w:val="auto"/>
          <w:spacing w:val="-2"/>
          <w:sz w:val="24"/>
          <w:szCs w:val="24"/>
          <w:highlight w:val="none"/>
        </w:rPr>
        <w:t>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198451DE">
      <w:pPr>
        <w:keepNext w:val="0"/>
        <w:keepLines w:val="0"/>
        <w:pageBreakBefore w:val="0"/>
        <w:widowControl w:val="0"/>
        <w:kinsoku/>
        <w:wordWrap/>
        <w:overflowPunct/>
        <w:topLinePunct w:val="0"/>
        <w:autoSpaceDE w:val="0"/>
        <w:autoSpaceDN w:val="0"/>
        <w:bidi w:val="0"/>
        <w:adjustRightInd w:val="0"/>
        <w:snapToGrid w:val="0"/>
        <w:spacing w:before="38" w:line="360" w:lineRule="auto"/>
        <w:ind w:left="12" w:right="183"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54A4EF37">
      <w:pPr>
        <w:keepNext w:val="0"/>
        <w:keepLines w:val="0"/>
        <w:pageBreakBefore w:val="0"/>
        <w:widowControl w:val="0"/>
        <w:kinsoku/>
        <w:wordWrap/>
        <w:overflowPunct/>
        <w:topLinePunct w:val="0"/>
        <w:autoSpaceDE w:val="0"/>
        <w:autoSpaceDN w:val="0"/>
        <w:bidi w:val="0"/>
        <w:adjustRightInd w:val="0"/>
        <w:snapToGrid w:val="0"/>
        <w:spacing w:before="227" w:line="360" w:lineRule="auto"/>
        <w:ind w:left="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56C8E9DF">
      <w:pPr>
        <w:keepNext w:val="0"/>
        <w:keepLines w:val="0"/>
        <w:pageBreakBefore w:val="0"/>
        <w:widowControl w:val="0"/>
        <w:kinsoku/>
        <w:wordWrap/>
        <w:overflowPunct/>
        <w:topLinePunct w:val="0"/>
        <w:autoSpaceDE w:val="0"/>
        <w:autoSpaceDN w:val="0"/>
        <w:bidi w:val="0"/>
        <w:adjustRightInd w:val="0"/>
        <w:snapToGrid w:val="0"/>
        <w:spacing w:before="156" w:line="360" w:lineRule="auto"/>
        <w:ind w:left="10" w:right="183"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491AEAF4">
      <w:pPr>
        <w:keepNext w:val="0"/>
        <w:keepLines w:val="0"/>
        <w:pageBreakBefore w:val="0"/>
        <w:widowControl w:val="0"/>
        <w:kinsoku/>
        <w:wordWrap/>
        <w:overflowPunct/>
        <w:topLinePunct w:val="0"/>
        <w:autoSpaceDE w:val="0"/>
        <w:autoSpaceDN w:val="0"/>
        <w:bidi w:val="0"/>
        <w:adjustRightInd w:val="0"/>
        <w:snapToGrid w:val="0"/>
        <w:spacing w:before="157" w:line="360" w:lineRule="auto"/>
        <w:ind w:left="12" w:right="183" w:firstLine="47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”）前28天。</w:t>
      </w:r>
    </w:p>
    <w:p w14:paraId="4F023809">
      <w:pPr>
        <w:keepNext w:val="0"/>
        <w:keepLines w:val="0"/>
        <w:pageBreakBefore w:val="0"/>
        <w:widowControl w:val="0"/>
        <w:kinsoku/>
        <w:wordWrap/>
        <w:overflowPunct/>
        <w:topLinePunct w:val="0"/>
        <w:autoSpaceDE w:val="0"/>
        <w:autoSpaceDN w:val="0"/>
        <w:bidi w:val="0"/>
        <w:adjustRightInd w:val="0"/>
        <w:snapToGrid w:val="0"/>
        <w:spacing w:before="33" w:line="360" w:lineRule="auto"/>
        <w:ind w:left="1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.3.1.1</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1EE4469D">
      <w:pPr>
        <w:keepNext w:val="0"/>
        <w:keepLines w:val="0"/>
        <w:pageBreakBefore w:val="0"/>
        <w:widowControl w:val="0"/>
        <w:kinsoku/>
        <w:wordWrap/>
        <w:overflowPunct/>
        <w:topLinePunct w:val="0"/>
        <w:autoSpaceDE w:val="0"/>
        <w:autoSpaceDN w:val="0"/>
        <w:bidi w:val="0"/>
        <w:adjustRightInd w:val="0"/>
        <w:snapToGrid w:val="0"/>
        <w:spacing w:before="155" w:line="360" w:lineRule="auto"/>
        <w:ind w:left="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0ED2F0AF">
      <w:pPr>
        <w:keepNext w:val="0"/>
        <w:keepLines w:val="0"/>
        <w:pageBreakBefore w:val="0"/>
        <w:widowControl w:val="0"/>
        <w:kinsoku/>
        <w:wordWrap/>
        <w:overflowPunct/>
        <w:topLinePunct w:val="0"/>
        <w:autoSpaceDE w:val="0"/>
        <w:autoSpaceDN w:val="0"/>
        <w:bidi w:val="0"/>
        <w:adjustRightInd w:val="0"/>
        <w:snapToGrid w:val="0"/>
        <w:spacing w:before="158" w:line="360" w:lineRule="auto"/>
        <w:ind w:left="10" w:right="183"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合同履行期间，当应予计算的实际工程量与招标工程量清单出现偏差或因工程变更引起已标价工程量清单项目的工程数量发生变化时，工程量偏差或变化在15%以</w:t>
      </w:r>
      <w:r>
        <w:rPr>
          <w:rFonts w:hint="eastAsia" w:ascii="宋体" w:hAnsi="宋体" w:eastAsia="宋体" w:cs="宋体"/>
          <w:color w:val="auto"/>
          <w:spacing w:val="-4"/>
          <w:sz w:val="24"/>
          <w:szCs w:val="24"/>
          <w:highlight w:val="none"/>
        </w:rPr>
        <w:t>内（含15%）的，其综合单价不予调整；工程量偏差或变化超过15%的，按照以下规定</w:t>
      </w:r>
      <w:r>
        <w:rPr>
          <w:rFonts w:hint="eastAsia" w:ascii="宋体" w:hAnsi="宋体" w:eastAsia="宋体" w:cs="宋体"/>
          <w:color w:val="auto"/>
          <w:spacing w:val="-3"/>
          <w:sz w:val="24"/>
          <w:szCs w:val="24"/>
          <w:highlight w:val="none"/>
        </w:rPr>
        <w:t>调整：</w:t>
      </w:r>
    </w:p>
    <w:p w14:paraId="0C3E80FB">
      <w:pPr>
        <w:keepNext w:val="0"/>
        <w:keepLines w:val="0"/>
        <w:pageBreakBefore w:val="0"/>
        <w:widowControl w:val="0"/>
        <w:kinsoku/>
        <w:wordWrap/>
        <w:overflowPunct/>
        <w:topLinePunct w:val="0"/>
        <w:autoSpaceDE w:val="0"/>
        <w:autoSpaceDN w:val="0"/>
        <w:bidi w:val="0"/>
        <w:adjustRightInd w:val="0"/>
        <w:snapToGrid w:val="0"/>
        <w:spacing w:before="78" w:line="360" w:lineRule="auto"/>
        <w:ind w:left="12" w:firstLine="478"/>
        <w:jc w:val="both"/>
        <w:textAlignment w:val="baseline"/>
        <w:rPr>
          <w:rFonts w:hint="eastAsia" w:ascii="宋体" w:hAnsi="宋体" w:eastAsia="宋体" w:cs="宋体"/>
          <w:color w:val="auto"/>
          <w:sz w:val="24"/>
          <w:szCs w:val="24"/>
          <w:highlight w:val="none"/>
        </w:rPr>
      </w:pPr>
      <w:bookmarkStart w:id="180" w:name="bookmark142"/>
      <w:bookmarkEnd w:id="180"/>
      <w:r>
        <w:rPr>
          <w:rFonts w:hint="eastAsia" w:ascii="宋体" w:hAnsi="宋体" w:eastAsia="宋体" w:cs="宋体"/>
          <w:color w:val="auto"/>
          <w:spacing w:val="-3"/>
          <w:sz w:val="24"/>
          <w:szCs w:val="24"/>
          <w:highlight w:val="none"/>
        </w:rPr>
        <w:t>对于合理报价的清单项目，当工程量增加超过15%时，增加部分的工程量的综合单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3%；当工程量减少超过15%时，减少后剩余部分的工程量的综合单价以投标报价《分部分项工程和单价措施项目清单与计价表》中综合单价为基价调高3%</w:t>
      </w:r>
      <w:r>
        <w:rPr>
          <w:rFonts w:hint="eastAsia" w:ascii="宋体" w:hAnsi="宋体" w:eastAsia="宋体" w:cs="宋体"/>
          <w:color w:val="auto"/>
          <w:spacing w:val="-1"/>
          <w:sz w:val="24"/>
          <w:szCs w:val="24"/>
          <w:highlight w:val="none"/>
        </w:rPr>
        <w:t>。</w:t>
      </w:r>
    </w:p>
    <w:p w14:paraId="592BA3DF">
      <w:pPr>
        <w:pageBreakBefore w:val="0"/>
        <w:kinsoku/>
        <w:wordWrap/>
        <w:overflowPunct/>
        <w:bidi w:val="0"/>
        <w:spacing w:before="97" w:line="360"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06C0A7F8">
      <w:pPr>
        <w:pageBreakBefore w:val="0"/>
        <w:kinsoku/>
        <w:wordWrap/>
        <w:overflowPunct/>
        <w:bidi w:val="0"/>
        <w:spacing w:before="36" w:line="360" w:lineRule="auto"/>
        <w:ind w:firstLine="462"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以招标控制价中《分部分项工程和单价措施项目清单与计价表》子目相对应综合单</w:t>
      </w:r>
      <w:r>
        <w:rPr>
          <w:rFonts w:hint="eastAsia" w:ascii="宋体" w:hAnsi="宋体" w:eastAsia="宋体" w:cs="宋体"/>
          <w:b/>
          <w:bCs/>
          <w:color w:val="auto"/>
          <w:spacing w:val="-3"/>
          <w:sz w:val="24"/>
          <w:szCs w:val="24"/>
          <w:highlight w:val="none"/>
        </w:rPr>
        <w:t>价×（1-中标下浮率）。</w:t>
      </w:r>
    </w:p>
    <w:p w14:paraId="61298CCC">
      <w:pPr>
        <w:pageBreakBefore w:val="0"/>
        <w:kinsoku/>
        <w:wordWrap/>
        <w:overflowPunct/>
        <w:bidi w:val="0"/>
        <w:spacing w:before="36" w:line="360" w:lineRule="auto"/>
        <w:ind w:firstLine="462" w:firstLineChars="200"/>
        <w:rPr>
          <w:rFonts w:hint="eastAsia" w:ascii="宋体" w:hAnsi="宋体" w:eastAsia="宋体" w:cs="宋体"/>
          <w:b/>
          <w:bCs/>
          <w:color w:val="auto"/>
          <w:spacing w:val="-5"/>
          <w:sz w:val="24"/>
          <w:szCs w:val="24"/>
          <w:highlight w:val="none"/>
        </w:rPr>
      </w:pPr>
      <w:bookmarkStart w:id="181" w:name="_Toc12035"/>
      <w:bookmarkStart w:id="182" w:name="_Toc18478"/>
      <w:bookmarkStart w:id="183" w:name="_Toc13345"/>
      <w:r>
        <w:rPr>
          <w:rFonts w:hint="eastAsia" w:ascii="宋体" w:hAnsi="宋体" w:eastAsia="宋体" w:cs="宋体"/>
          <w:b/>
          <w:bCs/>
          <w:color w:val="auto"/>
          <w:spacing w:val="-5"/>
          <w:sz w:val="24"/>
          <w:szCs w:val="24"/>
          <w:highlight w:val="none"/>
        </w:rPr>
        <w:t>中标下浮率=[1-（中标价-中标绿色施工安全防护措施费-暂列金额-暂估价）/（</w:t>
      </w:r>
      <w:bookmarkEnd w:id="181"/>
      <w:bookmarkEnd w:id="182"/>
      <w:bookmarkStart w:id="184" w:name="_Toc13602"/>
      <w:bookmarkStart w:id="185" w:name="_Toc15512"/>
      <w:r>
        <w:rPr>
          <w:rFonts w:hint="eastAsia" w:ascii="宋体" w:hAnsi="宋体" w:eastAsia="宋体" w:cs="宋体"/>
          <w:b/>
          <w:bCs/>
          <w:color w:val="auto"/>
          <w:spacing w:val="-5"/>
          <w:sz w:val="24"/>
          <w:szCs w:val="24"/>
          <w:highlight w:val="none"/>
        </w:rPr>
        <w:t>招标控制价-控制价绿色施工安全防护措施费-暂列金额-暂估价）] ×100%</w:t>
      </w:r>
      <w:bookmarkEnd w:id="183"/>
      <w:bookmarkEnd w:id="184"/>
      <w:bookmarkEnd w:id="185"/>
    </w:p>
    <w:p w14:paraId="39BE2C13">
      <w:pPr>
        <w:pageBreakBefore w:val="0"/>
        <w:kinsoku/>
        <w:wordWrap/>
        <w:overflowPunct/>
        <w:bidi w:val="0"/>
        <w:spacing w:before="123" w:line="360"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782B9F57">
      <w:pPr>
        <w:keepNext w:val="0"/>
        <w:keepLines w:val="0"/>
        <w:pageBreakBefore w:val="0"/>
        <w:widowControl w:val="0"/>
        <w:kinsoku/>
        <w:wordWrap/>
        <w:overflowPunct/>
        <w:topLinePunct w:val="0"/>
        <w:autoSpaceDE w:val="0"/>
        <w:autoSpaceDN w:val="0"/>
        <w:bidi w:val="0"/>
        <w:adjustRightInd w:val="0"/>
        <w:snapToGrid w:val="0"/>
        <w:spacing w:before="129" w:line="360" w:lineRule="auto"/>
        <w:ind w:left="12" w:right="179"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2.3.2.1</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7886ACB1">
      <w:pPr>
        <w:keepNext w:val="0"/>
        <w:keepLines w:val="0"/>
        <w:pageBreakBefore w:val="0"/>
        <w:widowControl w:val="0"/>
        <w:kinsoku/>
        <w:wordWrap/>
        <w:overflowPunct/>
        <w:topLinePunct w:val="0"/>
        <w:autoSpaceDE w:val="0"/>
        <w:autoSpaceDN w:val="0"/>
        <w:bidi w:val="0"/>
        <w:adjustRightInd w:val="0"/>
        <w:snapToGrid w:val="0"/>
        <w:spacing w:before="154" w:line="360" w:lineRule="auto"/>
        <w:ind w:left="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29131641">
      <w:pPr>
        <w:keepNext w:val="0"/>
        <w:keepLines w:val="0"/>
        <w:pageBreakBefore w:val="0"/>
        <w:widowControl w:val="0"/>
        <w:kinsoku/>
        <w:wordWrap/>
        <w:overflowPunct/>
        <w:topLinePunct w:val="0"/>
        <w:autoSpaceDE w:val="0"/>
        <w:autoSpaceDN w:val="0"/>
        <w:bidi w:val="0"/>
        <w:adjustRightInd w:val="0"/>
        <w:snapToGrid w:val="0"/>
        <w:spacing w:before="153" w:line="360" w:lineRule="auto"/>
        <w:ind w:left="19" w:right="179" w:firstLine="468"/>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2F17D402">
      <w:pPr>
        <w:keepNext w:val="0"/>
        <w:keepLines w:val="0"/>
        <w:pageBreakBefore w:val="0"/>
        <w:widowControl w:val="0"/>
        <w:numPr>
          <w:ilvl w:val="0"/>
          <w:numId w:val="4"/>
        </w:numPr>
        <w:kinsoku/>
        <w:wordWrap/>
        <w:overflowPunct/>
        <w:topLinePunct w:val="0"/>
        <w:autoSpaceDE w:val="0"/>
        <w:autoSpaceDN w:val="0"/>
        <w:bidi w:val="0"/>
        <w:adjustRightInd w:val="0"/>
        <w:snapToGrid w:val="0"/>
        <w:spacing w:before="78" w:line="360" w:lineRule="auto"/>
        <w:ind w:firstLine="242" w:firstLineChars="100"/>
        <w:textAlignment w:val="baseline"/>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86" w:name="bookmark143"/>
      <w:bookmarkEnd w:id="186"/>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b/>
          <w:bCs/>
          <w:color w:val="auto"/>
          <w:spacing w:val="-8"/>
          <w:sz w:val="24"/>
          <w:szCs w:val="24"/>
          <w:highlight w:val="none"/>
        </w:rPr>
        <w:t>4.2条被认定为不平衡报价的清单项目，</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本章2.3.2.1的</w:t>
      </w:r>
      <w:r>
        <w:rPr>
          <w:rFonts w:hint="eastAsia" w:ascii="宋体" w:hAnsi="宋体" w:eastAsia="宋体" w:cs="宋体"/>
          <w:b/>
          <w:bCs/>
          <w:color w:val="auto"/>
          <w:spacing w:val="-2"/>
          <w:sz w:val="24"/>
          <w:szCs w:val="24"/>
          <w:highlight w:val="none"/>
        </w:rPr>
        <w:t>方法调整。】</w:t>
      </w:r>
    </w:p>
    <w:p w14:paraId="5D4EF1F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78" w:line="360" w:lineRule="auto"/>
        <w:ind w:firstLine="237"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条被认定为不平衡报价的清单项目，变更工程项目的单价按照本章2.3.2.1的方法调整。</w:t>
      </w:r>
    </w:p>
    <w:p w14:paraId="4FD0666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38" w:line="360" w:lineRule="auto"/>
        <w:ind w:right="81" w:rightChars="0" w:firstLine="242" w:firstLineChars="1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0D466BC9">
      <w:pPr>
        <w:keepNext w:val="0"/>
        <w:keepLines w:val="0"/>
        <w:pageBreakBefore w:val="0"/>
        <w:widowControl w:val="0"/>
        <w:kinsoku/>
        <w:wordWrap/>
        <w:overflowPunct/>
        <w:topLinePunct w:val="0"/>
        <w:autoSpaceDE w:val="0"/>
        <w:autoSpaceDN w:val="0"/>
        <w:bidi w:val="0"/>
        <w:adjustRightInd w:val="0"/>
        <w:snapToGrid w:val="0"/>
        <w:spacing w:before="126" w:line="360" w:lineRule="auto"/>
        <w:ind w:left="29" w:right="21" w:firstLine="50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中标下浮率=[1-（中标价-中标绿色施工安全防护措施费-暂列</w:t>
      </w:r>
      <w:r>
        <w:rPr>
          <w:rFonts w:hint="eastAsia" w:ascii="宋体" w:hAnsi="宋体" w:eastAsia="宋体" w:cs="宋体"/>
          <w:b/>
          <w:bCs/>
          <w:color w:val="auto"/>
          <w:spacing w:val="-3"/>
          <w:sz w:val="24"/>
          <w:szCs w:val="24"/>
          <w:highlight w:val="none"/>
        </w:rPr>
        <w:t>金额-暂估价）/（招标控制价-控制价绿色施工安全防护措施费-暂列金额-暂估价）]×100%</w:t>
      </w:r>
    </w:p>
    <w:p w14:paraId="313D8513">
      <w:pPr>
        <w:pageBreakBefore w:val="0"/>
        <w:kinsoku/>
        <w:wordWrap/>
        <w:overflowPunct/>
        <w:bidi w:val="0"/>
        <w:spacing w:before="145" w:line="360" w:lineRule="auto"/>
        <w:ind w:right="81" w:firstLine="242"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已标价工程量清单中没有适用也没有类似于变更工程项目，且施工当月项目</w:t>
      </w:r>
      <w:r>
        <w:rPr>
          <w:rFonts w:hint="eastAsia" w:ascii="宋体" w:hAnsi="宋体" w:eastAsia="宋体" w:cs="宋体"/>
          <w:color w:val="auto"/>
          <w:spacing w:val="-1"/>
          <w:sz w:val="24"/>
          <w:szCs w:val="24"/>
          <w:highlight w:val="none"/>
        </w:rPr>
        <w:t>所在地工程造价管理机构发布的价格信息缺</w:t>
      </w:r>
      <w:r>
        <w:rPr>
          <w:rFonts w:hint="eastAsia" w:ascii="宋体" w:hAnsi="宋体" w:eastAsia="宋体" w:cs="宋体"/>
          <w:color w:val="auto"/>
          <w:spacing w:val="-2"/>
          <w:sz w:val="24"/>
          <w:szCs w:val="24"/>
          <w:highlight w:val="none"/>
        </w:rPr>
        <w:t>项的，由承包人根据变更工程资料、计量规</w:t>
      </w:r>
      <w:r>
        <w:rPr>
          <w:rFonts w:hint="eastAsia" w:ascii="宋体" w:hAnsi="宋体" w:eastAsia="宋体" w:cs="宋体"/>
          <w:color w:val="auto"/>
          <w:spacing w:val="-1"/>
          <w:sz w:val="24"/>
          <w:szCs w:val="24"/>
          <w:highlight w:val="none"/>
        </w:rPr>
        <w:t>则、计价办法和通过市场调查等取得有合法</w:t>
      </w:r>
      <w:r>
        <w:rPr>
          <w:rFonts w:hint="eastAsia" w:ascii="宋体" w:hAnsi="宋体" w:eastAsia="宋体" w:cs="宋体"/>
          <w:color w:val="auto"/>
          <w:spacing w:val="-2"/>
          <w:sz w:val="24"/>
          <w:szCs w:val="24"/>
          <w:highlight w:val="none"/>
        </w:rPr>
        <w:t>依据的市场价格提出变更工程项目的单价，</w:t>
      </w:r>
      <w:r>
        <w:rPr>
          <w:rFonts w:hint="eastAsia" w:ascii="宋体" w:hAnsi="宋体" w:eastAsia="宋体" w:cs="宋体"/>
          <w:color w:val="auto"/>
          <w:spacing w:val="-1"/>
          <w:sz w:val="24"/>
          <w:szCs w:val="24"/>
          <w:highlight w:val="none"/>
        </w:rPr>
        <w:t>报发包人确认后调整。</w:t>
      </w:r>
    </w:p>
    <w:p w14:paraId="4CB9A71B">
      <w:pPr>
        <w:pageBreakBefore w:val="0"/>
        <w:kinsoku/>
        <w:wordWrap/>
        <w:overflowPunct/>
        <w:bidi w:val="0"/>
        <w:spacing w:before="156" w:line="360"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54AFFB1B">
      <w:pPr>
        <w:pageBreakBefore w:val="0"/>
        <w:kinsoku/>
        <w:wordWrap/>
        <w:overflowPunct/>
        <w:bidi w:val="0"/>
        <w:spacing w:before="152" w:line="360" w:lineRule="auto"/>
        <w:ind w:left="49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（1）绿色施工安全防护措施费应按照实际发生变化的措施项目计算。</w:t>
      </w:r>
    </w:p>
    <w:p w14:paraId="6BE2B1F8">
      <w:pPr>
        <w:pageBreakBefore w:val="0"/>
        <w:kinsoku/>
        <w:wordWrap/>
        <w:overflowPunct/>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（2）采用单价计算的措施项目费，应按照实际发生变化的措施项目，按本章</w:t>
      </w: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rPr>
        <w:t>2.3.3.1子目的规定确定单价。</w:t>
      </w:r>
    </w:p>
    <w:p w14:paraId="245221E6">
      <w:pPr>
        <w:pageBreakBefore w:val="0"/>
        <w:kinsoku/>
        <w:wordWrap/>
        <w:overflowPunct/>
        <w:bidi w:val="0"/>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考虑中标下浮率因素，即调整金额＝按照实际变化调整后的金额×（1-中标下浮率）。</w:t>
      </w:r>
    </w:p>
    <w:p w14:paraId="3A0EE7AE">
      <w:pPr>
        <w:pageBreakBefore w:val="0"/>
        <w:kinsoku/>
        <w:wordWrap/>
        <w:overflowPunct/>
        <w:bidi w:val="0"/>
        <w:spacing w:before="157" w:line="360"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70B170F6">
      <w:pPr>
        <w:pageBreakBefore w:val="0"/>
        <w:kinsoku/>
        <w:wordWrap/>
        <w:overflowPunct/>
        <w:bidi w:val="0"/>
        <w:spacing w:before="35" w:line="360"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6426E076">
      <w:pPr>
        <w:pageBreakBefore w:val="0"/>
        <w:kinsoku/>
        <w:wordWrap/>
        <w:overflowPunct/>
        <w:bidi w:val="0"/>
        <w:spacing w:before="155" w:line="36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181F3456">
      <w:pPr>
        <w:pageBreakBefore w:val="0"/>
        <w:kinsoku/>
        <w:wordWrap/>
        <w:overflowPunct/>
        <w:bidi w:val="0"/>
        <w:spacing w:before="78" w:line="360" w:lineRule="auto"/>
        <w:ind w:left="8" w:right="108" w:firstLine="480"/>
        <w:jc w:val="both"/>
        <w:rPr>
          <w:rFonts w:hint="eastAsia" w:ascii="宋体" w:hAnsi="宋体" w:eastAsia="宋体" w:cs="宋体"/>
          <w:color w:val="auto"/>
          <w:sz w:val="24"/>
          <w:szCs w:val="24"/>
          <w:highlight w:val="none"/>
        </w:rPr>
      </w:pPr>
      <w:bookmarkStart w:id="187" w:name="bookmark144"/>
      <w:bookmarkEnd w:id="187"/>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b/>
          <w:bCs/>
          <w:color w:val="auto"/>
          <w:sz w:val="24"/>
          <w:szCs w:val="24"/>
          <w:highlight w:val="none"/>
        </w:rPr>
        <w:t>2.3.3</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4B87AA0B">
      <w:pPr>
        <w:pageBreakBefore w:val="0"/>
        <w:kinsoku/>
        <w:wordWrap/>
        <w:overflowPunct/>
        <w:bidi w:val="0"/>
        <w:spacing w:before="38" w:line="360"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7D9446FA">
      <w:pPr>
        <w:pageBreakBefore w:val="0"/>
        <w:kinsoku/>
        <w:wordWrap/>
        <w:overflowPunct/>
        <w:bidi w:val="0"/>
        <w:spacing w:before="152" w:line="360"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2.3.3.1</w:t>
      </w:r>
      <w:r>
        <w:rPr>
          <w:rFonts w:hint="eastAsia" w:ascii="宋体" w:hAnsi="宋体" w:eastAsia="宋体" w:cs="宋体"/>
          <w:color w:val="auto"/>
          <w:spacing w:val="-1"/>
          <w:sz w:val="24"/>
          <w:szCs w:val="24"/>
          <w:highlight w:val="none"/>
        </w:rPr>
        <w:t>子目的规定确定单价，并调整合同价款。</w:t>
      </w:r>
    </w:p>
    <w:p w14:paraId="28F35D72">
      <w:pPr>
        <w:pageBreakBefore w:val="0"/>
        <w:kinsoku/>
        <w:wordWrap/>
        <w:overflowPunct/>
        <w:bidi w:val="0"/>
        <w:spacing w:before="157"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38301309">
      <w:pPr>
        <w:pageBreakBefore w:val="0"/>
        <w:kinsoku/>
        <w:wordWrap/>
        <w:overflowPunct/>
        <w:bidi w:val="0"/>
        <w:spacing w:before="156" w:line="360"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32D6DE66">
      <w:pPr>
        <w:pageBreakBefore w:val="0"/>
        <w:kinsoku/>
        <w:wordWrap/>
        <w:overflowPunct/>
        <w:bidi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2.3.6</w:t>
      </w:r>
      <w:r>
        <w:rPr>
          <w:rFonts w:hint="eastAsia" w:ascii="宋体" w:hAnsi="宋体" w:eastAsia="宋体" w:cs="宋体"/>
          <w:bCs/>
          <w:snapToGrid w:val="0"/>
          <w:color w:val="auto"/>
          <w:kern w:val="0"/>
          <w:sz w:val="24"/>
          <w:szCs w:val="24"/>
          <w:highlight w:val="none"/>
        </w:rPr>
        <w:t xml:space="preserve"> 物价变化</w:t>
      </w:r>
    </w:p>
    <w:p w14:paraId="355D11F6">
      <w:pPr>
        <w:pageBreakBefore w:val="0"/>
        <w:kinsoku/>
        <w:wordWrap/>
        <w:overflowPunct/>
        <w:bidi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2.3.6.1</w:t>
      </w:r>
      <w:r>
        <w:rPr>
          <w:rFonts w:hint="eastAsia" w:ascii="宋体" w:hAnsi="宋体" w:eastAsia="宋体" w:cs="宋体"/>
          <w:bCs/>
          <w:snapToGrid w:val="0"/>
          <w:color w:val="auto"/>
          <w:kern w:val="0"/>
          <w:sz w:val="24"/>
          <w:szCs w:val="24"/>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4"/>
          <w:szCs w:val="24"/>
          <w:highlight w:val="none"/>
        </w:rPr>
        <w:t>以下简称“中标人工费”</w:t>
      </w:r>
      <w:r>
        <w:rPr>
          <w:rFonts w:hint="eastAsia" w:ascii="宋体" w:hAnsi="宋体" w:eastAsia="宋体" w:cs="宋体"/>
          <w:bCs/>
          <w:snapToGrid w:val="0"/>
          <w:color w:val="auto"/>
          <w:kern w:val="0"/>
          <w:sz w:val="24"/>
          <w:szCs w:val="24"/>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284BC422">
      <w:pPr>
        <w:pageBreakBefore w:val="0"/>
        <w:kinsoku/>
        <w:wordWrap/>
        <w:overflowPunct/>
        <w:bidi w:val="0"/>
        <w:adjustRightInd w:val="0"/>
        <w:snapToGrid w:val="0"/>
        <w:spacing w:line="360" w:lineRule="auto"/>
        <w:ind w:firstLine="480" w:firstLineChars="200"/>
        <w:jc w:val="center"/>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结算人工费＝中标人工费×F</w:t>
      </w:r>
      <w:r>
        <w:rPr>
          <w:rFonts w:hint="eastAsia" w:ascii="宋体" w:hAnsi="宋体" w:eastAsia="宋体" w:cs="宋体"/>
          <w:bCs/>
          <w:snapToGrid w:val="0"/>
          <w:color w:val="auto"/>
          <w:kern w:val="0"/>
          <w:sz w:val="24"/>
          <w:szCs w:val="24"/>
          <w:highlight w:val="none"/>
          <w:vertAlign w:val="subscript"/>
        </w:rPr>
        <w:t>1</w:t>
      </w:r>
    </w:p>
    <w:p w14:paraId="4A78476B">
      <w:pPr>
        <w:pageBreakBefore w:val="0"/>
        <w:kinsoku/>
        <w:wordWrap/>
        <w:overflowPunct/>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式中，F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为施工当月项目所在地工程造价管理机构发布的动态人工调整系数。</w:t>
      </w:r>
    </w:p>
    <w:p w14:paraId="7E20A54D">
      <w:pPr>
        <w:pageBreakBefore w:val="0"/>
        <w:kinsoku/>
        <w:wordWrap/>
        <w:overflow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2.3.6.2</w:t>
      </w:r>
      <w:r>
        <w:rPr>
          <w:rFonts w:hint="eastAsia" w:ascii="宋体" w:hAnsi="宋体" w:eastAsia="宋体" w:cs="宋体"/>
          <w:snapToGrid w:val="0"/>
          <w:color w:val="auto"/>
          <w:kern w:val="0"/>
          <w:sz w:val="24"/>
          <w:szCs w:val="24"/>
          <w:highlight w:val="none"/>
        </w:rPr>
        <w:t xml:space="preserve"> 本招标项目约定，材料、工程设备单价涨跌风险幅度值A为</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3739995F">
      <w:pPr>
        <w:pageBreakBefore w:val="0"/>
        <w:kinsoku/>
        <w:wordWrap/>
        <w:overflow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79394416">
      <w:pPr>
        <w:pageBreakBefore w:val="0"/>
        <w:kinsoku/>
        <w:wordWrap/>
        <w:overflowPunct/>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stroked="f" coordsize="21600,21600">
            <v:path/>
            <v:fill on="f" focussize="0,0"/>
            <v:stroke on="f"/>
            <v:imagedata r:id="rId10" o:title=""/>
            <o:lock v:ext="edit" grouping="f" rotation="f" text="f" aspectratio="t"/>
            <w10:wrap type="none"/>
            <w10:anchorlock/>
          </v:shape>
          <o:OLEObject Type="Embed" ProgID="Equation.KSEE3" ShapeID="_x0000_i1025" DrawAspect="Content" ObjectID="_1468075725" r:id="rId9">
            <o:LockedField>false</o:LockedField>
          </o:OLEObject>
        </w:object>
      </w:r>
    </w:p>
    <w:p w14:paraId="0E0A46F1">
      <w:pPr>
        <w:pageBreakBefore w:val="0"/>
        <w:kinsoku/>
        <w:wordWrap/>
        <w:overflowPunct/>
        <w:bidi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stroked="f" coordsize="21600,21600">
            <v:path/>
            <v:fill on="f" focussize="0,0"/>
            <v:stroke on="f"/>
            <v:imagedata r:id="rId12" o:title=""/>
            <o:lock v:ext="edit" grouping="f" rotation="f" text="f" aspectratio="t"/>
            <w10:wrap type="none"/>
            <w10:anchorlock/>
          </v:shape>
          <o:OLEObject Type="Embed" ProgID="Equation.KSEE3" ShapeID="_x0000_i1026" DrawAspect="Content" ObjectID="_1468075726" r:id="rId11">
            <o:LockedField>false</o:LockedField>
          </o:OLEObject>
        </w:object>
      </w:r>
    </w:p>
    <w:p w14:paraId="469FBED9">
      <w:pPr>
        <w:pageBreakBefore w:val="0"/>
        <w:kinsoku/>
        <w:wordWrap/>
        <w:overflow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．如果中标单价高于基准单价，该材料、工程设备的结算单价调整公式为：</w:t>
      </w:r>
    </w:p>
    <w:p w14:paraId="05E199EB">
      <w:pPr>
        <w:pageBreakBefore w:val="0"/>
        <w:kinsoku/>
        <w:wordWrap/>
        <w:overflowPunct/>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stroked="f" coordsize="21600,21600">
            <v:path/>
            <v:fill on="f" focussize="0,0"/>
            <v:stroke on="f"/>
            <v:imagedata r:id="rId14" o:title=""/>
            <o:lock v:ext="edit" grouping="f" rotation="f" text="f" aspectratio="t"/>
            <w10:wrap type="none"/>
            <w10:anchorlock/>
          </v:shape>
          <o:OLEObject Type="Embed" ProgID="Equation.KSEE3" ShapeID="_x0000_i1027" DrawAspect="Content" ObjectID="_1468075727" r:id="rId13">
            <o:LockedField>false</o:LockedField>
          </o:OLEObject>
        </w:object>
      </w:r>
    </w:p>
    <w:p w14:paraId="650BCA82">
      <w:pPr>
        <w:pageBreakBefore w:val="0"/>
        <w:kinsoku/>
        <w:wordWrap/>
        <w:overflowPunct/>
        <w:bidi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stroked="f" coordsize="21600,21600">
            <v:path/>
            <v:fill on="f" focussize="0,0"/>
            <v:stroke on="f"/>
            <v:imagedata r:id="rId16" o:title=""/>
            <o:lock v:ext="edit" grouping="f" rotation="f" text="f" aspectratio="t"/>
            <w10:wrap type="none"/>
            <w10:anchorlock/>
          </v:shape>
          <o:OLEObject Type="Embed" ProgID="Equation.KSEE3" ShapeID="_x0000_i1028" DrawAspect="Content" ObjectID="_1468075728" r:id="rId15">
            <o:LockedField>false</o:LockedField>
          </o:OLEObject>
        </w:object>
      </w:r>
    </w:p>
    <w:p w14:paraId="7D15EB0B">
      <w:pPr>
        <w:pageBreakBefore w:val="0"/>
        <w:kinsoku/>
        <w:wordWrap/>
        <w:overflow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．如果中标单价等于基准单价，该材料、工程设备的结算单价调整公式为：</w:t>
      </w:r>
    </w:p>
    <w:p w14:paraId="033882D4">
      <w:pPr>
        <w:pageBreakBefore w:val="0"/>
        <w:kinsoku/>
        <w:wordWrap/>
        <w:overflowPunct/>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stroked="f" coordsize="21600,21600">
            <v:path/>
            <v:fill on="f" focussize="0,0"/>
            <v:stroke on="f"/>
            <v:imagedata r:id="rId18" o:title=""/>
            <o:lock v:ext="edit" grouping="f" rotation="f" text="f" aspectratio="t"/>
            <w10:wrap type="none"/>
            <w10:anchorlock/>
          </v:shape>
          <o:OLEObject Type="Embed" ProgID="Equation.KSEE3" ShapeID="_x0000_i1029" DrawAspect="Content" ObjectID="_1468075729" r:id="rId17">
            <o:LockedField>false</o:LockedField>
          </o:OLEObject>
        </w:object>
      </w:r>
    </w:p>
    <w:p w14:paraId="3D754D31">
      <w:pPr>
        <w:pageBreakBefore w:val="0"/>
        <w:kinsoku/>
        <w:wordWrap/>
        <w:overflowPunct/>
        <w:bidi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20" o:title=""/>
            <o:lock v:ext="edit" grouping="f" rotation="f" text="f" aspectratio="t"/>
            <w10:wrap type="none"/>
            <w10:anchorlock/>
          </v:shape>
          <o:OLEObject Type="Embed" ProgID="Equation.KSEE3" ShapeID="_x0000_i1030" DrawAspect="Content" ObjectID="_1468075730" r:id="rId19">
            <o:LockedField>false</o:LockedField>
          </o:OLEObject>
        </w:object>
      </w:r>
    </w:p>
    <w:p w14:paraId="4DA4E11E">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以上公式中，</w:t>
      </w:r>
      <w:r>
        <w:rPr>
          <w:rFonts w:hint="eastAsia" w:ascii="宋体" w:hAnsi="宋体" w:eastAsia="宋体" w:cs="宋体"/>
          <w:bCs/>
          <w:snapToGrid w:val="0"/>
          <w:color w:val="auto"/>
          <w:kern w:val="0"/>
          <w:sz w:val="24"/>
          <w:szCs w:val="24"/>
          <w:highlight w:val="none"/>
        </w:rPr>
        <w:t>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为中标单价；F</w:t>
      </w:r>
      <w:r>
        <w:rPr>
          <w:rFonts w:hint="eastAsia" w:ascii="宋体" w:hAnsi="宋体" w:eastAsia="宋体" w:cs="宋体"/>
          <w:bCs/>
          <w:snapToGrid w:val="0"/>
          <w:color w:val="auto"/>
          <w:kern w:val="0"/>
          <w:sz w:val="24"/>
          <w:szCs w:val="24"/>
          <w:highlight w:val="none"/>
          <w:vertAlign w:val="subscript"/>
        </w:rPr>
        <w:t>0</w:t>
      </w:r>
      <w:r>
        <w:rPr>
          <w:rFonts w:hint="eastAsia" w:ascii="宋体" w:hAnsi="宋体" w:eastAsia="宋体" w:cs="宋体"/>
          <w:bCs/>
          <w:snapToGrid w:val="0"/>
          <w:color w:val="auto"/>
          <w:kern w:val="0"/>
          <w:sz w:val="24"/>
          <w:szCs w:val="24"/>
          <w:highlight w:val="none"/>
        </w:rPr>
        <w:t>为基准单价； F</w:t>
      </w:r>
      <w:r>
        <w:rPr>
          <w:rFonts w:hint="eastAsia" w:ascii="宋体" w:hAnsi="宋体" w:eastAsia="宋体" w:cs="宋体"/>
          <w:bCs/>
          <w:snapToGrid w:val="0"/>
          <w:color w:val="auto"/>
          <w:kern w:val="0"/>
          <w:sz w:val="24"/>
          <w:szCs w:val="24"/>
          <w:highlight w:val="none"/>
          <w:vertAlign w:val="subscript"/>
        </w:rPr>
        <w:t>2</w:t>
      </w:r>
      <w:r>
        <w:rPr>
          <w:rFonts w:hint="eastAsia" w:ascii="宋体" w:hAnsi="宋体" w:eastAsia="宋体" w:cs="宋体"/>
          <w:bCs/>
          <w:snapToGrid w:val="0"/>
          <w:color w:val="auto"/>
          <w:kern w:val="0"/>
          <w:sz w:val="24"/>
          <w:szCs w:val="24"/>
          <w:highlight w:val="none"/>
        </w:rPr>
        <w:t>为施工当月项目所在地工程造价管理机构发布的材料、工程设备单价；A为合同约定的材料、工程设备单价涨跌风险幅度值。</w:t>
      </w:r>
    </w:p>
    <w:p w14:paraId="58C8CA6D">
      <w:pPr>
        <w:pageBreakBefore w:val="0"/>
        <w:kinsoku/>
        <w:wordWrap/>
        <w:overflowPunct/>
        <w:bidi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2.3.6.3</w:t>
      </w:r>
      <w:r>
        <w:rPr>
          <w:rFonts w:hint="eastAsia" w:ascii="宋体" w:hAnsi="宋体" w:eastAsia="宋体" w:cs="宋体"/>
          <w:snapToGrid w:val="0"/>
          <w:color w:val="auto"/>
          <w:kern w:val="0"/>
          <w:sz w:val="24"/>
          <w:szCs w:val="24"/>
          <w:highlight w:val="none"/>
        </w:rPr>
        <w:t xml:space="preserve"> 合同履行期间，当《发包人提供材料和工程设备一览表》（详见招标工程量清单）中的材料、工程设备单价发生变化时，由发包人按照实际变化调整，并列入合同价款。</w:t>
      </w:r>
    </w:p>
    <w:p w14:paraId="4CB6A37E">
      <w:pPr>
        <w:pageBreakBefore w:val="0"/>
        <w:kinsoku/>
        <w:wordWrap/>
        <w:overflow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2.3.6.4</w:t>
      </w:r>
      <w:r>
        <w:rPr>
          <w:rFonts w:hint="eastAsia" w:ascii="宋体" w:hAnsi="宋体" w:eastAsia="宋体" w:cs="宋体"/>
          <w:snapToGrid w:val="0"/>
          <w:color w:val="auto"/>
          <w:kern w:val="0"/>
          <w:sz w:val="24"/>
          <w:szCs w:val="24"/>
          <w:highlight w:val="none"/>
        </w:rPr>
        <w:t xml:space="preserve"> 本招标项目约定，施工机具台班单价涨跌风险幅度值B为</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。合同履行期间，当施工机具台班单价涨跌幅度等于或低于B值时，该施工机具台班单价不予调整；超过B值时，其超过部分可以调整。相关费用按有关规定进行相应调整。</w:t>
      </w:r>
    </w:p>
    <w:p w14:paraId="55FE91E4">
      <w:pPr>
        <w:pageBreakBefore w:val="0"/>
        <w:kinsoku/>
        <w:wordWrap/>
        <w:overflow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6F72566B">
      <w:pPr>
        <w:pageBreakBefore w:val="0"/>
        <w:kinsoku/>
        <w:wordWrap/>
        <w:overflowPunct/>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22" o:title=""/>
            <o:lock v:ext="edit" grouping="f" rotation="f" text="f" aspectratio="t"/>
            <w10:wrap type="none"/>
            <w10:anchorlock/>
          </v:shape>
          <o:OLEObject Type="Embed" ProgID="Equation.KSEE3" ShapeID="_x0000_i1031" DrawAspect="Content" ObjectID="_1468075731" r:id="rId21">
            <o:LockedField>false</o:LockedField>
          </o:OLEObject>
        </w:object>
      </w:r>
    </w:p>
    <w:p w14:paraId="15496D82">
      <w:pPr>
        <w:pageBreakBefore w:val="0"/>
        <w:kinsoku/>
        <w:wordWrap/>
        <w:overflowPunct/>
        <w:bidi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24" o:title=""/>
            <o:lock v:ext="edit" grouping="f" rotation="f" text="f" aspectratio="t"/>
            <w10:wrap type="none"/>
            <w10:anchorlock/>
          </v:shape>
          <o:OLEObject Type="Embed" ProgID="Equation.KSEE3" ShapeID="_x0000_i1032" DrawAspect="Content" ObjectID="_1468075732" r:id="rId23">
            <o:LockedField>false</o:LockedField>
          </o:OLEObject>
        </w:object>
      </w:r>
    </w:p>
    <w:p w14:paraId="4C10EA31">
      <w:pPr>
        <w:pageBreakBefore w:val="0"/>
        <w:kinsoku/>
        <w:wordWrap/>
        <w:overflow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23826AEA">
      <w:pPr>
        <w:pageBreakBefore w:val="0"/>
        <w:kinsoku/>
        <w:wordWrap/>
        <w:overflowPunct/>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26" o:title=""/>
            <o:lock v:ext="edit" grouping="f" rotation="f" text="f" aspectratio="t"/>
            <w10:wrap type="none"/>
            <w10:anchorlock/>
          </v:shape>
          <o:OLEObject Type="Embed" ProgID="Equation.KSEE3" ShapeID="_x0000_i1033" DrawAspect="Content" ObjectID="_1468075733" r:id="rId25">
            <o:LockedField>false</o:LockedField>
          </o:OLEObject>
        </w:object>
      </w:r>
    </w:p>
    <w:p w14:paraId="741F3071">
      <w:pPr>
        <w:pageBreakBefore w:val="0"/>
        <w:kinsoku/>
        <w:wordWrap/>
        <w:overflowPunct/>
        <w:bidi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28" o:title=""/>
            <o:lock v:ext="edit" grouping="f" rotation="f" text="f" aspectratio="t"/>
            <w10:wrap type="none"/>
            <w10:anchorlock/>
          </v:shape>
          <o:OLEObject Type="Embed" ProgID="Equation.KSEE3" ShapeID="_x0000_i1034" DrawAspect="Content" ObjectID="_1468075734" r:id="rId27">
            <o:LockedField>false</o:LockedField>
          </o:OLEObject>
        </w:object>
      </w:r>
    </w:p>
    <w:p w14:paraId="1CBB2058">
      <w:pPr>
        <w:pageBreakBefore w:val="0"/>
        <w:kinsoku/>
        <w:wordWrap/>
        <w:overflowPunct/>
        <w:bidi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2ED02F89">
      <w:pPr>
        <w:pageBreakBefore w:val="0"/>
        <w:kinsoku/>
        <w:wordWrap/>
        <w:overflowPunct/>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30" o:title=""/>
            <o:lock v:ext="edit" grouping="f" rotation="f" text="f" aspectratio="t"/>
            <w10:wrap type="none"/>
            <w10:anchorlock/>
          </v:shape>
          <o:OLEObject Type="Embed" ProgID="Equation.KSEE3" ShapeID="_x0000_i1035" DrawAspect="Content" ObjectID="_1468075735" r:id="rId29">
            <o:LockedField>false</o:LockedField>
          </o:OLEObject>
        </w:object>
      </w:r>
    </w:p>
    <w:p w14:paraId="7A262BF7">
      <w:pPr>
        <w:pageBreakBefore w:val="0"/>
        <w:kinsoku/>
        <w:wordWrap/>
        <w:overflowPunct/>
        <w:bidi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32" o:title=""/>
            <o:lock v:ext="edit" grouping="f" rotation="f" text="f" aspectratio="t"/>
            <w10:wrap type="none"/>
            <w10:anchorlock/>
          </v:shape>
          <o:OLEObject Type="Embed" ProgID="Equation.KSEE3" ShapeID="_x0000_i1036" DrawAspect="Content" ObjectID="_1468075736" r:id="rId31">
            <o:LockedField>false</o:LockedField>
          </o:OLEObject>
        </w:object>
      </w:r>
    </w:p>
    <w:p w14:paraId="577AAC91">
      <w:pPr>
        <w:pageBreakBefore w:val="0"/>
        <w:kinsoku/>
        <w:wordWrap/>
        <w:overflowPunct/>
        <w:bidi w:val="0"/>
        <w:spacing w:before="39" w:line="360" w:lineRule="auto"/>
        <w:ind w:left="484"/>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以上公式中，</w:t>
      </w:r>
      <w:r>
        <w:rPr>
          <w:rFonts w:hint="eastAsia" w:ascii="宋体" w:hAnsi="宋体" w:eastAsia="宋体" w:cs="宋体"/>
          <w:bCs/>
          <w:snapToGrid w:val="0"/>
          <w:color w:val="auto"/>
          <w:kern w:val="0"/>
          <w:sz w:val="24"/>
          <w:szCs w:val="24"/>
          <w:highlight w:val="none"/>
        </w:rPr>
        <w:t>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为中标单价；F</w:t>
      </w:r>
      <w:r>
        <w:rPr>
          <w:rFonts w:hint="eastAsia" w:ascii="宋体" w:hAnsi="宋体" w:eastAsia="宋体" w:cs="宋体"/>
          <w:bCs/>
          <w:snapToGrid w:val="0"/>
          <w:color w:val="auto"/>
          <w:kern w:val="0"/>
          <w:sz w:val="24"/>
          <w:szCs w:val="24"/>
          <w:highlight w:val="none"/>
          <w:vertAlign w:val="subscript"/>
        </w:rPr>
        <w:t>0</w:t>
      </w:r>
      <w:r>
        <w:rPr>
          <w:rFonts w:hint="eastAsia" w:ascii="宋体" w:hAnsi="宋体" w:eastAsia="宋体" w:cs="宋体"/>
          <w:bCs/>
          <w:snapToGrid w:val="0"/>
          <w:color w:val="auto"/>
          <w:kern w:val="0"/>
          <w:sz w:val="24"/>
          <w:szCs w:val="24"/>
          <w:highlight w:val="none"/>
        </w:rPr>
        <w:t>为基准单价；F</w:t>
      </w:r>
      <w:r>
        <w:rPr>
          <w:rFonts w:hint="eastAsia" w:ascii="宋体" w:hAnsi="宋体" w:eastAsia="宋体" w:cs="宋体"/>
          <w:bCs/>
          <w:snapToGrid w:val="0"/>
          <w:color w:val="auto"/>
          <w:kern w:val="0"/>
          <w:sz w:val="24"/>
          <w:szCs w:val="24"/>
          <w:highlight w:val="none"/>
          <w:vertAlign w:val="subscript"/>
        </w:rPr>
        <w:t>2</w:t>
      </w:r>
      <w:r>
        <w:rPr>
          <w:rFonts w:hint="eastAsia" w:ascii="宋体" w:hAnsi="宋体" w:eastAsia="宋体" w:cs="宋体"/>
          <w:bCs/>
          <w:snapToGrid w:val="0"/>
          <w:color w:val="auto"/>
          <w:kern w:val="0"/>
          <w:sz w:val="24"/>
          <w:szCs w:val="24"/>
          <w:highlight w:val="none"/>
        </w:rPr>
        <w:t>为施工当月项目所在地工程造价管理机构发布的施工机具台班单价；B为合同约定的施工机具台班单价涨跌风险幅度值。</w:t>
      </w:r>
    </w:p>
    <w:p w14:paraId="2EB022DF">
      <w:pPr>
        <w:pageBreakBefore w:val="0"/>
        <w:kinsoku/>
        <w:wordWrap/>
        <w:overflowPunct/>
        <w:bidi w:val="0"/>
        <w:spacing w:before="39" w:line="36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488A20FF">
      <w:pPr>
        <w:pageBreakBefore w:val="0"/>
        <w:kinsoku/>
        <w:wordWrap/>
        <w:overflowPunct/>
        <w:bidi w:val="0"/>
        <w:spacing w:before="154" w:line="360" w:lineRule="auto"/>
        <w:ind w:left="7" w:right="57"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暂估价项目按第一章第三节“投标人须知正文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2"/>
          <w:sz w:val="24"/>
          <w:szCs w:val="24"/>
          <w:highlight w:val="none"/>
        </w:rPr>
        <w:t xml:space="preserve">8.5 </w:t>
      </w:r>
      <w:r>
        <w:rPr>
          <w:rFonts w:hint="eastAsia" w:ascii="宋体" w:hAnsi="宋体" w:eastAsia="宋体" w:cs="宋体"/>
          <w:color w:val="auto"/>
          <w:spacing w:val="-2"/>
          <w:sz w:val="24"/>
          <w:szCs w:val="24"/>
          <w:highlight w:val="none"/>
        </w:rPr>
        <w:t>条</w:t>
      </w:r>
      <w:r>
        <w:rPr>
          <w:rFonts w:hint="eastAsia" w:ascii="宋体" w:hAnsi="宋体" w:eastAsia="宋体" w:cs="宋体"/>
          <w:color w:val="auto"/>
          <w:spacing w:val="-3"/>
          <w:sz w:val="24"/>
          <w:szCs w:val="24"/>
          <w:highlight w:val="none"/>
        </w:rPr>
        <w:t>的规定确定专业工</w:t>
      </w:r>
      <w:r>
        <w:rPr>
          <w:rFonts w:hint="eastAsia" w:ascii="宋体" w:hAnsi="宋体" w:eastAsia="宋体" w:cs="宋体"/>
          <w:color w:val="auto"/>
          <w:spacing w:val="-1"/>
          <w:sz w:val="24"/>
          <w:szCs w:val="24"/>
          <w:highlight w:val="none"/>
        </w:rPr>
        <w:t>程承包人（或材料供应商、工程设备供应商）后，将专业工</w:t>
      </w:r>
      <w:r>
        <w:rPr>
          <w:rFonts w:hint="eastAsia" w:ascii="宋体" w:hAnsi="宋体" w:eastAsia="宋体" w:cs="宋体"/>
          <w:color w:val="auto"/>
          <w:spacing w:val="-2"/>
          <w:sz w:val="24"/>
          <w:szCs w:val="24"/>
          <w:highlight w:val="none"/>
        </w:rPr>
        <w:t>程合同价款（或材料单价、</w:t>
      </w:r>
      <w:r>
        <w:rPr>
          <w:rFonts w:hint="eastAsia" w:ascii="宋体" w:hAnsi="宋体" w:eastAsia="宋体" w:cs="宋体"/>
          <w:color w:val="auto"/>
          <w:spacing w:val="-1"/>
          <w:sz w:val="24"/>
          <w:szCs w:val="24"/>
          <w:highlight w:val="none"/>
        </w:rPr>
        <w:t>工程设备单价）取代相应暂估价，并调整合同价款。</w:t>
      </w:r>
    </w:p>
    <w:p w14:paraId="605E5E80">
      <w:pPr>
        <w:pageBreakBefore w:val="0"/>
        <w:kinsoku/>
        <w:wordWrap/>
        <w:overflowPunct/>
        <w:bidi w:val="0"/>
        <w:spacing w:before="153" w:line="360" w:lineRule="auto"/>
        <w:ind w:left="8" w:right="2"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7CC8E5E0">
      <w:pPr>
        <w:pageBreakBefore w:val="0"/>
        <w:kinsoku/>
        <w:wordWrap/>
        <w:overflowPunct/>
        <w:bidi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2.3.8</w:t>
      </w:r>
      <w:r>
        <w:rPr>
          <w:rFonts w:hint="eastAsia" w:ascii="宋体" w:hAnsi="宋体" w:eastAsia="宋体" w:cs="宋体"/>
          <w:color w:val="auto"/>
          <w:sz w:val="24"/>
          <w:szCs w:val="24"/>
          <w:highlight w:val="none"/>
        </w:rPr>
        <w:t xml:space="preserve"> 预算包干费按照分部分项的人工费与施工机具费之和及投标费率计取。本招标项目的预算包干内容包括：施工雨水、污水的排除；因地形影响造成的场内料具二次运输</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0米高以下的工程用水加压措施；施工材料堆放场地的整理；机电安装后的补洞(槽料费；工程成品保护费；施工中的临时停水停电；基础埋深 2 米以内挖土方的塌</w:t>
      </w:r>
      <w:r>
        <w:rPr>
          <w:rFonts w:hint="eastAsia" w:ascii="宋体" w:hAnsi="宋体" w:eastAsia="宋体" w:cs="宋体"/>
          <w:color w:val="auto"/>
          <w:sz w:val="24"/>
          <w:szCs w:val="24"/>
          <w:highlight w:val="none"/>
          <w:lang w:eastAsia="zh-CN"/>
        </w:rPr>
        <w:t>方；日间</w:t>
      </w:r>
      <w:r>
        <w:rPr>
          <w:rFonts w:hint="eastAsia" w:ascii="宋体" w:hAnsi="宋体" w:eastAsia="宋体" w:cs="宋体"/>
          <w:color w:val="auto"/>
          <w:sz w:val="24"/>
          <w:szCs w:val="24"/>
          <w:highlight w:val="none"/>
        </w:rPr>
        <w:t>照明施工增加费(不包括地下室和特殊工程)；完工清场后的垃圾外运；地上(地下)设</w:t>
      </w:r>
      <w:r>
        <w:rPr>
          <w:rFonts w:hint="eastAsia" w:ascii="宋体" w:hAnsi="宋体" w:eastAsia="宋体" w:cs="宋体"/>
          <w:color w:val="auto"/>
          <w:sz w:val="24"/>
          <w:szCs w:val="24"/>
          <w:highlight w:val="none"/>
          <w:lang w:eastAsia="zh-CN"/>
        </w:rPr>
        <w:t>施，</w:t>
      </w:r>
      <w:r>
        <w:rPr>
          <w:rFonts w:hint="eastAsia" w:ascii="宋体" w:hAnsi="宋体" w:eastAsia="宋体" w:cs="宋体"/>
          <w:color w:val="auto"/>
          <w:sz w:val="24"/>
          <w:szCs w:val="24"/>
          <w:highlight w:val="none"/>
        </w:rPr>
        <w:t>建筑物的临时保护设施费和二次加工基地设施费；雨季施工增加费</w:t>
      </w:r>
      <w:r>
        <w:rPr>
          <w:rFonts w:hint="eastAsia" w:ascii="宋体" w:hAnsi="宋体" w:eastAsia="宋体" w:cs="宋体"/>
          <w:color w:val="auto"/>
          <w:sz w:val="24"/>
          <w:szCs w:val="24"/>
          <w:highlight w:val="none"/>
          <w:lang w:eastAsia="zh-CN"/>
        </w:rPr>
        <w:t>；已完成及设备保护等。</w:t>
      </w:r>
    </w:p>
    <w:p w14:paraId="7AEE3F33">
      <w:pPr>
        <w:pageBreakBefore w:val="0"/>
        <w:kinsoku/>
        <w:wordWrap/>
        <w:overflowPunct/>
        <w:bidi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2.3.9</w:t>
      </w:r>
      <w:r>
        <w:rPr>
          <w:rFonts w:hint="eastAsia" w:ascii="宋体" w:hAnsi="宋体" w:eastAsia="宋体" w:cs="宋体"/>
          <w:color w:val="auto"/>
          <w:sz w:val="24"/>
          <w:szCs w:val="24"/>
          <w:highlight w:val="none"/>
        </w:rPr>
        <w:t xml:space="preserve">  其余事项（如不可抗力、索赔、现场签证等）的调整原则按照《建设工程工程量清单计价规范》（GB50500—2013）有关规定执行。</w:t>
      </w:r>
    </w:p>
    <w:p w14:paraId="15441A8E">
      <w:pPr>
        <w:pageBreakBefore w:val="0"/>
        <w:kinsoku/>
        <w:wordWrap/>
        <w:overflowPunct/>
        <w:bidi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2.4</w:t>
      </w:r>
      <w:r>
        <w:rPr>
          <w:rFonts w:hint="eastAsia" w:ascii="宋体" w:hAnsi="宋体" w:eastAsia="宋体" w:cs="宋体"/>
          <w:color w:val="auto"/>
          <w:sz w:val="24"/>
          <w:szCs w:val="24"/>
          <w:highlight w:val="none"/>
        </w:rPr>
        <w:t xml:space="preserve">  凡将引起合同价款调增的事项，承包人必须于拟实施 14 天前，将详细的报价书（含拟实施项目名称、变更部位、理由、预计造价等）报监理单位审核和发包人批准后方可实施。</w:t>
      </w:r>
    </w:p>
    <w:p w14:paraId="549727DF">
      <w:pPr>
        <w:pageBreakBefore w:val="0"/>
        <w:kinsoku/>
        <w:wordWrap/>
        <w:overflowPunct/>
        <w:bidi w:val="0"/>
        <w:spacing w:before="153" w:line="360"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7F4A8BAC">
      <w:pPr>
        <w:pageBreakBefore w:val="0"/>
        <w:kinsoku/>
        <w:wordWrap/>
        <w:overflowPunct/>
        <w:bidi w:val="0"/>
        <w:spacing w:before="154" w:line="360"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62B57CA7">
      <w:pPr>
        <w:pageBreakBefore w:val="0"/>
        <w:kinsoku/>
        <w:wordWrap/>
        <w:overflowPunct/>
        <w:bidi w:val="0"/>
        <w:spacing w:before="155" w:line="360"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按照《建设工程工程量清单计价规范》（GB50500—2013）和国家、省、市的有关规定</w:t>
      </w:r>
      <w:r>
        <w:rPr>
          <w:rFonts w:hint="eastAsia" w:ascii="宋体" w:hAnsi="宋体" w:eastAsia="宋体" w:cs="宋体"/>
          <w:color w:val="auto"/>
          <w:spacing w:val="-2"/>
          <w:sz w:val="24"/>
          <w:szCs w:val="24"/>
          <w:highlight w:val="none"/>
        </w:rPr>
        <w:t>办理竣工结算。</w:t>
      </w:r>
    </w:p>
    <w:p w14:paraId="6BF7AA13">
      <w:pPr>
        <w:pageBreakBefore w:val="0"/>
        <w:kinsoku/>
        <w:wordWrap/>
        <w:overflowPunct/>
        <w:bidi w:val="0"/>
        <w:spacing w:before="152" w:line="360"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pacing w:val="-1"/>
          <w:sz w:val="24"/>
          <w:szCs w:val="24"/>
          <w:highlight w:val="none"/>
        </w:rPr>
        <w:t>加的费用和（或）工期延误由承包人承担。</w:t>
      </w:r>
    </w:p>
    <w:p w14:paraId="3BFF8CF0">
      <w:pPr>
        <w:pageBreakBefore w:val="0"/>
        <w:kinsoku/>
        <w:wordWrap/>
        <w:overflowPunct/>
        <w:bidi w:val="0"/>
        <w:spacing w:before="152" w:line="360"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2CF9924F">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rPr>
      </w:pPr>
      <w:bookmarkStart w:id="188" w:name="_Toc1816"/>
      <w:bookmarkStart w:id="189" w:name="_Toc13494"/>
      <w:bookmarkStart w:id="190" w:name="_Toc10496"/>
      <w:r>
        <w:rPr>
          <w:rFonts w:hint="eastAsia" w:ascii="宋体" w:hAnsi="宋体" w:eastAsia="宋体" w:cs="宋体"/>
          <w:b/>
          <w:bCs/>
          <w:color w:val="auto"/>
          <w:spacing w:val="-11"/>
          <w:sz w:val="24"/>
          <w:szCs w:val="24"/>
          <w:highlight w:val="none"/>
        </w:rPr>
        <w:t>3. 工程付款办法</w:t>
      </w:r>
      <w:bookmarkEnd w:id="188"/>
      <w:bookmarkEnd w:id="189"/>
    </w:p>
    <w:p w14:paraId="6C19C70B">
      <w:pPr>
        <w:pageBreakBefore w:val="0"/>
        <w:kinsoku/>
        <w:wordWrap/>
        <w:overflowPunct/>
        <w:bidi w:val="0"/>
        <w:spacing w:before="155" w:line="360" w:lineRule="auto"/>
        <w:ind w:left="12" w:right="231" w:firstLine="476"/>
        <w:rPr>
          <w:rFonts w:hint="eastAsia" w:ascii="宋体" w:hAnsi="宋体" w:eastAsia="宋体" w:cs="宋体"/>
          <w:b/>
          <w:bCs/>
          <w:color w:val="auto"/>
          <w:spacing w:val="2"/>
          <w:sz w:val="24"/>
          <w:szCs w:val="24"/>
          <w:highlight w:val="none"/>
        </w:rPr>
      </w:pPr>
      <w:bookmarkStart w:id="191" w:name="_Toc5331"/>
      <w:r>
        <w:rPr>
          <w:rFonts w:hint="eastAsia" w:ascii="宋体" w:hAnsi="宋体" w:eastAsia="宋体" w:cs="宋体"/>
          <w:b/>
          <w:bCs/>
          <w:color w:val="auto"/>
          <w:spacing w:val="2"/>
          <w:sz w:val="24"/>
          <w:szCs w:val="24"/>
          <w:highlight w:val="none"/>
        </w:rPr>
        <w:t>3.1</w:t>
      </w:r>
      <w:r>
        <w:rPr>
          <w:rFonts w:hint="eastAsia" w:ascii="宋体" w:hAnsi="宋体" w:eastAsia="宋体" w:cs="宋体"/>
          <w:b/>
          <w:bCs/>
          <w:color w:val="auto"/>
          <w:spacing w:val="2"/>
          <w:sz w:val="24"/>
          <w:szCs w:val="24"/>
          <w:highlight w:val="none"/>
          <w:lang w:val="en-US" w:eastAsia="zh-CN"/>
        </w:rPr>
        <w:t xml:space="preserve"> </w:t>
      </w:r>
      <w:r>
        <w:rPr>
          <w:rFonts w:hint="eastAsia" w:ascii="宋体" w:hAnsi="宋体" w:eastAsia="宋体" w:cs="宋体"/>
          <w:b w:val="0"/>
          <w:bCs w:val="0"/>
          <w:color w:val="auto"/>
          <w:spacing w:val="2"/>
          <w:sz w:val="24"/>
          <w:szCs w:val="24"/>
          <w:highlight w:val="none"/>
        </w:rPr>
        <w:t>本项目</w:t>
      </w:r>
      <w:r>
        <w:rPr>
          <w:rFonts w:hint="eastAsia" w:ascii="宋体" w:hAnsi="宋体" w:eastAsia="宋体" w:cs="宋体"/>
          <w:b w:val="0"/>
          <w:bCs w:val="0"/>
          <w:color w:val="auto"/>
          <w:spacing w:val="2"/>
          <w:sz w:val="24"/>
          <w:szCs w:val="24"/>
          <w:highlight w:val="none"/>
          <w:u w:val="single"/>
          <w:lang w:val="en-US" w:eastAsia="zh-CN"/>
        </w:rPr>
        <w:t>不</w:t>
      </w:r>
      <w:r>
        <w:rPr>
          <w:rFonts w:hint="eastAsia" w:ascii="宋体" w:hAnsi="宋体" w:eastAsia="宋体" w:cs="宋体"/>
          <w:b w:val="0"/>
          <w:bCs w:val="0"/>
          <w:color w:val="auto"/>
          <w:spacing w:val="2"/>
          <w:sz w:val="24"/>
          <w:szCs w:val="24"/>
          <w:highlight w:val="none"/>
          <w:u w:val="single"/>
        </w:rPr>
        <w:t>支付</w:t>
      </w:r>
      <w:r>
        <w:rPr>
          <w:rFonts w:hint="eastAsia" w:ascii="宋体" w:hAnsi="宋体" w:eastAsia="宋体" w:cs="宋体"/>
          <w:b w:val="0"/>
          <w:bCs w:val="0"/>
          <w:color w:val="auto"/>
          <w:spacing w:val="2"/>
          <w:sz w:val="24"/>
          <w:szCs w:val="24"/>
          <w:highlight w:val="none"/>
        </w:rPr>
        <w:t>施工预付款。</w:t>
      </w:r>
      <w:bookmarkEnd w:id="191"/>
    </w:p>
    <w:p w14:paraId="22B84E87">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b/>
          <w:bCs/>
          <w:color w:val="auto"/>
          <w:kern w:val="1"/>
          <w:sz w:val="24"/>
          <w:szCs w:val="24"/>
          <w:highlight w:val="none"/>
        </w:rPr>
        <w:t xml:space="preserve">3.2 </w:t>
      </w:r>
      <w:r>
        <w:rPr>
          <w:rStyle w:val="49"/>
          <w:rFonts w:hint="eastAsia" w:ascii="宋体" w:hAnsi="宋体" w:eastAsia="宋体" w:cs="宋体"/>
          <w:color w:val="auto"/>
          <w:kern w:val="0"/>
          <w:sz w:val="24"/>
          <w:szCs w:val="24"/>
          <w:highlight w:val="none"/>
        </w:rPr>
        <w:t>施工预付款必须专用于合同工程，并按以下原则支付和抵扣：</w:t>
      </w:r>
    </w:p>
    <w:p w14:paraId="349A7BD1">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b/>
          <w:bCs/>
          <w:color w:val="auto"/>
          <w:kern w:val="0"/>
          <w:sz w:val="24"/>
          <w:szCs w:val="24"/>
          <w:highlight w:val="none"/>
        </w:rPr>
        <w:t xml:space="preserve">3.2.1 </w:t>
      </w:r>
      <w:r>
        <w:rPr>
          <w:rStyle w:val="49"/>
          <w:rFonts w:hint="eastAsia" w:ascii="宋体" w:hAnsi="宋体" w:eastAsia="宋体" w:cs="宋体"/>
          <w:color w:val="auto"/>
          <w:kern w:val="0"/>
          <w:sz w:val="24"/>
          <w:szCs w:val="24"/>
          <w:highlight w:val="none"/>
        </w:rPr>
        <w:t>施工预付款支付比例为：按施工合同价的</w:t>
      </w:r>
      <w:r>
        <w:rPr>
          <w:rStyle w:val="49"/>
          <w:rFonts w:hint="eastAsia" w:ascii="宋体" w:hAnsi="宋体" w:eastAsia="宋体" w:cs="宋体"/>
          <w:b/>
          <w:bCs/>
          <w:color w:val="auto"/>
          <w:kern w:val="0"/>
          <w:sz w:val="24"/>
          <w:szCs w:val="24"/>
          <w:highlight w:val="none"/>
          <w:u w:val="single"/>
          <w:lang w:val="en-US" w:eastAsia="zh-CN"/>
        </w:rPr>
        <w:t>/</w:t>
      </w:r>
      <w:r>
        <w:rPr>
          <w:rStyle w:val="49"/>
          <w:rFonts w:hint="eastAsia" w:ascii="宋体" w:hAnsi="宋体" w:eastAsia="宋体" w:cs="宋体"/>
          <w:color w:val="auto"/>
          <w:kern w:val="0"/>
          <w:sz w:val="24"/>
          <w:szCs w:val="24"/>
          <w:highlight w:val="none"/>
        </w:rPr>
        <w:t>支付。</w:t>
      </w:r>
    </w:p>
    <w:p w14:paraId="7BF7F0FD">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baseline"/>
        <w:rPr>
          <w:rStyle w:val="49"/>
          <w:rFonts w:hint="eastAsia" w:ascii="宋体" w:hAnsi="宋体" w:eastAsia="宋体" w:cs="宋体"/>
          <w:color w:val="auto"/>
          <w:kern w:val="0"/>
          <w:sz w:val="24"/>
          <w:szCs w:val="24"/>
          <w:highlight w:val="none"/>
          <w:lang w:eastAsia="zh-CN"/>
        </w:rPr>
      </w:pPr>
      <w:r>
        <w:rPr>
          <w:rStyle w:val="49"/>
          <w:rFonts w:hint="eastAsia" w:ascii="宋体" w:hAnsi="宋体" w:eastAsia="宋体" w:cs="宋体"/>
          <w:b/>
          <w:bCs/>
          <w:color w:val="auto"/>
          <w:kern w:val="0"/>
          <w:sz w:val="24"/>
          <w:szCs w:val="24"/>
          <w:highlight w:val="none"/>
        </w:rPr>
        <w:t>3.2.2</w:t>
      </w:r>
      <w:r>
        <w:rPr>
          <w:rStyle w:val="49"/>
          <w:rFonts w:hint="eastAsia" w:ascii="宋体" w:hAnsi="宋体" w:eastAsia="宋体" w:cs="宋体"/>
          <w:color w:val="auto"/>
          <w:kern w:val="0"/>
          <w:sz w:val="24"/>
          <w:szCs w:val="24"/>
          <w:highlight w:val="none"/>
        </w:rPr>
        <w:t xml:space="preserve"> </w:t>
      </w:r>
      <w:r>
        <w:rPr>
          <w:rStyle w:val="49"/>
          <w:rFonts w:hint="eastAsia" w:ascii="宋体" w:hAnsi="宋体" w:eastAsia="宋体" w:cs="宋体"/>
          <w:b w:val="0"/>
          <w:bCs w:val="0"/>
          <w:color w:val="auto"/>
          <w:kern w:val="0"/>
          <w:sz w:val="24"/>
          <w:szCs w:val="24"/>
          <w:highlight w:val="none"/>
        </w:rPr>
        <w:t>本招标项目</w:t>
      </w:r>
      <w:r>
        <w:rPr>
          <w:rStyle w:val="49"/>
          <w:rFonts w:hint="eastAsia" w:ascii="宋体" w:hAnsi="宋体" w:eastAsia="宋体" w:cs="宋体"/>
          <w:b w:val="0"/>
          <w:bCs w:val="0"/>
          <w:color w:val="auto"/>
          <w:kern w:val="0"/>
          <w:sz w:val="24"/>
          <w:szCs w:val="24"/>
          <w:highlight w:val="none"/>
          <w:u w:val="single"/>
          <w:lang w:val="en-US" w:eastAsia="zh-CN" w:bidi="ar-SA"/>
        </w:rPr>
        <w:t>不要求</w:t>
      </w:r>
      <w:r>
        <w:rPr>
          <w:rStyle w:val="49"/>
          <w:rFonts w:hint="eastAsia" w:ascii="宋体" w:hAnsi="宋体" w:eastAsia="宋体" w:cs="宋体"/>
          <w:b w:val="0"/>
          <w:bCs w:val="0"/>
          <w:color w:val="auto"/>
          <w:kern w:val="0"/>
          <w:sz w:val="24"/>
          <w:szCs w:val="24"/>
          <w:highlight w:val="none"/>
        </w:rPr>
        <w:t>承包人提</w:t>
      </w:r>
      <w:r>
        <w:rPr>
          <w:rStyle w:val="49"/>
          <w:rFonts w:hint="eastAsia" w:ascii="宋体" w:hAnsi="宋体" w:eastAsia="宋体" w:cs="宋体"/>
          <w:color w:val="auto"/>
          <w:kern w:val="0"/>
          <w:sz w:val="24"/>
          <w:szCs w:val="24"/>
          <w:highlight w:val="none"/>
        </w:rPr>
        <w:t>供与预付款等额的预付款保函。</w:t>
      </w:r>
    </w:p>
    <w:p w14:paraId="413BF5F8">
      <w:pPr>
        <w:keepNext w:val="0"/>
        <w:keepLines w:val="0"/>
        <w:pageBreakBefore w:val="0"/>
        <w:widowControl/>
        <w:suppressLineNumbers w:val="0"/>
        <w:kinsoku/>
        <w:wordWrap/>
        <w:overflowPunct/>
        <w:bidi w:val="0"/>
        <w:spacing w:line="360" w:lineRule="auto"/>
        <w:ind w:firstLine="482" w:firstLineChars="200"/>
        <w:jc w:val="left"/>
        <w:rPr>
          <w:rStyle w:val="49"/>
          <w:rFonts w:hint="eastAsia" w:ascii="宋体" w:hAnsi="宋体" w:eastAsia="宋体" w:cs="宋体"/>
          <w:b w:val="0"/>
          <w:bCs w:val="0"/>
          <w:color w:val="auto"/>
          <w:kern w:val="0"/>
          <w:sz w:val="24"/>
          <w:szCs w:val="24"/>
          <w:highlight w:val="none"/>
        </w:rPr>
      </w:pPr>
      <w:r>
        <w:rPr>
          <w:rStyle w:val="49"/>
          <w:rFonts w:hint="eastAsia" w:ascii="宋体" w:hAnsi="宋体" w:eastAsia="宋体" w:cs="宋体"/>
          <w:b/>
          <w:bCs/>
          <w:color w:val="auto"/>
          <w:kern w:val="0"/>
          <w:sz w:val="24"/>
          <w:szCs w:val="24"/>
          <w:highlight w:val="none"/>
        </w:rPr>
        <w:t>3.2.3</w:t>
      </w:r>
      <w:r>
        <w:rPr>
          <w:rStyle w:val="49"/>
          <w:rFonts w:hint="eastAsia" w:ascii="宋体" w:hAnsi="宋体" w:eastAsia="宋体" w:cs="宋体"/>
          <w:color w:val="auto"/>
          <w:kern w:val="0"/>
          <w:sz w:val="24"/>
          <w:szCs w:val="24"/>
          <w:highlight w:val="none"/>
        </w:rPr>
        <w:t xml:space="preserve"> </w:t>
      </w:r>
      <w:r>
        <w:rPr>
          <w:rStyle w:val="49"/>
          <w:rFonts w:hint="eastAsia" w:ascii="宋体" w:hAnsi="宋体" w:eastAsia="宋体" w:cs="宋体"/>
          <w:b w:val="0"/>
          <w:bCs w:val="0"/>
          <w:color w:val="auto"/>
          <w:kern w:val="0"/>
          <w:sz w:val="24"/>
          <w:szCs w:val="24"/>
          <w:highlight w:val="none"/>
        </w:rPr>
        <w:t>承包人应在签订合同后，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31F7B5D4">
      <w:pPr>
        <w:keepNext w:val="0"/>
        <w:keepLines w:val="0"/>
        <w:pageBreakBefore w:val="0"/>
        <w:widowControl/>
        <w:suppressLineNumbers w:val="0"/>
        <w:kinsoku/>
        <w:wordWrap/>
        <w:overflowPunct/>
        <w:bidi w:val="0"/>
        <w:spacing w:line="360" w:lineRule="auto"/>
        <w:ind w:firstLine="482" w:firstLineChars="200"/>
        <w:jc w:val="left"/>
        <w:rPr>
          <w:rStyle w:val="49"/>
          <w:rFonts w:hint="eastAsia" w:ascii="宋体" w:hAnsi="宋体" w:eastAsia="宋体" w:cs="宋体"/>
          <w:b w:val="0"/>
          <w:bCs w:val="0"/>
          <w:color w:val="auto"/>
          <w:kern w:val="0"/>
          <w:sz w:val="24"/>
          <w:szCs w:val="24"/>
          <w:highlight w:val="none"/>
          <w:lang w:eastAsia="zh-CN"/>
        </w:rPr>
      </w:pPr>
      <w:r>
        <w:rPr>
          <w:rStyle w:val="49"/>
          <w:rFonts w:hint="eastAsia" w:ascii="宋体" w:hAnsi="宋体" w:eastAsia="宋体" w:cs="宋体"/>
          <w:b/>
          <w:bCs/>
          <w:color w:val="auto"/>
          <w:kern w:val="0"/>
          <w:sz w:val="24"/>
          <w:szCs w:val="24"/>
          <w:highlight w:val="none"/>
          <w:lang w:val="en-US" w:eastAsia="zh-CN"/>
        </w:rPr>
        <w:t>3.2.4</w:t>
      </w:r>
      <w:r>
        <w:rPr>
          <w:rStyle w:val="49"/>
          <w:rFonts w:hint="eastAsia" w:ascii="宋体" w:hAnsi="宋体" w:eastAsia="宋体" w:cs="宋体"/>
          <w:b w:val="0"/>
          <w:bCs w:val="0"/>
          <w:color w:val="auto"/>
          <w:kern w:val="0"/>
          <w:sz w:val="24"/>
          <w:szCs w:val="24"/>
          <w:highlight w:val="none"/>
          <w:lang w:val="en-US" w:eastAsia="zh-CN"/>
        </w:rPr>
        <w:t xml:space="preserve"> </w:t>
      </w:r>
      <w:r>
        <w:rPr>
          <w:rStyle w:val="49"/>
          <w:rFonts w:hint="eastAsia" w:ascii="宋体" w:hAnsi="宋体" w:eastAsia="宋体" w:cs="宋体"/>
          <w:b w:val="0"/>
          <w:bCs w:val="0"/>
          <w:color w:val="auto"/>
          <w:kern w:val="0"/>
          <w:sz w:val="24"/>
          <w:szCs w:val="24"/>
          <w:highlight w:val="none"/>
          <w:lang w:eastAsia="zh-CN"/>
        </w:rPr>
        <w:t>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40274CA2">
      <w:pPr>
        <w:keepNext w:val="0"/>
        <w:keepLines w:val="0"/>
        <w:pageBreakBefore w:val="0"/>
        <w:widowControl/>
        <w:suppressLineNumbers w:val="0"/>
        <w:kinsoku/>
        <w:wordWrap/>
        <w:overflowPunct/>
        <w:bidi w:val="0"/>
        <w:spacing w:line="360" w:lineRule="auto"/>
        <w:ind w:firstLine="482" w:firstLineChars="200"/>
        <w:jc w:val="left"/>
        <w:rPr>
          <w:rFonts w:hint="eastAsia" w:ascii="宋体" w:hAnsi="宋体" w:eastAsia="宋体" w:cs="宋体"/>
          <w:snapToGrid w:val="0"/>
          <w:color w:val="auto"/>
          <w:kern w:val="0"/>
          <w:sz w:val="24"/>
          <w:szCs w:val="24"/>
          <w:highlight w:val="none"/>
        </w:rPr>
      </w:pPr>
      <w:r>
        <w:rPr>
          <w:rStyle w:val="49"/>
          <w:rFonts w:hint="eastAsia" w:ascii="宋体" w:hAnsi="宋体" w:eastAsia="宋体" w:cs="宋体"/>
          <w:b/>
          <w:bCs/>
          <w:color w:val="auto"/>
          <w:sz w:val="24"/>
          <w:szCs w:val="24"/>
          <w:highlight w:val="none"/>
        </w:rPr>
        <w:t>3.2.</w:t>
      </w:r>
      <w:r>
        <w:rPr>
          <w:rStyle w:val="49"/>
          <w:rFonts w:hint="eastAsia" w:ascii="宋体" w:hAnsi="宋体" w:eastAsia="宋体" w:cs="宋体"/>
          <w:b/>
          <w:bCs/>
          <w:color w:val="auto"/>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 预付款应从每支付期应支付给承包人的工程进度款中扣回，直到扣回的金额达到合同约定的预付款金额为止。</w:t>
      </w:r>
    </w:p>
    <w:p w14:paraId="5BC15050">
      <w:pPr>
        <w:pStyle w:val="52"/>
        <w:keepNext w:val="0"/>
        <w:keepLines w:val="0"/>
        <w:pageBreakBefore w:val="0"/>
        <w:widowControl/>
        <w:kinsoku/>
        <w:wordWrap/>
        <w:overflowPunct/>
        <w:topLinePunct w:val="0"/>
        <w:autoSpaceDE/>
        <w:autoSpaceDN/>
        <w:bidi w:val="0"/>
        <w:adjustRightIn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Style w:val="49"/>
          <w:rFonts w:hint="eastAsia" w:ascii="宋体" w:hAnsi="宋体" w:eastAsia="宋体" w:cs="宋体"/>
          <w:b/>
          <w:bCs/>
          <w:color w:val="auto"/>
          <w:kern w:val="1"/>
          <w:sz w:val="24"/>
          <w:szCs w:val="24"/>
          <w:highlight w:val="none"/>
        </w:rPr>
        <w:t xml:space="preserve">3.3 </w:t>
      </w:r>
      <w:r>
        <w:rPr>
          <w:rFonts w:hint="eastAsia" w:ascii="宋体" w:hAnsi="宋体" w:eastAsia="宋体" w:cs="宋体"/>
          <w:snapToGrid w:val="0"/>
          <w:color w:val="auto"/>
          <w:kern w:val="0"/>
          <w:sz w:val="24"/>
          <w:szCs w:val="24"/>
          <w:highlight w:val="none"/>
        </w:rPr>
        <w:t>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6E13288A">
      <w:pPr>
        <w:pStyle w:val="52"/>
        <w:keepNext w:val="0"/>
        <w:keepLines w:val="0"/>
        <w:pageBreakBefore w:val="0"/>
        <w:kinsoku/>
        <w:wordWrap/>
        <w:overflowPunct/>
        <w:autoSpaceDE/>
        <w:autoSpaceDN/>
        <w:bidi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Style w:val="49"/>
          <w:rFonts w:hint="eastAsia" w:ascii="宋体" w:hAnsi="宋体" w:eastAsia="宋体" w:cs="宋体"/>
          <w:b/>
          <w:bCs/>
          <w:color w:val="auto"/>
          <w:kern w:val="1"/>
          <w:sz w:val="24"/>
          <w:szCs w:val="24"/>
          <w:highlight w:val="none"/>
          <w:lang w:val="en-US" w:eastAsia="zh-CN"/>
        </w:rPr>
        <w:t xml:space="preserve">3.4 </w:t>
      </w:r>
      <w:r>
        <w:rPr>
          <w:rFonts w:hint="eastAsia" w:ascii="宋体" w:hAnsi="宋体" w:eastAsia="宋体" w:cs="宋体"/>
          <w:snapToGrid w:val="0"/>
          <w:color w:val="auto"/>
          <w:kern w:val="0"/>
          <w:sz w:val="24"/>
          <w:szCs w:val="24"/>
          <w:highlight w:val="none"/>
        </w:rPr>
        <w:t>每月的工程进度款按</w:t>
      </w:r>
      <w:r>
        <w:rPr>
          <w:rFonts w:hint="eastAsia" w:ascii="宋体" w:hAnsi="宋体" w:eastAsia="宋体" w:cs="宋体"/>
          <w:snapToGrid w:val="0"/>
          <w:color w:val="auto"/>
          <w:kern w:val="0"/>
          <w:sz w:val="24"/>
          <w:szCs w:val="24"/>
          <w:highlight w:val="none"/>
          <w:lang w:eastAsia="zh-CN"/>
        </w:rPr>
        <w:t>工程实际完成工程量</w:t>
      </w:r>
      <w:r>
        <w:rPr>
          <w:rFonts w:hint="eastAsia" w:ascii="宋体" w:hAnsi="宋体" w:eastAsia="宋体" w:cs="宋体"/>
          <w:snapToGrid w:val="0"/>
          <w:color w:val="auto"/>
          <w:kern w:val="0"/>
          <w:sz w:val="24"/>
          <w:szCs w:val="24"/>
          <w:highlight w:val="none"/>
        </w:rPr>
        <w:t>的</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u w:val="single"/>
          <w:lang w:val="en-US" w:eastAsia="zh-CN"/>
        </w:rPr>
        <w:t>80%</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支付，工程</w:t>
      </w:r>
      <w:r>
        <w:rPr>
          <w:rFonts w:hint="eastAsia" w:ascii="宋体" w:hAnsi="宋体" w:eastAsia="宋体" w:cs="宋体"/>
          <w:snapToGrid w:val="0"/>
          <w:color w:val="auto"/>
          <w:kern w:val="0"/>
          <w:sz w:val="24"/>
          <w:szCs w:val="24"/>
          <w:highlight w:val="none"/>
          <w:lang w:eastAsia="zh-CN"/>
        </w:rPr>
        <w:t>进度</w:t>
      </w:r>
      <w:r>
        <w:rPr>
          <w:rFonts w:hint="eastAsia" w:ascii="宋体" w:hAnsi="宋体" w:eastAsia="宋体" w:cs="宋体"/>
          <w:snapToGrid w:val="0"/>
          <w:color w:val="auto"/>
          <w:kern w:val="0"/>
          <w:sz w:val="24"/>
          <w:szCs w:val="24"/>
          <w:highlight w:val="none"/>
        </w:rPr>
        <w:t>款中的作业工人工资款项由发包人单独足额拨付到承包人的工资专户</w:t>
      </w:r>
      <w:r>
        <w:rPr>
          <w:rFonts w:hint="eastAsia" w:ascii="宋体" w:hAnsi="宋体" w:eastAsia="宋体" w:cs="宋体"/>
          <w:snapToGrid w:val="0"/>
          <w:color w:val="auto"/>
          <w:kern w:val="0"/>
          <w:sz w:val="24"/>
          <w:szCs w:val="24"/>
          <w:highlight w:val="none"/>
          <w:lang w:eastAsia="zh-CN"/>
        </w:rPr>
        <w:t>。</w:t>
      </w:r>
    </w:p>
    <w:p w14:paraId="00A86063">
      <w:pPr>
        <w:keepNext w:val="0"/>
        <w:keepLines w:val="0"/>
        <w:pageBreakBefore w:val="0"/>
        <w:kinsoku/>
        <w:wordWrap/>
        <w:overflowPunct/>
        <w:autoSpaceDE/>
        <w:autoSpaceDN/>
        <w:bidi w:val="0"/>
        <w:snapToGrid w:val="0"/>
        <w:spacing w:line="360" w:lineRule="auto"/>
        <w:ind w:firstLine="482" w:firstLineChars="200"/>
        <w:rPr>
          <w:rStyle w:val="49"/>
          <w:rFonts w:hint="eastAsia" w:ascii="宋体" w:hAnsi="宋体" w:eastAsia="宋体" w:cs="宋体"/>
          <w:b w:val="0"/>
          <w:bCs w:val="0"/>
          <w:color w:val="auto"/>
          <w:kern w:val="1"/>
          <w:sz w:val="24"/>
          <w:szCs w:val="24"/>
          <w:highlight w:val="none"/>
        </w:rPr>
      </w:pPr>
      <w:r>
        <w:rPr>
          <w:rStyle w:val="49"/>
          <w:rFonts w:hint="eastAsia" w:ascii="宋体" w:hAnsi="宋体" w:eastAsia="宋体" w:cs="宋体"/>
          <w:b/>
          <w:bCs/>
          <w:color w:val="auto"/>
          <w:kern w:val="1"/>
          <w:sz w:val="24"/>
          <w:szCs w:val="24"/>
          <w:highlight w:val="none"/>
        </w:rPr>
        <w:t>3.</w:t>
      </w:r>
      <w:r>
        <w:rPr>
          <w:rStyle w:val="49"/>
          <w:rFonts w:hint="eastAsia" w:ascii="宋体" w:hAnsi="宋体" w:eastAsia="宋体" w:cs="宋体"/>
          <w:b/>
          <w:bCs/>
          <w:color w:val="auto"/>
          <w:kern w:val="1"/>
          <w:sz w:val="24"/>
          <w:szCs w:val="24"/>
          <w:highlight w:val="none"/>
          <w:lang w:val="en-US" w:eastAsia="zh-CN"/>
        </w:rPr>
        <w:t>5</w:t>
      </w:r>
      <w:r>
        <w:rPr>
          <w:rStyle w:val="49"/>
          <w:rFonts w:hint="eastAsia" w:ascii="宋体" w:hAnsi="宋体" w:eastAsia="宋体" w:cs="宋体"/>
          <w:b w:val="0"/>
          <w:bCs w:val="0"/>
          <w:color w:val="auto"/>
          <w:kern w:val="1"/>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rPr>
        <w:t>措施项目费中的“绿色施工安全防护措施费”拨付按照《广东省建设工程计价依据（2018）》执行，按照项目所在地的建设行政主管部门有关规定支付。发生一般事故及以上等级重大安全事故的，发包人可扣除承包人金额相当于所有“绿色施工安全防护措施费”的工程管理费。</w:t>
      </w:r>
    </w:p>
    <w:p w14:paraId="77F8B5C9">
      <w:pPr>
        <w:keepNext w:val="0"/>
        <w:keepLines w:val="0"/>
        <w:pageBreakBefore w:val="0"/>
        <w:kinsoku/>
        <w:wordWrap/>
        <w:overflowPunct/>
        <w:autoSpaceDE/>
        <w:autoSpaceDN/>
        <w:bidi w:val="0"/>
        <w:snapToGrid w:val="0"/>
        <w:spacing w:line="360" w:lineRule="auto"/>
        <w:ind w:firstLine="482" w:firstLineChars="200"/>
        <w:rPr>
          <w:rStyle w:val="49"/>
          <w:rFonts w:hint="eastAsia" w:ascii="宋体" w:hAnsi="宋体" w:eastAsia="宋体" w:cs="宋体"/>
          <w:b w:val="0"/>
          <w:bCs w:val="0"/>
          <w:color w:val="auto"/>
          <w:kern w:val="1"/>
          <w:sz w:val="24"/>
          <w:szCs w:val="24"/>
          <w:highlight w:val="none"/>
        </w:rPr>
      </w:pPr>
      <w:r>
        <w:rPr>
          <w:rStyle w:val="49"/>
          <w:rFonts w:hint="eastAsia" w:ascii="宋体" w:hAnsi="宋体" w:eastAsia="宋体" w:cs="宋体"/>
          <w:b/>
          <w:bCs/>
          <w:color w:val="auto"/>
          <w:kern w:val="1"/>
          <w:sz w:val="24"/>
          <w:szCs w:val="24"/>
          <w:highlight w:val="none"/>
        </w:rPr>
        <w:t>3.</w:t>
      </w:r>
      <w:r>
        <w:rPr>
          <w:rStyle w:val="49"/>
          <w:rFonts w:hint="eastAsia" w:ascii="宋体" w:hAnsi="宋体" w:eastAsia="宋体" w:cs="宋体"/>
          <w:b/>
          <w:bCs/>
          <w:color w:val="auto"/>
          <w:kern w:val="1"/>
          <w:sz w:val="24"/>
          <w:szCs w:val="24"/>
          <w:highlight w:val="none"/>
          <w:lang w:val="en-US" w:eastAsia="zh-CN"/>
        </w:rPr>
        <w:t xml:space="preserve">6 </w:t>
      </w:r>
      <w:r>
        <w:rPr>
          <w:rStyle w:val="49"/>
          <w:rFonts w:hint="eastAsia" w:ascii="宋体" w:hAnsi="宋体" w:eastAsia="宋体" w:cs="宋体"/>
          <w:b w:val="0"/>
          <w:bCs w:val="0"/>
          <w:color w:val="auto"/>
          <w:kern w:val="0"/>
          <w:sz w:val="24"/>
          <w:szCs w:val="24"/>
          <w:highlight w:val="none"/>
        </w:rPr>
        <w:t>变更工程造价必须经监理单位核实，并经发包人核定后方可支付。</w:t>
      </w:r>
    </w:p>
    <w:p w14:paraId="473868BA">
      <w:pPr>
        <w:keepNext w:val="0"/>
        <w:keepLines w:val="0"/>
        <w:pageBreakBefore w:val="0"/>
        <w:kinsoku/>
        <w:wordWrap/>
        <w:overflowPunct/>
        <w:autoSpaceDE/>
        <w:autoSpaceDN/>
        <w:bidi w:val="0"/>
        <w:snapToGrid w:val="0"/>
        <w:spacing w:line="360" w:lineRule="auto"/>
        <w:ind w:firstLine="482" w:firstLineChars="200"/>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Style w:val="49"/>
          <w:rFonts w:hint="eastAsia" w:ascii="宋体" w:hAnsi="宋体" w:eastAsia="宋体" w:cs="宋体"/>
          <w:b/>
          <w:bCs/>
          <w:color w:val="auto"/>
          <w:kern w:val="1"/>
          <w:sz w:val="24"/>
          <w:szCs w:val="24"/>
          <w:highlight w:val="none"/>
        </w:rPr>
        <w:t>3.</w:t>
      </w:r>
      <w:r>
        <w:rPr>
          <w:rStyle w:val="49"/>
          <w:rFonts w:hint="eastAsia" w:ascii="宋体" w:hAnsi="宋体" w:eastAsia="宋体" w:cs="宋体"/>
          <w:b/>
          <w:bCs/>
          <w:color w:val="auto"/>
          <w:kern w:val="1"/>
          <w:sz w:val="24"/>
          <w:szCs w:val="24"/>
          <w:highlight w:val="none"/>
          <w:lang w:val="en-US" w:eastAsia="zh-CN"/>
        </w:rPr>
        <w:t>7</w:t>
      </w:r>
      <w:r>
        <w:rPr>
          <w:rStyle w:val="49"/>
          <w:rFonts w:hint="eastAsia" w:ascii="宋体" w:hAnsi="宋体" w:eastAsia="宋体" w:cs="宋体"/>
          <w:b w:val="0"/>
          <w:bCs w:val="0"/>
          <w:color w:val="auto"/>
          <w:kern w:val="1"/>
          <w:sz w:val="24"/>
          <w:szCs w:val="24"/>
          <w:highlight w:val="none"/>
        </w:rPr>
        <w:t xml:space="preserve"> </w:t>
      </w:r>
      <w:r>
        <w:rPr>
          <w:rFonts w:hint="eastAsia" w:ascii="宋体" w:hAnsi="宋体" w:eastAsia="宋体" w:cs="宋体"/>
          <w:b w:val="0"/>
          <w:bCs w:val="0"/>
          <w:caps w:val="0"/>
          <w:smallCaps w:val="0"/>
          <w:snapToGrid w:val="0"/>
          <w:color w:val="auto"/>
          <w:spacing w:val="0"/>
          <w:kern w:val="0"/>
          <w:sz w:val="24"/>
          <w:szCs w:val="24"/>
          <w:highlight w:val="none"/>
          <w:lang w:eastAsia="zh-CN"/>
        </w:rPr>
        <w:t>结算审核完成后，于次月支付至审核价格的</w:t>
      </w:r>
      <w:r>
        <w:rPr>
          <w:rFonts w:hint="eastAsia" w:ascii="宋体" w:hAnsi="宋体" w:eastAsia="宋体" w:cs="宋体"/>
          <w:b w:val="0"/>
          <w:bCs w:val="0"/>
          <w:caps w:val="0"/>
          <w:smallCaps w:val="0"/>
          <w:snapToGrid w:val="0"/>
          <w:color w:val="auto"/>
          <w:spacing w:val="0"/>
          <w:kern w:val="0"/>
          <w:sz w:val="24"/>
          <w:szCs w:val="24"/>
          <w:highlight w:val="none"/>
          <w:u w:val="single"/>
          <w:lang w:eastAsia="zh-CN"/>
        </w:rPr>
        <w:t>97%</w:t>
      </w:r>
      <w:r>
        <w:rPr>
          <w:rFonts w:hint="eastAsia" w:ascii="宋体" w:hAnsi="宋体" w:eastAsia="宋体" w:cs="宋体"/>
          <w:b w:val="0"/>
          <w:bCs w:val="0"/>
          <w:caps w:val="0"/>
          <w:smallCaps w:val="0"/>
          <w:snapToGrid w:val="0"/>
          <w:color w:val="auto"/>
          <w:spacing w:val="0"/>
          <w:kern w:val="0"/>
          <w:sz w:val="24"/>
          <w:szCs w:val="24"/>
          <w:highlight w:val="none"/>
          <w:lang w:eastAsia="zh-CN"/>
        </w:rPr>
        <w:t>，剩余</w:t>
      </w:r>
      <w:r>
        <w:rPr>
          <w:rFonts w:hint="eastAsia" w:ascii="宋体" w:hAnsi="宋体" w:eastAsia="宋体" w:cs="宋体"/>
          <w:b w:val="0"/>
          <w:bCs w:val="0"/>
          <w:caps w:val="0"/>
          <w:smallCaps w:val="0"/>
          <w:snapToGrid w:val="0"/>
          <w:color w:val="auto"/>
          <w:spacing w:val="0"/>
          <w:kern w:val="0"/>
          <w:sz w:val="24"/>
          <w:szCs w:val="24"/>
          <w:highlight w:val="none"/>
          <w:u w:val="single"/>
          <w:lang w:eastAsia="zh-CN"/>
        </w:rPr>
        <w:t>3%</w:t>
      </w:r>
      <w:r>
        <w:rPr>
          <w:rFonts w:hint="eastAsia" w:ascii="宋体" w:hAnsi="宋体" w:eastAsia="宋体" w:cs="宋体"/>
          <w:b w:val="0"/>
          <w:bCs w:val="0"/>
          <w:caps w:val="0"/>
          <w:smallCaps w:val="0"/>
          <w:snapToGrid w:val="0"/>
          <w:color w:val="auto"/>
          <w:spacing w:val="0"/>
          <w:kern w:val="0"/>
          <w:sz w:val="24"/>
          <w:szCs w:val="24"/>
          <w:highlight w:val="none"/>
          <w:lang w:eastAsia="zh-CN"/>
        </w:rPr>
        <w:t>转为质量保证金；承包人提交了等额质量保证担保或质量保证保险的，于次月一次性结清合同价格。</w:t>
      </w:r>
    </w:p>
    <w:p w14:paraId="1FD286FD">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firstLine="482"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3.8</w:t>
      </w:r>
      <w:r>
        <w:rPr>
          <w:rFonts w:hint="eastAsia" w:ascii="宋体" w:hAnsi="宋体" w:eastAsia="宋体" w:cs="宋体"/>
          <w:b w:val="0"/>
          <w:bCs w:val="0"/>
          <w:caps w:val="0"/>
          <w:smallCaps w:val="0"/>
          <w:snapToGrid w:val="0"/>
          <w:color w:val="auto"/>
          <w:spacing w:val="0"/>
          <w:kern w:val="0"/>
          <w:sz w:val="24"/>
          <w:szCs w:val="24"/>
          <w:highlight w:val="none"/>
          <w:lang w:val="en-US" w:eastAsia="zh-CN"/>
        </w:rPr>
        <w:t xml:space="preserve"> 本工程缺陷责任期为 1 年（自通过竣工验收之日起计）。缺陷责任期到期后，承包人向发包人申请退还质量保证金。发包人收到退还申请后，于 14 天内会同承包人进行核实。经双方核实且均无异议后，发包人在核实之日起 14 天内将应返保证金（或质量保证担保或质量保证保险）退还承包人。</w:t>
      </w:r>
    </w:p>
    <w:p w14:paraId="5F97EA0E">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6D57D892">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b w:val="0"/>
          <w:bCs w:val="0"/>
          <w:caps w:val="0"/>
          <w:smallCaps w:val="0"/>
          <w:snapToGrid w:val="0"/>
          <w:color w:val="auto"/>
          <w:spacing w:val="0"/>
          <w:kern w:val="0"/>
          <w:sz w:val="24"/>
          <w:szCs w:val="24"/>
          <w:highlight w:val="none"/>
          <w:lang w:val="en-US" w:eastAsia="zh-CN"/>
        </w:rPr>
        <w:t>暂列金额支付方式：</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暂列金额按实际发生在结算审核完成后支付。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 80％，其余部分待结算完成审核后支付至 97%，剩余 3%为工程质量保修金。</w:t>
      </w:r>
    </w:p>
    <w:p w14:paraId="227404EC">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val="0"/>
          <w:bCs w:val="0"/>
          <w:caps w:val="0"/>
          <w:smallCaps w:val="0"/>
          <w:snapToGrid w:val="0"/>
          <w:color w:val="auto"/>
          <w:spacing w:val="0"/>
          <w:kern w:val="0"/>
          <w:sz w:val="24"/>
          <w:szCs w:val="24"/>
          <w:highlight w:val="none"/>
          <w:lang w:val="en-US" w:eastAsia="zh-CN"/>
        </w:rPr>
        <w:t>材料暂估价、专业工程暂估价支付方式：</w:t>
      </w:r>
      <w:bookmarkStart w:id="192" w:name="_Toc24375"/>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材料暂估价、专业工程暂估价与每个月的工程进度款一并报送，但需要列明详细项目内容，该部分材料暂估价、专业工程暂估价按该部分实际完成工程量的 80%支付，工程竣工验收合格后支付至 90%，剩余部分结算完成后支付至审定造价的 97%，剩余 3%为工程质量保修金。</w:t>
      </w:r>
    </w:p>
    <w:p w14:paraId="250F0574">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rPr>
      </w:pPr>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其他专用合同条款</w:t>
      </w:r>
      <w:bookmarkEnd w:id="190"/>
      <w:bookmarkEnd w:id="192"/>
    </w:p>
    <w:p w14:paraId="7C0E449D">
      <w:pPr>
        <w:keepNext w:val="0"/>
        <w:keepLines w:val="0"/>
        <w:pageBreakBefore w:val="0"/>
        <w:widowControl/>
        <w:kinsoku/>
        <w:wordWrap/>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b w:val="0"/>
          <w:bCs w:val="0"/>
          <w:snapToGrid w:val="0"/>
          <w:color w:val="auto"/>
          <w:kern w:val="0"/>
          <w:sz w:val="24"/>
          <w:szCs w:val="24"/>
          <w:highlight w:val="none"/>
          <w:lang w:val="en-US" w:eastAsia="zh-CN"/>
        </w:rPr>
      </w:pPr>
      <w:bookmarkStart w:id="193" w:name="_Toc10299"/>
      <w:r>
        <w:rPr>
          <w:rFonts w:hint="eastAsia" w:ascii="宋体" w:hAnsi="宋体" w:eastAsia="宋体" w:cs="宋体"/>
          <w:b/>
          <w:bCs/>
          <w:snapToGrid w:val="0"/>
          <w:color w:val="auto"/>
          <w:kern w:val="0"/>
          <w:sz w:val="24"/>
          <w:szCs w:val="24"/>
          <w:highlight w:val="none"/>
          <w:lang w:val="en-US" w:eastAsia="zh-CN"/>
        </w:rPr>
        <w:t>4.1</w:t>
      </w:r>
      <w:r>
        <w:rPr>
          <w:rFonts w:hint="eastAsia" w:ascii="宋体" w:hAnsi="宋体" w:eastAsia="宋体" w:cs="宋体"/>
          <w:b w:val="0"/>
          <w:bCs w:val="0"/>
          <w:snapToGrid w:val="0"/>
          <w:color w:val="auto"/>
          <w:kern w:val="0"/>
          <w:sz w:val="24"/>
          <w:szCs w:val="24"/>
          <w:highlight w:val="none"/>
          <w:lang w:val="en-US" w:eastAsia="zh-CN"/>
        </w:rPr>
        <w:t>专业工程分包</w:t>
      </w:r>
      <w:bookmarkEnd w:id="193"/>
    </w:p>
    <w:p w14:paraId="09D90C92">
      <w:pPr>
        <w:pageBreakBefore w:val="0"/>
        <w:kinsoku/>
        <w:wordWrap/>
        <w:overflowPunct/>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6EFBAFD8">
      <w:pPr>
        <w:keepNext w:val="0"/>
        <w:keepLines w:val="0"/>
        <w:pageBreakBefore w:val="0"/>
        <w:widowControl/>
        <w:kinsoku/>
        <w:wordWrap/>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b w:val="0"/>
          <w:bCs w:val="0"/>
          <w:snapToGrid w:val="0"/>
          <w:color w:val="auto"/>
          <w:kern w:val="0"/>
          <w:sz w:val="24"/>
          <w:szCs w:val="24"/>
          <w:highlight w:val="none"/>
          <w:lang w:val="en-US" w:eastAsia="en-US"/>
        </w:rPr>
      </w:pPr>
      <w:bookmarkStart w:id="194" w:name="_Toc24421"/>
      <w:bookmarkStart w:id="195" w:name="_Toc4288"/>
      <w:bookmarkStart w:id="196" w:name="_Toc15504"/>
      <w:bookmarkStart w:id="197" w:name="_Toc7163"/>
      <w:bookmarkStart w:id="198" w:name="_Toc23958"/>
      <w:r>
        <w:rPr>
          <w:rFonts w:hint="eastAsia" w:ascii="宋体" w:hAnsi="宋体" w:eastAsia="宋体" w:cs="宋体"/>
          <w:b/>
          <w:bCs/>
          <w:snapToGrid w:val="0"/>
          <w:color w:val="auto"/>
          <w:kern w:val="0"/>
          <w:sz w:val="24"/>
          <w:szCs w:val="24"/>
          <w:highlight w:val="none"/>
          <w:lang w:val="en-US" w:eastAsia="zh-CN"/>
        </w:rPr>
        <w:t>4.2</w:t>
      </w:r>
      <w:r>
        <w:rPr>
          <w:rFonts w:hint="eastAsia" w:ascii="宋体" w:hAnsi="宋体" w:eastAsia="宋体" w:cs="宋体"/>
          <w:b w:val="0"/>
          <w:bCs w:val="0"/>
          <w:snapToGrid w:val="0"/>
          <w:color w:val="auto"/>
          <w:kern w:val="0"/>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lang w:val="en-US" w:eastAsia="en-US"/>
        </w:rPr>
        <w:t>工人工资支付专用账户</w:t>
      </w:r>
      <w:bookmarkEnd w:id="194"/>
      <w:bookmarkEnd w:id="195"/>
      <w:bookmarkEnd w:id="196"/>
      <w:bookmarkEnd w:id="197"/>
      <w:bookmarkEnd w:id="198"/>
    </w:p>
    <w:p w14:paraId="39CC6A01">
      <w:pPr>
        <w:keepNext w:val="0"/>
        <w:keepLines w:val="0"/>
        <w:pageBreakBefore w:val="0"/>
        <w:kinsoku/>
        <w:wordWrap/>
        <w:overflowPunct/>
        <w:topLinePunct w:val="0"/>
        <w:bidi w:val="0"/>
        <w:adjustRightInd w:val="0"/>
        <w:snapToGrid w:val="0"/>
        <w:spacing w:line="360" w:lineRule="auto"/>
        <w:ind w:firstLine="482" w:firstLineChars="200"/>
        <w:rPr>
          <w:rFonts w:hint="eastAsia" w:ascii="宋体" w:hAnsi="宋体" w:eastAsia="宋体" w:cs="宋体"/>
          <w:b w:val="0"/>
          <w:bCs w:val="0"/>
          <w:snapToGrid w:val="0"/>
          <w:color w:val="auto"/>
          <w:kern w:val="0"/>
          <w:sz w:val="24"/>
          <w:szCs w:val="24"/>
          <w:highlight w:val="none"/>
          <w:lang w:val="en-US" w:eastAsia="en-US" w:bidi="ar-SA"/>
        </w:rPr>
      </w:pPr>
      <w:r>
        <w:rPr>
          <w:rFonts w:hint="eastAsia" w:ascii="宋体" w:hAnsi="宋体" w:eastAsia="宋体" w:cs="宋体"/>
          <w:b/>
          <w:bCs/>
          <w:snapToGrid w:val="0"/>
          <w:color w:val="auto"/>
          <w:kern w:val="0"/>
          <w:sz w:val="24"/>
          <w:szCs w:val="24"/>
          <w:highlight w:val="none"/>
          <w:lang w:val="en-US" w:eastAsia="zh-CN" w:bidi="ar-SA"/>
        </w:rPr>
        <w:t>4.2</w:t>
      </w:r>
      <w:r>
        <w:rPr>
          <w:rFonts w:hint="eastAsia" w:ascii="宋体" w:hAnsi="宋体" w:eastAsia="宋体" w:cs="宋体"/>
          <w:b/>
          <w:bCs/>
          <w:snapToGrid w:val="0"/>
          <w:color w:val="auto"/>
          <w:kern w:val="0"/>
          <w:sz w:val="24"/>
          <w:szCs w:val="24"/>
          <w:highlight w:val="none"/>
          <w:lang w:val="en-US" w:eastAsia="en-US" w:bidi="ar-SA"/>
        </w:rPr>
        <w:t>.1</w:t>
      </w:r>
      <w:r>
        <w:rPr>
          <w:rFonts w:hint="eastAsia" w:ascii="宋体" w:hAnsi="宋体" w:eastAsia="宋体" w:cs="宋体"/>
          <w:b w:val="0"/>
          <w:bCs w:val="0"/>
          <w:snapToGrid w:val="0"/>
          <w:color w:val="auto"/>
          <w:kern w:val="0"/>
          <w:sz w:val="24"/>
          <w:szCs w:val="24"/>
          <w:highlight w:val="none"/>
          <w:lang w:val="en-US" w:eastAsia="en-US" w:bidi="ar-SA"/>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52B3B8ED">
      <w:pPr>
        <w:keepNext w:val="0"/>
        <w:keepLines w:val="0"/>
        <w:pageBreakBefore w:val="0"/>
        <w:widowControl/>
        <w:suppressLineNumbers w:val="0"/>
        <w:kinsoku/>
        <w:wordWrap/>
        <w:overflowPunct/>
        <w:topLinePunct w:val="0"/>
        <w:bidi w:val="0"/>
        <w:spacing w:line="360" w:lineRule="auto"/>
        <w:ind w:firstLine="482"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strike w:val="0"/>
          <w:dstrike w:val="0"/>
          <w:snapToGrid w:val="0"/>
          <w:color w:val="auto"/>
          <w:kern w:val="0"/>
          <w:sz w:val="24"/>
          <w:szCs w:val="24"/>
          <w:highlight w:val="none"/>
          <w:lang w:val="en-US" w:eastAsia="zh-CN"/>
        </w:rPr>
        <w:t>4.2</w:t>
      </w:r>
      <w:r>
        <w:rPr>
          <w:rFonts w:hint="eastAsia" w:ascii="宋体" w:hAnsi="宋体" w:eastAsia="宋体" w:cs="宋体"/>
          <w:b/>
          <w:bCs/>
          <w:strike w:val="0"/>
          <w:dstrike w:val="0"/>
          <w:snapToGrid w:val="0"/>
          <w:color w:val="auto"/>
          <w:kern w:val="0"/>
          <w:sz w:val="24"/>
          <w:szCs w:val="24"/>
          <w:highlight w:val="none"/>
        </w:rPr>
        <w:t>.2</w:t>
      </w:r>
      <w:r>
        <w:rPr>
          <w:rFonts w:hint="eastAsia" w:ascii="宋体" w:hAnsi="宋体" w:eastAsia="宋体" w:cs="宋体"/>
          <w:color w:val="auto"/>
          <w:kern w:val="0"/>
          <w:sz w:val="24"/>
          <w:szCs w:val="24"/>
          <w:highlight w:val="none"/>
          <w:lang w:val="en-US" w:eastAsia="zh-CN" w:bidi="ar"/>
        </w:rPr>
        <w:t>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75121020">
      <w:pPr>
        <w:keepNext w:val="0"/>
        <w:keepLines w:val="0"/>
        <w:pageBreakBefore w:val="0"/>
        <w:widowControl/>
        <w:suppressLineNumbers w:val="0"/>
        <w:kinsoku/>
        <w:wordWrap/>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w:t>
      </w:r>
    </w:p>
    <w:p w14:paraId="72B308BD">
      <w:pPr>
        <w:keepNext w:val="0"/>
        <w:keepLines w:val="0"/>
        <w:pageBreakBefore w:val="0"/>
        <w:widowControl/>
        <w:suppressLineNumbers w:val="0"/>
        <w:kinsoku/>
        <w:wordWrap/>
        <w:overflowPunct/>
        <w:topLinePunct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w:t>
      </w:r>
    </w:p>
    <w:p w14:paraId="3D1AEF70">
      <w:pPr>
        <w:keepNext w:val="0"/>
        <w:keepLines w:val="0"/>
        <w:pageBreakBefore w:val="0"/>
        <w:widowControl/>
        <w:suppressLineNumbers w:val="0"/>
        <w:kinsoku/>
        <w:wordWrap/>
        <w:overflowPunct/>
        <w:topLinePunct w:val="0"/>
        <w:bidi w:val="0"/>
        <w:spacing w:line="360" w:lineRule="auto"/>
        <w:ind w:firstLine="241" w:firstLineChars="100"/>
        <w:jc w:val="left"/>
        <w:rPr>
          <w:rFonts w:hint="eastAsia" w:ascii="宋体" w:hAnsi="宋体" w:eastAsia="宋体" w:cs="宋体"/>
          <w:color w:val="auto"/>
          <w:sz w:val="24"/>
          <w:szCs w:val="24"/>
          <w:highlight w:val="none"/>
        </w:rPr>
      </w:pPr>
      <w:r>
        <w:rPr>
          <w:rFonts w:hint="eastAsia" w:ascii="宋体" w:hAnsi="宋体" w:eastAsia="宋体" w:cs="宋体"/>
          <w:b/>
          <w:bCs/>
          <w:strike w:val="0"/>
          <w:dstrike w:val="0"/>
          <w:snapToGrid w:val="0"/>
          <w:color w:val="auto"/>
          <w:kern w:val="0"/>
          <w:sz w:val="24"/>
          <w:szCs w:val="24"/>
          <w:highlight w:val="none"/>
          <w:lang w:val="en-US" w:eastAsia="zh-CN"/>
        </w:rPr>
        <w:t>4.2</w:t>
      </w:r>
      <w:r>
        <w:rPr>
          <w:rFonts w:hint="eastAsia" w:ascii="宋体" w:hAnsi="宋体" w:eastAsia="宋体" w:cs="宋体"/>
          <w:b/>
          <w:bCs/>
          <w:strike w:val="0"/>
          <w:dstrike w:val="0"/>
          <w:snapToGrid w:val="0"/>
          <w:color w:val="auto"/>
          <w:kern w:val="0"/>
          <w:sz w:val="24"/>
          <w:szCs w:val="24"/>
          <w:highlight w:val="none"/>
        </w:rPr>
        <w:t>.3</w:t>
      </w:r>
      <w:r>
        <w:rPr>
          <w:rFonts w:hint="eastAsia" w:ascii="宋体" w:hAnsi="宋体" w:eastAsia="宋体" w:cs="宋体"/>
          <w:strike w:val="0"/>
          <w:dstrike w:val="0"/>
          <w:snapToGrid w:val="0"/>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bidi="ar"/>
        </w:rPr>
        <w:t>承包人应在工资专户开立后2个工作日内，将开户银行及其账号、开户协议等资料提交给发包人。</w:t>
      </w:r>
    </w:p>
    <w:p w14:paraId="558B9954">
      <w:pPr>
        <w:keepNext w:val="0"/>
        <w:keepLines w:val="0"/>
        <w:pageBreakBefore w:val="0"/>
        <w:widowControl/>
        <w:suppressLineNumbers w:val="0"/>
        <w:kinsoku/>
        <w:wordWrap/>
        <w:overflowPunct/>
        <w:topLinePunct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（1）用人单位应当在建设项目动工前，在建设项目所在地商业银行设立工人工资支付专用账户。</w:t>
      </w:r>
    </w:p>
    <w:p w14:paraId="5B108B2D">
      <w:pPr>
        <w:keepNext w:val="0"/>
        <w:keepLines w:val="0"/>
        <w:pageBreakBefore w:val="0"/>
        <w:widowControl/>
        <w:suppressLineNumbers w:val="0"/>
        <w:kinsoku/>
        <w:wordWrap/>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（2）用人单位应当在用工之日起 15 日内为每一位工人办理个人银行账户。</w:t>
      </w:r>
    </w:p>
    <w:p w14:paraId="42CD3A43">
      <w:pPr>
        <w:keepNext w:val="0"/>
        <w:keepLines w:val="0"/>
        <w:pageBreakBefore w:val="0"/>
        <w:widowControl/>
        <w:suppressLineNumbers w:val="0"/>
        <w:kinsoku/>
        <w:wordWrap/>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（3）用人单位应当指定专人负责建设项目施工现场台账管理，真实、准确记录工人名册、劳务合同、劳动合同、工程进度、工时台账、劳务承包款和工人工资支付等信息，并保存两年以上备查。</w:t>
      </w:r>
    </w:p>
    <w:p w14:paraId="1FDEC9A6">
      <w:pPr>
        <w:keepNext w:val="0"/>
        <w:keepLines w:val="0"/>
        <w:pageBreakBefore w:val="0"/>
        <w:widowControl/>
        <w:suppressLineNumbers w:val="0"/>
        <w:kinsoku/>
        <w:wordWrap/>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用人单位应当按照“及时支付，按实结算”的原则，在规定日期前通过银行工人工资支付专用账户将工人工资直接支付到工人的个人银行账户，并按月将工人工资支付明细表报施工总承包单位和建设单位备案。</w:t>
      </w:r>
    </w:p>
    <w:p w14:paraId="4645E9C1">
      <w:pPr>
        <w:keepNext w:val="0"/>
        <w:keepLines w:val="0"/>
        <w:pageBreakBefore w:val="0"/>
        <w:widowControl/>
        <w:suppressLineNumbers w:val="0"/>
        <w:kinsoku/>
        <w:wordWrap/>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用人单位未建立、保存用工管理台账，或者伪造相关台账的，按照《广东省劳动保障监察条例》第五十条的规定，由人力资源社会保障部门责令改正，并可处以二千元以上二万元以下的人民币罚款。</w:t>
      </w:r>
    </w:p>
    <w:p w14:paraId="1ECE605D">
      <w:pPr>
        <w:keepNext w:val="0"/>
        <w:keepLines w:val="0"/>
        <w:pageBreakBefore w:val="0"/>
        <w:widowControl/>
        <w:suppressLineNumbers w:val="0"/>
        <w:kinsoku/>
        <w:wordWrap/>
        <w:overflowPunct/>
        <w:topLinePunct w:val="0"/>
        <w:bidi w:val="0"/>
        <w:spacing w:line="360" w:lineRule="auto"/>
        <w:ind w:firstLine="482" w:firstLineChars="200"/>
        <w:jc w:val="left"/>
        <w:rPr>
          <w:rStyle w:val="49"/>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 xml:space="preserve">4.2.4 </w:t>
      </w:r>
      <w:r>
        <w:rPr>
          <w:rFonts w:hint="eastAsia" w:ascii="宋体" w:hAnsi="宋体" w:eastAsia="宋体" w:cs="宋体"/>
          <w:color w:val="auto"/>
          <w:kern w:val="0"/>
          <w:sz w:val="24"/>
          <w:szCs w:val="24"/>
          <w:highlight w:val="none"/>
          <w:lang w:val="en-US" w:eastAsia="zh-CN" w:bidi="ar"/>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75D35AD0">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rPr>
      </w:pPr>
      <w:bookmarkStart w:id="199" w:name="_Toc16211"/>
      <w:r>
        <w:rPr>
          <w:rFonts w:hint="eastAsia" w:ascii="宋体" w:hAnsi="宋体" w:eastAsia="宋体" w:cs="宋体"/>
          <w:b/>
          <w:bCs/>
          <w:color w:val="auto"/>
          <w:spacing w:val="-11"/>
          <w:sz w:val="24"/>
          <w:szCs w:val="24"/>
          <w:highlight w:val="none"/>
          <w:lang w:val="en-US" w:eastAsia="zh-CN"/>
        </w:rPr>
        <w:t>5.</w:t>
      </w:r>
      <w:r>
        <w:rPr>
          <w:rFonts w:hint="eastAsia" w:ascii="宋体" w:hAnsi="宋体" w:eastAsia="宋体" w:cs="宋体"/>
          <w:b/>
          <w:bCs/>
          <w:color w:val="auto"/>
          <w:spacing w:val="-11"/>
          <w:sz w:val="24"/>
          <w:szCs w:val="24"/>
          <w:highlight w:val="none"/>
        </w:rPr>
        <w:t>工期进度</w:t>
      </w:r>
      <w:bookmarkEnd w:id="199"/>
    </w:p>
    <w:p w14:paraId="0ED9DECC">
      <w:pPr>
        <w:pageBreakBefore w:val="0"/>
        <w:kinsoku/>
        <w:wordWrap/>
        <w:overflowPunct/>
        <w:bidi w:val="0"/>
        <w:snapToGrid w:val="0"/>
        <w:spacing w:line="360" w:lineRule="auto"/>
        <w:ind w:firstLine="482" w:firstLineChars="200"/>
        <w:rPr>
          <w:rStyle w:val="49"/>
          <w:rFonts w:hint="eastAsia" w:ascii="宋体" w:hAnsi="宋体" w:eastAsia="宋体" w:cs="宋体"/>
          <w:color w:val="auto"/>
          <w:kern w:val="0"/>
          <w:sz w:val="24"/>
          <w:szCs w:val="24"/>
          <w:highlight w:val="none"/>
        </w:rPr>
      </w:pPr>
      <w:r>
        <w:rPr>
          <w:rStyle w:val="49"/>
          <w:rFonts w:hint="eastAsia" w:ascii="宋体" w:hAnsi="宋体" w:eastAsia="宋体" w:cs="宋体"/>
          <w:b/>
          <w:bCs/>
          <w:color w:val="auto"/>
          <w:kern w:val="0"/>
          <w:sz w:val="24"/>
          <w:szCs w:val="24"/>
          <w:highlight w:val="none"/>
          <w:lang w:val="en-US" w:eastAsia="zh-CN"/>
        </w:rPr>
        <w:t>5</w:t>
      </w:r>
      <w:r>
        <w:rPr>
          <w:rStyle w:val="49"/>
          <w:rFonts w:hint="eastAsia" w:ascii="宋体" w:hAnsi="宋体" w:eastAsia="宋体" w:cs="宋体"/>
          <w:b/>
          <w:bCs/>
          <w:color w:val="auto"/>
          <w:kern w:val="0"/>
          <w:sz w:val="24"/>
          <w:szCs w:val="24"/>
          <w:highlight w:val="none"/>
        </w:rPr>
        <w:t>.1</w:t>
      </w:r>
      <w:r>
        <w:rPr>
          <w:rStyle w:val="49"/>
          <w:rFonts w:hint="eastAsia" w:ascii="宋体" w:hAnsi="宋体" w:eastAsia="宋体" w:cs="宋体"/>
          <w:color w:val="auto"/>
          <w:kern w:val="0"/>
          <w:sz w:val="24"/>
          <w:szCs w:val="24"/>
          <w:highlight w:val="none"/>
          <w:lang w:eastAsia="zh-CN"/>
        </w:rPr>
        <w:t>本工程施工招标工期为</w:t>
      </w:r>
      <w:r>
        <w:rPr>
          <w:rStyle w:val="49"/>
          <w:rFonts w:hint="eastAsia" w:ascii="宋体" w:hAnsi="宋体" w:eastAsia="宋体" w:cs="宋体"/>
          <w:color w:val="auto"/>
          <w:kern w:val="0"/>
          <w:sz w:val="24"/>
          <w:szCs w:val="24"/>
          <w:highlight w:val="none"/>
          <w:lang w:val="en-US" w:eastAsia="zh-CN"/>
        </w:rPr>
        <w:t>180个日历天</w:t>
      </w:r>
      <w:r>
        <w:rPr>
          <w:rStyle w:val="49"/>
          <w:rFonts w:hint="eastAsia" w:ascii="宋体" w:hAnsi="宋体" w:eastAsia="宋体" w:cs="宋体"/>
          <w:color w:val="auto"/>
          <w:kern w:val="0"/>
          <w:sz w:val="24"/>
          <w:szCs w:val="24"/>
          <w:highlight w:val="none"/>
          <w:lang w:eastAsia="zh-CN"/>
        </w:rPr>
        <w:t>。</w:t>
      </w:r>
      <w:r>
        <w:rPr>
          <w:rStyle w:val="49"/>
          <w:rFonts w:hint="eastAsia" w:ascii="宋体" w:hAnsi="宋体" w:eastAsia="宋体" w:cs="宋体"/>
          <w:color w:val="auto"/>
          <w:kern w:val="0"/>
          <w:sz w:val="24"/>
          <w:szCs w:val="24"/>
          <w:highlight w:val="none"/>
        </w:rPr>
        <w:t>承包人必须在招标工期内完成本工程招标范围内的全部内容。</w:t>
      </w:r>
    </w:p>
    <w:p w14:paraId="4A0D1E64">
      <w:pPr>
        <w:pageBreakBefore w:val="0"/>
        <w:kinsoku/>
        <w:wordWrap/>
        <w:overflowPunct/>
        <w:bidi w:val="0"/>
        <w:snapToGrid w:val="0"/>
        <w:spacing w:line="360" w:lineRule="auto"/>
        <w:ind w:firstLine="482" w:firstLineChars="200"/>
        <w:rPr>
          <w:rStyle w:val="49"/>
          <w:rFonts w:hint="eastAsia" w:ascii="宋体" w:hAnsi="宋体" w:eastAsia="宋体" w:cs="宋体"/>
          <w:color w:val="auto"/>
          <w:kern w:val="0"/>
          <w:sz w:val="24"/>
          <w:szCs w:val="24"/>
          <w:highlight w:val="none"/>
        </w:rPr>
      </w:pPr>
      <w:r>
        <w:rPr>
          <w:rStyle w:val="49"/>
          <w:rFonts w:hint="eastAsia" w:ascii="宋体" w:hAnsi="宋体" w:eastAsia="宋体" w:cs="宋体"/>
          <w:b/>
          <w:bCs/>
          <w:color w:val="auto"/>
          <w:kern w:val="0"/>
          <w:sz w:val="24"/>
          <w:szCs w:val="24"/>
          <w:highlight w:val="none"/>
          <w:lang w:val="en-US" w:eastAsia="zh-CN"/>
        </w:rPr>
        <w:t>5</w:t>
      </w:r>
      <w:r>
        <w:rPr>
          <w:rStyle w:val="49"/>
          <w:rFonts w:hint="eastAsia" w:ascii="宋体" w:hAnsi="宋体" w:eastAsia="宋体" w:cs="宋体"/>
          <w:b/>
          <w:bCs/>
          <w:color w:val="auto"/>
          <w:kern w:val="0"/>
          <w:sz w:val="24"/>
          <w:szCs w:val="24"/>
          <w:highlight w:val="none"/>
        </w:rPr>
        <w:t>.2</w:t>
      </w:r>
      <w:r>
        <w:rPr>
          <w:rStyle w:val="49"/>
          <w:rFonts w:hint="eastAsia" w:ascii="宋体" w:hAnsi="宋体" w:eastAsia="宋体" w:cs="宋体"/>
          <w:color w:val="auto"/>
          <w:kern w:val="0"/>
          <w:sz w:val="24"/>
          <w:szCs w:val="24"/>
          <w:highlight w:val="none"/>
        </w:rPr>
        <w:t xml:space="preserve"> 施工工期从承包人收到监理单位签发的开工令之日起计，至竣工验收合格之日止。</w:t>
      </w:r>
    </w:p>
    <w:p w14:paraId="48D28B1B">
      <w:pPr>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Style w:val="49"/>
          <w:rFonts w:hint="eastAsia" w:ascii="宋体" w:hAnsi="宋体" w:eastAsia="宋体" w:cs="宋体"/>
          <w:b/>
          <w:bCs/>
          <w:color w:val="auto"/>
          <w:kern w:val="0"/>
          <w:sz w:val="24"/>
          <w:szCs w:val="24"/>
          <w:highlight w:val="none"/>
          <w:lang w:val="en-US" w:eastAsia="zh-CN"/>
        </w:rPr>
        <w:t>5</w:t>
      </w:r>
      <w:r>
        <w:rPr>
          <w:rStyle w:val="49"/>
          <w:rFonts w:hint="eastAsia" w:ascii="宋体" w:hAnsi="宋体" w:eastAsia="宋体" w:cs="宋体"/>
          <w:b/>
          <w:bCs/>
          <w:color w:val="auto"/>
          <w:kern w:val="0"/>
          <w:sz w:val="24"/>
          <w:szCs w:val="24"/>
          <w:highlight w:val="none"/>
        </w:rPr>
        <w:t>.3</w:t>
      </w:r>
      <w:r>
        <w:rPr>
          <w:rStyle w:val="49"/>
          <w:rFonts w:hint="eastAsia" w:ascii="宋体" w:hAnsi="宋体" w:eastAsia="宋体" w:cs="宋体"/>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lang w:val="en-US" w:eastAsia="zh-CN"/>
        </w:rPr>
        <w:t xml:space="preserve">工期奖罚 </w:t>
      </w:r>
    </w:p>
    <w:p w14:paraId="6DB3CD82">
      <w:pPr>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4F01853B">
      <w:pPr>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ECD007A">
      <w:pPr>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74F80B12">
      <w:pPr>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455E5A89">
      <w:pPr>
        <w:pageBreakBefore w:val="0"/>
        <w:kinsoku/>
        <w:wordWrap/>
        <w:overflowPunct/>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snapToGrid w:val="0"/>
          <w:color w:val="auto"/>
          <w:kern w:val="0"/>
          <w:sz w:val="24"/>
          <w:szCs w:val="24"/>
          <w:highlight w:val="none"/>
          <w:lang w:val="en-US" w:eastAsia="zh-CN"/>
        </w:rPr>
        <w:t>☑其它说明：</w:t>
      </w:r>
      <w:r>
        <w:rPr>
          <w:rStyle w:val="49"/>
          <w:rFonts w:hint="eastAsia" w:ascii="宋体" w:hAnsi="宋体" w:eastAsia="宋体" w:cs="宋体"/>
          <w:color w:val="auto"/>
          <w:kern w:val="0"/>
          <w:sz w:val="24"/>
          <w:szCs w:val="24"/>
          <w:highlight w:val="none"/>
        </w:rPr>
        <w:t>由于承包人原因造成工期延误的，承包人须在逾期第壹天起每天按合同价的</w:t>
      </w:r>
      <w:r>
        <w:rPr>
          <w:rStyle w:val="49"/>
          <w:rFonts w:hint="eastAsia" w:ascii="宋体" w:hAnsi="宋体" w:eastAsia="宋体" w:cs="宋体"/>
          <w:color w:val="auto"/>
          <w:kern w:val="0"/>
          <w:sz w:val="24"/>
          <w:szCs w:val="24"/>
          <w:highlight w:val="none"/>
          <w:u w:val="single"/>
          <w:lang w:val="en-US" w:eastAsia="zh-CN"/>
        </w:rPr>
        <w:t>3</w:t>
      </w:r>
      <w:r>
        <w:rPr>
          <w:rStyle w:val="49"/>
          <w:rFonts w:hint="eastAsia" w:ascii="宋体" w:hAnsi="宋体" w:eastAsia="宋体" w:cs="宋体"/>
          <w:color w:val="auto"/>
          <w:kern w:val="0"/>
          <w:sz w:val="24"/>
          <w:szCs w:val="24"/>
          <w:highlight w:val="none"/>
          <w:u w:val="single"/>
        </w:rPr>
        <w:t>‰</w:t>
      </w:r>
      <w:r>
        <w:rPr>
          <w:rStyle w:val="49"/>
          <w:rFonts w:hint="eastAsia" w:ascii="宋体" w:hAnsi="宋体" w:eastAsia="宋体" w:cs="宋体"/>
          <w:color w:val="auto"/>
          <w:kern w:val="0"/>
          <w:sz w:val="24"/>
          <w:szCs w:val="24"/>
          <w:highlight w:val="none"/>
        </w:rPr>
        <w:t>向招标人返纳逾期竣工违约金。</w:t>
      </w:r>
    </w:p>
    <w:p w14:paraId="55CDADE5">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00" w:name="_Toc4690"/>
      <w:r>
        <w:rPr>
          <w:rFonts w:hint="eastAsia" w:ascii="宋体" w:hAnsi="宋体" w:eastAsia="宋体" w:cs="宋体"/>
          <w:b/>
          <w:bCs/>
          <w:color w:val="auto"/>
          <w:spacing w:val="-11"/>
          <w:sz w:val="24"/>
          <w:szCs w:val="24"/>
          <w:highlight w:val="none"/>
          <w:lang w:val="en-US" w:eastAsia="zh-CN"/>
        </w:rPr>
        <w:t>6.项目管理机构</w:t>
      </w:r>
      <w:bookmarkEnd w:id="200"/>
    </w:p>
    <w:p w14:paraId="43840DFE">
      <w:pPr>
        <w:pageBreakBefore w:val="0"/>
        <w:kinsoku/>
        <w:wordWrap/>
        <w:overflowPunct/>
        <w:bidi w:val="0"/>
        <w:snapToGrid w:val="0"/>
        <w:spacing w:line="360" w:lineRule="auto"/>
        <w:ind w:firstLine="482" w:firstLineChars="200"/>
        <w:rPr>
          <w:rStyle w:val="49"/>
          <w:rFonts w:hint="eastAsia" w:ascii="宋体" w:hAnsi="宋体" w:eastAsia="宋体" w:cs="宋体"/>
          <w:color w:val="auto"/>
          <w:kern w:val="0"/>
          <w:sz w:val="24"/>
          <w:szCs w:val="24"/>
          <w:highlight w:val="none"/>
        </w:rPr>
      </w:pPr>
      <w:r>
        <w:rPr>
          <w:rStyle w:val="49"/>
          <w:rFonts w:hint="eastAsia" w:ascii="宋体" w:hAnsi="宋体" w:eastAsia="宋体" w:cs="宋体"/>
          <w:b/>
          <w:bCs/>
          <w:color w:val="auto"/>
          <w:kern w:val="0"/>
          <w:sz w:val="24"/>
          <w:szCs w:val="24"/>
          <w:highlight w:val="none"/>
          <w:lang w:val="en-US" w:eastAsia="zh-CN"/>
        </w:rPr>
        <w:t>6</w:t>
      </w:r>
      <w:r>
        <w:rPr>
          <w:rStyle w:val="49"/>
          <w:rFonts w:hint="eastAsia" w:ascii="宋体" w:hAnsi="宋体" w:eastAsia="宋体" w:cs="宋体"/>
          <w:b/>
          <w:bCs/>
          <w:color w:val="auto"/>
          <w:kern w:val="0"/>
          <w:sz w:val="24"/>
          <w:szCs w:val="24"/>
          <w:highlight w:val="none"/>
        </w:rPr>
        <w:t>.1</w:t>
      </w:r>
      <w:r>
        <w:rPr>
          <w:rStyle w:val="49"/>
          <w:rFonts w:hint="eastAsia" w:ascii="宋体" w:hAnsi="宋体" w:eastAsia="宋体" w:cs="宋体"/>
          <w:color w:val="auto"/>
          <w:kern w:val="0"/>
          <w:sz w:val="24"/>
          <w:szCs w:val="24"/>
          <w:highlight w:val="none"/>
        </w:rPr>
        <w:t xml:space="preserve"> 承包人派驻的项目管理班子成员必须为其投标文件确定的人员，否则发包人有权终止合同。</w:t>
      </w:r>
    </w:p>
    <w:p w14:paraId="50A7E8C9">
      <w:pPr>
        <w:pageBreakBefore w:val="0"/>
        <w:kinsoku/>
        <w:wordWrap/>
        <w:overflowPunct/>
        <w:bidi w:val="0"/>
        <w:snapToGrid w:val="0"/>
        <w:spacing w:line="360" w:lineRule="auto"/>
        <w:ind w:firstLine="482" w:firstLineChars="200"/>
        <w:rPr>
          <w:rStyle w:val="49"/>
          <w:rFonts w:hint="eastAsia" w:ascii="宋体" w:hAnsi="宋体" w:eastAsia="宋体" w:cs="宋体"/>
          <w:b w:val="0"/>
          <w:bCs w:val="0"/>
          <w:color w:val="auto"/>
          <w:kern w:val="0"/>
          <w:sz w:val="24"/>
          <w:szCs w:val="24"/>
          <w:highlight w:val="none"/>
          <w:lang w:val="en-US" w:eastAsia="zh-CN"/>
        </w:rPr>
      </w:pPr>
      <w:bookmarkStart w:id="201" w:name="_Toc32659"/>
      <w:r>
        <w:rPr>
          <w:rStyle w:val="49"/>
          <w:rFonts w:hint="eastAsia" w:ascii="宋体" w:hAnsi="宋体" w:eastAsia="宋体" w:cs="宋体"/>
          <w:b/>
          <w:bCs/>
          <w:color w:val="auto"/>
          <w:kern w:val="0"/>
          <w:sz w:val="24"/>
          <w:szCs w:val="24"/>
          <w:highlight w:val="none"/>
          <w:lang w:val="en-US" w:eastAsia="zh-CN"/>
        </w:rPr>
        <w:t xml:space="preserve">6.2 </w:t>
      </w:r>
      <w:r>
        <w:rPr>
          <w:rStyle w:val="49"/>
          <w:rFonts w:hint="eastAsia" w:ascii="宋体" w:hAnsi="宋体" w:eastAsia="宋体" w:cs="宋体"/>
          <w:b w:val="0"/>
          <w:bCs w:val="0"/>
          <w:color w:val="auto"/>
          <w:kern w:val="0"/>
          <w:sz w:val="24"/>
          <w:szCs w:val="24"/>
          <w:highlight w:val="none"/>
          <w:lang w:val="en-US" w:eastAsia="zh-CN"/>
        </w:rPr>
        <w:t>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bookmarkEnd w:id="201"/>
    </w:p>
    <w:p w14:paraId="768123B5">
      <w:pPr>
        <w:keepNext w:val="0"/>
        <w:keepLines w:val="0"/>
        <w:pageBreakBefore w:val="0"/>
        <w:widowControl w:val="0"/>
        <w:kinsoku/>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2" w:name="_Toc18634"/>
      <w:r>
        <w:rPr>
          <w:rFonts w:hint="eastAsia" w:ascii="宋体" w:hAnsi="宋体" w:eastAsia="宋体" w:cs="宋体"/>
          <w:b/>
          <w:bCs/>
          <w:color w:val="auto"/>
          <w:spacing w:val="-11"/>
          <w:sz w:val="24"/>
          <w:szCs w:val="24"/>
          <w:highlight w:val="none"/>
          <w:lang w:val="en-US" w:eastAsia="zh-CN"/>
        </w:rPr>
        <w:t>7.现场管理</w:t>
      </w:r>
      <w:bookmarkEnd w:id="202"/>
    </w:p>
    <w:p w14:paraId="46D4FAC0">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baseline"/>
        <w:rPr>
          <w:rStyle w:val="49"/>
          <w:rFonts w:hint="eastAsia" w:ascii="宋体" w:hAnsi="宋体" w:eastAsia="宋体" w:cs="宋体"/>
          <w:b w:val="0"/>
          <w:bCs w:val="0"/>
          <w:color w:val="auto"/>
          <w:kern w:val="0"/>
          <w:sz w:val="24"/>
          <w:szCs w:val="24"/>
          <w:highlight w:val="none"/>
          <w:lang w:val="en-US" w:eastAsia="zh-CN"/>
        </w:rPr>
      </w:pPr>
      <w:bookmarkStart w:id="203" w:name="_Toc7562"/>
      <w:r>
        <w:rPr>
          <w:rStyle w:val="49"/>
          <w:rFonts w:hint="eastAsia" w:ascii="宋体" w:hAnsi="宋体" w:eastAsia="宋体" w:cs="宋体"/>
          <w:b/>
          <w:bCs/>
          <w:color w:val="auto"/>
          <w:kern w:val="0"/>
          <w:sz w:val="24"/>
          <w:szCs w:val="24"/>
          <w:highlight w:val="none"/>
          <w:lang w:val="en-US" w:eastAsia="zh-CN"/>
        </w:rPr>
        <w:t xml:space="preserve">7.1 </w:t>
      </w:r>
      <w:r>
        <w:rPr>
          <w:rStyle w:val="49"/>
          <w:rFonts w:hint="eastAsia" w:ascii="宋体" w:hAnsi="宋体" w:eastAsia="宋体" w:cs="宋体"/>
          <w:b w:val="0"/>
          <w:bCs w:val="0"/>
          <w:color w:val="auto"/>
          <w:kern w:val="0"/>
          <w:sz w:val="24"/>
          <w:szCs w:val="24"/>
          <w:highlight w:val="none"/>
          <w:lang w:val="en-US" w:eastAsia="zh-CN"/>
        </w:rPr>
        <w:t>承包人在施工期间应严格遵守国家、广东省、韶关市有关绿色施工、文明施工、噪音扬尘、消防爆破、环境卫生、渣土清运、防火和治安保卫等方面的规定，并建立相应规章制度和保障措施。否则由此造成的经济损失和法律责任，均由承包人承担。</w:t>
      </w:r>
      <w:bookmarkEnd w:id="203"/>
    </w:p>
    <w:p w14:paraId="0CB4CBB7">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b/>
          <w:bCs/>
          <w:color w:val="auto"/>
          <w:kern w:val="0"/>
          <w:sz w:val="24"/>
          <w:szCs w:val="24"/>
          <w:highlight w:val="none"/>
          <w:lang w:val="en-US" w:eastAsia="zh-CN"/>
        </w:rPr>
        <w:t>7</w:t>
      </w:r>
      <w:r>
        <w:rPr>
          <w:rStyle w:val="49"/>
          <w:rFonts w:hint="eastAsia" w:ascii="宋体" w:hAnsi="宋体" w:eastAsia="宋体" w:cs="宋体"/>
          <w:b/>
          <w:bCs/>
          <w:color w:val="auto"/>
          <w:kern w:val="0"/>
          <w:sz w:val="24"/>
          <w:szCs w:val="24"/>
          <w:highlight w:val="none"/>
        </w:rPr>
        <w:t>.2</w:t>
      </w:r>
      <w:r>
        <w:rPr>
          <w:rStyle w:val="49"/>
          <w:rFonts w:hint="eastAsia" w:ascii="宋体" w:hAnsi="宋体" w:eastAsia="宋体" w:cs="宋体"/>
          <w:color w:val="auto"/>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17AF49BA">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baseline"/>
        <w:rPr>
          <w:rStyle w:val="49"/>
          <w:rFonts w:hint="eastAsia" w:ascii="宋体" w:hAnsi="宋体" w:eastAsia="宋体" w:cs="宋体"/>
          <w:b/>
          <w:bCs/>
          <w:color w:val="auto"/>
          <w:kern w:val="0"/>
          <w:sz w:val="24"/>
          <w:szCs w:val="24"/>
          <w:highlight w:val="none"/>
        </w:rPr>
      </w:pPr>
      <w:r>
        <w:rPr>
          <w:rStyle w:val="49"/>
          <w:rFonts w:hint="eastAsia" w:ascii="宋体" w:hAnsi="宋体" w:eastAsia="宋体" w:cs="宋体"/>
          <w:b/>
          <w:bCs/>
          <w:color w:val="auto"/>
          <w:kern w:val="0"/>
          <w:sz w:val="24"/>
          <w:szCs w:val="24"/>
          <w:highlight w:val="none"/>
          <w:lang w:val="en-US" w:eastAsia="zh-CN"/>
        </w:rPr>
        <w:t>7</w:t>
      </w:r>
      <w:r>
        <w:rPr>
          <w:rStyle w:val="49"/>
          <w:rFonts w:hint="eastAsia" w:ascii="宋体" w:hAnsi="宋体" w:eastAsia="宋体" w:cs="宋体"/>
          <w:b/>
          <w:bCs/>
          <w:color w:val="auto"/>
          <w:kern w:val="0"/>
          <w:sz w:val="24"/>
          <w:szCs w:val="24"/>
          <w:highlight w:val="none"/>
        </w:rPr>
        <w:t>.3</w:t>
      </w:r>
      <w:r>
        <w:rPr>
          <w:rStyle w:val="49"/>
          <w:rFonts w:hint="eastAsia" w:ascii="宋体" w:hAnsi="宋体" w:eastAsia="宋体" w:cs="宋体"/>
          <w:color w:val="auto"/>
          <w:kern w:val="0"/>
          <w:sz w:val="24"/>
          <w:szCs w:val="24"/>
          <w:highlight w:val="none"/>
        </w:rPr>
        <w:t xml:space="preserve"> 为保证施工现场的环境卫生，承包人在本工程施工过程中，所有的车辆必须按发包人规定的行车路线行驶。</w:t>
      </w:r>
    </w:p>
    <w:p w14:paraId="043DEA37">
      <w:pPr>
        <w:keepNext w:val="0"/>
        <w:keepLines w:val="0"/>
        <w:pageBreakBefore w:val="0"/>
        <w:widowControl w:val="0"/>
        <w:kinsoku/>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4" w:name="_Toc15027"/>
      <w:r>
        <w:rPr>
          <w:rFonts w:hint="eastAsia" w:ascii="宋体" w:hAnsi="宋体" w:eastAsia="宋体" w:cs="宋体"/>
          <w:b/>
          <w:bCs/>
          <w:color w:val="auto"/>
          <w:spacing w:val="-11"/>
          <w:sz w:val="24"/>
          <w:szCs w:val="24"/>
          <w:highlight w:val="none"/>
          <w:lang w:val="en-US" w:eastAsia="zh-CN"/>
        </w:rPr>
        <w:t>8.监督实施</w:t>
      </w:r>
      <w:bookmarkEnd w:id="204"/>
    </w:p>
    <w:p w14:paraId="7D8C2402">
      <w:pPr>
        <w:keepNext w:val="0"/>
        <w:keepLines w:val="0"/>
        <w:pageBreakBefore w:val="0"/>
        <w:widowControl w:val="0"/>
        <w:kinsoku/>
        <w:wordWrap/>
        <w:overflowPunct/>
        <w:topLinePunct w:val="0"/>
        <w:autoSpaceDE w:val="0"/>
        <w:autoSpaceDN w:val="0"/>
        <w:bidi w:val="0"/>
        <w:adjustRightInd w:val="0"/>
        <w:snapToGrid w:val="0"/>
        <w:spacing w:line="360" w:lineRule="auto"/>
        <w:ind w:firstLine="560"/>
        <w:textAlignment w:val="baseline"/>
        <w:rPr>
          <w:rStyle w:val="49"/>
          <w:rFonts w:hint="eastAsia" w:ascii="宋体" w:hAnsi="宋体" w:eastAsia="宋体" w:cs="宋体"/>
          <w:b/>
          <w:bCs/>
          <w:color w:val="auto"/>
          <w:kern w:val="0"/>
          <w:sz w:val="24"/>
          <w:szCs w:val="24"/>
          <w:highlight w:val="none"/>
        </w:rPr>
      </w:pPr>
      <w:r>
        <w:rPr>
          <w:rStyle w:val="49"/>
          <w:rFonts w:hint="eastAsia" w:ascii="宋体" w:hAnsi="宋体" w:eastAsia="宋体" w:cs="宋体"/>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151C2662">
      <w:pPr>
        <w:keepNext w:val="0"/>
        <w:keepLines w:val="0"/>
        <w:pageBreakBefore w:val="0"/>
        <w:widowControl w:val="0"/>
        <w:kinsoku/>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5" w:name="_Toc31222"/>
      <w:r>
        <w:rPr>
          <w:rFonts w:hint="eastAsia" w:ascii="宋体" w:hAnsi="宋体" w:eastAsia="宋体" w:cs="宋体"/>
          <w:b/>
          <w:bCs/>
          <w:color w:val="auto"/>
          <w:spacing w:val="-11"/>
          <w:sz w:val="24"/>
          <w:szCs w:val="24"/>
          <w:highlight w:val="none"/>
          <w:lang w:val="en-US" w:eastAsia="zh-CN"/>
        </w:rPr>
        <w:t>9.主材的采购和使用</w:t>
      </w:r>
      <w:bookmarkEnd w:id="205"/>
    </w:p>
    <w:p w14:paraId="243E5AB1">
      <w:pPr>
        <w:keepNext w:val="0"/>
        <w:keepLines w:val="0"/>
        <w:pageBreakBefore w:val="0"/>
        <w:widowControl w:val="0"/>
        <w:kinsoku/>
        <w:wordWrap/>
        <w:overflowPunct/>
        <w:topLinePunct w:val="0"/>
        <w:autoSpaceDE w:val="0"/>
        <w:autoSpaceDN w:val="0"/>
        <w:bidi w:val="0"/>
        <w:adjustRightInd w:val="0"/>
        <w:snapToGrid w:val="0"/>
        <w:spacing w:line="360" w:lineRule="auto"/>
        <w:ind w:firstLine="560"/>
        <w:textAlignment w:val="baseline"/>
        <w:rPr>
          <w:rStyle w:val="49"/>
          <w:rFonts w:hint="eastAsia" w:ascii="宋体" w:hAnsi="宋体" w:eastAsia="宋体" w:cs="宋体"/>
          <w:b/>
          <w:bCs/>
          <w:color w:val="auto"/>
          <w:kern w:val="0"/>
          <w:sz w:val="24"/>
          <w:szCs w:val="24"/>
          <w:highlight w:val="none"/>
        </w:rPr>
      </w:pPr>
      <w:r>
        <w:rPr>
          <w:rStyle w:val="49"/>
          <w:rFonts w:hint="eastAsia" w:ascii="宋体" w:hAnsi="宋体" w:eastAsia="宋体" w:cs="宋体"/>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64951858">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06" w:name="_Toc15970"/>
      <w:r>
        <w:rPr>
          <w:rFonts w:hint="eastAsia" w:ascii="宋体" w:hAnsi="宋体" w:eastAsia="宋体" w:cs="宋体"/>
          <w:b/>
          <w:bCs/>
          <w:color w:val="auto"/>
          <w:spacing w:val="-11"/>
          <w:sz w:val="24"/>
          <w:szCs w:val="24"/>
          <w:highlight w:val="none"/>
          <w:lang w:val="en-US" w:eastAsia="zh-CN"/>
        </w:rPr>
        <w:t>10.竣工资料移交</w:t>
      </w:r>
      <w:bookmarkEnd w:id="206"/>
    </w:p>
    <w:p w14:paraId="317FC39D">
      <w:pPr>
        <w:pageBreakBefore w:val="0"/>
        <w:widowControl w:val="0"/>
        <w:kinsoku/>
        <w:wordWrap/>
        <w:overflowPunct/>
        <w:bidi w:val="0"/>
        <w:adjustRightInd w:val="0"/>
        <w:snapToGrid w:val="0"/>
        <w:spacing w:line="360" w:lineRule="auto"/>
        <w:ind w:firstLine="560"/>
        <w:textAlignment w:val="auto"/>
        <w:rPr>
          <w:rStyle w:val="49"/>
          <w:rFonts w:hint="eastAsia" w:ascii="宋体" w:hAnsi="宋体" w:eastAsia="宋体" w:cs="宋体"/>
          <w:b/>
          <w:bCs/>
          <w:color w:val="auto"/>
          <w:kern w:val="0"/>
          <w:sz w:val="24"/>
          <w:szCs w:val="24"/>
          <w:highlight w:val="none"/>
        </w:rPr>
      </w:pPr>
      <w:r>
        <w:rPr>
          <w:rFonts w:hint="eastAsia" w:ascii="宋体" w:hAnsi="宋体" w:eastAsia="宋体" w:cs="宋体"/>
          <w:bCs/>
          <w:snapToGrid w:val="0"/>
          <w:color w:val="auto"/>
          <w:kern w:val="0"/>
          <w:sz w:val="24"/>
          <w:szCs w:val="24"/>
          <w:highlight w:val="none"/>
        </w:rPr>
        <w:t>项目竣工验收时，</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人应向监理单位和</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auto"/>
          <w:kern w:val="0"/>
          <w:sz w:val="24"/>
          <w:szCs w:val="24"/>
          <w:highlight w:val="none"/>
          <w:u w:val="single"/>
        </w:rPr>
        <w:t xml:space="preserve"> 八 </w:t>
      </w:r>
      <w:r>
        <w:rPr>
          <w:rFonts w:hint="eastAsia" w:ascii="宋体" w:hAnsi="宋体" w:eastAsia="宋体" w:cs="宋体"/>
          <w:bCs/>
          <w:snapToGrid w:val="0"/>
          <w:color w:val="auto"/>
          <w:kern w:val="0"/>
          <w:sz w:val="24"/>
          <w:szCs w:val="24"/>
          <w:highlight w:val="none"/>
        </w:rPr>
        <w:t>份。</w:t>
      </w:r>
    </w:p>
    <w:p w14:paraId="788DAA2C">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07" w:name="_Toc26354"/>
      <w:r>
        <w:rPr>
          <w:rFonts w:hint="eastAsia" w:ascii="宋体" w:hAnsi="宋体" w:eastAsia="宋体" w:cs="宋体"/>
          <w:b/>
          <w:bCs/>
          <w:color w:val="auto"/>
          <w:spacing w:val="-11"/>
          <w:sz w:val="24"/>
          <w:szCs w:val="24"/>
          <w:highlight w:val="none"/>
          <w:lang w:val="en-US" w:eastAsia="zh-CN"/>
        </w:rPr>
        <w:t>11.质量保证</w:t>
      </w:r>
      <w:bookmarkEnd w:id="207"/>
    </w:p>
    <w:p w14:paraId="67CE75A3">
      <w:pPr>
        <w:pageBreakBefore w:val="0"/>
        <w:kinsoku/>
        <w:wordWrap/>
        <w:overflowPunct/>
        <w:bidi w:val="0"/>
        <w:snapToGrid w:val="0"/>
        <w:spacing w:line="360" w:lineRule="auto"/>
        <w:ind w:firstLine="560"/>
        <w:rPr>
          <w:rStyle w:val="49"/>
          <w:rFonts w:hint="eastAsia" w:ascii="宋体" w:hAnsi="宋体" w:eastAsia="宋体" w:cs="宋体"/>
          <w:color w:val="auto"/>
          <w:kern w:val="0"/>
          <w:sz w:val="24"/>
          <w:szCs w:val="24"/>
          <w:highlight w:val="none"/>
        </w:rPr>
      </w:pPr>
      <w:r>
        <w:rPr>
          <w:rStyle w:val="49"/>
          <w:rFonts w:hint="eastAsia" w:ascii="宋体" w:hAnsi="宋体" w:eastAsia="宋体" w:cs="宋体"/>
          <w:b/>
          <w:bCs/>
          <w:color w:val="auto"/>
          <w:kern w:val="0"/>
          <w:sz w:val="24"/>
          <w:szCs w:val="24"/>
          <w:highlight w:val="none"/>
          <w:lang w:val="en-US" w:eastAsia="zh-CN"/>
        </w:rPr>
        <w:t>11</w:t>
      </w:r>
      <w:r>
        <w:rPr>
          <w:rStyle w:val="49"/>
          <w:rFonts w:hint="eastAsia" w:ascii="宋体" w:hAnsi="宋体" w:eastAsia="宋体" w:cs="宋体"/>
          <w:b/>
          <w:bCs/>
          <w:color w:val="auto"/>
          <w:kern w:val="0"/>
          <w:sz w:val="24"/>
          <w:szCs w:val="24"/>
          <w:highlight w:val="none"/>
        </w:rPr>
        <w:t>.1</w:t>
      </w:r>
      <w:r>
        <w:rPr>
          <w:rStyle w:val="49"/>
          <w:rFonts w:hint="eastAsia" w:ascii="宋体" w:hAnsi="宋体" w:eastAsia="宋体" w:cs="宋体"/>
          <w:color w:val="auto"/>
          <w:kern w:val="0"/>
          <w:sz w:val="24"/>
          <w:szCs w:val="24"/>
          <w:highlight w:val="none"/>
        </w:rPr>
        <w:t xml:space="preserve"> 本工程缺陷责任期为</w:t>
      </w:r>
      <w:r>
        <w:rPr>
          <w:rStyle w:val="49"/>
          <w:rFonts w:hint="eastAsia" w:ascii="宋体" w:hAnsi="宋体" w:eastAsia="宋体" w:cs="宋体"/>
          <w:color w:val="auto"/>
          <w:kern w:val="0"/>
          <w:sz w:val="24"/>
          <w:szCs w:val="24"/>
          <w:highlight w:val="none"/>
          <w:u w:val="single"/>
          <w:lang w:val="en-US" w:eastAsia="zh-CN"/>
        </w:rPr>
        <w:t xml:space="preserve"> 1 </w:t>
      </w:r>
      <w:r>
        <w:rPr>
          <w:rStyle w:val="49"/>
          <w:rFonts w:hint="eastAsia" w:ascii="宋体" w:hAnsi="宋体" w:eastAsia="宋体" w:cs="宋体"/>
          <w:color w:val="auto"/>
          <w:kern w:val="0"/>
          <w:sz w:val="24"/>
          <w:szCs w:val="24"/>
          <w:highlight w:val="none"/>
        </w:rPr>
        <w:t>年（自通过竣工验收之日起计），在此期间预留金额为结算价</w:t>
      </w:r>
      <w:r>
        <w:rPr>
          <w:rStyle w:val="49"/>
          <w:rFonts w:hint="eastAsia" w:ascii="宋体" w:hAnsi="宋体" w:eastAsia="宋体" w:cs="宋体"/>
          <w:color w:val="auto"/>
          <w:kern w:val="0"/>
          <w:sz w:val="24"/>
          <w:szCs w:val="24"/>
          <w:highlight w:val="none"/>
          <w:u w:val="single"/>
        </w:rPr>
        <w:t xml:space="preserve">3% </w:t>
      </w:r>
      <w:r>
        <w:rPr>
          <w:rStyle w:val="49"/>
          <w:rFonts w:hint="eastAsia" w:ascii="宋体" w:hAnsi="宋体" w:eastAsia="宋体" w:cs="宋体"/>
          <w:color w:val="auto"/>
          <w:kern w:val="0"/>
          <w:sz w:val="24"/>
          <w:szCs w:val="24"/>
          <w:highlight w:val="none"/>
        </w:rPr>
        <w:t>的质量保证。</w:t>
      </w:r>
    </w:p>
    <w:p w14:paraId="07ABFEEE">
      <w:pPr>
        <w:pageBreakBefore w:val="0"/>
        <w:kinsoku/>
        <w:wordWrap/>
        <w:overflowPunct/>
        <w:bidi w:val="0"/>
        <w:snapToGrid w:val="0"/>
        <w:spacing w:line="360" w:lineRule="auto"/>
        <w:ind w:firstLine="560"/>
        <w:rPr>
          <w:rStyle w:val="49"/>
          <w:rFonts w:hint="eastAsia" w:ascii="宋体" w:hAnsi="宋体" w:eastAsia="宋体" w:cs="宋体"/>
          <w:color w:val="auto"/>
          <w:kern w:val="0"/>
          <w:sz w:val="24"/>
          <w:szCs w:val="24"/>
          <w:highlight w:val="none"/>
        </w:rPr>
      </w:pPr>
      <w:r>
        <w:rPr>
          <w:rStyle w:val="49"/>
          <w:rFonts w:hint="eastAsia" w:ascii="宋体" w:hAnsi="宋体" w:eastAsia="宋体" w:cs="宋体"/>
          <w:b/>
          <w:bCs/>
          <w:color w:val="auto"/>
          <w:kern w:val="0"/>
          <w:sz w:val="24"/>
          <w:szCs w:val="24"/>
          <w:highlight w:val="none"/>
          <w:lang w:val="en-US" w:eastAsia="zh-CN"/>
        </w:rPr>
        <w:t>11</w:t>
      </w:r>
      <w:r>
        <w:rPr>
          <w:rStyle w:val="49"/>
          <w:rFonts w:hint="eastAsia" w:ascii="宋体" w:hAnsi="宋体" w:eastAsia="宋体" w:cs="宋体"/>
          <w:b/>
          <w:bCs/>
          <w:color w:val="auto"/>
          <w:kern w:val="0"/>
          <w:sz w:val="24"/>
          <w:szCs w:val="24"/>
          <w:highlight w:val="none"/>
        </w:rPr>
        <w:t>.2</w:t>
      </w:r>
      <w:r>
        <w:rPr>
          <w:rStyle w:val="49"/>
          <w:rFonts w:hint="eastAsia" w:ascii="宋体" w:hAnsi="宋体" w:eastAsia="宋体" w:cs="宋体"/>
          <w:color w:val="auto"/>
          <w:kern w:val="0"/>
          <w:sz w:val="24"/>
          <w:szCs w:val="24"/>
          <w:highlight w:val="none"/>
        </w:rPr>
        <w:t xml:space="preserve"> 质量保证的形式包括质量保证金、质量保证担保、质量保证保险三种，由承包人自主选择。</w:t>
      </w:r>
    </w:p>
    <w:p w14:paraId="64E4142E">
      <w:pPr>
        <w:pageBreakBefore w:val="0"/>
        <w:kinsoku/>
        <w:wordWrap/>
        <w:overflowPunct/>
        <w:bidi w:val="0"/>
        <w:snapToGrid w:val="0"/>
        <w:spacing w:line="360" w:lineRule="auto"/>
        <w:ind w:firstLine="480" w:firstLineChars="200"/>
        <w:rPr>
          <w:rStyle w:val="49"/>
          <w:rFonts w:hint="eastAsia" w:ascii="宋体" w:hAnsi="宋体" w:eastAsia="宋体" w:cs="宋体"/>
          <w:color w:val="auto"/>
          <w:kern w:val="0"/>
          <w:sz w:val="24"/>
          <w:szCs w:val="24"/>
          <w:highlight w:val="none"/>
        </w:rPr>
      </w:pPr>
      <w:r>
        <w:rPr>
          <w:rStyle w:val="49"/>
          <w:rFonts w:hint="eastAsia" w:ascii="宋体" w:hAnsi="宋体" w:eastAsia="宋体" w:cs="宋体"/>
          <w:color w:val="auto"/>
          <w:kern w:val="0"/>
          <w:sz w:val="24"/>
          <w:szCs w:val="24"/>
          <w:highlight w:val="none"/>
        </w:rPr>
        <w:t>（1）采用质量保证金形式的，在结清审定总造价时一次性扣留相应金额作为质量保证金。</w:t>
      </w:r>
    </w:p>
    <w:p w14:paraId="55DF4775">
      <w:pPr>
        <w:keepNext w:val="0"/>
        <w:keepLines w:val="0"/>
        <w:pageBreakBefore w:val="0"/>
        <w:widowControl w:val="0"/>
        <w:kinsoku/>
        <w:wordWrap/>
        <w:overflowPunct/>
        <w:topLinePunct w:val="0"/>
        <w:bidi w:val="0"/>
        <w:snapToGrid w:val="0"/>
        <w:spacing w:line="360" w:lineRule="auto"/>
        <w:ind w:firstLine="480" w:firstLineChars="200"/>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color w:val="auto"/>
          <w:kern w:val="0"/>
          <w:sz w:val="24"/>
          <w:szCs w:val="24"/>
          <w:highlight w:val="none"/>
        </w:rPr>
        <w:t>（2）采用质量保证担保或质量保证保险的，承包人应在竣工验收时向发包人提交有效的</w:t>
      </w:r>
      <w:r>
        <w:rPr>
          <w:rFonts w:hint="eastAsia" w:ascii="宋体" w:hAnsi="宋体" w:eastAsia="宋体" w:cs="宋体"/>
          <w:b w:val="0"/>
          <w:bCs/>
          <w:caps w:val="0"/>
          <w:smallCaps w:val="0"/>
          <w:snapToGrid w:val="0"/>
          <w:color w:val="auto"/>
          <w:spacing w:val="0"/>
          <w:kern w:val="0"/>
          <w:sz w:val="24"/>
          <w:szCs w:val="24"/>
          <w:highlight w:val="none"/>
          <w:lang w:val="en-US" w:eastAsia="zh-CN"/>
        </w:rPr>
        <w:t>商业保函、</w:t>
      </w:r>
      <w:r>
        <w:rPr>
          <w:rStyle w:val="49"/>
          <w:rFonts w:hint="eastAsia" w:ascii="宋体" w:hAnsi="宋体" w:eastAsia="宋体" w:cs="宋体"/>
          <w:color w:val="auto"/>
          <w:kern w:val="0"/>
          <w:sz w:val="24"/>
          <w:szCs w:val="24"/>
          <w:highlight w:val="none"/>
        </w:rPr>
        <w:t>银行保函或保险合同（或保险单）原件，</w:t>
      </w:r>
      <w:r>
        <w:rPr>
          <w:rFonts w:hint="eastAsia" w:ascii="宋体" w:hAnsi="宋体" w:eastAsia="宋体" w:cs="宋体"/>
          <w:b w:val="0"/>
          <w:bCs/>
          <w:caps w:val="0"/>
          <w:smallCaps w:val="0"/>
          <w:snapToGrid w:val="0"/>
          <w:color w:val="auto"/>
          <w:spacing w:val="0"/>
          <w:kern w:val="0"/>
          <w:sz w:val="24"/>
          <w:szCs w:val="24"/>
          <w:highlight w:val="none"/>
          <w:lang w:val="en-US" w:eastAsia="zh-CN"/>
        </w:rPr>
        <w:t>商业保函、</w:t>
      </w:r>
      <w:r>
        <w:rPr>
          <w:rStyle w:val="49"/>
          <w:rFonts w:hint="eastAsia" w:ascii="宋体" w:hAnsi="宋体" w:eastAsia="宋体" w:cs="宋体"/>
          <w:color w:val="auto"/>
          <w:kern w:val="0"/>
          <w:sz w:val="24"/>
          <w:szCs w:val="24"/>
          <w:highlight w:val="none"/>
        </w:rPr>
        <w:t>银行保函或保险合同（或保险单）的有效期不得短于缺陷责任期。</w:t>
      </w:r>
    </w:p>
    <w:p w14:paraId="36C61C54">
      <w:pPr>
        <w:keepNext w:val="0"/>
        <w:keepLines w:val="0"/>
        <w:pageBreakBefore w:val="0"/>
        <w:widowControl w:val="0"/>
        <w:kinsoku/>
        <w:wordWrap/>
        <w:overflowPunct/>
        <w:topLinePunct w:val="0"/>
        <w:bidi w:val="0"/>
        <w:snapToGrid w:val="0"/>
        <w:spacing w:line="360" w:lineRule="auto"/>
        <w:ind w:firstLine="560"/>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b/>
          <w:bCs/>
          <w:color w:val="auto"/>
          <w:kern w:val="0"/>
          <w:sz w:val="24"/>
          <w:szCs w:val="24"/>
          <w:highlight w:val="none"/>
          <w:lang w:val="en-US" w:eastAsia="zh-CN"/>
        </w:rPr>
        <w:t>11</w:t>
      </w:r>
      <w:r>
        <w:rPr>
          <w:rStyle w:val="49"/>
          <w:rFonts w:hint="eastAsia" w:ascii="宋体" w:hAnsi="宋体" w:eastAsia="宋体" w:cs="宋体"/>
          <w:b/>
          <w:bCs/>
          <w:color w:val="auto"/>
          <w:kern w:val="0"/>
          <w:sz w:val="24"/>
          <w:szCs w:val="24"/>
          <w:highlight w:val="none"/>
        </w:rPr>
        <w:t>.3</w:t>
      </w:r>
      <w:r>
        <w:rPr>
          <w:rStyle w:val="49"/>
          <w:rFonts w:hint="eastAsia" w:ascii="宋体" w:hAnsi="宋体" w:eastAsia="宋体" w:cs="宋体"/>
          <w:color w:val="auto"/>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7B5D93C6">
      <w:pPr>
        <w:keepNext w:val="0"/>
        <w:keepLines w:val="0"/>
        <w:pageBreakBefore w:val="0"/>
        <w:widowControl w:val="0"/>
        <w:kinsoku/>
        <w:wordWrap/>
        <w:overflowPunct/>
        <w:topLinePunct w:val="0"/>
        <w:bidi w:val="0"/>
        <w:snapToGrid w:val="0"/>
        <w:spacing w:line="360" w:lineRule="auto"/>
        <w:ind w:firstLine="560"/>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color w:val="auto"/>
          <w:kern w:val="0"/>
          <w:sz w:val="24"/>
          <w:szCs w:val="24"/>
          <w:highlight w:val="none"/>
        </w:rPr>
        <w:t>由他人原因造成的缺陷，发包人负责组织维修，承包人不承担费用，且发包人不得从质量保证中扣除费用。</w:t>
      </w:r>
    </w:p>
    <w:p w14:paraId="7F18C339">
      <w:pPr>
        <w:keepNext w:val="0"/>
        <w:keepLines w:val="0"/>
        <w:pageBreakBefore w:val="0"/>
        <w:widowControl w:val="0"/>
        <w:kinsoku/>
        <w:wordWrap/>
        <w:overflowPunct/>
        <w:topLinePunct w:val="0"/>
        <w:bidi w:val="0"/>
        <w:snapToGrid w:val="0"/>
        <w:spacing w:line="360" w:lineRule="auto"/>
        <w:ind w:firstLine="560"/>
        <w:textAlignment w:val="baseline"/>
        <w:rPr>
          <w:rStyle w:val="49"/>
          <w:rFonts w:hint="eastAsia" w:ascii="宋体" w:hAnsi="宋体" w:eastAsia="宋体" w:cs="宋体"/>
          <w:b/>
          <w:bCs/>
          <w:color w:val="auto"/>
          <w:kern w:val="0"/>
          <w:sz w:val="24"/>
          <w:szCs w:val="24"/>
          <w:highlight w:val="none"/>
        </w:rPr>
      </w:pPr>
      <w:r>
        <w:rPr>
          <w:rStyle w:val="49"/>
          <w:rFonts w:hint="eastAsia" w:ascii="宋体" w:hAnsi="宋体" w:eastAsia="宋体" w:cs="宋体"/>
          <w:b/>
          <w:bCs/>
          <w:color w:val="auto"/>
          <w:kern w:val="0"/>
          <w:sz w:val="24"/>
          <w:szCs w:val="24"/>
          <w:highlight w:val="none"/>
          <w:lang w:val="en-US" w:eastAsia="zh-CN"/>
        </w:rPr>
        <w:t>11</w:t>
      </w:r>
      <w:r>
        <w:rPr>
          <w:rStyle w:val="49"/>
          <w:rFonts w:hint="eastAsia" w:ascii="宋体" w:hAnsi="宋体" w:eastAsia="宋体" w:cs="宋体"/>
          <w:b/>
          <w:bCs/>
          <w:color w:val="auto"/>
          <w:kern w:val="0"/>
          <w:sz w:val="24"/>
          <w:szCs w:val="24"/>
          <w:highlight w:val="none"/>
        </w:rPr>
        <w:t>.4</w:t>
      </w:r>
      <w:r>
        <w:rPr>
          <w:rStyle w:val="49"/>
          <w:rFonts w:hint="eastAsia" w:ascii="宋体" w:hAnsi="宋体" w:eastAsia="宋体" w:cs="宋体"/>
          <w:color w:val="auto"/>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7C0FEC34">
      <w:pPr>
        <w:keepNext w:val="0"/>
        <w:keepLines w:val="0"/>
        <w:pageBreakBefore w:val="0"/>
        <w:widowControl w:val="0"/>
        <w:kinsoku/>
        <w:wordWrap/>
        <w:overflowPunct/>
        <w:topLinePunct w:val="0"/>
        <w:bidi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8" w:name="_Toc22137"/>
      <w:r>
        <w:rPr>
          <w:rFonts w:hint="eastAsia" w:ascii="宋体" w:hAnsi="宋体" w:eastAsia="宋体" w:cs="宋体"/>
          <w:b/>
          <w:bCs/>
          <w:color w:val="auto"/>
          <w:spacing w:val="-11"/>
          <w:sz w:val="24"/>
          <w:szCs w:val="24"/>
          <w:highlight w:val="none"/>
          <w:lang w:val="en-US" w:eastAsia="zh-CN"/>
        </w:rPr>
        <w:t>12.不良行为处理</w:t>
      </w:r>
      <w:bookmarkEnd w:id="208"/>
    </w:p>
    <w:p w14:paraId="78E3ACC1">
      <w:pPr>
        <w:pStyle w:val="53"/>
        <w:keepNext w:val="0"/>
        <w:keepLines w:val="0"/>
        <w:pageBreakBefore w:val="0"/>
        <w:widowControl w:val="0"/>
        <w:kinsoku/>
        <w:wordWrap/>
        <w:overflowPunct/>
        <w:topLinePunct w:val="0"/>
        <w:bidi w:val="0"/>
        <w:snapToGrid w:val="0"/>
        <w:spacing w:line="360" w:lineRule="auto"/>
        <w:ind w:firstLine="480" w:firstLineChars="200"/>
        <w:jc w:val="left"/>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color w:val="auto"/>
          <w:kern w:val="0"/>
          <w:sz w:val="24"/>
          <w:szCs w:val="24"/>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586697AB">
      <w:pPr>
        <w:pStyle w:val="53"/>
        <w:keepNext w:val="0"/>
        <w:keepLines w:val="0"/>
        <w:pageBreakBefore w:val="0"/>
        <w:widowControl w:val="0"/>
        <w:kinsoku/>
        <w:wordWrap/>
        <w:overflowPunct/>
        <w:topLinePunct w:val="0"/>
        <w:bidi w:val="0"/>
        <w:snapToGrid w:val="0"/>
        <w:spacing w:line="360" w:lineRule="auto"/>
        <w:ind w:firstLine="480" w:firstLineChars="200"/>
        <w:jc w:val="left"/>
        <w:textAlignment w:val="baseline"/>
        <w:rPr>
          <w:rStyle w:val="49"/>
          <w:rFonts w:hint="eastAsia" w:ascii="宋体" w:hAnsi="宋体" w:eastAsia="宋体" w:cs="宋体"/>
          <w:color w:val="auto"/>
          <w:kern w:val="0"/>
          <w:sz w:val="24"/>
          <w:szCs w:val="24"/>
          <w:highlight w:val="none"/>
        </w:rPr>
      </w:pPr>
      <w:bookmarkStart w:id="209" w:name="_Toc3225"/>
      <w:r>
        <w:rPr>
          <w:rStyle w:val="49"/>
          <w:rFonts w:hint="eastAsia" w:ascii="宋体" w:hAnsi="宋体" w:eastAsia="宋体" w:cs="宋体"/>
          <w:color w:val="auto"/>
          <w:kern w:val="0"/>
          <w:sz w:val="24"/>
          <w:szCs w:val="24"/>
          <w:highlight w:val="none"/>
        </w:rPr>
        <w:t>（1）转包、违法分包或违反投标承诺分包工程的；</w:t>
      </w:r>
      <w:bookmarkEnd w:id="209"/>
    </w:p>
    <w:p w14:paraId="1A9C58E1">
      <w:pPr>
        <w:pStyle w:val="53"/>
        <w:keepNext w:val="0"/>
        <w:keepLines w:val="0"/>
        <w:pageBreakBefore w:val="0"/>
        <w:widowControl w:val="0"/>
        <w:kinsoku/>
        <w:wordWrap/>
        <w:overflowPunct/>
        <w:topLinePunct w:val="0"/>
        <w:bidi w:val="0"/>
        <w:snapToGrid w:val="0"/>
        <w:spacing w:line="360" w:lineRule="auto"/>
        <w:ind w:firstLine="480" w:firstLineChars="200"/>
        <w:jc w:val="left"/>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color w:val="auto"/>
          <w:kern w:val="0"/>
          <w:sz w:val="24"/>
          <w:szCs w:val="24"/>
          <w:highlight w:val="none"/>
        </w:rPr>
        <w:t>（2）非原参加投标中标的项目经理负责组织施工或在实施过程中擅自更换项目经理的、项目的其他主要管理人员与中标文件确定的人员不相符的；</w:t>
      </w:r>
    </w:p>
    <w:p w14:paraId="2D8D422B">
      <w:pPr>
        <w:pStyle w:val="53"/>
        <w:keepNext w:val="0"/>
        <w:keepLines w:val="0"/>
        <w:pageBreakBefore w:val="0"/>
        <w:widowControl w:val="0"/>
        <w:kinsoku/>
        <w:wordWrap/>
        <w:overflowPunct/>
        <w:topLinePunct w:val="0"/>
        <w:bidi w:val="0"/>
        <w:snapToGrid w:val="0"/>
        <w:spacing w:line="360" w:lineRule="auto"/>
        <w:ind w:firstLine="480" w:firstLineChars="200"/>
        <w:jc w:val="left"/>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color w:val="auto"/>
          <w:kern w:val="0"/>
          <w:sz w:val="24"/>
          <w:szCs w:val="24"/>
          <w:highlight w:val="none"/>
        </w:rPr>
        <w:t>（3）投标文件确定的大型机械设备没有进入施工现场的；</w:t>
      </w:r>
    </w:p>
    <w:p w14:paraId="53C54715">
      <w:pPr>
        <w:pStyle w:val="53"/>
        <w:keepNext w:val="0"/>
        <w:keepLines w:val="0"/>
        <w:pageBreakBefore w:val="0"/>
        <w:widowControl w:val="0"/>
        <w:kinsoku/>
        <w:wordWrap/>
        <w:overflowPunct/>
        <w:topLinePunct w:val="0"/>
        <w:bidi w:val="0"/>
        <w:snapToGrid w:val="0"/>
        <w:spacing w:line="360" w:lineRule="auto"/>
        <w:ind w:firstLine="480" w:firstLineChars="200"/>
        <w:jc w:val="left"/>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color w:val="auto"/>
          <w:kern w:val="0"/>
          <w:sz w:val="24"/>
          <w:szCs w:val="24"/>
          <w:highlight w:val="none"/>
        </w:rPr>
        <w:t>（4）与建设单位、监理单位串通，签认虚假工程量或工程造价的；</w:t>
      </w:r>
    </w:p>
    <w:p w14:paraId="2BEAE447">
      <w:pPr>
        <w:pStyle w:val="53"/>
        <w:keepNext w:val="0"/>
        <w:keepLines w:val="0"/>
        <w:pageBreakBefore w:val="0"/>
        <w:widowControl w:val="0"/>
        <w:kinsoku/>
        <w:wordWrap/>
        <w:overflowPunct/>
        <w:topLinePunct w:val="0"/>
        <w:bidi w:val="0"/>
        <w:snapToGrid w:val="0"/>
        <w:spacing w:line="360" w:lineRule="auto"/>
        <w:ind w:firstLine="480" w:firstLineChars="200"/>
        <w:jc w:val="left"/>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color w:val="auto"/>
          <w:kern w:val="0"/>
          <w:sz w:val="24"/>
          <w:szCs w:val="24"/>
          <w:highlight w:val="none"/>
        </w:rPr>
        <w:t>（5）项目经理施工现场管理不到位的；</w:t>
      </w:r>
    </w:p>
    <w:p w14:paraId="173C6611">
      <w:pPr>
        <w:pStyle w:val="53"/>
        <w:keepNext w:val="0"/>
        <w:keepLines w:val="0"/>
        <w:pageBreakBefore w:val="0"/>
        <w:widowControl w:val="0"/>
        <w:kinsoku/>
        <w:wordWrap/>
        <w:overflowPunct/>
        <w:topLinePunct w:val="0"/>
        <w:bidi w:val="0"/>
        <w:snapToGrid w:val="0"/>
        <w:spacing w:line="360" w:lineRule="auto"/>
        <w:ind w:firstLine="480" w:firstLineChars="200"/>
        <w:jc w:val="left"/>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color w:val="auto"/>
          <w:kern w:val="0"/>
          <w:sz w:val="24"/>
          <w:szCs w:val="24"/>
          <w:highlight w:val="none"/>
        </w:rPr>
        <w:t>（6）项目经理在非本人资格证书注册单位从事工程项目施工管理的；</w:t>
      </w:r>
    </w:p>
    <w:p w14:paraId="0E5B61CF">
      <w:pPr>
        <w:pStyle w:val="53"/>
        <w:keepNext w:val="0"/>
        <w:keepLines w:val="0"/>
        <w:pageBreakBefore w:val="0"/>
        <w:widowControl w:val="0"/>
        <w:kinsoku/>
        <w:wordWrap/>
        <w:overflowPunct/>
        <w:topLinePunct w:val="0"/>
        <w:bidi w:val="0"/>
        <w:snapToGrid w:val="0"/>
        <w:spacing w:line="360" w:lineRule="auto"/>
        <w:ind w:firstLine="480" w:firstLineChars="200"/>
        <w:jc w:val="left"/>
        <w:textAlignment w:val="baseline"/>
        <w:rPr>
          <w:rStyle w:val="49"/>
          <w:rFonts w:hint="eastAsia" w:ascii="宋体" w:hAnsi="宋体" w:eastAsia="宋体" w:cs="宋体"/>
          <w:color w:val="auto"/>
          <w:kern w:val="0"/>
          <w:sz w:val="24"/>
          <w:szCs w:val="24"/>
          <w:highlight w:val="none"/>
        </w:rPr>
      </w:pPr>
      <w:r>
        <w:rPr>
          <w:rStyle w:val="49"/>
          <w:rFonts w:hint="eastAsia" w:ascii="宋体" w:hAnsi="宋体" w:eastAsia="宋体" w:cs="宋体"/>
          <w:color w:val="auto"/>
          <w:kern w:val="0"/>
          <w:sz w:val="24"/>
          <w:szCs w:val="24"/>
          <w:highlight w:val="none"/>
        </w:rPr>
        <w:t>（7）项目经理同时承担超过一项工程项目的；</w:t>
      </w:r>
    </w:p>
    <w:p w14:paraId="0BD83746">
      <w:pPr>
        <w:pStyle w:val="53"/>
        <w:keepNext w:val="0"/>
        <w:keepLines w:val="0"/>
        <w:pageBreakBefore w:val="0"/>
        <w:widowControl w:val="0"/>
        <w:kinsoku/>
        <w:wordWrap/>
        <w:overflowPunct/>
        <w:topLinePunct w:val="0"/>
        <w:bidi w:val="0"/>
        <w:snapToGrid w:val="0"/>
        <w:spacing w:line="360" w:lineRule="auto"/>
        <w:ind w:firstLine="480" w:firstLineChars="200"/>
        <w:jc w:val="left"/>
        <w:textAlignment w:val="baseline"/>
        <w:rPr>
          <w:rStyle w:val="49"/>
          <w:rFonts w:hint="eastAsia" w:ascii="宋体" w:hAnsi="宋体" w:eastAsia="宋体" w:cs="宋体"/>
          <w:b/>
          <w:bCs/>
          <w:color w:val="auto"/>
          <w:kern w:val="0"/>
          <w:sz w:val="24"/>
          <w:szCs w:val="24"/>
          <w:highlight w:val="none"/>
        </w:rPr>
      </w:pPr>
      <w:r>
        <w:rPr>
          <w:rStyle w:val="49"/>
          <w:rFonts w:hint="eastAsia" w:ascii="宋体" w:hAnsi="宋体" w:eastAsia="宋体" w:cs="宋体"/>
          <w:color w:val="auto"/>
          <w:kern w:val="0"/>
          <w:sz w:val="24"/>
          <w:szCs w:val="24"/>
          <w:highlight w:val="none"/>
        </w:rPr>
        <w:t>（8）违反有关法律、法规、规章规定的其它行为。</w:t>
      </w:r>
    </w:p>
    <w:p w14:paraId="590CD6A6">
      <w:pPr>
        <w:keepNext w:val="0"/>
        <w:keepLines w:val="0"/>
        <w:pageBreakBefore w:val="0"/>
        <w:widowControl w:val="0"/>
        <w:kinsoku/>
        <w:wordWrap/>
        <w:overflowPunct/>
        <w:topLinePunct w:val="0"/>
        <w:bidi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10" w:name="_Toc11310"/>
      <w:r>
        <w:rPr>
          <w:rFonts w:hint="eastAsia" w:ascii="宋体" w:hAnsi="宋体" w:eastAsia="宋体" w:cs="宋体"/>
          <w:b/>
          <w:bCs/>
          <w:color w:val="auto"/>
          <w:spacing w:val="-11"/>
          <w:sz w:val="24"/>
          <w:szCs w:val="24"/>
          <w:highlight w:val="none"/>
          <w:lang w:val="en-US" w:eastAsia="zh-CN"/>
        </w:rPr>
        <w:t>13.信用评价条款内容</w:t>
      </w:r>
      <w:bookmarkEnd w:id="210"/>
    </w:p>
    <w:p w14:paraId="13FEAC6B">
      <w:pPr>
        <w:pStyle w:val="55"/>
        <w:keepNext w:val="0"/>
        <w:keepLines w:val="0"/>
        <w:pageBreakBefore w:val="0"/>
        <w:widowControl w:val="0"/>
        <w:kinsoku/>
        <w:wordWrap/>
        <w:overflowPunct/>
        <w:topLinePunct w:val="0"/>
        <w:bidi w:val="0"/>
        <w:snapToGrid w:val="0"/>
        <w:spacing w:line="360" w:lineRule="auto"/>
        <w:ind w:firstLine="560"/>
        <w:textAlignment w:val="baseline"/>
        <w:rPr>
          <w:rStyle w:val="49"/>
          <w:rFonts w:hint="eastAsia" w:ascii="宋体" w:hAnsi="宋体" w:eastAsia="宋体" w:cs="宋体"/>
          <w:b/>
          <w:bCs/>
          <w:color w:val="auto"/>
          <w:sz w:val="24"/>
          <w:szCs w:val="24"/>
          <w:highlight w:val="none"/>
        </w:rPr>
      </w:pPr>
      <w:r>
        <w:rPr>
          <w:rStyle w:val="49"/>
          <w:rFonts w:hint="eastAsia" w:ascii="宋体" w:hAnsi="宋体" w:eastAsia="宋体" w:cs="宋体"/>
          <w:color w:val="auto"/>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59463365">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11" w:name="_Toc24160"/>
      <w:r>
        <w:rPr>
          <w:rFonts w:hint="eastAsia" w:ascii="宋体" w:hAnsi="宋体" w:eastAsia="宋体" w:cs="宋体"/>
          <w:b/>
          <w:bCs/>
          <w:color w:val="auto"/>
          <w:spacing w:val="-11"/>
          <w:sz w:val="24"/>
          <w:szCs w:val="24"/>
          <w:highlight w:val="none"/>
          <w:lang w:val="en-US" w:eastAsia="zh-CN"/>
        </w:rPr>
        <w:t>14.其他事项</w:t>
      </w:r>
      <w:bookmarkEnd w:id="211"/>
    </w:p>
    <w:p w14:paraId="06DEBF62">
      <w:pPr>
        <w:pageBreakBefore w:val="0"/>
        <w:kinsoku/>
        <w:wordWrap/>
        <w:overflowPunct/>
        <w:bidi w:val="0"/>
        <w:snapToGrid w:val="0"/>
        <w:spacing w:line="360" w:lineRule="auto"/>
        <w:ind w:firstLine="560"/>
        <w:rPr>
          <w:rStyle w:val="49"/>
          <w:rFonts w:hint="eastAsia" w:ascii="宋体" w:hAnsi="宋体" w:eastAsia="宋体" w:cs="宋体"/>
          <w:b w:val="0"/>
          <w:bCs w:val="0"/>
          <w:color w:val="auto"/>
          <w:kern w:val="0"/>
          <w:sz w:val="24"/>
          <w:szCs w:val="24"/>
          <w:highlight w:val="none"/>
          <w:lang w:val="en-US" w:eastAsia="zh-CN"/>
        </w:rPr>
      </w:pPr>
      <w:bookmarkStart w:id="212" w:name="_Toc6606"/>
      <w:r>
        <w:rPr>
          <w:rStyle w:val="49"/>
          <w:rFonts w:hint="eastAsia" w:ascii="宋体" w:hAnsi="宋体" w:eastAsia="宋体" w:cs="宋体"/>
          <w:b/>
          <w:bCs/>
          <w:color w:val="auto"/>
          <w:kern w:val="0"/>
          <w:sz w:val="24"/>
          <w:szCs w:val="24"/>
          <w:highlight w:val="none"/>
          <w:lang w:val="en-US" w:eastAsia="zh-CN"/>
        </w:rPr>
        <w:t>14.1</w:t>
      </w:r>
      <w:r>
        <w:rPr>
          <w:rStyle w:val="49"/>
          <w:rFonts w:hint="eastAsia" w:ascii="宋体" w:hAnsi="宋体" w:eastAsia="宋体" w:cs="宋体"/>
          <w:b w:val="0"/>
          <w:bCs w:val="0"/>
          <w:color w:val="auto"/>
          <w:kern w:val="0"/>
          <w:sz w:val="24"/>
          <w:szCs w:val="24"/>
          <w:highlight w:val="none"/>
          <w:lang w:val="en-US" w:eastAsia="zh-CN"/>
        </w:rPr>
        <w:t>危险性较大的分部分项工程安全管理约定</w:t>
      </w:r>
      <w:bookmarkEnd w:id="212"/>
    </w:p>
    <w:p w14:paraId="2438AA34">
      <w:pPr>
        <w:pStyle w:val="37"/>
        <w:pageBreakBefore w:val="0"/>
        <w:kinsoku/>
        <w:wordWrap/>
        <w:overflowPunct/>
        <w:bidi w:val="0"/>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4CA69CD9">
      <w:pPr>
        <w:pStyle w:val="37"/>
        <w:pageBreakBefore w:val="0"/>
        <w:kinsoku/>
        <w:wordWrap/>
        <w:overflowPunct/>
        <w:bidi w:val="0"/>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广东省住房和城乡建设厅关于&lt;严格落实危险性较大的分部分项工程“六不施工”要求的通知&gt;》（粤安办〔2020〕151号）等有关危险性较大的分部分项工程的法规规定通知，履行建设工程安全生产管理职责。</w:t>
      </w:r>
    </w:p>
    <w:p w14:paraId="7070AC0C">
      <w:pPr>
        <w:pStyle w:val="37"/>
        <w:keepNext w:val="0"/>
        <w:keepLines w:val="0"/>
        <w:pageBreakBefore w:val="0"/>
        <w:widowControl w:val="0"/>
        <w:kinsoku/>
        <w:wordWrap/>
        <w:overflowPunct/>
        <w:topLinePunct w:val="0"/>
        <w:autoSpaceDE/>
        <w:autoSpaceDN/>
        <w:bidi w:val="0"/>
        <w:adjustRightInd w:val="0"/>
        <w:snapToGrid w:val="0"/>
        <w:spacing w:line="360" w:lineRule="auto"/>
        <w:ind w:firstLine="56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lang w:val="en-US" w:eastAsia="zh-CN"/>
        </w:rPr>
        <w:t xml:space="preserve"> </w:t>
      </w:r>
      <w:r>
        <w:rPr>
          <w:rFonts w:hint="eastAsia" w:ascii="宋体" w:hAnsi="宋体" w:eastAsia="宋体" w:cs="宋体"/>
          <w:color w:val="auto"/>
          <w:sz w:val="24"/>
          <w:szCs w:val="24"/>
          <w:highlight w:val="none"/>
          <w:shd w:val="clear" w:color="auto" w:fill="FFFFFF"/>
        </w:rPr>
        <w:t>中标人在工程实施过程中，按照国家、省、市的相关规定制定相关的专项安全施工方案（如高支模、基坑支护、沉井等），编制专项施工方案报监理人、招标人审批后方可开展专项工程的施工。</w:t>
      </w:r>
    </w:p>
    <w:p w14:paraId="6D2A5FCD">
      <w:pPr>
        <w:pStyle w:val="37"/>
        <w:pageBreakBefore w:val="0"/>
        <w:kinsoku/>
        <w:wordWrap/>
        <w:overflowPunct/>
        <w:bidi w:val="0"/>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 xml:space="preserve">3 </w:t>
      </w:r>
      <w:r>
        <w:rPr>
          <w:rFonts w:hint="eastAsia" w:ascii="宋体" w:hAnsi="宋体" w:eastAsia="宋体" w:cs="宋体"/>
          <w:color w:val="auto"/>
          <w:sz w:val="24"/>
          <w:szCs w:val="24"/>
          <w:highlight w:val="none"/>
          <w:shd w:val="clear" w:color="auto" w:fill="FFFFFF"/>
        </w:rPr>
        <w:t>中标人须按照《韶关市建筑垃圾管理条例》（2021年5月1日起施行），将弃土运至招标人指定的场所，否则招标人有权要求中标人无条件将弃土从违约弃土点运至招标人指定的场所并扣除违约金</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shd w:val="clear" w:color="auto" w:fill="FFFFFF"/>
          <w:lang w:val="en-US" w:eastAsia="zh-CN"/>
        </w:rPr>
        <w:t>1</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shd w:val="clear" w:color="auto" w:fill="FFFFFF"/>
        </w:rPr>
        <w:t>万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5247F26A">
      <w:pPr>
        <w:pStyle w:val="37"/>
        <w:pageBreakBefore w:val="0"/>
        <w:kinsoku/>
        <w:wordWrap/>
        <w:overflowPunct/>
        <w:bidi w:val="0"/>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 xml:space="preserve">.4 </w:t>
      </w:r>
      <w:r>
        <w:rPr>
          <w:rFonts w:hint="eastAsia" w:ascii="宋体" w:hAnsi="宋体" w:eastAsia="宋体" w:cs="宋体"/>
          <w:color w:val="auto"/>
          <w:sz w:val="24"/>
          <w:szCs w:val="24"/>
          <w:highlight w:val="none"/>
          <w:shd w:val="clear" w:color="auto" w:fill="FFFFFF"/>
        </w:rPr>
        <w:t>工程竣工验收后15日内，中标人应按城建档案馆的要求（质量、数量），将编制成册的施工档案资料（含声像档案和电子档案）提供给招标人、城建档案馆、住建管理局、管养单位及监理单位，并承担档案涉及的所有费用（制作标准和相关要求按城建档案馆的有关规定执行）。中标人提交符合城建档案馆要求的竣工资料经招标人确认签收后，即可办理工程结算手续。</w:t>
      </w:r>
    </w:p>
    <w:p w14:paraId="70286C68">
      <w:pPr>
        <w:spacing w:line="439" w:lineRule="auto"/>
        <w:ind w:firstLine="420"/>
        <w:rPr>
          <w:rFonts w:hint="eastAsia" w:ascii="宋体" w:hAnsi="宋体" w:eastAsia="宋体" w:cs="宋体"/>
          <w:snapToGrid/>
          <w:color w:val="auto"/>
          <w:kern w:val="2"/>
          <w:sz w:val="24"/>
          <w:szCs w:val="24"/>
          <w:highlight w:val="none"/>
          <w:shd w:val="clear" w:color="auto" w:fill="FFFFFF"/>
          <w:lang w:val="en-US" w:eastAsia="zh-CN" w:bidi="ar-SA"/>
        </w:rPr>
      </w:pPr>
      <w:r>
        <w:rPr>
          <w:rFonts w:hint="eastAsia" w:ascii="宋体" w:hAnsi="宋体" w:eastAsia="宋体" w:cs="宋体"/>
          <w:b/>
          <w:bCs/>
          <w:snapToGrid/>
          <w:color w:val="auto"/>
          <w:kern w:val="2"/>
          <w:sz w:val="24"/>
          <w:szCs w:val="24"/>
          <w:highlight w:val="none"/>
          <w:shd w:val="clear" w:color="auto" w:fill="FFFFFF"/>
          <w:lang w:val="en-US" w:eastAsia="zh-CN" w:bidi="ar-SA"/>
        </w:rPr>
        <w:t xml:space="preserve">14.5 </w:t>
      </w:r>
      <w:r>
        <w:rPr>
          <w:rFonts w:hint="eastAsia" w:ascii="宋体" w:hAnsi="宋体" w:eastAsia="宋体" w:cs="宋体"/>
          <w:snapToGrid/>
          <w:color w:val="auto"/>
          <w:kern w:val="2"/>
          <w:sz w:val="24"/>
          <w:szCs w:val="24"/>
          <w:highlight w:val="none"/>
          <w:shd w:val="clear" w:color="auto" w:fill="FFFFFF"/>
          <w:lang w:val="en-US" w:eastAsia="zh-CN" w:bidi="ar-SA"/>
        </w:rPr>
        <w:t>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330BC333">
      <w:pPr>
        <w:spacing w:line="439" w:lineRule="auto"/>
        <w:ind w:firstLine="482" w:firstLineChars="200"/>
        <w:rPr>
          <w:rFonts w:hint="eastAsia" w:ascii="宋体" w:hAnsi="宋体" w:eastAsia="宋体" w:cs="宋体"/>
          <w:snapToGrid/>
          <w:color w:val="auto"/>
          <w:kern w:val="2"/>
          <w:sz w:val="24"/>
          <w:szCs w:val="24"/>
          <w:highlight w:val="none"/>
          <w:shd w:val="clear" w:color="auto" w:fill="FFFFFF"/>
          <w:lang w:val="en-US" w:eastAsia="zh-CN" w:bidi="ar-SA"/>
        </w:rPr>
      </w:pPr>
      <w:r>
        <w:rPr>
          <w:rFonts w:hint="eastAsia" w:ascii="宋体" w:hAnsi="宋体" w:eastAsia="宋体" w:cs="宋体"/>
          <w:b/>
          <w:bCs/>
          <w:snapToGrid/>
          <w:color w:val="auto"/>
          <w:kern w:val="2"/>
          <w:sz w:val="24"/>
          <w:szCs w:val="24"/>
          <w:highlight w:val="none"/>
          <w:shd w:val="clear" w:color="auto" w:fill="FFFFFF"/>
          <w:lang w:val="en-US" w:eastAsia="zh-CN" w:bidi="ar-SA"/>
        </w:rPr>
        <w:t xml:space="preserve">14.6 </w:t>
      </w:r>
      <w:r>
        <w:rPr>
          <w:rFonts w:hint="eastAsia" w:ascii="宋体" w:hAnsi="宋体" w:eastAsia="宋体" w:cs="宋体"/>
          <w:snapToGrid/>
          <w:color w:val="auto"/>
          <w:kern w:val="2"/>
          <w:sz w:val="24"/>
          <w:szCs w:val="24"/>
          <w:highlight w:val="none"/>
          <w:shd w:val="clear" w:color="auto" w:fill="FFFFFF"/>
          <w:lang w:val="en-US" w:eastAsia="zh-CN" w:bidi="ar-SA"/>
        </w:rPr>
        <w:t>承包人中标后必须按规定及时缴交工人工资保证金、环保噪声排污费等。</w:t>
      </w:r>
    </w:p>
    <w:p w14:paraId="136AC0FA">
      <w:pPr>
        <w:spacing w:line="439" w:lineRule="auto"/>
        <w:ind w:firstLine="482" w:firstLineChars="200"/>
        <w:rPr>
          <w:rFonts w:hint="eastAsia" w:ascii="宋体" w:hAnsi="宋体" w:eastAsia="宋体" w:cs="宋体"/>
          <w:snapToGrid/>
          <w:color w:val="auto"/>
          <w:kern w:val="2"/>
          <w:sz w:val="24"/>
          <w:szCs w:val="24"/>
          <w:highlight w:val="none"/>
          <w:shd w:val="clear" w:color="auto" w:fill="FFFFFF"/>
          <w:lang w:val="en-US" w:eastAsia="zh-CN" w:bidi="ar-SA"/>
        </w:rPr>
      </w:pPr>
      <w:r>
        <w:rPr>
          <w:rFonts w:hint="eastAsia" w:ascii="宋体" w:hAnsi="宋体" w:eastAsia="宋体" w:cs="宋体"/>
          <w:b/>
          <w:bCs/>
          <w:snapToGrid/>
          <w:color w:val="auto"/>
          <w:kern w:val="2"/>
          <w:sz w:val="24"/>
          <w:szCs w:val="24"/>
          <w:highlight w:val="none"/>
          <w:shd w:val="clear" w:color="auto" w:fill="FFFFFF"/>
          <w:lang w:val="en-US" w:eastAsia="zh-CN" w:bidi="ar-SA"/>
        </w:rPr>
        <w:t>14.7</w:t>
      </w:r>
      <w:r>
        <w:rPr>
          <w:rFonts w:hint="eastAsia" w:ascii="宋体" w:hAnsi="宋体" w:eastAsia="宋体" w:cs="宋体"/>
          <w:snapToGrid/>
          <w:color w:val="auto"/>
          <w:kern w:val="2"/>
          <w:sz w:val="24"/>
          <w:szCs w:val="24"/>
          <w:highlight w:val="none"/>
          <w:shd w:val="clear" w:color="auto" w:fill="FFFFFF"/>
          <w:lang w:val="en-US" w:eastAsia="zh-CN" w:bidi="ar-SA"/>
        </w:rPr>
        <w:t xml:space="preserve"> 工程质量保修期按《中华人民共和国建筑法》《建设工程质量管理条例》等相关规定实施。</w:t>
      </w:r>
    </w:p>
    <w:p w14:paraId="42DF538B">
      <w:pPr>
        <w:spacing w:line="439" w:lineRule="auto"/>
        <w:ind w:firstLine="420"/>
        <w:rPr>
          <w:rFonts w:hint="eastAsia" w:ascii="宋体" w:hAnsi="宋体" w:eastAsia="宋体" w:cs="宋体"/>
          <w:snapToGrid/>
          <w:color w:val="auto"/>
          <w:kern w:val="2"/>
          <w:sz w:val="24"/>
          <w:szCs w:val="24"/>
          <w:highlight w:val="none"/>
          <w:shd w:val="clear" w:color="auto" w:fill="FFFFFF"/>
          <w:lang w:val="en-US" w:eastAsia="zh-CN" w:bidi="ar-SA"/>
        </w:rPr>
      </w:pPr>
      <w:r>
        <w:rPr>
          <w:rFonts w:hint="eastAsia" w:ascii="宋体" w:hAnsi="宋体" w:eastAsia="宋体" w:cs="宋体"/>
          <w:b/>
          <w:bCs/>
          <w:snapToGrid/>
          <w:color w:val="auto"/>
          <w:kern w:val="2"/>
          <w:sz w:val="24"/>
          <w:szCs w:val="24"/>
          <w:highlight w:val="none"/>
          <w:shd w:val="clear" w:color="auto" w:fill="FFFFFF"/>
          <w:lang w:val="en-US" w:eastAsia="zh-CN" w:bidi="ar-SA"/>
        </w:rPr>
        <w:t>14.8</w:t>
      </w:r>
      <w:r>
        <w:rPr>
          <w:rFonts w:hint="eastAsia" w:ascii="宋体" w:hAnsi="宋体" w:eastAsia="宋体" w:cs="宋体"/>
          <w:snapToGrid/>
          <w:color w:val="auto"/>
          <w:kern w:val="2"/>
          <w:sz w:val="24"/>
          <w:szCs w:val="24"/>
          <w:highlight w:val="none"/>
          <w:shd w:val="clear" w:color="auto" w:fill="FFFFFF"/>
          <w:lang w:val="en-US" w:eastAsia="zh-CN" w:bidi="ar-SA"/>
        </w:rPr>
        <w:t xml:space="preserve"> 如项目实施过程中发生了工程变更及工程签证，承包人需根据发包人发布的《工程变更管理办法》和《工程签证管理办法》完善工程变更签证相关程序。</w:t>
      </w:r>
    </w:p>
    <w:p w14:paraId="6AF605D6">
      <w:pPr>
        <w:spacing w:line="439" w:lineRule="auto"/>
        <w:ind w:firstLine="420"/>
        <w:rPr>
          <w:rFonts w:hint="eastAsia" w:ascii="宋体" w:hAnsi="宋体" w:eastAsia="宋体" w:cs="宋体"/>
          <w:snapToGrid/>
          <w:color w:val="auto"/>
          <w:kern w:val="2"/>
          <w:sz w:val="24"/>
          <w:szCs w:val="24"/>
          <w:highlight w:val="none"/>
          <w:shd w:val="clear" w:color="auto" w:fill="FFFFFF"/>
          <w:lang w:val="en-US" w:eastAsia="zh-CN" w:bidi="ar-SA"/>
        </w:rPr>
      </w:pPr>
      <w:r>
        <w:rPr>
          <w:rFonts w:hint="eastAsia" w:ascii="宋体" w:hAnsi="宋体" w:eastAsia="宋体" w:cs="宋体"/>
          <w:b/>
          <w:bCs/>
          <w:snapToGrid/>
          <w:color w:val="auto"/>
          <w:kern w:val="2"/>
          <w:sz w:val="24"/>
          <w:szCs w:val="24"/>
          <w:highlight w:val="none"/>
          <w:shd w:val="clear" w:color="auto" w:fill="FFFFFF"/>
          <w:lang w:val="en-US" w:eastAsia="zh-CN" w:bidi="ar-SA"/>
        </w:rPr>
        <w:t xml:space="preserve">14.9 </w:t>
      </w:r>
      <w:r>
        <w:rPr>
          <w:rFonts w:hint="eastAsia" w:ascii="宋体" w:hAnsi="宋体" w:eastAsia="宋体" w:cs="宋体"/>
          <w:snapToGrid/>
          <w:color w:val="auto"/>
          <w:kern w:val="2"/>
          <w:sz w:val="24"/>
          <w:szCs w:val="24"/>
          <w:highlight w:val="none"/>
          <w:shd w:val="clear" w:color="auto" w:fill="FFFFFF"/>
          <w:lang w:val="en-US" w:eastAsia="zh-CN" w:bidi="ar-SA"/>
        </w:rPr>
        <w:t>承包人需按相关规定要求，设置本工程符合相关要求的永久性标牌及规划公示牌，投标人在投标报价时综合考虑在报价内，发包人不另行支付该部分费用。</w:t>
      </w:r>
    </w:p>
    <w:p w14:paraId="0CE7340F">
      <w:pPr>
        <w:spacing w:line="439" w:lineRule="auto"/>
        <w:ind w:firstLine="420"/>
        <w:rPr>
          <w:rFonts w:hint="eastAsia" w:ascii="宋体" w:hAnsi="宋体" w:eastAsia="宋体" w:cs="宋体"/>
          <w:snapToGrid/>
          <w:color w:val="auto"/>
          <w:kern w:val="2"/>
          <w:sz w:val="24"/>
          <w:szCs w:val="24"/>
          <w:highlight w:val="none"/>
          <w:shd w:val="clear" w:color="auto" w:fill="FFFFFF"/>
          <w:lang w:val="en-US" w:eastAsia="zh-CN" w:bidi="ar-SA"/>
        </w:rPr>
      </w:pPr>
      <w:r>
        <w:rPr>
          <w:rFonts w:hint="eastAsia" w:ascii="宋体" w:hAnsi="宋体" w:eastAsia="宋体" w:cs="宋体"/>
          <w:b/>
          <w:bCs/>
          <w:snapToGrid/>
          <w:color w:val="auto"/>
          <w:kern w:val="2"/>
          <w:sz w:val="24"/>
          <w:szCs w:val="24"/>
          <w:highlight w:val="none"/>
          <w:shd w:val="clear" w:color="auto" w:fill="FFFFFF"/>
          <w:lang w:val="en-US" w:eastAsia="zh-CN" w:bidi="ar-SA"/>
        </w:rPr>
        <w:t>14.10</w:t>
      </w:r>
      <w:r>
        <w:rPr>
          <w:rFonts w:hint="eastAsia" w:ascii="宋体" w:hAnsi="宋体" w:eastAsia="宋体" w:cs="宋体"/>
          <w:snapToGrid/>
          <w:color w:val="auto"/>
          <w:kern w:val="2"/>
          <w:sz w:val="24"/>
          <w:szCs w:val="24"/>
          <w:highlight w:val="none"/>
          <w:shd w:val="clear" w:color="auto" w:fill="FFFFFF"/>
          <w:lang w:val="en-US" w:eastAsia="zh-CN" w:bidi="ar-SA"/>
        </w:rPr>
        <w:t xml:space="preserve"> 承包人应在项目所在地住建管理部门办理诚信登记，发包人将严格按住建管理部门诚信登记管理办法对承包人履约情况进行考核。</w:t>
      </w:r>
    </w:p>
    <w:p w14:paraId="5D2EA109">
      <w:pPr>
        <w:spacing w:line="439" w:lineRule="auto"/>
        <w:ind w:firstLine="420"/>
        <w:rPr>
          <w:rFonts w:hint="eastAsia" w:ascii="宋体" w:hAnsi="宋体" w:eastAsia="宋体" w:cs="宋体"/>
          <w:snapToGrid/>
          <w:color w:val="auto"/>
          <w:kern w:val="2"/>
          <w:sz w:val="24"/>
          <w:szCs w:val="24"/>
          <w:highlight w:val="none"/>
          <w:shd w:val="clear" w:color="auto" w:fill="FFFFFF"/>
          <w:lang w:val="en-US" w:eastAsia="zh-CN" w:bidi="ar-SA"/>
        </w:rPr>
      </w:pPr>
      <w:r>
        <w:rPr>
          <w:rFonts w:hint="eastAsia" w:ascii="宋体" w:hAnsi="宋体" w:eastAsia="宋体" w:cs="宋体"/>
          <w:b/>
          <w:bCs/>
          <w:snapToGrid/>
          <w:color w:val="auto"/>
          <w:kern w:val="2"/>
          <w:sz w:val="24"/>
          <w:szCs w:val="24"/>
          <w:highlight w:val="none"/>
          <w:shd w:val="clear" w:color="auto" w:fill="FFFFFF"/>
          <w:lang w:val="en-US" w:eastAsia="zh-CN" w:bidi="ar-SA"/>
        </w:rPr>
        <w:t>14.11</w:t>
      </w:r>
      <w:r>
        <w:rPr>
          <w:rFonts w:hint="eastAsia" w:ascii="宋体" w:hAnsi="宋体" w:eastAsia="宋体" w:cs="宋体"/>
          <w:snapToGrid/>
          <w:color w:val="auto"/>
          <w:kern w:val="2"/>
          <w:sz w:val="24"/>
          <w:szCs w:val="24"/>
          <w:highlight w:val="none"/>
          <w:shd w:val="clear" w:color="auto" w:fill="FFFFFF"/>
          <w:lang w:val="en-US" w:eastAsia="zh-CN" w:bidi="ar-SA"/>
        </w:rPr>
        <w:t xml:space="preserve"> 承包人应按韶关市住房和城乡建设管理局、韶关市人力资源和社会保障局等职能部门对用工实名制、工伤保险等相关规定,落实工人及相关软硬件设施要求。</w:t>
      </w:r>
    </w:p>
    <w:p w14:paraId="4C423E24">
      <w:pPr>
        <w:spacing w:line="439" w:lineRule="auto"/>
        <w:ind w:firstLine="420"/>
        <w:rPr>
          <w:rFonts w:hint="default" w:ascii="宋体" w:hAnsi="宋体" w:eastAsia="宋体" w:cs="宋体"/>
          <w:snapToGrid/>
          <w:color w:val="auto"/>
          <w:kern w:val="2"/>
          <w:sz w:val="24"/>
          <w:szCs w:val="24"/>
          <w:highlight w:val="none"/>
          <w:shd w:val="clear" w:color="auto" w:fill="FFFFFF"/>
          <w:lang w:val="en-US" w:eastAsia="zh-CN" w:bidi="ar-SA"/>
        </w:rPr>
      </w:pPr>
      <w:r>
        <w:rPr>
          <w:rFonts w:hint="eastAsia" w:ascii="宋体" w:hAnsi="宋体" w:eastAsia="宋体" w:cs="宋体"/>
          <w:b/>
          <w:bCs/>
          <w:snapToGrid/>
          <w:color w:val="auto"/>
          <w:kern w:val="2"/>
          <w:sz w:val="24"/>
          <w:szCs w:val="24"/>
          <w:highlight w:val="none"/>
          <w:shd w:val="clear" w:color="auto" w:fill="FFFFFF"/>
          <w:lang w:val="en-US" w:eastAsia="zh-CN" w:bidi="ar-SA"/>
        </w:rPr>
        <w:t xml:space="preserve">14.12 </w:t>
      </w:r>
      <w:r>
        <w:rPr>
          <w:rFonts w:hint="eastAsia" w:ascii="宋体" w:hAnsi="宋体" w:eastAsia="宋体" w:cs="宋体"/>
          <w:snapToGrid/>
          <w:color w:val="auto"/>
          <w:kern w:val="2"/>
          <w:sz w:val="24"/>
          <w:szCs w:val="24"/>
          <w:highlight w:val="none"/>
          <w:shd w:val="clear" w:color="auto" w:fill="FFFFFF"/>
          <w:lang w:val="en-US" w:eastAsia="zh-CN" w:bidi="ar-SA"/>
        </w:rPr>
        <w:t>现场的施工范围和施工内容以实际施工需要为准。</w:t>
      </w:r>
    </w:p>
    <w:p w14:paraId="22A28A70">
      <w:pPr>
        <w:adjustRightInd w:val="0"/>
        <w:snapToGrid w:val="0"/>
        <w:spacing w:line="440" w:lineRule="exact"/>
        <w:ind w:firstLine="482" w:firstLineChars="200"/>
        <w:outlineLvl w:val="2"/>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15.其他合同条款由招标人与中标人自行协商约定</w:t>
      </w:r>
    </w:p>
    <w:p w14:paraId="2DE2090E">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page"/>
      </w:r>
    </w:p>
    <w:p w14:paraId="7FCFD948">
      <w:pPr>
        <w:pageBreakBefore w:val="0"/>
        <w:kinsoku/>
        <w:wordWrap/>
        <w:overflowPunct/>
        <w:bidi w:val="0"/>
        <w:rPr>
          <w:rFonts w:hint="eastAsia" w:ascii="宋体" w:hAnsi="宋体" w:eastAsia="宋体" w:cs="宋体"/>
          <w:color w:val="auto"/>
          <w:highlight w:val="none"/>
          <w:lang w:val="en-US" w:eastAsia="zh-CN"/>
        </w:rPr>
      </w:pPr>
    </w:p>
    <w:p w14:paraId="53B52D89">
      <w:pPr>
        <w:pStyle w:val="2"/>
        <w:pageBreakBefore w:val="0"/>
        <w:tabs>
          <w:tab w:val="left" w:pos="885"/>
        </w:tabs>
        <w:kinsoku/>
        <w:wordWrap/>
        <w:overflowPunct/>
        <w:autoSpaceDE/>
        <w:autoSpaceDN/>
        <w:bidi w:val="0"/>
        <w:snapToGrid w:val="0"/>
        <w:spacing w:line="360" w:lineRule="auto"/>
        <w:ind w:left="885" w:hanging="885"/>
        <w:jc w:val="center"/>
        <w:rPr>
          <w:rFonts w:hint="eastAsia" w:ascii="宋体" w:hAnsi="宋体" w:eastAsia="宋体" w:cs="宋体"/>
          <w:b/>
          <w:snapToGrid w:val="0"/>
          <w:color w:val="auto"/>
          <w:kern w:val="0"/>
          <w:highlight w:val="none"/>
        </w:rPr>
      </w:pPr>
      <w:bookmarkStart w:id="213" w:name="_Toc20941"/>
      <w:bookmarkStart w:id="214" w:name="_Toc10521"/>
      <w:r>
        <w:rPr>
          <w:rFonts w:hint="eastAsia" w:ascii="宋体" w:hAnsi="宋体" w:eastAsia="宋体" w:cs="宋体"/>
          <w:b/>
          <w:snapToGrid w:val="0"/>
          <w:color w:val="auto"/>
          <w:sz w:val="24"/>
          <w:highlight w:val="none"/>
        </w:rPr>
        <w:t>第四章</w:t>
      </w:r>
      <w:bookmarkStart w:id="215" w:name="_Hlt87793853"/>
      <w:bookmarkEnd w:id="215"/>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技术要求</w:t>
      </w:r>
      <w:bookmarkEnd w:id="213"/>
      <w:bookmarkEnd w:id="214"/>
      <w:bookmarkStart w:id="216" w:name="_Hlt87793370"/>
      <w:bookmarkEnd w:id="216"/>
      <w:bookmarkStart w:id="217" w:name="_Hlt69265216"/>
      <w:bookmarkEnd w:id="217"/>
      <w:bookmarkStart w:id="218" w:name="_Hlt66104926"/>
      <w:bookmarkEnd w:id="218"/>
      <w:bookmarkStart w:id="219" w:name="_Hlt69116854"/>
      <w:bookmarkEnd w:id="219"/>
      <w:bookmarkStart w:id="220" w:name="_Hlt68774758"/>
      <w:bookmarkEnd w:id="220"/>
      <w:bookmarkStart w:id="221" w:name="_Hlt80411122"/>
      <w:bookmarkEnd w:id="221"/>
      <w:bookmarkStart w:id="222" w:name="_Hlt69359335"/>
      <w:bookmarkEnd w:id="222"/>
      <w:bookmarkStart w:id="223" w:name="_Hlt87793346"/>
      <w:bookmarkEnd w:id="223"/>
      <w:bookmarkStart w:id="224" w:name="_Hlt69357851"/>
      <w:bookmarkEnd w:id="224"/>
      <w:bookmarkStart w:id="225" w:name="_Hlt75685840"/>
      <w:bookmarkEnd w:id="225"/>
      <w:bookmarkStart w:id="226" w:name="_Hlt69358207"/>
      <w:bookmarkEnd w:id="226"/>
    </w:p>
    <w:p w14:paraId="734D1832">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27" w:name="_Toc17047"/>
      <w:bookmarkStart w:id="228" w:name="_Toc27517"/>
      <w:r>
        <w:rPr>
          <w:rFonts w:hint="eastAsia" w:ascii="宋体" w:hAnsi="宋体" w:eastAsia="宋体" w:cs="宋体"/>
          <w:b/>
          <w:bCs/>
          <w:color w:val="auto"/>
          <w:spacing w:val="-11"/>
          <w:sz w:val="24"/>
          <w:szCs w:val="24"/>
          <w:highlight w:val="none"/>
          <w:lang w:val="en-US" w:eastAsia="zh-CN"/>
        </w:rPr>
        <w:t>1.房屋建筑工程建设项目</w:t>
      </w:r>
      <w:bookmarkEnd w:id="227"/>
      <w:bookmarkEnd w:id="228"/>
    </w:p>
    <w:p w14:paraId="218F8398">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bookmarkStart w:id="229" w:name="_Hlt69359243"/>
      <w:bookmarkEnd w:id="229"/>
      <w:bookmarkStart w:id="230" w:name="_Hlt69116858"/>
      <w:bookmarkEnd w:id="230"/>
      <w:bookmarkStart w:id="231" w:name="_Hlt69359245"/>
      <w:bookmarkEnd w:id="231"/>
      <w:bookmarkStart w:id="232" w:name="_Hlt78709799"/>
      <w:bookmarkEnd w:id="232"/>
      <w:bookmarkStart w:id="233" w:name="_Hlt69635252"/>
      <w:bookmarkEnd w:id="233"/>
      <w:bookmarkStart w:id="234" w:name="_Hlt69358458"/>
      <w:bookmarkEnd w:id="234"/>
      <w:bookmarkStart w:id="235" w:name="_Hlt69359086"/>
      <w:bookmarkEnd w:id="235"/>
      <w:r>
        <w:rPr>
          <w:rFonts w:hint="eastAsia" w:ascii="宋体" w:hAnsi="宋体" w:eastAsia="宋体" w:cs="宋体"/>
          <w:bCs/>
          <w:snapToGrid w:val="0"/>
          <w:color w:val="auto"/>
          <w:kern w:val="0"/>
          <w:sz w:val="24"/>
          <w:szCs w:val="24"/>
          <w:highlight w:val="none"/>
        </w:rPr>
        <w:t>房屋建筑工程建设项目必须执行的现行技术规范，包括且不限于：</w:t>
      </w:r>
    </w:p>
    <w:p w14:paraId="4E5A4EB3">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（1）《建筑工程施工质量验收统一标准》；</w:t>
      </w:r>
    </w:p>
    <w:p w14:paraId="51C32296">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（2）《建筑地基基础工程施工质量验收规范》；</w:t>
      </w:r>
    </w:p>
    <w:p w14:paraId="35B95C09">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（3）《砌体工程施工质量验收规范》；</w:t>
      </w:r>
    </w:p>
    <w:p w14:paraId="43D00813">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（4）《混凝土结构工程施工质量验收规范》；</w:t>
      </w:r>
    </w:p>
    <w:p w14:paraId="6C4C169B">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（5）《屋面工程质量验收规范》；</w:t>
      </w:r>
    </w:p>
    <w:p w14:paraId="6612E9C8">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（6）《地下防水工程质量验收规范》；</w:t>
      </w:r>
    </w:p>
    <w:p w14:paraId="070A69D2">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（7）《建筑地面工程施工质量验收规范》；</w:t>
      </w:r>
    </w:p>
    <w:p w14:paraId="18D78826">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（8）《建筑装饰装修工程施工质量验收规范》；</w:t>
      </w:r>
    </w:p>
    <w:p w14:paraId="5AA4B157">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（9）《建筑给排水及采暖工程施工质量验收规范》；</w:t>
      </w:r>
    </w:p>
    <w:p w14:paraId="2A65A6B4">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（10）《建筑电气工程施工质量验收规范》；</w:t>
      </w:r>
    </w:p>
    <w:p w14:paraId="6DBB2AD6">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（11）《住建部绿色建筑评价标准》；</w:t>
      </w:r>
    </w:p>
    <w:p w14:paraId="3DA12AF9">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（12）《建筑节能与可再生能源利用通用规范》（GB55015-2021）；</w:t>
      </w:r>
    </w:p>
    <w:p w14:paraId="398E5EF3">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36" w:name="_Toc2709"/>
      <w:r>
        <w:rPr>
          <w:rFonts w:hint="eastAsia" w:ascii="宋体" w:hAnsi="宋体" w:eastAsia="宋体" w:cs="宋体"/>
          <w:bCs/>
          <w:snapToGrid w:val="0"/>
          <w:color w:val="auto"/>
          <w:kern w:val="0"/>
          <w:sz w:val="24"/>
          <w:szCs w:val="24"/>
          <w:highlight w:val="none"/>
          <w:lang w:val="en-US" w:eastAsia="zh-CN"/>
        </w:rPr>
        <w:t>（13）《建筑环境通用规范》；</w:t>
      </w:r>
      <w:bookmarkEnd w:id="236"/>
    </w:p>
    <w:p w14:paraId="031802A8">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（14）《建筑与市政工程无障碍通用规范》 GB 55019-2021；</w:t>
      </w:r>
    </w:p>
    <w:p w14:paraId="3D946755">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37" w:name="_Toc11217"/>
      <w:r>
        <w:rPr>
          <w:rFonts w:hint="eastAsia" w:ascii="宋体" w:hAnsi="宋体" w:eastAsia="宋体" w:cs="宋体"/>
          <w:bCs/>
          <w:snapToGrid w:val="0"/>
          <w:color w:val="auto"/>
          <w:kern w:val="0"/>
          <w:sz w:val="24"/>
          <w:szCs w:val="24"/>
          <w:highlight w:val="none"/>
          <w:lang w:val="en-US" w:eastAsia="zh-CN"/>
        </w:rPr>
        <w:t>（15）《建筑防火通用规范》GB 55037-2022；</w:t>
      </w:r>
      <w:bookmarkEnd w:id="237"/>
    </w:p>
    <w:p w14:paraId="2947DFF5">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（16）《建筑与市政工程抗震通用规范》GB55002-2001；</w:t>
      </w:r>
    </w:p>
    <w:p w14:paraId="46BF576B">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（17）《建筑与市政地基基础通用规范》GB55003-2001；</w:t>
      </w:r>
    </w:p>
    <w:p w14:paraId="098A9110">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（18）《广东省住房和城乡建设厅绿色施工导则》；</w:t>
      </w:r>
    </w:p>
    <w:p w14:paraId="1DDCA89D">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（19）《广东省建筑工程绿色施工评价标准》；</w:t>
      </w:r>
    </w:p>
    <w:p w14:paraId="663B1A03">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（20）《广东省建筑节能与绿色建筑工程施工质量验收规范》；</w:t>
      </w:r>
    </w:p>
    <w:p w14:paraId="4804FA75">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（21）其他现行国家、广东省关于房建工程的施工及验收规范、定额、规程、标准。</w:t>
      </w:r>
    </w:p>
    <w:p w14:paraId="59DEDCF1">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38" w:name="_Toc30825"/>
      <w:bookmarkStart w:id="239" w:name="_Toc6102"/>
      <w:r>
        <w:rPr>
          <w:rFonts w:hint="eastAsia" w:ascii="宋体" w:hAnsi="宋体" w:eastAsia="宋体" w:cs="宋体"/>
          <w:b/>
          <w:bCs/>
          <w:color w:val="auto"/>
          <w:spacing w:val="-11"/>
          <w:sz w:val="24"/>
          <w:szCs w:val="24"/>
          <w:highlight w:val="none"/>
          <w:lang w:val="en-US" w:eastAsia="zh-CN"/>
        </w:rPr>
        <w:t>2.市政基础设施工程建设项目</w:t>
      </w:r>
      <w:bookmarkEnd w:id="238"/>
      <w:bookmarkEnd w:id="239"/>
    </w:p>
    <w:p w14:paraId="2CEB27A3">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市政基础设施工程建设项目必须执行的现行技术规范，包括且不限于：</w:t>
      </w:r>
    </w:p>
    <w:p w14:paraId="558C1C07">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（1）《公路路基施工技术规范》；</w:t>
      </w:r>
    </w:p>
    <w:p w14:paraId="482B8419">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（2）《市政道路工程质量检验评定标准》；</w:t>
      </w:r>
    </w:p>
    <w:p w14:paraId="524F1946">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（3）《市政排水管渠工程质量检验评定标准》；</w:t>
      </w:r>
    </w:p>
    <w:p w14:paraId="607991AD">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（4）《给水排水管道工程施工及验收规范》；</w:t>
      </w:r>
    </w:p>
    <w:p w14:paraId="52AF8649">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0" w:name="_Toc28136"/>
      <w:r>
        <w:rPr>
          <w:rFonts w:hint="eastAsia" w:ascii="宋体" w:hAnsi="宋体" w:eastAsia="宋体" w:cs="宋体"/>
          <w:bCs/>
          <w:snapToGrid w:val="0"/>
          <w:color w:val="auto"/>
          <w:kern w:val="0"/>
          <w:sz w:val="24"/>
          <w:szCs w:val="24"/>
          <w:highlight w:val="none"/>
          <w:lang w:val="en-US" w:eastAsia="zh-CN"/>
        </w:rPr>
        <w:t>（5）《城市道路路基工程施工及验收规范》；</w:t>
      </w:r>
      <w:bookmarkEnd w:id="240"/>
    </w:p>
    <w:p w14:paraId="25D57464">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1" w:name="_Toc30468"/>
      <w:r>
        <w:rPr>
          <w:rFonts w:hint="eastAsia" w:ascii="宋体" w:hAnsi="宋体" w:eastAsia="宋体" w:cs="宋体"/>
          <w:bCs/>
          <w:snapToGrid w:val="0"/>
          <w:color w:val="auto"/>
          <w:kern w:val="0"/>
          <w:sz w:val="24"/>
          <w:szCs w:val="24"/>
          <w:highlight w:val="none"/>
          <w:lang w:val="en-US" w:eastAsia="zh-CN"/>
        </w:rPr>
        <w:t>（6）《水泥砼路面施工及验收规范》；</w:t>
      </w:r>
      <w:bookmarkEnd w:id="241"/>
      <w:bookmarkStart w:id="242" w:name="_Toc27799"/>
    </w:p>
    <w:p w14:paraId="74C68974">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（7）《公路水泥砼路面施工技术规范》；</w:t>
      </w:r>
      <w:bookmarkEnd w:id="242"/>
    </w:p>
    <w:p w14:paraId="19CC2514">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3" w:name="_Toc12308"/>
      <w:r>
        <w:rPr>
          <w:rFonts w:hint="eastAsia" w:ascii="宋体" w:hAnsi="宋体" w:eastAsia="宋体" w:cs="宋体"/>
          <w:bCs/>
          <w:snapToGrid w:val="0"/>
          <w:color w:val="auto"/>
          <w:kern w:val="0"/>
          <w:sz w:val="24"/>
          <w:szCs w:val="24"/>
          <w:highlight w:val="none"/>
          <w:lang w:val="en-US" w:eastAsia="zh-CN"/>
        </w:rPr>
        <w:t>（8）《埋地硬聚氯乙烯排水管道工程技术规程》；</w:t>
      </w:r>
      <w:bookmarkEnd w:id="243"/>
    </w:p>
    <w:p w14:paraId="34D4253E">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4" w:name="_Toc13357"/>
      <w:r>
        <w:rPr>
          <w:rFonts w:hint="eastAsia" w:ascii="宋体" w:hAnsi="宋体" w:eastAsia="宋体" w:cs="宋体"/>
          <w:bCs/>
          <w:snapToGrid w:val="0"/>
          <w:color w:val="auto"/>
          <w:kern w:val="0"/>
          <w:sz w:val="24"/>
          <w:szCs w:val="24"/>
          <w:highlight w:val="none"/>
          <w:lang w:val="en-US" w:eastAsia="zh-CN"/>
        </w:rPr>
        <w:t>（9）《沥青路面施工及验收规范》；</w:t>
      </w:r>
      <w:bookmarkEnd w:id="244"/>
    </w:p>
    <w:p w14:paraId="010FCBBB">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5" w:name="_Toc19104"/>
      <w:r>
        <w:rPr>
          <w:rFonts w:hint="eastAsia" w:ascii="宋体" w:hAnsi="宋体" w:eastAsia="宋体" w:cs="宋体"/>
          <w:bCs/>
          <w:snapToGrid w:val="0"/>
          <w:color w:val="auto"/>
          <w:kern w:val="0"/>
          <w:sz w:val="24"/>
          <w:szCs w:val="24"/>
          <w:highlight w:val="none"/>
          <w:lang w:val="en-US" w:eastAsia="zh-CN"/>
        </w:rPr>
        <w:t>（10）《广东省市政工程施工质量技术资料统一用表》。</w:t>
      </w:r>
      <w:bookmarkEnd w:id="245"/>
    </w:p>
    <w:p w14:paraId="6F64952B">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6" w:name="_Toc13247"/>
      <w:r>
        <w:rPr>
          <w:rFonts w:hint="eastAsia" w:ascii="宋体" w:hAnsi="宋体" w:eastAsia="宋体" w:cs="宋体"/>
          <w:bCs/>
          <w:snapToGrid w:val="0"/>
          <w:color w:val="auto"/>
          <w:kern w:val="0"/>
          <w:sz w:val="24"/>
          <w:szCs w:val="24"/>
          <w:highlight w:val="none"/>
          <w:lang w:val="en-US" w:eastAsia="zh-CN"/>
        </w:rPr>
        <w:t>（11）《建筑与市政工程无障碍通用规范》 GB 55019-2021；</w:t>
      </w:r>
      <w:bookmarkEnd w:id="246"/>
    </w:p>
    <w:p w14:paraId="1E71A5A7">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7" w:name="_Toc29931"/>
      <w:r>
        <w:rPr>
          <w:rFonts w:hint="eastAsia" w:ascii="宋体" w:hAnsi="宋体" w:eastAsia="宋体" w:cs="宋体"/>
          <w:bCs/>
          <w:snapToGrid w:val="0"/>
          <w:color w:val="auto"/>
          <w:kern w:val="0"/>
          <w:sz w:val="24"/>
          <w:szCs w:val="24"/>
          <w:highlight w:val="none"/>
          <w:lang w:val="en-US" w:eastAsia="zh-CN"/>
        </w:rPr>
        <w:t>（12）《建筑防火通用规范》GB 55037-2022</w:t>
      </w:r>
      <w:bookmarkEnd w:id="247"/>
      <w:r>
        <w:rPr>
          <w:rFonts w:hint="eastAsia" w:ascii="宋体" w:hAnsi="宋体" w:eastAsia="宋体" w:cs="宋体"/>
          <w:bCs/>
          <w:snapToGrid w:val="0"/>
          <w:color w:val="auto"/>
          <w:kern w:val="0"/>
          <w:sz w:val="24"/>
          <w:szCs w:val="24"/>
          <w:highlight w:val="none"/>
          <w:lang w:val="en-US" w:eastAsia="zh-CN"/>
        </w:rPr>
        <w:t>；</w:t>
      </w:r>
    </w:p>
    <w:p w14:paraId="0A32268F">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8" w:name="_Toc30206"/>
      <w:r>
        <w:rPr>
          <w:rFonts w:hint="eastAsia" w:ascii="宋体" w:hAnsi="宋体" w:eastAsia="宋体" w:cs="宋体"/>
          <w:bCs/>
          <w:snapToGrid w:val="0"/>
          <w:color w:val="auto"/>
          <w:kern w:val="0"/>
          <w:sz w:val="24"/>
          <w:szCs w:val="24"/>
          <w:highlight w:val="none"/>
          <w:lang w:val="en-US" w:eastAsia="zh-CN"/>
        </w:rPr>
        <w:t>（13）《建筑与市政工程抗震通用规范》GB55002-2001</w:t>
      </w:r>
      <w:bookmarkEnd w:id="248"/>
      <w:r>
        <w:rPr>
          <w:rFonts w:hint="eastAsia" w:ascii="宋体" w:hAnsi="宋体" w:eastAsia="宋体" w:cs="宋体"/>
          <w:bCs/>
          <w:snapToGrid w:val="0"/>
          <w:color w:val="auto"/>
          <w:kern w:val="0"/>
          <w:sz w:val="24"/>
          <w:szCs w:val="24"/>
          <w:highlight w:val="none"/>
          <w:lang w:val="en-US" w:eastAsia="zh-CN"/>
        </w:rPr>
        <w:t>；</w:t>
      </w:r>
    </w:p>
    <w:p w14:paraId="298D3072">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9" w:name="_Toc13940"/>
      <w:r>
        <w:rPr>
          <w:rFonts w:hint="eastAsia" w:ascii="宋体" w:hAnsi="宋体" w:eastAsia="宋体" w:cs="宋体"/>
          <w:bCs/>
          <w:snapToGrid w:val="0"/>
          <w:color w:val="auto"/>
          <w:kern w:val="0"/>
          <w:sz w:val="24"/>
          <w:szCs w:val="24"/>
          <w:highlight w:val="none"/>
          <w:lang w:val="en-US" w:eastAsia="zh-CN"/>
        </w:rPr>
        <w:t>（14）《建筑与市政地基基础通用规范》GB55003-200</w:t>
      </w:r>
      <w:bookmarkEnd w:id="249"/>
      <w:r>
        <w:rPr>
          <w:rFonts w:hint="eastAsia" w:ascii="宋体" w:hAnsi="宋体" w:eastAsia="宋体" w:cs="宋体"/>
          <w:bCs/>
          <w:snapToGrid w:val="0"/>
          <w:color w:val="auto"/>
          <w:kern w:val="0"/>
          <w:sz w:val="24"/>
          <w:szCs w:val="24"/>
          <w:highlight w:val="none"/>
          <w:lang w:val="en-US" w:eastAsia="zh-CN"/>
        </w:rPr>
        <w:t>；</w:t>
      </w:r>
    </w:p>
    <w:p w14:paraId="7F5C686A">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0" w:name="_Toc13747"/>
      <w:r>
        <w:rPr>
          <w:rFonts w:hint="eastAsia" w:ascii="宋体" w:hAnsi="宋体" w:eastAsia="宋体" w:cs="宋体"/>
          <w:bCs/>
          <w:snapToGrid w:val="0"/>
          <w:color w:val="auto"/>
          <w:kern w:val="0"/>
          <w:sz w:val="24"/>
          <w:szCs w:val="24"/>
          <w:highlight w:val="none"/>
          <w:lang w:val="en-US" w:eastAsia="zh-CN"/>
        </w:rPr>
        <w:t>（15）《城市道路照明设计标准》（CJJ45-2015）；</w:t>
      </w:r>
      <w:bookmarkEnd w:id="250"/>
    </w:p>
    <w:p w14:paraId="0F139841">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1" w:name="_Toc4862"/>
      <w:r>
        <w:rPr>
          <w:rFonts w:hint="eastAsia" w:ascii="宋体" w:hAnsi="宋体" w:eastAsia="宋体" w:cs="宋体"/>
          <w:bCs/>
          <w:snapToGrid w:val="0"/>
          <w:color w:val="auto"/>
          <w:kern w:val="0"/>
          <w:sz w:val="24"/>
          <w:szCs w:val="24"/>
          <w:highlight w:val="none"/>
          <w:lang w:val="en-US" w:eastAsia="zh-CN"/>
        </w:rPr>
        <w:t>（16）《低压配电设计规范》（GB50054-2011）；</w:t>
      </w:r>
      <w:bookmarkEnd w:id="251"/>
    </w:p>
    <w:p w14:paraId="521230EA">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2" w:name="_Toc21300"/>
      <w:r>
        <w:rPr>
          <w:rFonts w:hint="eastAsia" w:ascii="宋体" w:hAnsi="宋体" w:eastAsia="宋体" w:cs="宋体"/>
          <w:bCs/>
          <w:snapToGrid w:val="0"/>
          <w:color w:val="auto"/>
          <w:kern w:val="0"/>
          <w:sz w:val="24"/>
          <w:szCs w:val="24"/>
          <w:highlight w:val="none"/>
          <w:lang w:val="en-US" w:eastAsia="zh-CN"/>
        </w:rPr>
        <w:t>（17）《城市道路照明工程施工及验收规程》（CJJ89-2012）；</w:t>
      </w:r>
      <w:bookmarkEnd w:id="252"/>
    </w:p>
    <w:p w14:paraId="5DA9A4A5">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3" w:name="_Toc3776"/>
      <w:r>
        <w:rPr>
          <w:rFonts w:hint="eastAsia" w:ascii="宋体" w:hAnsi="宋体" w:eastAsia="宋体" w:cs="宋体"/>
          <w:bCs/>
          <w:snapToGrid w:val="0"/>
          <w:color w:val="auto"/>
          <w:kern w:val="0"/>
          <w:sz w:val="24"/>
          <w:szCs w:val="24"/>
          <w:highlight w:val="none"/>
          <w:lang w:val="en-US" w:eastAsia="zh-CN"/>
        </w:rPr>
        <w:t>（18）《LED 道路照明工程技术规范》（DB44/T 1898-2016）；</w:t>
      </w:r>
      <w:bookmarkEnd w:id="253"/>
    </w:p>
    <w:p w14:paraId="026D9627">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4" w:name="_Toc6724"/>
      <w:r>
        <w:rPr>
          <w:rFonts w:hint="eastAsia" w:ascii="宋体" w:hAnsi="宋体" w:eastAsia="宋体" w:cs="宋体"/>
          <w:bCs/>
          <w:snapToGrid w:val="0"/>
          <w:color w:val="auto"/>
          <w:kern w:val="0"/>
          <w:sz w:val="24"/>
          <w:szCs w:val="24"/>
          <w:highlight w:val="none"/>
          <w:lang w:val="en-US" w:eastAsia="zh-CN"/>
        </w:rPr>
        <w:t>（19）《灯具第 1 部分：一般要求与试验》（GB7000.1-2015）；</w:t>
      </w:r>
      <w:bookmarkEnd w:id="254"/>
    </w:p>
    <w:p w14:paraId="62E09E97">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5" w:name="_Toc25902"/>
      <w:r>
        <w:rPr>
          <w:rFonts w:hint="eastAsia" w:ascii="宋体" w:hAnsi="宋体" w:eastAsia="宋体" w:cs="宋体"/>
          <w:bCs/>
          <w:snapToGrid w:val="0"/>
          <w:color w:val="auto"/>
          <w:kern w:val="0"/>
          <w:sz w:val="24"/>
          <w:szCs w:val="24"/>
          <w:highlight w:val="none"/>
          <w:lang w:val="en-US" w:eastAsia="zh-CN"/>
        </w:rPr>
        <w:t>（20）《电缆工程电缆设计标准》（GB50217-2018）；</w:t>
      </w:r>
      <w:bookmarkEnd w:id="255"/>
    </w:p>
    <w:p w14:paraId="2D969733">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6" w:name="_Toc1090"/>
      <w:r>
        <w:rPr>
          <w:rFonts w:hint="eastAsia" w:ascii="宋体" w:hAnsi="宋体" w:eastAsia="宋体" w:cs="宋体"/>
          <w:bCs/>
          <w:snapToGrid w:val="0"/>
          <w:color w:val="auto"/>
          <w:kern w:val="0"/>
          <w:sz w:val="24"/>
          <w:szCs w:val="24"/>
          <w:highlight w:val="none"/>
          <w:lang w:val="en-US" w:eastAsia="zh-CN"/>
        </w:rPr>
        <w:t>（21）其他现行国家、广东省关于市政工程的技术及验收规范、定额、规程、标准。</w:t>
      </w:r>
      <w:bookmarkEnd w:id="256"/>
    </w:p>
    <w:p w14:paraId="7F176370">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57" w:name="_Toc22781"/>
      <w:bookmarkStart w:id="258" w:name="_Toc3836"/>
      <w:r>
        <w:rPr>
          <w:rFonts w:hint="eastAsia" w:ascii="宋体" w:hAnsi="宋体" w:eastAsia="宋体" w:cs="宋体"/>
          <w:b/>
          <w:bCs/>
          <w:color w:val="auto"/>
          <w:spacing w:val="-11"/>
          <w:sz w:val="24"/>
          <w:szCs w:val="24"/>
          <w:highlight w:val="none"/>
          <w:lang w:val="en-US" w:eastAsia="zh-CN"/>
        </w:rPr>
        <w:t>3.备查要求</w:t>
      </w:r>
      <w:bookmarkEnd w:id="257"/>
      <w:bookmarkEnd w:id="258"/>
    </w:p>
    <w:p w14:paraId="7C248B02">
      <w:pPr>
        <w:pageBreakBefore w:val="0"/>
        <w:kinsoku/>
        <w:wordWrap/>
        <w:overflowPunct/>
        <w:bidi w:val="0"/>
        <w:adjustRightInd w:val="0"/>
        <w:snapToGrid w:val="0"/>
        <w:spacing w:line="360" w:lineRule="auto"/>
        <w:ind w:firstLine="560"/>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人必须在施工现场准备至少一套上述规范，</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人和监理单位可随时检查</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人的上述规范，并监督</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人按规范要求执行</w:t>
      </w:r>
      <w:bookmarkStart w:id="259" w:name="_Hlt69670335"/>
      <w:bookmarkEnd w:id="259"/>
      <w:r>
        <w:rPr>
          <w:rFonts w:hint="eastAsia" w:ascii="宋体" w:hAnsi="宋体" w:eastAsia="宋体" w:cs="宋体"/>
          <w:bCs/>
          <w:snapToGrid w:val="0"/>
          <w:color w:val="auto"/>
          <w:kern w:val="0"/>
          <w:sz w:val="24"/>
          <w:szCs w:val="24"/>
          <w:highlight w:val="none"/>
          <w:lang w:eastAsia="zh-CN"/>
        </w:rPr>
        <w:t>。</w:t>
      </w:r>
    </w:p>
    <w:p w14:paraId="272C0D8A">
      <w:pPr>
        <w:pageBreakBefore w:val="0"/>
        <w:kinsoku/>
        <w:wordWrap/>
        <w:overflowPunct/>
        <w:bidi w:val="0"/>
        <w:rPr>
          <w:rFonts w:hint="eastAsia" w:ascii="宋体" w:hAnsi="宋体" w:eastAsia="宋体" w:cs="宋体"/>
          <w:color w:val="auto"/>
          <w:highlight w:val="none"/>
          <w:lang w:eastAsia="zh-CN"/>
        </w:rPr>
      </w:pPr>
    </w:p>
    <w:p w14:paraId="5DF324EC">
      <w:pPr>
        <w:pageBreakBefore w:val="0"/>
        <w:kinsoku/>
        <w:wordWrap/>
        <w:overflowPunct/>
        <w:bidi w:val="0"/>
        <w:rPr>
          <w:rFonts w:hint="eastAsia" w:ascii="宋体" w:hAnsi="宋体" w:eastAsia="宋体" w:cs="宋体"/>
          <w:color w:val="auto"/>
          <w:highlight w:val="none"/>
          <w:lang w:eastAsia="zh-CN"/>
        </w:rPr>
      </w:pPr>
    </w:p>
    <w:p w14:paraId="19FEA4E7">
      <w:pPr>
        <w:pageBreakBefore w:val="0"/>
        <w:kinsoku/>
        <w:wordWrap/>
        <w:overflowPunct/>
        <w:bidi w:val="0"/>
        <w:rPr>
          <w:rFonts w:hint="eastAsia" w:ascii="宋体" w:hAnsi="宋体" w:eastAsia="宋体" w:cs="宋体"/>
          <w:color w:val="auto"/>
          <w:highlight w:val="none"/>
          <w:lang w:eastAsia="zh-CN"/>
        </w:rPr>
      </w:pPr>
    </w:p>
    <w:p w14:paraId="58FBF145">
      <w:pPr>
        <w:pageBreakBefore w:val="0"/>
        <w:kinsoku/>
        <w:wordWrap/>
        <w:overflowPunct/>
        <w:bidi w:val="0"/>
        <w:rPr>
          <w:rFonts w:hint="eastAsia" w:ascii="宋体" w:hAnsi="宋体" w:eastAsia="宋体" w:cs="宋体"/>
          <w:color w:val="auto"/>
          <w:highlight w:val="none"/>
          <w:lang w:eastAsia="zh-CN"/>
        </w:rPr>
      </w:pPr>
    </w:p>
    <w:p w14:paraId="69EF7EFC">
      <w:pPr>
        <w:pageBreakBefore w:val="0"/>
        <w:kinsoku/>
        <w:wordWrap/>
        <w:overflowPunct/>
        <w:bidi w:val="0"/>
        <w:rPr>
          <w:rFonts w:hint="eastAsia" w:ascii="宋体" w:hAnsi="宋体" w:eastAsia="宋体" w:cs="宋体"/>
          <w:color w:val="auto"/>
          <w:highlight w:val="none"/>
          <w:lang w:eastAsia="zh-CN"/>
        </w:rPr>
      </w:pPr>
    </w:p>
    <w:p w14:paraId="0BE24F3A">
      <w:pPr>
        <w:pageBreakBefore w:val="0"/>
        <w:kinsoku/>
        <w:wordWrap/>
        <w:overflowPunct/>
        <w:bidi w:val="0"/>
        <w:rPr>
          <w:rFonts w:hint="eastAsia" w:ascii="宋体" w:hAnsi="宋体" w:eastAsia="宋体" w:cs="宋体"/>
          <w:color w:val="auto"/>
          <w:highlight w:val="none"/>
          <w:lang w:eastAsia="zh-CN"/>
        </w:rPr>
      </w:pPr>
    </w:p>
    <w:p w14:paraId="291010C6">
      <w:pPr>
        <w:pageBreakBefore w:val="0"/>
        <w:kinsoku/>
        <w:wordWrap/>
        <w:overflowPunct/>
        <w:bidi w:val="0"/>
        <w:rPr>
          <w:rFonts w:hint="eastAsia" w:ascii="宋体" w:hAnsi="宋体" w:eastAsia="宋体" w:cs="宋体"/>
          <w:color w:val="auto"/>
          <w:highlight w:val="none"/>
          <w:lang w:eastAsia="zh-CN"/>
        </w:rPr>
      </w:pPr>
    </w:p>
    <w:p w14:paraId="79499EC9">
      <w:pPr>
        <w:pageBreakBefore w:val="0"/>
        <w:kinsoku/>
        <w:wordWrap/>
        <w:overflowPunct/>
        <w:bidi w:val="0"/>
        <w:rPr>
          <w:rFonts w:hint="eastAsia" w:ascii="宋体" w:hAnsi="宋体" w:eastAsia="宋体" w:cs="宋体"/>
          <w:color w:val="auto"/>
          <w:highlight w:val="none"/>
          <w:lang w:eastAsia="zh-CN"/>
        </w:rPr>
      </w:pPr>
    </w:p>
    <w:p w14:paraId="5963324A">
      <w:pPr>
        <w:pageBreakBefore w:val="0"/>
        <w:kinsoku/>
        <w:wordWrap/>
        <w:overflowPunct/>
        <w:bidi w:val="0"/>
        <w:rPr>
          <w:rFonts w:hint="eastAsia" w:ascii="宋体" w:hAnsi="宋体" w:eastAsia="宋体" w:cs="宋体"/>
          <w:color w:val="auto"/>
          <w:highlight w:val="none"/>
          <w:lang w:eastAsia="zh-CN"/>
        </w:rPr>
      </w:pPr>
    </w:p>
    <w:p w14:paraId="3E051E01">
      <w:pPr>
        <w:pageBreakBefore w:val="0"/>
        <w:kinsoku/>
        <w:wordWrap/>
        <w:overflowPunct/>
        <w:bidi w:val="0"/>
        <w:rPr>
          <w:rFonts w:hint="eastAsia" w:ascii="宋体" w:hAnsi="宋体" w:eastAsia="宋体" w:cs="宋体"/>
          <w:color w:val="auto"/>
          <w:highlight w:val="none"/>
          <w:lang w:eastAsia="zh-CN"/>
        </w:rPr>
      </w:pPr>
    </w:p>
    <w:p w14:paraId="3296A7D0">
      <w:pPr>
        <w:pageBreakBefore w:val="0"/>
        <w:kinsoku/>
        <w:wordWrap/>
        <w:overflowPunct/>
        <w:bidi w:val="0"/>
        <w:rPr>
          <w:rFonts w:hint="eastAsia" w:ascii="宋体" w:hAnsi="宋体" w:eastAsia="宋体" w:cs="宋体"/>
          <w:color w:val="auto"/>
          <w:highlight w:val="none"/>
          <w:lang w:eastAsia="zh-CN"/>
        </w:rPr>
      </w:pPr>
    </w:p>
    <w:p w14:paraId="73A36266">
      <w:pPr>
        <w:pageBreakBefore w:val="0"/>
        <w:kinsoku/>
        <w:wordWrap/>
        <w:overflowPunct/>
        <w:bidi w:val="0"/>
        <w:rPr>
          <w:rFonts w:hint="eastAsia" w:ascii="宋体" w:hAnsi="宋体" w:eastAsia="宋体" w:cs="宋体"/>
          <w:color w:val="auto"/>
          <w:highlight w:val="none"/>
          <w:lang w:eastAsia="zh-CN"/>
        </w:rPr>
      </w:pPr>
    </w:p>
    <w:p w14:paraId="5D5C3951">
      <w:pPr>
        <w:pageBreakBefore w:val="0"/>
        <w:kinsoku/>
        <w:wordWrap/>
        <w:overflowPunct/>
        <w:bidi w:val="0"/>
        <w:rPr>
          <w:rFonts w:hint="eastAsia" w:ascii="宋体" w:hAnsi="宋体" w:eastAsia="宋体" w:cs="宋体"/>
          <w:color w:val="auto"/>
          <w:highlight w:val="none"/>
          <w:lang w:eastAsia="zh-CN"/>
        </w:rPr>
      </w:pPr>
    </w:p>
    <w:p w14:paraId="4E10EEC1">
      <w:pPr>
        <w:pageBreakBefore w:val="0"/>
        <w:kinsoku/>
        <w:wordWrap/>
        <w:overflowPunct/>
        <w:bidi w:val="0"/>
        <w:rPr>
          <w:rFonts w:hint="eastAsia" w:ascii="宋体" w:hAnsi="宋体" w:eastAsia="宋体" w:cs="宋体"/>
          <w:color w:val="auto"/>
          <w:highlight w:val="none"/>
          <w:lang w:eastAsia="zh-CN"/>
        </w:rPr>
      </w:pPr>
    </w:p>
    <w:p w14:paraId="187BE5FD">
      <w:pPr>
        <w:pageBreakBefore w:val="0"/>
        <w:kinsoku/>
        <w:wordWrap/>
        <w:overflowPunct/>
        <w:bidi w:val="0"/>
        <w:rPr>
          <w:rFonts w:hint="eastAsia" w:ascii="宋体" w:hAnsi="宋体" w:eastAsia="宋体" w:cs="宋体"/>
          <w:color w:val="auto"/>
          <w:highlight w:val="none"/>
          <w:lang w:eastAsia="zh-CN"/>
        </w:rPr>
      </w:pPr>
    </w:p>
    <w:p w14:paraId="65F8FDE4">
      <w:pPr>
        <w:pageBreakBefore w:val="0"/>
        <w:kinsoku/>
        <w:wordWrap/>
        <w:overflowPunct/>
        <w:bidi w:val="0"/>
        <w:rPr>
          <w:rFonts w:hint="eastAsia" w:ascii="宋体" w:hAnsi="宋体" w:eastAsia="宋体" w:cs="宋体"/>
          <w:color w:val="auto"/>
          <w:highlight w:val="none"/>
          <w:lang w:eastAsia="zh-CN"/>
        </w:rPr>
      </w:pPr>
    </w:p>
    <w:p w14:paraId="27B8E0EE">
      <w:pPr>
        <w:pageBreakBefore w:val="0"/>
        <w:kinsoku/>
        <w:wordWrap/>
        <w:overflowPunct/>
        <w:bidi w:val="0"/>
        <w:rPr>
          <w:rFonts w:hint="eastAsia" w:ascii="宋体" w:hAnsi="宋体" w:eastAsia="宋体" w:cs="宋体"/>
          <w:color w:val="auto"/>
          <w:highlight w:val="none"/>
          <w:lang w:eastAsia="zh-CN"/>
        </w:rPr>
      </w:pPr>
    </w:p>
    <w:p w14:paraId="744B5637">
      <w:pPr>
        <w:pageBreakBefore w:val="0"/>
        <w:kinsoku/>
        <w:wordWrap/>
        <w:overflowPunct/>
        <w:bidi w:val="0"/>
        <w:rPr>
          <w:rFonts w:hint="eastAsia" w:ascii="宋体" w:hAnsi="宋体" w:eastAsia="宋体" w:cs="宋体"/>
          <w:color w:val="auto"/>
          <w:highlight w:val="none"/>
          <w:lang w:eastAsia="zh-CN"/>
        </w:rPr>
      </w:pPr>
    </w:p>
    <w:p w14:paraId="3BBD4F7B">
      <w:pPr>
        <w:pStyle w:val="2"/>
        <w:keepNext w:val="0"/>
        <w:keepLines w:val="0"/>
        <w:pageBreakBefore w:val="0"/>
        <w:widowControl w:val="0"/>
        <w:tabs>
          <w:tab w:val="left" w:pos="885"/>
        </w:tabs>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snapToGrid w:val="0"/>
          <w:color w:val="auto"/>
          <w:sz w:val="24"/>
          <w:highlight w:val="none"/>
        </w:rPr>
      </w:pPr>
      <w:bookmarkStart w:id="260" w:name="_Toc27553"/>
      <w:bookmarkStart w:id="261" w:name="_Toc30652"/>
      <w:r>
        <w:rPr>
          <w:rFonts w:hint="eastAsia" w:ascii="宋体" w:hAnsi="宋体" w:eastAsia="宋体" w:cs="宋体"/>
          <w:b/>
          <w:snapToGrid w:val="0"/>
          <w:color w:val="auto"/>
          <w:sz w:val="24"/>
          <w:highlight w:val="none"/>
        </w:rPr>
        <w:t>第五章</w:t>
      </w:r>
      <w:bookmarkStart w:id="262" w:name="_Hlt87793860"/>
      <w:bookmarkEnd w:id="262"/>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图纸和招标工程</w:t>
      </w:r>
      <w:bookmarkStart w:id="263" w:name="_Hlt69669215"/>
      <w:bookmarkEnd w:id="263"/>
      <w:r>
        <w:rPr>
          <w:rFonts w:hint="eastAsia" w:ascii="宋体" w:hAnsi="宋体" w:eastAsia="宋体" w:cs="宋体"/>
          <w:b/>
          <w:snapToGrid w:val="0"/>
          <w:color w:val="auto"/>
          <w:sz w:val="24"/>
          <w:highlight w:val="none"/>
        </w:rPr>
        <w:t>量清单</w:t>
      </w:r>
      <w:bookmarkEnd w:id="260"/>
      <w:bookmarkEnd w:id="261"/>
    </w:p>
    <w:p w14:paraId="30EC79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snapToGrid w:val="0"/>
          <w:color w:val="auto"/>
          <w:kern w:val="0"/>
          <w:sz w:val="24"/>
          <w:szCs w:val="24"/>
          <w:highlight w:val="none"/>
        </w:rPr>
      </w:pPr>
      <w:bookmarkStart w:id="264" w:name="_Hlt75747203"/>
      <w:bookmarkEnd w:id="264"/>
      <w:bookmarkStart w:id="265" w:name="_Hlt66104919"/>
      <w:bookmarkEnd w:id="265"/>
      <w:bookmarkStart w:id="266" w:name="_Hlt87793868"/>
      <w:bookmarkEnd w:id="266"/>
      <w:bookmarkStart w:id="267" w:name="_Hlt69669182"/>
      <w:bookmarkEnd w:id="267"/>
      <w:r>
        <w:rPr>
          <w:rFonts w:hint="eastAsia" w:ascii="宋体" w:hAnsi="宋体" w:eastAsia="宋体" w:cs="宋体"/>
          <w:b w:val="0"/>
          <w:bCs w:val="0"/>
          <w:snapToGrid w:val="0"/>
          <w:color w:val="auto"/>
          <w:kern w:val="0"/>
          <w:sz w:val="24"/>
          <w:szCs w:val="24"/>
          <w:highlight w:val="none"/>
          <w:lang w:val="en-US" w:eastAsia="zh-CN"/>
        </w:rPr>
        <w:t>□有，另附复印件        ☑有，自行网上下载(浏览)         □无</w:t>
      </w:r>
    </w:p>
    <w:p w14:paraId="301EE95D">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68" w:name="_Toc30554"/>
      <w:r>
        <w:rPr>
          <w:rFonts w:hint="eastAsia" w:ascii="宋体" w:hAnsi="宋体" w:eastAsia="宋体" w:cs="宋体"/>
          <w:b/>
          <w:bCs/>
          <w:color w:val="auto"/>
          <w:spacing w:val="-11"/>
          <w:sz w:val="24"/>
          <w:szCs w:val="24"/>
          <w:highlight w:val="none"/>
          <w:lang w:val="en-US" w:eastAsia="zh-CN"/>
        </w:rPr>
        <w:t>1.图纸</w:t>
      </w:r>
      <w:bookmarkEnd w:id="268"/>
    </w:p>
    <w:p w14:paraId="64DC08B7">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9" w:name="_Toc30574"/>
      <w:r>
        <w:rPr>
          <w:rFonts w:hint="eastAsia" w:ascii="宋体" w:hAnsi="宋体" w:eastAsia="宋体" w:cs="宋体"/>
          <w:bCs/>
          <w:snapToGrid w:val="0"/>
          <w:color w:val="auto"/>
          <w:kern w:val="0"/>
          <w:sz w:val="24"/>
          <w:szCs w:val="24"/>
          <w:highlight w:val="none"/>
          <w:lang w:val="en-US" w:eastAsia="zh-CN"/>
        </w:rPr>
        <w:t>本工程图纸在投标截止时间前 15 天以补充公告的形式在广东省招标投标监管网（https://www.gdzwfw.gov.cn/ztbjg-portal/#/index）、全国公共资源交易平台（广东省•韶关市）（https://ygp.gdzwfw.gov.cn/ggzy-portal/#/440200/index）网站公布，各投标人可在上述网站上自行下载。</w:t>
      </w:r>
    </w:p>
    <w:p w14:paraId="055C8AC2">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r>
        <w:rPr>
          <w:rFonts w:hint="eastAsia" w:ascii="宋体" w:hAnsi="宋体" w:eastAsia="宋体" w:cs="宋体"/>
          <w:b/>
          <w:bCs/>
          <w:color w:val="auto"/>
          <w:spacing w:val="-11"/>
          <w:sz w:val="24"/>
          <w:szCs w:val="24"/>
          <w:highlight w:val="none"/>
          <w:lang w:val="en-US" w:eastAsia="zh-CN"/>
        </w:rPr>
        <w:t>2.招标工程量清单</w:t>
      </w:r>
      <w:bookmarkEnd w:id="269"/>
    </w:p>
    <w:p w14:paraId="6D1595F6">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2.1 本工程招标工程量清单在投标截止时间前 15天以补充公告的形式在广东省招标投标监管网（https://www.gdzwfw.gov.cn/ztbjg-portal/#/index）、全国公共资源交易平台（广东省•韶关市）（https://ygp.gdzwfw.gov.cn/ggzy-portal/#/440200/index）网站公布，各投标人可在上述网站上自行下载。</w:t>
      </w:r>
    </w:p>
    <w:p w14:paraId="52DCD214">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70" w:name="_Toc7961"/>
      <w:r>
        <w:rPr>
          <w:rFonts w:hint="eastAsia" w:ascii="宋体" w:hAnsi="宋体" w:eastAsia="宋体" w:cs="宋体"/>
          <w:bCs/>
          <w:snapToGrid w:val="0"/>
          <w:color w:val="auto"/>
          <w:kern w:val="0"/>
          <w:sz w:val="24"/>
          <w:szCs w:val="24"/>
          <w:highlight w:val="none"/>
          <w:lang w:val="en-US" w:eastAsia="zh-CN"/>
        </w:rPr>
        <w:t>2.2 本工程按照以下依据编制招标工程量清单、招标控制价：</w:t>
      </w:r>
      <w:bookmarkEnd w:id="270"/>
    </w:p>
    <w:p w14:paraId="2CDCC34F">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71" w:name="_Toc32626"/>
      <w:r>
        <w:rPr>
          <w:rFonts w:hint="eastAsia" w:ascii="宋体" w:hAnsi="宋体" w:eastAsia="宋体" w:cs="宋体"/>
          <w:bCs/>
          <w:snapToGrid w:val="0"/>
          <w:color w:val="auto"/>
          <w:kern w:val="0"/>
          <w:sz w:val="24"/>
          <w:szCs w:val="24"/>
          <w:highlight w:val="none"/>
          <w:lang w:val="en-US" w:eastAsia="zh-CN"/>
        </w:rPr>
        <w:t>（1）《建设工程工程量清单计价规范》（GB50500—2013）；</w:t>
      </w:r>
      <w:bookmarkEnd w:id="271"/>
    </w:p>
    <w:p w14:paraId="01774E47">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72" w:name="_Toc32632"/>
      <w:r>
        <w:rPr>
          <w:rFonts w:hint="eastAsia" w:ascii="宋体" w:hAnsi="宋体" w:eastAsia="宋体" w:cs="宋体"/>
          <w:bCs/>
          <w:snapToGrid w:val="0"/>
          <w:color w:val="auto"/>
          <w:kern w:val="0"/>
          <w:sz w:val="24"/>
          <w:szCs w:val="24"/>
          <w:highlight w:val="none"/>
          <w:lang w:val="en-US" w:eastAsia="zh-CN"/>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规定提交的要求招标人澄清的其他问题一起提交给招标人，招标人将根据实际情况决定是否颁发工程量清单、招标控制价的补充和(或)修改文件。</w:t>
      </w:r>
      <w:bookmarkEnd w:id="272"/>
      <w:r>
        <w:rPr>
          <w:rFonts w:hint="eastAsia" w:ascii="宋体" w:hAnsi="宋体" w:eastAsia="宋体" w:cs="宋体"/>
          <w:bCs/>
          <w:snapToGrid w:val="0"/>
          <w:color w:val="auto"/>
          <w:kern w:val="0"/>
          <w:sz w:val="24"/>
          <w:szCs w:val="24"/>
          <w:highlight w:val="none"/>
          <w:lang w:val="en-US" w:eastAsia="zh-CN"/>
        </w:rPr>
        <w:t xml:space="preserve"> </w:t>
      </w:r>
    </w:p>
    <w:p w14:paraId="0496BAE5">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73" w:name="_Toc12902"/>
      <w:r>
        <w:rPr>
          <w:rFonts w:hint="eastAsia" w:ascii="宋体" w:hAnsi="宋体" w:eastAsia="宋体" w:cs="宋体"/>
          <w:bCs/>
          <w:snapToGrid w:val="0"/>
          <w:color w:val="auto"/>
          <w:kern w:val="0"/>
          <w:sz w:val="24"/>
          <w:szCs w:val="24"/>
          <w:highlight w:val="none"/>
          <w:lang w:val="en-US" w:eastAsia="zh-CN"/>
        </w:rPr>
        <w:t>（3）本招标工程量清单措施项目中的绿色施工安全防护措施费、暂列金额、暂估价不得作为竞争性费用，投标报价必须按本招标工程量清单规定的金额填报。</w:t>
      </w:r>
      <w:bookmarkEnd w:id="273"/>
    </w:p>
    <w:p w14:paraId="2D3BD3AE">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74" w:name="_Toc32266"/>
      <w:r>
        <w:rPr>
          <w:rFonts w:hint="eastAsia" w:ascii="宋体" w:hAnsi="宋体" w:eastAsia="宋体" w:cs="宋体"/>
          <w:bCs/>
          <w:snapToGrid w:val="0"/>
          <w:color w:val="auto"/>
          <w:kern w:val="0"/>
          <w:sz w:val="24"/>
          <w:szCs w:val="24"/>
          <w:highlight w:val="none"/>
          <w:lang w:val="en-US" w:eastAsia="zh-CN"/>
        </w:rPr>
        <w:t>（4）投标报价使用的表格格式须按照 GB50500-2013《建设工程工程量清单计价规范》。</w:t>
      </w:r>
      <w:bookmarkEnd w:id="274"/>
    </w:p>
    <w:p w14:paraId="3F52F0C8">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75" w:name="_Toc13700"/>
      <w:r>
        <w:rPr>
          <w:rFonts w:hint="eastAsia" w:ascii="宋体" w:hAnsi="宋体" w:eastAsia="宋体" w:cs="宋体"/>
          <w:bCs/>
          <w:snapToGrid w:val="0"/>
          <w:color w:val="auto"/>
          <w:kern w:val="0"/>
          <w:sz w:val="24"/>
          <w:szCs w:val="24"/>
          <w:highlight w:val="none"/>
          <w:lang w:val="en-US" w:eastAsia="zh-CN"/>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bookmarkEnd w:id="275"/>
    </w:p>
    <w:p w14:paraId="49B1030A">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76" w:name="_Toc10455"/>
      <w:r>
        <w:rPr>
          <w:rFonts w:hint="eastAsia" w:ascii="宋体" w:hAnsi="宋体" w:eastAsia="宋体" w:cs="宋体"/>
          <w:bCs/>
          <w:snapToGrid w:val="0"/>
          <w:color w:val="auto"/>
          <w:kern w:val="0"/>
          <w:sz w:val="24"/>
          <w:szCs w:val="24"/>
          <w:highlight w:val="none"/>
          <w:lang w:val="en-US" w:eastAsia="zh-CN"/>
        </w:rPr>
        <w:t>（6）施工图及相关资料；</w:t>
      </w:r>
      <w:bookmarkEnd w:id="276"/>
    </w:p>
    <w:p w14:paraId="2E0315EC">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77" w:name="_Toc1743"/>
      <w:r>
        <w:rPr>
          <w:rFonts w:hint="eastAsia" w:ascii="宋体" w:hAnsi="宋体" w:eastAsia="宋体" w:cs="宋体"/>
          <w:bCs/>
          <w:snapToGrid w:val="0"/>
          <w:color w:val="auto"/>
          <w:kern w:val="0"/>
          <w:sz w:val="24"/>
          <w:szCs w:val="24"/>
          <w:highlight w:val="none"/>
          <w:lang w:val="en-US" w:eastAsia="zh-CN"/>
        </w:rPr>
        <w:t>（7）招标文件；</w:t>
      </w:r>
      <w:bookmarkEnd w:id="277"/>
    </w:p>
    <w:p w14:paraId="5357C6CC">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78" w:name="_Toc30083"/>
      <w:r>
        <w:rPr>
          <w:rFonts w:hint="eastAsia" w:ascii="宋体" w:hAnsi="宋体" w:eastAsia="宋体" w:cs="宋体"/>
          <w:bCs/>
          <w:snapToGrid w:val="0"/>
          <w:color w:val="auto"/>
          <w:kern w:val="0"/>
          <w:sz w:val="24"/>
          <w:szCs w:val="24"/>
          <w:highlight w:val="none"/>
          <w:lang w:val="en-US" w:eastAsia="zh-CN"/>
        </w:rPr>
        <w:t>（8）施工现场情况、地勘水文资料、工程特点及常规施工方案；</w:t>
      </w:r>
      <w:bookmarkEnd w:id="278"/>
    </w:p>
    <w:p w14:paraId="416327A7">
      <w:pPr>
        <w:pageBreakBefore w:val="0"/>
        <w:kinsoku/>
        <w:wordWrap/>
        <w:overflowPunct/>
        <w:bidi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79" w:name="_Toc15937"/>
      <w:r>
        <w:rPr>
          <w:rFonts w:hint="eastAsia" w:ascii="宋体" w:hAnsi="宋体" w:eastAsia="宋体" w:cs="宋体"/>
          <w:bCs/>
          <w:snapToGrid w:val="0"/>
          <w:color w:val="auto"/>
          <w:kern w:val="0"/>
          <w:sz w:val="24"/>
          <w:szCs w:val="24"/>
          <w:highlight w:val="none"/>
          <w:lang w:val="en-US" w:eastAsia="zh-CN"/>
        </w:rPr>
        <w:t>（9）与建设工程有关的标准、规范、技术资料、材料设备信息价或市场价格等。</w:t>
      </w:r>
      <w:bookmarkEnd w:id="279"/>
    </w:p>
    <w:p w14:paraId="312D3A83">
      <w:pPr>
        <w:pageBreakBefore w:val="0"/>
        <w:kinsoku/>
        <w:wordWrap/>
        <w:overflowPunct/>
        <w:bidi w:val="0"/>
        <w:rPr>
          <w:rFonts w:hint="eastAsia" w:ascii="宋体" w:hAnsi="宋体" w:eastAsia="宋体" w:cs="宋体"/>
          <w:color w:val="auto"/>
          <w:highlight w:val="none"/>
          <w:lang w:val="en-US" w:eastAsia="zh-CN"/>
        </w:rPr>
      </w:pPr>
    </w:p>
    <w:p w14:paraId="52A4AAD7">
      <w:pPr>
        <w:pageBreakBefore w:val="0"/>
        <w:kinsoku/>
        <w:wordWrap/>
        <w:overflowPunct/>
        <w:bidi w:val="0"/>
        <w:rPr>
          <w:rFonts w:hint="eastAsia" w:ascii="宋体" w:hAnsi="宋体" w:eastAsia="宋体" w:cs="宋体"/>
          <w:color w:val="auto"/>
          <w:highlight w:val="none"/>
          <w:lang w:val="en-US" w:eastAsia="zh-CN"/>
        </w:rPr>
      </w:pPr>
    </w:p>
    <w:p w14:paraId="140BCE1C">
      <w:pPr>
        <w:pageBreakBefore w:val="0"/>
        <w:kinsoku/>
        <w:wordWrap/>
        <w:overflowPunct/>
        <w:bidi w:val="0"/>
        <w:rPr>
          <w:rFonts w:hint="eastAsia" w:ascii="宋体" w:hAnsi="宋体" w:eastAsia="宋体" w:cs="宋体"/>
          <w:color w:val="auto"/>
          <w:highlight w:val="none"/>
          <w:lang w:val="en-US" w:eastAsia="zh-CN"/>
        </w:rPr>
      </w:pPr>
    </w:p>
    <w:p w14:paraId="53B1D3DD">
      <w:pPr>
        <w:pStyle w:val="6"/>
        <w:pageBreakBefore w:val="0"/>
        <w:kinsoku/>
        <w:wordWrap/>
        <w:overflowPunct/>
        <w:bidi w:val="0"/>
        <w:rPr>
          <w:rFonts w:hint="eastAsia" w:ascii="宋体" w:hAnsi="宋体" w:eastAsia="宋体" w:cs="宋体"/>
          <w:color w:val="auto"/>
          <w:highlight w:val="none"/>
          <w:lang w:val="en-US" w:eastAsia="zh-CN"/>
        </w:rPr>
      </w:pPr>
    </w:p>
    <w:p w14:paraId="1A81D625">
      <w:pPr>
        <w:pageBreakBefore w:val="0"/>
        <w:kinsoku/>
        <w:wordWrap/>
        <w:overflowPunct/>
        <w:bidi w:val="0"/>
        <w:rPr>
          <w:rFonts w:hint="eastAsia" w:ascii="宋体" w:hAnsi="宋体" w:eastAsia="宋体" w:cs="宋体"/>
          <w:color w:val="auto"/>
          <w:highlight w:val="none"/>
          <w:lang w:val="en-US" w:eastAsia="zh-CN"/>
        </w:rPr>
      </w:pPr>
    </w:p>
    <w:p w14:paraId="4163980B">
      <w:pPr>
        <w:pStyle w:val="6"/>
        <w:pageBreakBefore w:val="0"/>
        <w:kinsoku/>
        <w:wordWrap/>
        <w:overflowPunct/>
        <w:bidi w:val="0"/>
        <w:rPr>
          <w:rFonts w:hint="eastAsia" w:ascii="宋体" w:hAnsi="宋体" w:eastAsia="宋体" w:cs="宋体"/>
          <w:color w:val="auto"/>
          <w:highlight w:val="none"/>
          <w:lang w:val="en-US" w:eastAsia="zh-CN"/>
        </w:rPr>
      </w:pPr>
    </w:p>
    <w:p w14:paraId="27397413">
      <w:pPr>
        <w:pageBreakBefore w:val="0"/>
        <w:kinsoku/>
        <w:wordWrap/>
        <w:overflowPunct/>
        <w:bidi w:val="0"/>
        <w:rPr>
          <w:rFonts w:hint="eastAsia" w:ascii="宋体" w:hAnsi="宋体" w:eastAsia="宋体" w:cs="宋体"/>
          <w:color w:val="auto"/>
          <w:highlight w:val="none"/>
          <w:lang w:val="en-US" w:eastAsia="zh-CN"/>
        </w:rPr>
      </w:pPr>
    </w:p>
    <w:p w14:paraId="317F5C80">
      <w:pPr>
        <w:pStyle w:val="6"/>
        <w:pageBreakBefore w:val="0"/>
        <w:kinsoku/>
        <w:wordWrap/>
        <w:overflowPunct/>
        <w:bidi w:val="0"/>
        <w:rPr>
          <w:rFonts w:hint="eastAsia" w:ascii="宋体" w:hAnsi="宋体" w:eastAsia="宋体" w:cs="宋体"/>
          <w:color w:val="auto"/>
          <w:highlight w:val="none"/>
          <w:lang w:val="en-US" w:eastAsia="zh-CN"/>
        </w:rPr>
      </w:pPr>
    </w:p>
    <w:p w14:paraId="6814A315">
      <w:pPr>
        <w:pageBreakBefore w:val="0"/>
        <w:kinsoku/>
        <w:wordWrap/>
        <w:overflowPunct/>
        <w:bidi w:val="0"/>
        <w:rPr>
          <w:rFonts w:hint="eastAsia" w:ascii="宋体" w:hAnsi="宋体" w:eastAsia="宋体" w:cs="宋体"/>
          <w:color w:val="auto"/>
          <w:highlight w:val="none"/>
          <w:lang w:val="en-US" w:eastAsia="zh-CN"/>
        </w:rPr>
      </w:pPr>
    </w:p>
    <w:p w14:paraId="7396983C">
      <w:pPr>
        <w:pStyle w:val="6"/>
        <w:pageBreakBefore w:val="0"/>
        <w:kinsoku/>
        <w:wordWrap/>
        <w:overflowPunct/>
        <w:bidi w:val="0"/>
        <w:rPr>
          <w:rFonts w:hint="eastAsia" w:ascii="宋体" w:hAnsi="宋体" w:eastAsia="宋体" w:cs="宋体"/>
          <w:color w:val="auto"/>
          <w:highlight w:val="none"/>
          <w:lang w:val="en-US" w:eastAsia="zh-CN"/>
        </w:rPr>
      </w:pPr>
    </w:p>
    <w:p w14:paraId="3AAAD6B1">
      <w:pPr>
        <w:pageBreakBefore w:val="0"/>
        <w:kinsoku/>
        <w:wordWrap/>
        <w:overflowPunct/>
        <w:bidi w:val="0"/>
        <w:rPr>
          <w:rFonts w:hint="eastAsia" w:ascii="宋体" w:hAnsi="宋体" w:eastAsia="宋体" w:cs="宋体"/>
          <w:color w:val="auto"/>
          <w:highlight w:val="none"/>
          <w:lang w:val="en-US" w:eastAsia="zh-CN"/>
        </w:rPr>
      </w:pPr>
    </w:p>
    <w:p w14:paraId="5DA77B35">
      <w:pPr>
        <w:pStyle w:val="6"/>
        <w:pageBreakBefore w:val="0"/>
        <w:kinsoku/>
        <w:wordWrap/>
        <w:overflowPunct/>
        <w:bidi w:val="0"/>
        <w:rPr>
          <w:rFonts w:hint="eastAsia" w:ascii="宋体" w:hAnsi="宋体" w:eastAsia="宋体" w:cs="宋体"/>
          <w:color w:val="auto"/>
          <w:highlight w:val="none"/>
          <w:lang w:val="en-US" w:eastAsia="zh-CN"/>
        </w:rPr>
      </w:pPr>
    </w:p>
    <w:p w14:paraId="3B20246C">
      <w:pPr>
        <w:pageBreakBefore w:val="0"/>
        <w:kinsoku/>
        <w:wordWrap/>
        <w:overflowPunct/>
        <w:bidi w:val="0"/>
        <w:rPr>
          <w:rFonts w:hint="eastAsia" w:ascii="宋体" w:hAnsi="宋体" w:eastAsia="宋体" w:cs="宋体"/>
          <w:color w:val="auto"/>
          <w:highlight w:val="none"/>
          <w:lang w:val="en-US" w:eastAsia="zh-CN"/>
        </w:rPr>
      </w:pPr>
    </w:p>
    <w:p w14:paraId="427C0E39">
      <w:pPr>
        <w:pStyle w:val="6"/>
        <w:pageBreakBefore w:val="0"/>
        <w:kinsoku/>
        <w:wordWrap/>
        <w:overflowPunct/>
        <w:bidi w:val="0"/>
        <w:rPr>
          <w:rFonts w:hint="eastAsia" w:ascii="宋体" w:hAnsi="宋体" w:eastAsia="宋体" w:cs="宋体"/>
          <w:color w:val="auto"/>
          <w:highlight w:val="none"/>
          <w:lang w:val="en-US" w:eastAsia="zh-CN"/>
        </w:rPr>
      </w:pPr>
    </w:p>
    <w:p w14:paraId="626A1819">
      <w:pPr>
        <w:pageBreakBefore w:val="0"/>
        <w:kinsoku/>
        <w:wordWrap/>
        <w:overflowPunct/>
        <w:bidi w:val="0"/>
        <w:rPr>
          <w:rFonts w:hint="eastAsia" w:ascii="宋体" w:hAnsi="宋体" w:eastAsia="宋体" w:cs="宋体"/>
          <w:color w:val="auto"/>
          <w:highlight w:val="none"/>
          <w:lang w:val="en-US" w:eastAsia="zh-CN"/>
        </w:rPr>
      </w:pPr>
    </w:p>
    <w:p w14:paraId="67F69205">
      <w:pPr>
        <w:pStyle w:val="6"/>
        <w:pageBreakBefore w:val="0"/>
        <w:kinsoku/>
        <w:wordWrap/>
        <w:overflowPunct/>
        <w:bidi w:val="0"/>
        <w:rPr>
          <w:rFonts w:hint="eastAsia" w:ascii="宋体" w:hAnsi="宋体" w:eastAsia="宋体" w:cs="宋体"/>
          <w:color w:val="auto"/>
          <w:highlight w:val="none"/>
          <w:lang w:val="en-US" w:eastAsia="zh-CN"/>
        </w:rPr>
      </w:pPr>
    </w:p>
    <w:p w14:paraId="65DA9294">
      <w:pPr>
        <w:pageBreakBefore w:val="0"/>
        <w:kinsoku/>
        <w:wordWrap/>
        <w:overflowPunct/>
        <w:bidi w:val="0"/>
        <w:rPr>
          <w:rFonts w:hint="eastAsia" w:ascii="宋体" w:hAnsi="宋体" w:eastAsia="宋体" w:cs="宋体"/>
          <w:color w:val="auto"/>
          <w:highlight w:val="none"/>
          <w:lang w:val="en-US" w:eastAsia="zh-CN"/>
        </w:rPr>
      </w:pPr>
    </w:p>
    <w:p w14:paraId="5D4254AB">
      <w:pPr>
        <w:pStyle w:val="6"/>
        <w:pageBreakBefore w:val="0"/>
        <w:kinsoku/>
        <w:wordWrap/>
        <w:overflowPunct/>
        <w:bidi w:val="0"/>
        <w:rPr>
          <w:rFonts w:hint="eastAsia" w:ascii="宋体" w:hAnsi="宋体" w:eastAsia="宋体" w:cs="宋体"/>
          <w:color w:val="auto"/>
          <w:highlight w:val="none"/>
          <w:lang w:val="en-US" w:eastAsia="zh-CN"/>
        </w:rPr>
      </w:pPr>
    </w:p>
    <w:p w14:paraId="698397A0">
      <w:pPr>
        <w:pageBreakBefore w:val="0"/>
        <w:kinsoku/>
        <w:wordWrap/>
        <w:overflowPunct/>
        <w:bidi w:val="0"/>
        <w:rPr>
          <w:rFonts w:hint="eastAsia" w:ascii="宋体" w:hAnsi="宋体" w:eastAsia="宋体" w:cs="宋体"/>
          <w:color w:val="auto"/>
          <w:highlight w:val="none"/>
          <w:lang w:val="en-US" w:eastAsia="zh-CN"/>
        </w:rPr>
      </w:pPr>
    </w:p>
    <w:p w14:paraId="7E2DCE8C">
      <w:pPr>
        <w:pStyle w:val="6"/>
        <w:pageBreakBefore w:val="0"/>
        <w:kinsoku/>
        <w:wordWrap/>
        <w:overflowPunct/>
        <w:bidi w:val="0"/>
        <w:rPr>
          <w:rFonts w:hint="eastAsia" w:ascii="宋体" w:hAnsi="宋体" w:eastAsia="宋体" w:cs="宋体"/>
          <w:color w:val="auto"/>
          <w:highlight w:val="none"/>
          <w:lang w:val="en-US" w:eastAsia="zh-CN"/>
        </w:rPr>
      </w:pPr>
    </w:p>
    <w:p w14:paraId="7BA8A55B">
      <w:pPr>
        <w:pageBreakBefore w:val="0"/>
        <w:kinsoku/>
        <w:wordWrap/>
        <w:overflowPunct/>
        <w:bidi w:val="0"/>
        <w:rPr>
          <w:rFonts w:hint="eastAsia" w:ascii="宋体" w:hAnsi="宋体" w:eastAsia="宋体" w:cs="宋体"/>
          <w:color w:val="auto"/>
          <w:highlight w:val="none"/>
          <w:lang w:val="en-US" w:eastAsia="zh-CN"/>
        </w:rPr>
      </w:pPr>
    </w:p>
    <w:p w14:paraId="63FE85E0">
      <w:pPr>
        <w:pStyle w:val="6"/>
        <w:pageBreakBefore w:val="0"/>
        <w:kinsoku/>
        <w:wordWrap/>
        <w:overflowPunct/>
        <w:bidi w:val="0"/>
        <w:rPr>
          <w:rFonts w:hint="eastAsia" w:ascii="宋体" w:hAnsi="宋体" w:eastAsia="宋体" w:cs="宋体"/>
          <w:color w:val="auto"/>
          <w:highlight w:val="none"/>
          <w:lang w:val="en-US" w:eastAsia="zh-CN"/>
        </w:rPr>
      </w:pPr>
    </w:p>
    <w:p w14:paraId="2E1E806F">
      <w:pPr>
        <w:pageBreakBefore w:val="0"/>
        <w:kinsoku/>
        <w:wordWrap/>
        <w:overflowPunct/>
        <w:bidi w:val="0"/>
        <w:rPr>
          <w:rFonts w:hint="eastAsia" w:ascii="宋体" w:hAnsi="宋体" w:eastAsia="宋体" w:cs="宋体"/>
          <w:color w:val="auto"/>
          <w:highlight w:val="none"/>
          <w:lang w:val="en-US" w:eastAsia="zh-CN"/>
        </w:rPr>
      </w:pPr>
    </w:p>
    <w:p w14:paraId="6B429EEA">
      <w:pPr>
        <w:pStyle w:val="6"/>
        <w:pageBreakBefore w:val="0"/>
        <w:kinsoku/>
        <w:wordWrap/>
        <w:overflowPunct/>
        <w:bidi w:val="0"/>
        <w:rPr>
          <w:rFonts w:hint="eastAsia" w:ascii="宋体" w:hAnsi="宋体" w:eastAsia="宋体" w:cs="宋体"/>
          <w:color w:val="auto"/>
          <w:highlight w:val="none"/>
          <w:lang w:val="en-US" w:eastAsia="zh-CN"/>
        </w:rPr>
      </w:pPr>
    </w:p>
    <w:p w14:paraId="49138A83">
      <w:pPr>
        <w:pageBreakBefore w:val="0"/>
        <w:kinsoku/>
        <w:wordWrap/>
        <w:overflowPunct/>
        <w:bidi w:val="0"/>
        <w:rPr>
          <w:rFonts w:hint="eastAsia" w:ascii="宋体" w:hAnsi="宋体" w:eastAsia="宋体" w:cs="宋体"/>
          <w:color w:val="auto"/>
          <w:highlight w:val="none"/>
          <w:lang w:val="en-US" w:eastAsia="zh-CN"/>
        </w:rPr>
      </w:pPr>
    </w:p>
    <w:p w14:paraId="6F04E204">
      <w:pPr>
        <w:pStyle w:val="6"/>
        <w:pageBreakBefore w:val="0"/>
        <w:kinsoku/>
        <w:wordWrap/>
        <w:overflowPunct/>
        <w:bidi w:val="0"/>
        <w:rPr>
          <w:rFonts w:hint="eastAsia" w:ascii="宋体" w:hAnsi="宋体" w:eastAsia="宋体" w:cs="宋体"/>
          <w:color w:val="auto"/>
          <w:highlight w:val="none"/>
          <w:lang w:val="en-US" w:eastAsia="zh-CN"/>
        </w:rPr>
      </w:pPr>
    </w:p>
    <w:p w14:paraId="3351D868">
      <w:pPr>
        <w:pageBreakBefore w:val="0"/>
        <w:kinsoku/>
        <w:wordWrap/>
        <w:overflowPunct/>
        <w:bidi w:val="0"/>
        <w:rPr>
          <w:rFonts w:hint="eastAsia" w:ascii="宋体" w:hAnsi="宋体" w:eastAsia="宋体" w:cs="宋体"/>
          <w:color w:val="auto"/>
          <w:highlight w:val="none"/>
          <w:lang w:val="en-US" w:eastAsia="zh-CN"/>
        </w:rPr>
      </w:pPr>
    </w:p>
    <w:p w14:paraId="60A11F69">
      <w:pPr>
        <w:pStyle w:val="6"/>
        <w:pageBreakBefore w:val="0"/>
        <w:kinsoku/>
        <w:wordWrap/>
        <w:overflowPunct/>
        <w:bidi w:val="0"/>
        <w:rPr>
          <w:rFonts w:hint="eastAsia" w:ascii="宋体" w:hAnsi="宋体" w:eastAsia="宋体" w:cs="宋体"/>
          <w:color w:val="auto"/>
          <w:highlight w:val="none"/>
          <w:lang w:val="en-US" w:eastAsia="zh-CN"/>
        </w:rPr>
      </w:pPr>
    </w:p>
    <w:p w14:paraId="11AA27E7">
      <w:pPr>
        <w:pageBreakBefore w:val="0"/>
        <w:kinsoku/>
        <w:wordWrap/>
        <w:overflowPunct/>
        <w:bidi w:val="0"/>
        <w:rPr>
          <w:rFonts w:hint="eastAsia" w:ascii="宋体" w:hAnsi="宋体" w:eastAsia="宋体" w:cs="宋体"/>
          <w:color w:val="auto"/>
          <w:highlight w:val="none"/>
          <w:lang w:val="en-US" w:eastAsia="zh-CN"/>
        </w:rPr>
      </w:pPr>
    </w:p>
    <w:p w14:paraId="37939796">
      <w:pPr>
        <w:pStyle w:val="6"/>
        <w:pageBreakBefore w:val="0"/>
        <w:kinsoku/>
        <w:wordWrap/>
        <w:overflowPunct/>
        <w:bidi w:val="0"/>
        <w:rPr>
          <w:rFonts w:hint="eastAsia" w:ascii="宋体" w:hAnsi="宋体" w:eastAsia="宋体" w:cs="宋体"/>
          <w:color w:val="auto"/>
          <w:highlight w:val="none"/>
          <w:lang w:val="en-US" w:eastAsia="zh-CN"/>
        </w:rPr>
      </w:pPr>
    </w:p>
    <w:p w14:paraId="53CF1642">
      <w:pPr>
        <w:pageBreakBefore w:val="0"/>
        <w:kinsoku/>
        <w:wordWrap/>
        <w:overflowPunct/>
        <w:bidi w:val="0"/>
        <w:rPr>
          <w:rFonts w:hint="eastAsia" w:ascii="宋体" w:hAnsi="宋体" w:eastAsia="宋体" w:cs="宋体"/>
          <w:color w:val="auto"/>
          <w:highlight w:val="none"/>
          <w:lang w:val="en-US" w:eastAsia="zh-CN"/>
        </w:rPr>
      </w:pPr>
    </w:p>
    <w:p w14:paraId="5955493F">
      <w:pPr>
        <w:pStyle w:val="6"/>
        <w:pageBreakBefore w:val="0"/>
        <w:kinsoku/>
        <w:wordWrap/>
        <w:overflowPunct/>
        <w:bidi w:val="0"/>
        <w:rPr>
          <w:rFonts w:hint="eastAsia" w:ascii="宋体" w:hAnsi="宋体" w:eastAsia="宋体" w:cs="宋体"/>
          <w:color w:val="auto"/>
          <w:highlight w:val="none"/>
          <w:lang w:val="en-US" w:eastAsia="zh-CN"/>
        </w:rPr>
      </w:pPr>
    </w:p>
    <w:p w14:paraId="78EAFC9A">
      <w:pPr>
        <w:pageBreakBefore w:val="0"/>
        <w:kinsoku/>
        <w:wordWrap/>
        <w:overflowPunct/>
        <w:bidi w:val="0"/>
        <w:rPr>
          <w:rFonts w:hint="eastAsia" w:ascii="宋体" w:hAnsi="宋体" w:eastAsia="宋体" w:cs="宋体"/>
          <w:color w:val="auto"/>
          <w:highlight w:val="none"/>
          <w:lang w:val="en-US" w:eastAsia="zh-CN"/>
        </w:rPr>
      </w:pPr>
    </w:p>
    <w:p w14:paraId="4C8967AA">
      <w:pPr>
        <w:pStyle w:val="6"/>
        <w:pageBreakBefore w:val="0"/>
        <w:kinsoku/>
        <w:wordWrap/>
        <w:overflowPunct/>
        <w:bidi w:val="0"/>
        <w:rPr>
          <w:rFonts w:hint="eastAsia" w:ascii="宋体" w:hAnsi="宋体" w:eastAsia="宋体" w:cs="宋体"/>
          <w:color w:val="auto"/>
          <w:highlight w:val="none"/>
          <w:lang w:val="en-US" w:eastAsia="zh-CN"/>
        </w:rPr>
      </w:pPr>
    </w:p>
    <w:p w14:paraId="567CE373">
      <w:pPr>
        <w:pageBreakBefore w:val="0"/>
        <w:kinsoku/>
        <w:wordWrap/>
        <w:overflowPunct/>
        <w:bidi w:val="0"/>
        <w:rPr>
          <w:rFonts w:hint="eastAsia" w:ascii="宋体" w:hAnsi="宋体" w:eastAsia="宋体" w:cs="宋体"/>
          <w:color w:val="auto"/>
          <w:highlight w:val="none"/>
          <w:lang w:val="en-US" w:eastAsia="zh-CN"/>
        </w:rPr>
      </w:pPr>
    </w:p>
    <w:p w14:paraId="321209EF">
      <w:pPr>
        <w:pStyle w:val="6"/>
        <w:pageBreakBefore w:val="0"/>
        <w:kinsoku/>
        <w:wordWrap/>
        <w:overflowPunct/>
        <w:bidi w:val="0"/>
        <w:rPr>
          <w:rFonts w:hint="eastAsia" w:ascii="宋体" w:hAnsi="宋体" w:eastAsia="宋体" w:cs="宋体"/>
          <w:color w:val="auto"/>
          <w:highlight w:val="none"/>
          <w:lang w:val="en-US" w:eastAsia="zh-CN"/>
        </w:rPr>
      </w:pPr>
    </w:p>
    <w:p w14:paraId="1BB5D194">
      <w:pPr>
        <w:pageBreakBefore w:val="0"/>
        <w:kinsoku/>
        <w:wordWrap/>
        <w:overflowPunct/>
        <w:bidi w:val="0"/>
        <w:rPr>
          <w:rFonts w:hint="eastAsia"/>
          <w:color w:val="auto"/>
          <w:highlight w:val="none"/>
          <w:lang w:val="en-US" w:eastAsia="zh-CN"/>
        </w:rPr>
      </w:pPr>
    </w:p>
    <w:p w14:paraId="4A87BCA8">
      <w:pPr>
        <w:pageBreakBefore w:val="0"/>
        <w:kinsoku/>
        <w:wordWrap/>
        <w:overflowPunct/>
        <w:bidi w:val="0"/>
        <w:rPr>
          <w:rFonts w:hint="eastAsia" w:ascii="宋体" w:hAnsi="宋体" w:eastAsia="宋体" w:cs="宋体"/>
          <w:color w:val="auto"/>
          <w:highlight w:val="none"/>
          <w:lang w:val="en-US" w:eastAsia="zh-CN"/>
        </w:rPr>
      </w:pPr>
    </w:p>
    <w:p w14:paraId="055BD2B2">
      <w:pPr>
        <w:pageBreakBefore w:val="0"/>
        <w:kinsoku/>
        <w:wordWrap/>
        <w:overflowPunct/>
        <w:bidi w:val="0"/>
        <w:rPr>
          <w:rFonts w:hint="eastAsia" w:ascii="宋体" w:hAnsi="宋体" w:eastAsia="宋体" w:cs="宋体"/>
          <w:color w:val="auto"/>
          <w:highlight w:val="none"/>
          <w:lang w:val="en-US" w:eastAsia="zh-CN"/>
        </w:rPr>
      </w:pPr>
    </w:p>
    <w:p w14:paraId="4811ADCA">
      <w:pPr>
        <w:pageBreakBefore w:val="0"/>
        <w:kinsoku/>
        <w:wordWrap/>
        <w:overflowPunct/>
        <w:bidi w:val="0"/>
        <w:rPr>
          <w:rFonts w:hint="eastAsia" w:ascii="宋体" w:hAnsi="宋体" w:eastAsia="宋体" w:cs="宋体"/>
          <w:color w:val="auto"/>
          <w:highlight w:val="none"/>
          <w:lang w:val="en-US" w:eastAsia="zh-CN"/>
        </w:rPr>
      </w:pPr>
    </w:p>
    <w:p w14:paraId="4947C4AC">
      <w:pPr>
        <w:pStyle w:val="2"/>
        <w:pageBreakBefore w:val="0"/>
        <w:kinsoku/>
        <w:wordWrap/>
        <w:overflowPunct/>
        <w:autoSpaceDE/>
        <w:autoSpaceDN/>
        <w:bidi w:val="0"/>
        <w:snapToGrid w:val="0"/>
        <w:spacing w:line="360" w:lineRule="auto"/>
        <w:jc w:val="center"/>
        <w:rPr>
          <w:rFonts w:hint="eastAsia" w:ascii="宋体" w:hAnsi="宋体" w:eastAsia="宋体" w:cs="宋体"/>
          <w:color w:val="auto"/>
          <w:highlight w:val="none"/>
        </w:rPr>
      </w:pPr>
      <w:bookmarkStart w:id="280" w:name="_Toc744"/>
      <w:bookmarkStart w:id="281" w:name="_Toc6239"/>
      <w:r>
        <w:rPr>
          <w:rFonts w:hint="eastAsia" w:ascii="宋体" w:hAnsi="宋体" w:eastAsia="宋体" w:cs="宋体"/>
          <w:b/>
          <w:snapToGrid w:val="0"/>
          <w:color w:val="auto"/>
          <w:sz w:val="24"/>
          <w:highlight w:val="none"/>
        </w:rPr>
        <w:t>第六章</w:t>
      </w:r>
      <w:bookmarkStart w:id="282" w:name="_Hlt75747044"/>
      <w:bookmarkEnd w:id="282"/>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投标文件格式</w:t>
      </w:r>
      <w:bookmarkEnd w:id="280"/>
      <w:bookmarkEnd w:id="281"/>
      <w:bookmarkStart w:id="283" w:name="_附件一：投标函"/>
      <w:bookmarkEnd w:id="283"/>
      <w:bookmarkStart w:id="284" w:name="_附件四：工期承诺书"/>
      <w:bookmarkEnd w:id="284"/>
      <w:bookmarkStart w:id="285" w:name="_附件二：近三年度主要施工项目（竣工及在建）一览表"/>
      <w:bookmarkEnd w:id="285"/>
      <w:bookmarkStart w:id="286" w:name="_附件五：综合评审合理低价法"/>
      <w:bookmarkEnd w:id="286"/>
      <w:bookmarkStart w:id="287" w:name="_附件二：工期承诺书"/>
      <w:bookmarkEnd w:id="287"/>
      <w:bookmarkStart w:id="288" w:name="_附件一：对招标文件条款自愿接受承诺书"/>
      <w:bookmarkEnd w:id="288"/>
      <w:bookmarkStart w:id="289" w:name="_Toc200338097"/>
      <w:bookmarkStart w:id="290" w:name="_Toc137621693"/>
      <w:bookmarkStart w:id="291" w:name="_Hlt66847557"/>
      <w:bookmarkStart w:id="292" w:name="_Toc66849200"/>
    </w:p>
    <w:p w14:paraId="35D43320">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93" w:name="_Toc7436"/>
      <w:bookmarkStart w:id="294" w:name="_Toc5248"/>
      <w:r>
        <w:rPr>
          <w:rFonts w:hint="eastAsia" w:ascii="宋体" w:hAnsi="宋体" w:eastAsia="宋体" w:cs="宋体"/>
          <w:b/>
          <w:bCs/>
          <w:color w:val="auto"/>
          <w:spacing w:val="-11"/>
          <w:sz w:val="24"/>
          <w:szCs w:val="24"/>
          <w:highlight w:val="none"/>
          <w:lang w:val="en-US" w:eastAsia="zh-CN"/>
        </w:rPr>
        <w:t>格式一   封面</w:t>
      </w:r>
      <w:bookmarkEnd w:id="293"/>
      <w:bookmarkEnd w:id="294"/>
    </w:p>
    <w:p w14:paraId="2C41E55F">
      <w:pPr>
        <w:pStyle w:val="61"/>
        <w:pageBreakBefore w:val="0"/>
        <w:widowControl w:val="0"/>
        <w:kinsoku/>
        <w:wordWrap/>
        <w:overflowPunct/>
        <w:bidi w:val="0"/>
        <w:adjustRightInd w:val="0"/>
        <w:snapToGrid w:val="0"/>
        <w:spacing w:line="360" w:lineRule="auto"/>
        <w:rPr>
          <w:rFonts w:hint="eastAsia" w:ascii="宋体" w:hAnsi="宋体" w:eastAsia="宋体" w:cs="宋体"/>
          <w:b/>
          <w:snapToGrid w:val="0"/>
          <w:color w:val="auto"/>
          <w:sz w:val="24"/>
          <w:highlight w:val="none"/>
        </w:rPr>
      </w:pPr>
    </w:p>
    <w:p w14:paraId="64F599D5">
      <w:pPr>
        <w:pStyle w:val="61"/>
        <w:pageBreakBefore w:val="0"/>
        <w:widowControl w:val="0"/>
        <w:kinsoku/>
        <w:wordWrap/>
        <w:overflowPunct/>
        <w:bidi w:val="0"/>
        <w:adjustRightInd w:val="0"/>
        <w:snapToGrid w:val="0"/>
        <w:spacing w:line="360" w:lineRule="auto"/>
        <w:jc w:val="both"/>
        <w:rPr>
          <w:rFonts w:hint="eastAsia" w:ascii="宋体" w:hAnsi="宋体" w:eastAsia="宋体" w:cs="宋体"/>
          <w:b/>
          <w:snapToGrid w:val="0"/>
          <w:color w:val="auto"/>
          <w:sz w:val="24"/>
          <w:highlight w:val="none"/>
        </w:rPr>
      </w:pPr>
    </w:p>
    <w:p w14:paraId="264A32FC">
      <w:pPr>
        <w:pStyle w:val="61"/>
        <w:pageBreakBefore w:val="0"/>
        <w:widowControl w:val="0"/>
        <w:kinsoku/>
        <w:wordWrap/>
        <w:overflowPunct/>
        <w:bidi w:val="0"/>
        <w:adjustRightInd w:val="0"/>
        <w:snapToGrid w:val="0"/>
        <w:spacing w:line="360" w:lineRule="auto"/>
        <w:rPr>
          <w:rFonts w:hint="eastAsia" w:ascii="宋体" w:hAnsi="宋体" w:eastAsia="宋体" w:cs="宋体"/>
          <w:b/>
          <w:snapToGrid w:val="0"/>
          <w:color w:val="auto"/>
          <w:sz w:val="24"/>
          <w:highlight w:val="none"/>
        </w:rPr>
      </w:pPr>
    </w:p>
    <w:p w14:paraId="01047916">
      <w:pPr>
        <w:pStyle w:val="61"/>
        <w:pageBreakBefore w:val="0"/>
        <w:widowControl w:val="0"/>
        <w:kinsoku/>
        <w:wordWrap/>
        <w:overflowPunct/>
        <w:bidi w:val="0"/>
        <w:adjustRightInd w:val="0"/>
        <w:snapToGrid w:val="0"/>
        <w:spacing w:line="360" w:lineRule="auto"/>
        <w:rPr>
          <w:rFonts w:hint="eastAsia" w:ascii="宋体" w:hAnsi="宋体" w:eastAsia="宋体" w:cs="宋体"/>
          <w:b/>
          <w:snapToGrid w:val="0"/>
          <w:color w:val="auto"/>
          <w:sz w:val="24"/>
          <w:highlight w:val="none"/>
        </w:rPr>
      </w:pPr>
    </w:p>
    <w:p w14:paraId="68318CBB">
      <w:pPr>
        <w:keepNext w:val="0"/>
        <w:keepLines w:val="0"/>
        <w:pageBreakBefore w:val="0"/>
        <w:widowControl/>
        <w:suppressLineNumbers w:val="0"/>
        <w:kinsoku/>
        <w:wordWrap/>
        <w:overflowPunct/>
        <w:bidi w:val="0"/>
        <w:spacing w:line="360" w:lineRule="auto"/>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（项目名称）</w:t>
      </w:r>
      <w:r>
        <w:rPr>
          <w:rFonts w:hint="eastAsia" w:ascii="宋体" w:hAnsi="宋体" w:eastAsia="宋体" w:cs="宋体"/>
          <w:b/>
          <w:snapToGrid w:val="0"/>
          <w:color w:val="auto"/>
          <w:sz w:val="48"/>
          <w:szCs w:val="48"/>
          <w:highlight w:val="none"/>
          <w:lang w:val="en-US" w:eastAsia="zh-CN"/>
        </w:rPr>
        <w:t>工程施工</w:t>
      </w:r>
      <w:r>
        <w:rPr>
          <w:rFonts w:hint="eastAsia" w:ascii="宋体" w:hAnsi="宋体" w:eastAsia="宋体" w:cs="宋体"/>
          <w:b/>
          <w:snapToGrid w:val="0"/>
          <w:color w:val="auto"/>
          <w:sz w:val="48"/>
          <w:szCs w:val="48"/>
          <w:highlight w:val="none"/>
        </w:rPr>
        <w:t>招标</w:t>
      </w:r>
    </w:p>
    <w:p w14:paraId="3BFA3CCF">
      <w:pPr>
        <w:pStyle w:val="61"/>
        <w:pageBreakBefore w:val="0"/>
        <w:widowControl w:val="0"/>
        <w:kinsoku/>
        <w:wordWrap/>
        <w:overflowPunct/>
        <w:bidi w:val="0"/>
        <w:adjustRightInd w:val="0"/>
        <w:snapToGrid w:val="0"/>
        <w:spacing w:line="360" w:lineRule="auto"/>
        <w:ind w:firstLine="0"/>
        <w:jc w:val="center"/>
        <w:rPr>
          <w:rFonts w:hint="eastAsia" w:ascii="宋体" w:hAnsi="宋体" w:eastAsia="宋体" w:cs="宋体"/>
          <w:b/>
          <w:snapToGrid w:val="0"/>
          <w:color w:val="auto"/>
          <w:sz w:val="32"/>
          <w:highlight w:val="none"/>
        </w:rPr>
      </w:pPr>
    </w:p>
    <w:p w14:paraId="539028DF">
      <w:pPr>
        <w:pStyle w:val="61"/>
        <w:pageBreakBefore w:val="0"/>
        <w:widowControl w:val="0"/>
        <w:kinsoku/>
        <w:wordWrap/>
        <w:overflowPunct/>
        <w:bidi w:val="0"/>
        <w:adjustRightInd w:val="0"/>
        <w:snapToGrid w:val="0"/>
        <w:spacing w:line="360" w:lineRule="auto"/>
        <w:ind w:firstLine="0"/>
        <w:jc w:val="center"/>
        <w:rPr>
          <w:rFonts w:hint="eastAsia" w:ascii="宋体" w:hAnsi="宋体" w:eastAsia="宋体" w:cs="宋体"/>
          <w:b/>
          <w:snapToGrid w:val="0"/>
          <w:color w:val="auto"/>
          <w:sz w:val="72"/>
          <w:highlight w:val="none"/>
        </w:rPr>
      </w:pPr>
      <w:r>
        <w:rPr>
          <w:rFonts w:hint="eastAsia" w:ascii="宋体" w:hAnsi="宋体" w:eastAsia="宋体" w:cs="宋体"/>
          <w:b/>
          <w:snapToGrid w:val="0"/>
          <w:color w:val="auto"/>
          <w:sz w:val="72"/>
          <w:highlight w:val="none"/>
        </w:rPr>
        <w:t>投  标  文  件</w:t>
      </w:r>
    </w:p>
    <w:p w14:paraId="44CCF37F">
      <w:pPr>
        <w:pStyle w:val="61"/>
        <w:pageBreakBefore w:val="0"/>
        <w:widowControl w:val="0"/>
        <w:kinsoku/>
        <w:wordWrap/>
        <w:overflowPunct/>
        <w:bidi w:val="0"/>
        <w:adjustRightInd w:val="0"/>
        <w:snapToGrid w:val="0"/>
        <w:spacing w:line="360" w:lineRule="auto"/>
        <w:ind w:firstLine="0"/>
        <w:jc w:val="center"/>
        <w:rPr>
          <w:rFonts w:hint="eastAsia" w:ascii="宋体" w:hAnsi="宋体" w:eastAsia="宋体" w:cs="宋体"/>
          <w:b/>
          <w:snapToGrid w:val="0"/>
          <w:color w:val="auto"/>
          <w:sz w:val="32"/>
          <w:highlight w:val="none"/>
        </w:rPr>
      </w:pPr>
    </w:p>
    <w:p w14:paraId="1CBA27F3">
      <w:pPr>
        <w:pStyle w:val="61"/>
        <w:pageBreakBefore w:val="0"/>
        <w:widowControl w:val="0"/>
        <w:kinsoku/>
        <w:wordWrap/>
        <w:overflowPunct/>
        <w:bidi w:val="0"/>
        <w:adjustRightInd w:val="0"/>
        <w:snapToGrid w:val="0"/>
        <w:spacing w:line="36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（商务标书／经济标书／施工组织设计）</w:t>
      </w:r>
    </w:p>
    <w:p w14:paraId="3D95CC72">
      <w:pPr>
        <w:pStyle w:val="61"/>
        <w:pageBreakBefore w:val="0"/>
        <w:widowControl w:val="0"/>
        <w:kinsoku/>
        <w:wordWrap/>
        <w:overflowPunct/>
        <w:bidi w:val="0"/>
        <w:adjustRightInd w:val="0"/>
        <w:snapToGrid w:val="0"/>
        <w:spacing w:line="360" w:lineRule="auto"/>
        <w:rPr>
          <w:rFonts w:hint="eastAsia" w:ascii="宋体" w:hAnsi="宋体" w:eastAsia="宋体" w:cs="宋体"/>
          <w:b/>
          <w:snapToGrid w:val="0"/>
          <w:color w:val="auto"/>
          <w:highlight w:val="none"/>
        </w:rPr>
      </w:pPr>
    </w:p>
    <w:p w14:paraId="71A1C0CC">
      <w:pPr>
        <w:pStyle w:val="61"/>
        <w:pageBreakBefore w:val="0"/>
        <w:widowControl w:val="0"/>
        <w:kinsoku/>
        <w:wordWrap/>
        <w:overflowPunct/>
        <w:bidi w:val="0"/>
        <w:adjustRightInd w:val="0"/>
        <w:snapToGrid w:val="0"/>
        <w:spacing w:line="360" w:lineRule="auto"/>
        <w:rPr>
          <w:rFonts w:hint="eastAsia" w:ascii="宋体" w:hAnsi="宋体" w:eastAsia="宋体" w:cs="宋体"/>
          <w:b/>
          <w:snapToGrid w:val="0"/>
          <w:color w:val="auto"/>
          <w:sz w:val="32"/>
          <w:highlight w:val="none"/>
        </w:rPr>
      </w:pPr>
    </w:p>
    <w:p w14:paraId="56947D7C">
      <w:pPr>
        <w:pStyle w:val="61"/>
        <w:pageBreakBefore w:val="0"/>
        <w:widowControl w:val="0"/>
        <w:kinsoku/>
        <w:wordWrap/>
        <w:overflowPunct/>
        <w:bidi w:val="0"/>
        <w:adjustRightInd w:val="0"/>
        <w:snapToGrid w:val="0"/>
        <w:spacing w:line="360" w:lineRule="auto"/>
        <w:rPr>
          <w:rFonts w:hint="eastAsia" w:ascii="宋体" w:hAnsi="宋体" w:eastAsia="宋体" w:cs="宋体"/>
          <w:b/>
          <w:snapToGrid w:val="0"/>
          <w:color w:val="auto"/>
          <w:sz w:val="32"/>
          <w:highlight w:val="none"/>
        </w:rPr>
      </w:pPr>
    </w:p>
    <w:p w14:paraId="452183E4">
      <w:pPr>
        <w:pStyle w:val="61"/>
        <w:pageBreakBefore w:val="0"/>
        <w:widowControl w:val="0"/>
        <w:kinsoku/>
        <w:wordWrap/>
        <w:overflowPunct/>
        <w:bidi w:val="0"/>
        <w:adjustRightInd w:val="0"/>
        <w:snapToGrid w:val="0"/>
        <w:spacing w:line="360" w:lineRule="auto"/>
        <w:rPr>
          <w:rFonts w:hint="eastAsia" w:ascii="宋体" w:hAnsi="宋体" w:eastAsia="宋体" w:cs="宋体"/>
          <w:b/>
          <w:snapToGrid w:val="0"/>
          <w:color w:val="auto"/>
          <w:sz w:val="32"/>
          <w:highlight w:val="none"/>
        </w:rPr>
      </w:pPr>
    </w:p>
    <w:p w14:paraId="63A9DDCA">
      <w:pPr>
        <w:pStyle w:val="61"/>
        <w:pageBreakBefore w:val="0"/>
        <w:widowControl w:val="0"/>
        <w:kinsoku/>
        <w:wordWrap/>
        <w:overflowPunct/>
        <w:bidi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06234196">
      <w:pPr>
        <w:pStyle w:val="61"/>
        <w:pageBreakBefore w:val="0"/>
        <w:widowControl w:val="0"/>
        <w:kinsoku/>
        <w:wordWrap/>
        <w:overflowPunct/>
        <w:bidi w:val="0"/>
        <w:adjustRightInd w:val="0"/>
        <w:snapToGrid w:val="0"/>
        <w:spacing w:line="360" w:lineRule="auto"/>
        <w:ind w:firstLine="0"/>
        <w:jc w:val="both"/>
        <w:rPr>
          <w:rFonts w:hint="eastAsia" w:ascii="宋体" w:hAnsi="宋体" w:eastAsia="宋体" w:cs="宋体"/>
          <w:bCs/>
          <w:snapToGrid w:val="0"/>
          <w:color w:val="auto"/>
          <w:sz w:val="32"/>
          <w:highlight w:val="none"/>
        </w:rPr>
      </w:pPr>
    </w:p>
    <w:p w14:paraId="2D081AA0">
      <w:pPr>
        <w:pStyle w:val="61"/>
        <w:pageBreakBefore w:val="0"/>
        <w:widowControl w:val="0"/>
        <w:kinsoku/>
        <w:wordWrap/>
        <w:overflowPunct/>
        <w:bidi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56D1462D">
      <w:pPr>
        <w:pStyle w:val="61"/>
        <w:pageBreakBefore w:val="0"/>
        <w:widowControl w:val="0"/>
        <w:kinsoku/>
        <w:wordWrap/>
        <w:overflowPunct/>
        <w:bidi w:val="0"/>
        <w:adjustRightInd w:val="0"/>
        <w:snapToGrid w:val="0"/>
        <w:spacing w:line="360" w:lineRule="auto"/>
        <w:ind w:firstLine="0"/>
        <w:jc w:val="both"/>
        <w:rPr>
          <w:rFonts w:hint="eastAsia" w:ascii="宋体" w:hAnsi="宋体" w:eastAsia="宋体" w:cs="宋体"/>
          <w:bCs/>
          <w:snapToGrid w:val="0"/>
          <w:color w:val="auto"/>
          <w:sz w:val="32"/>
          <w:highlight w:val="none"/>
          <w:u w:val="single"/>
        </w:rPr>
      </w:pPr>
    </w:p>
    <w:p w14:paraId="673B1733">
      <w:pPr>
        <w:pStyle w:val="61"/>
        <w:pageBreakBefore w:val="0"/>
        <w:widowControl w:val="0"/>
        <w:kinsoku/>
        <w:wordWrap/>
        <w:overflowPunct/>
        <w:bidi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2F36BE3D">
      <w:pPr>
        <w:pageBreakBefore w:val="0"/>
        <w:kinsoku/>
        <w:wordWrap/>
        <w:overflowPunct/>
        <w:bidi w:val="0"/>
        <w:rPr>
          <w:rFonts w:hint="eastAsia" w:ascii="宋体" w:hAnsi="宋体" w:eastAsia="宋体" w:cs="宋体"/>
          <w:color w:val="auto"/>
          <w:highlight w:val="none"/>
        </w:rPr>
      </w:pPr>
      <w:bookmarkStart w:id="295" w:name="_Toc15092"/>
      <w:bookmarkStart w:id="296" w:name="_Toc106418843"/>
      <w:bookmarkStart w:id="297" w:name="_Toc104711098"/>
    </w:p>
    <w:p w14:paraId="6832A50E">
      <w:pPr>
        <w:pageBreakBefore w:val="0"/>
        <w:kinsoku/>
        <w:wordWrap/>
        <w:overflowPunct/>
        <w:bidi w:val="0"/>
        <w:rPr>
          <w:rFonts w:hint="eastAsia" w:ascii="宋体" w:hAnsi="宋体" w:eastAsia="宋体" w:cs="宋体"/>
          <w:color w:val="auto"/>
          <w:highlight w:val="none"/>
        </w:rPr>
      </w:pPr>
    </w:p>
    <w:p w14:paraId="4E5A5E31">
      <w:pPr>
        <w:pageBreakBefore w:val="0"/>
        <w:kinsoku/>
        <w:wordWrap/>
        <w:overflowPunct/>
        <w:bidi w:val="0"/>
        <w:rPr>
          <w:rFonts w:hint="eastAsia" w:ascii="宋体" w:hAnsi="宋体" w:eastAsia="宋体" w:cs="宋体"/>
          <w:color w:val="auto"/>
          <w:highlight w:val="none"/>
        </w:rPr>
      </w:pPr>
    </w:p>
    <w:p w14:paraId="024AE31D">
      <w:pPr>
        <w:pageBreakBefore w:val="0"/>
        <w:kinsoku/>
        <w:wordWrap/>
        <w:overflowPunct/>
        <w:bidi w:val="0"/>
        <w:rPr>
          <w:rFonts w:hint="eastAsia" w:ascii="宋体" w:hAnsi="宋体" w:eastAsia="宋体" w:cs="宋体"/>
          <w:color w:val="auto"/>
          <w:highlight w:val="none"/>
        </w:rPr>
      </w:pPr>
    </w:p>
    <w:p w14:paraId="33966578">
      <w:pPr>
        <w:pageBreakBefore w:val="0"/>
        <w:kinsoku/>
        <w:wordWrap/>
        <w:overflowPunct/>
        <w:bidi w:val="0"/>
        <w:rPr>
          <w:rFonts w:hint="eastAsia" w:ascii="宋体" w:hAnsi="宋体" w:eastAsia="宋体" w:cs="宋体"/>
          <w:color w:val="auto"/>
          <w:highlight w:val="none"/>
        </w:rPr>
      </w:pPr>
    </w:p>
    <w:p w14:paraId="7100C261">
      <w:pPr>
        <w:pageBreakBefore w:val="0"/>
        <w:kinsoku/>
        <w:wordWrap/>
        <w:overflowPunct/>
        <w:bidi w:val="0"/>
        <w:rPr>
          <w:rFonts w:hint="eastAsia" w:ascii="宋体" w:hAnsi="宋体" w:eastAsia="宋体" w:cs="宋体"/>
          <w:color w:val="auto"/>
          <w:highlight w:val="none"/>
        </w:rPr>
      </w:pPr>
    </w:p>
    <w:p w14:paraId="4FDFF029">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98" w:name="_Toc14807"/>
      <w:r>
        <w:rPr>
          <w:rFonts w:hint="eastAsia" w:ascii="宋体" w:hAnsi="宋体" w:eastAsia="宋体" w:cs="宋体"/>
          <w:b/>
          <w:bCs/>
          <w:color w:val="auto"/>
          <w:spacing w:val="-11"/>
          <w:sz w:val="24"/>
          <w:szCs w:val="24"/>
          <w:highlight w:val="none"/>
          <w:lang w:val="en-US" w:eastAsia="zh-CN"/>
        </w:rPr>
        <w:t>格式</w:t>
      </w:r>
      <w:bookmarkStart w:id="299" w:name="_Hlt97526007"/>
      <w:bookmarkEnd w:id="299"/>
      <w:r>
        <w:rPr>
          <w:rFonts w:hint="eastAsia" w:ascii="宋体" w:hAnsi="宋体" w:eastAsia="宋体" w:cs="宋体"/>
          <w:b/>
          <w:bCs/>
          <w:color w:val="auto"/>
          <w:spacing w:val="-11"/>
          <w:sz w:val="24"/>
          <w:szCs w:val="24"/>
          <w:highlight w:val="none"/>
          <w:lang w:val="en-US" w:eastAsia="zh-CN"/>
        </w:rPr>
        <w:t>二   投标函</w:t>
      </w:r>
      <w:bookmarkEnd w:id="295"/>
      <w:bookmarkEnd w:id="298"/>
    </w:p>
    <w:p w14:paraId="07C295E9">
      <w:pPr>
        <w:pageBreakBefore w:val="0"/>
        <w:kinsoku/>
        <w:wordWrap/>
        <w:overflowPunct/>
        <w:bidi w:val="0"/>
        <w:adjustRightInd w:val="0"/>
        <w:snapToGrid w:val="0"/>
        <w:spacing w:before="260" w:after="260" w:line="360" w:lineRule="auto"/>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投  标  函</w:t>
      </w:r>
      <w:bookmarkEnd w:id="296"/>
      <w:bookmarkEnd w:id="297"/>
    </w:p>
    <w:p w14:paraId="37577B2E">
      <w:pPr>
        <w:pageBreakBefore w:val="0"/>
        <w:kinsoku/>
        <w:wordWrap/>
        <w:overflowPunct/>
        <w:bidi w:val="0"/>
        <w:adjustRightInd w:val="0"/>
        <w:snapToGrid w:val="0"/>
        <w:spacing w:line="360" w:lineRule="auto"/>
        <w:jc w:val="center"/>
        <w:rPr>
          <w:rFonts w:hint="eastAsia" w:ascii="宋体" w:hAnsi="宋体" w:eastAsia="宋体" w:cs="宋体"/>
          <w:b/>
          <w:snapToGrid w:val="0"/>
          <w:color w:val="auto"/>
          <w:kern w:val="0"/>
          <w:highlight w:val="none"/>
        </w:rPr>
      </w:pPr>
    </w:p>
    <w:p w14:paraId="72CE9446">
      <w:pPr>
        <w:pageBreakBefore w:val="0"/>
        <w:kinsoku/>
        <w:wordWrap/>
        <w:overflowPunct/>
        <w:bidi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（招标人名称）</w:t>
      </w:r>
    </w:p>
    <w:p w14:paraId="1BB50ABC">
      <w:pPr>
        <w:pageBreakBefore w:val="0"/>
        <w:kinsoku/>
        <w:wordWrap/>
        <w:overflowPunct/>
        <w:bidi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1. </w:t>
      </w:r>
      <w:r>
        <w:rPr>
          <w:rFonts w:hint="eastAsia" w:ascii="宋体" w:hAnsi="宋体" w:eastAsia="宋体" w:cs="宋体"/>
          <w:snapToGrid w:val="0"/>
          <w:color w:val="auto"/>
          <w:kern w:val="0"/>
          <w:szCs w:val="22"/>
          <w:highlight w:val="none"/>
        </w:rPr>
        <w:t>我方</w:t>
      </w:r>
      <w:r>
        <w:rPr>
          <w:rFonts w:hint="eastAsia" w:ascii="宋体" w:hAnsi="宋体" w:eastAsia="宋体" w:cs="宋体"/>
          <w:snapToGrid w:val="0"/>
          <w:color w:val="auto"/>
          <w:kern w:val="0"/>
          <w:highlight w:val="none"/>
        </w:rPr>
        <w:t>考察现场并充分研究</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（项目名称）（以下简称“本项目”）招标文件</w:t>
      </w:r>
      <w:r>
        <w:rPr>
          <w:rFonts w:hint="eastAsia" w:ascii="宋体" w:hAnsi="宋体" w:eastAsia="宋体" w:cs="宋体"/>
          <w:snapToGrid w:val="0"/>
          <w:color w:val="auto"/>
          <w:kern w:val="0"/>
          <w:szCs w:val="22"/>
          <w:highlight w:val="none"/>
        </w:rPr>
        <w:t>所有内容后</w:t>
      </w:r>
      <w:r>
        <w:rPr>
          <w:rFonts w:hint="eastAsia" w:ascii="宋体" w:hAnsi="宋体" w:eastAsia="宋体" w:cs="宋体"/>
          <w:snapToGrid w:val="0"/>
          <w:color w:val="auto"/>
          <w:kern w:val="0"/>
          <w:highlight w:val="none"/>
        </w:rPr>
        <w:t>，结合自身资质、能力和特点，愿意接受招标文件的全部内容和条件，兹以人民币（大写）：</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szCs w:val="22"/>
          <w:highlight w:val="none"/>
        </w:rPr>
        <w:t>的投标总价</w:t>
      </w:r>
      <w:r>
        <w:rPr>
          <w:rFonts w:hint="eastAsia" w:ascii="宋体" w:hAnsi="宋体" w:eastAsia="宋体" w:cs="宋体"/>
          <w:snapToGrid w:val="0"/>
          <w:color w:val="auto"/>
          <w:kern w:val="0"/>
          <w:highlight w:val="none"/>
        </w:rPr>
        <w:t>竞投本项目施工。</w:t>
      </w:r>
    </w:p>
    <w:p w14:paraId="7CC51F54">
      <w:pPr>
        <w:pageBreakBefore w:val="0"/>
        <w:kinsoku/>
        <w:wordWrap/>
        <w:overflowPunct/>
        <w:bidi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在我方的上述投标总价中，包括：绿色施工安全防护措施费¥</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color w:val="auto"/>
          <w:kern w:val="0"/>
          <w:szCs w:val="24"/>
          <w:highlight w:val="none"/>
          <w:lang w:bidi="ar"/>
        </w:rPr>
        <w:t>暂列金额</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，暂估价¥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p>
    <w:p w14:paraId="53D8C7E3">
      <w:pPr>
        <w:pageBreakBefore w:val="0"/>
        <w:kinsoku/>
        <w:wordWrap/>
        <w:overflowPunct/>
        <w:bidi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 如果我方中标，我方保证按照合同约定的开工日期开始本项目的施工，</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个日历天内竣工，并确保工程质量达到</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标准和维修其中的任何缺陷。</w:t>
      </w:r>
    </w:p>
    <w:p w14:paraId="6B88A785">
      <w:pPr>
        <w:pageBreakBefore w:val="0"/>
        <w:kinsoku/>
        <w:wordWrap/>
        <w:overflowPunct/>
        <w:bidi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23012583">
      <w:pPr>
        <w:pageBreakBefore w:val="0"/>
        <w:kinsoku/>
        <w:wordWrap/>
        <w:overflowPunct/>
        <w:bidi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我方在此声明，我方不存在本项目招标文件第一章第三节第</w:t>
      </w:r>
      <w:r>
        <w:rPr>
          <w:rFonts w:hint="eastAsia" w:ascii="宋体" w:hAnsi="宋体" w:eastAsia="宋体" w:cs="宋体"/>
          <w:b/>
          <w:bCs/>
          <w:snapToGrid w:val="0"/>
          <w:color w:val="auto"/>
          <w:kern w:val="0"/>
          <w:highlight w:val="none"/>
        </w:rPr>
        <w:t>2.4</w:t>
      </w:r>
      <w:r>
        <w:rPr>
          <w:rFonts w:hint="eastAsia" w:ascii="宋体" w:hAnsi="宋体" w:eastAsia="宋体" w:cs="宋体"/>
          <w:snapToGrid w:val="0"/>
          <w:color w:val="auto"/>
          <w:kern w:val="0"/>
          <w:highlight w:val="none"/>
        </w:rPr>
        <w:t>条“禁止投标条款”所列出的任何一种情形，并愿意承担因我方就此弄虚作假所引起的一切法律后果。</w:t>
      </w:r>
    </w:p>
    <w:p w14:paraId="4AA735D9">
      <w:pPr>
        <w:pageBreakBefore w:val="0"/>
        <w:kinsoku/>
        <w:wordWrap/>
        <w:overflowPunct/>
        <w:bidi w:val="0"/>
        <w:adjustRightInd w:val="0"/>
        <w:snapToGrid w:val="0"/>
        <w:spacing w:line="360" w:lineRule="auto"/>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我方在此承诺，所递交投标文件的全部内容均为真实、有效、准确的，并愿意承担因我方就此弄虚作假所引起的一切法律后果，同时理解和同意有可能被要求提供更多的资料。</w:t>
      </w:r>
    </w:p>
    <w:p w14:paraId="72DE2632">
      <w:pPr>
        <w:pageBreakBefore w:val="0"/>
        <w:kinsoku/>
        <w:wordWrap/>
        <w:overflowPunct/>
        <w:bidi w:val="0"/>
        <w:adjustRightInd w:val="0"/>
        <w:snapToGrid w:val="0"/>
        <w:spacing w:line="360" w:lineRule="auto"/>
        <w:ind w:firstLine="570"/>
        <w:rPr>
          <w:rFonts w:hint="eastAsia" w:ascii="宋体" w:hAnsi="宋体" w:eastAsia="宋体" w:cs="宋体"/>
          <w:snapToGrid w:val="0"/>
          <w:color w:val="auto"/>
          <w:kern w:val="0"/>
          <w:highlight w:val="none"/>
        </w:rPr>
      </w:pPr>
      <w:bookmarkStart w:id="300" w:name="_Hlt68771070"/>
      <w:bookmarkEnd w:id="300"/>
      <w:r>
        <w:rPr>
          <w:rFonts w:hint="eastAsia" w:ascii="宋体" w:hAnsi="宋体" w:eastAsia="宋体" w:cs="宋体"/>
          <w:snapToGrid w:val="0"/>
          <w:color w:val="auto"/>
          <w:kern w:val="0"/>
          <w:highlight w:val="none"/>
        </w:rPr>
        <w:t xml:space="preserve">6. 我方理解你方不一定要接纳收到的最低投标总价或任何投标总价的投标人中标，也不要求你方解释我方是否中标的原因。  </w:t>
      </w:r>
    </w:p>
    <w:p w14:paraId="286754D7">
      <w:pPr>
        <w:pageBreakBefore w:val="0"/>
        <w:kinsoku/>
        <w:wordWrap/>
        <w:overflowPunct/>
        <w:bidi w:val="0"/>
        <w:adjustRightInd w:val="0"/>
        <w:snapToGrid w:val="0"/>
        <w:spacing w:line="360" w:lineRule="auto"/>
        <w:rPr>
          <w:rFonts w:hint="eastAsia" w:ascii="宋体" w:hAnsi="宋体" w:eastAsia="宋体" w:cs="宋体"/>
          <w:snapToGrid w:val="0"/>
          <w:color w:val="auto"/>
          <w:kern w:val="0"/>
          <w:highlight w:val="none"/>
        </w:rPr>
      </w:pPr>
    </w:p>
    <w:p w14:paraId="4C19F572">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投标人：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（盖单位章）</w:t>
      </w:r>
    </w:p>
    <w:p w14:paraId="02FADCC8">
      <w:pPr>
        <w:pageBreakBefore w:val="0"/>
        <w:kinsoku/>
        <w:wordWrap/>
        <w:overflowPunct/>
        <w:bidi w:val="0"/>
        <w:adjustRightInd w:val="0"/>
        <w:snapToGrid w:val="0"/>
        <w:spacing w:line="360" w:lineRule="auto"/>
        <w:jc w:val="both"/>
        <w:rPr>
          <w:rFonts w:hint="eastAsia" w:ascii="宋体" w:hAnsi="宋体" w:eastAsia="宋体" w:cs="宋体"/>
          <w:snapToGrid w:val="0"/>
          <w:color w:val="auto"/>
          <w:kern w:val="0"/>
          <w:highlight w:val="none"/>
        </w:rPr>
      </w:pPr>
    </w:p>
    <w:p w14:paraId="21A9E1B3">
      <w:pPr>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法定代表人或其委托代理人：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（签字或盖章）</w:t>
      </w:r>
    </w:p>
    <w:p w14:paraId="64C5BD80">
      <w:pPr>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highlight w:val="none"/>
        </w:rPr>
      </w:pPr>
    </w:p>
    <w:p w14:paraId="16BA2C90">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5723254A">
      <w:pPr>
        <w:pageBreakBefore w:val="0"/>
        <w:kinsoku/>
        <w:wordWrap/>
        <w:overflowPunct/>
        <w:bidi w:val="0"/>
        <w:rPr>
          <w:rFonts w:hint="eastAsia" w:ascii="宋体" w:hAnsi="宋体" w:eastAsia="宋体" w:cs="宋体"/>
          <w:color w:val="auto"/>
          <w:highlight w:val="none"/>
        </w:rPr>
      </w:pPr>
    </w:p>
    <w:p w14:paraId="651C624D">
      <w:pPr>
        <w:pageBreakBefore w:val="0"/>
        <w:kinsoku/>
        <w:wordWrap/>
        <w:overflowPunct/>
        <w:bidi w:val="0"/>
        <w:rPr>
          <w:rFonts w:hint="eastAsia" w:ascii="宋体" w:hAnsi="宋体" w:eastAsia="宋体" w:cs="宋体"/>
          <w:color w:val="auto"/>
          <w:highlight w:val="none"/>
        </w:rPr>
      </w:pPr>
    </w:p>
    <w:p w14:paraId="2AB6725F">
      <w:pPr>
        <w:pageBreakBefore w:val="0"/>
        <w:kinsoku/>
        <w:wordWrap/>
        <w:overflowPunct/>
        <w:bidi w:val="0"/>
        <w:rPr>
          <w:rFonts w:hint="eastAsia" w:ascii="宋体" w:hAnsi="宋体" w:eastAsia="宋体" w:cs="宋体"/>
          <w:color w:val="auto"/>
          <w:highlight w:val="none"/>
        </w:rPr>
      </w:pPr>
    </w:p>
    <w:p w14:paraId="55FAC9DF">
      <w:pPr>
        <w:pageBreakBefore w:val="0"/>
        <w:kinsoku/>
        <w:wordWrap/>
        <w:overflowPunct/>
        <w:bidi w:val="0"/>
        <w:rPr>
          <w:rFonts w:hint="eastAsia" w:ascii="宋体" w:hAnsi="宋体" w:eastAsia="宋体" w:cs="宋体"/>
          <w:color w:val="auto"/>
          <w:highlight w:val="none"/>
        </w:rPr>
      </w:pPr>
    </w:p>
    <w:p w14:paraId="197EDB44">
      <w:pPr>
        <w:pageBreakBefore w:val="0"/>
        <w:kinsoku/>
        <w:wordWrap/>
        <w:overflowPunct/>
        <w:bidi w:val="0"/>
        <w:rPr>
          <w:rFonts w:hint="eastAsia" w:ascii="宋体" w:hAnsi="宋体" w:eastAsia="宋体" w:cs="宋体"/>
          <w:color w:val="auto"/>
          <w:highlight w:val="none"/>
        </w:rPr>
      </w:pPr>
    </w:p>
    <w:p w14:paraId="3C10911C">
      <w:pPr>
        <w:pageBreakBefore w:val="0"/>
        <w:kinsoku/>
        <w:wordWrap/>
        <w:overflowPunct/>
        <w:bidi w:val="0"/>
        <w:rPr>
          <w:rFonts w:hint="eastAsia" w:ascii="宋体" w:hAnsi="宋体" w:eastAsia="宋体" w:cs="宋体"/>
          <w:color w:val="auto"/>
          <w:highlight w:val="none"/>
        </w:rPr>
      </w:pPr>
    </w:p>
    <w:p w14:paraId="797BAF72">
      <w:pPr>
        <w:pageBreakBefore w:val="0"/>
        <w:kinsoku/>
        <w:wordWrap/>
        <w:overflowPunct/>
        <w:bidi w:val="0"/>
        <w:rPr>
          <w:rFonts w:hint="eastAsia" w:ascii="宋体" w:hAnsi="宋体" w:eastAsia="宋体" w:cs="宋体"/>
          <w:color w:val="auto"/>
          <w:highlight w:val="none"/>
        </w:rPr>
      </w:pPr>
    </w:p>
    <w:p w14:paraId="458AF8B9">
      <w:pPr>
        <w:pageBreakBefore w:val="0"/>
        <w:kinsoku/>
        <w:wordWrap/>
        <w:overflowPunct/>
        <w:bidi w:val="0"/>
        <w:rPr>
          <w:rFonts w:hint="eastAsia" w:ascii="宋体" w:hAnsi="宋体" w:eastAsia="宋体" w:cs="宋体"/>
          <w:color w:val="auto"/>
          <w:highlight w:val="none"/>
        </w:rPr>
      </w:pPr>
    </w:p>
    <w:p w14:paraId="797ED5A1">
      <w:pPr>
        <w:pageBreakBefore w:val="0"/>
        <w:kinsoku/>
        <w:wordWrap/>
        <w:overflowPunct/>
        <w:bidi w:val="0"/>
        <w:rPr>
          <w:rFonts w:hint="eastAsia" w:ascii="宋体" w:hAnsi="宋体" w:eastAsia="宋体" w:cs="宋体"/>
          <w:color w:val="auto"/>
          <w:highlight w:val="none"/>
        </w:rPr>
      </w:pPr>
    </w:p>
    <w:p w14:paraId="5C1E69FC">
      <w:pPr>
        <w:pageBreakBefore w:val="0"/>
        <w:kinsoku/>
        <w:wordWrap/>
        <w:overflowPunct/>
        <w:bidi w:val="0"/>
        <w:rPr>
          <w:rFonts w:hint="eastAsia" w:ascii="宋体" w:hAnsi="宋体" w:eastAsia="宋体" w:cs="宋体"/>
          <w:color w:val="auto"/>
          <w:highlight w:val="none"/>
        </w:rPr>
      </w:pPr>
    </w:p>
    <w:p w14:paraId="53BA4DC2">
      <w:pPr>
        <w:pageBreakBefore w:val="0"/>
        <w:kinsoku/>
        <w:wordWrap/>
        <w:overflowPunct/>
        <w:bidi w:val="0"/>
        <w:rPr>
          <w:rFonts w:hint="eastAsia" w:ascii="宋体" w:hAnsi="宋体" w:eastAsia="宋体" w:cs="宋体"/>
          <w:color w:val="auto"/>
          <w:highlight w:val="none"/>
        </w:rPr>
      </w:pPr>
    </w:p>
    <w:p w14:paraId="6F3792C5">
      <w:pPr>
        <w:pageBreakBefore w:val="0"/>
        <w:kinsoku/>
        <w:wordWrap/>
        <w:overflowPunct/>
        <w:bidi w:val="0"/>
        <w:rPr>
          <w:rFonts w:hint="eastAsia" w:ascii="宋体" w:hAnsi="宋体" w:eastAsia="宋体" w:cs="宋体"/>
          <w:color w:val="auto"/>
          <w:highlight w:val="none"/>
        </w:rPr>
      </w:pPr>
    </w:p>
    <w:p w14:paraId="32CD095F">
      <w:pPr>
        <w:pageBreakBefore w:val="0"/>
        <w:kinsoku/>
        <w:wordWrap/>
        <w:overflowPunct/>
        <w:bidi w:val="0"/>
        <w:rPr>
          <w:rFonts w:hint="eastAsia" w:ascii="宋体" w:hAnsi="宋体" w:eastAsia="宋体" w:cs="宋体"/>
          <w:color w:val="auto"/>
          <w:highlight w:val="none"/>
        </w:rPr>
      </w:pPr>
    </w:p>
    <w:p w14:paraId="747A1937">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01" w:name="_Toc32516"/>
      <w:bookmarkStart w:id="302" w:name="_Toc6212"/>
      <w:r>
        <w:rPr>
          <w:rFonts w:hint="eastAsia" w:ascii="宋体" w:hAnsi="宋体" w:eastAsia="宋体" w:cs="宋体"/>
          <w:b/>
          <w:bCs/>
          <w:color w:val="auto"/>
          <w:spacing w:val="-11"/>
          <w:sz w:val="24"/>
          <w:szCs w:val="24"/>
          <w:highlight w:val="none"/>
          <w:lang w:val="en-US" w:eastAsia="zh-CN"/>
        </w:rPr>
        <w:t>格式三   各项承诺一览表</w:t>
      </w:r>
      <w:bookmarkEnd w:id="301"/>
      <w:bookmarkEnd w:id="302"/>
    </w:p>
    <w:p w14:paraId="1E50F52C">
      <w:pPr>
        <w:pageBreakBefore w:val="0"/>
        <w:kinsoku/>
        <w:wordWrap/>
        <w:overflowPunct/>
        <w:bidi w:val="0"/>
        <w:adjustRightInd w:val="0"/>
        <w:snapToGrid w:val="0"/>
        <w:spacing w:before="260" w:after="260" w:line="360" w:lineRule="auto"/>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各项承诺一览表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606D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716" w:type="dxa"/>
            <w:noWrap w:val="0"/>
            <w:vAlign w:val="center"/>
          </w:tcPr>
          <w:p w14:paraId="42B41F15">
            <w:pPr>
              <w:pStyle w:val="62"/>
              <w:pageBreakBefore w:val="0"/>
              <w:kinsoku/>
              <w:wordWrap/>
              <w:overflowPunct/>
              <w:bidi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序号</w:t>
            </w:r>
          </w:p>
        </w:tc>
        <w:tc>
          <w:tcPr>
            <w:tcW w:w="1573" w:type="dxa"/>
            <w:noWrap w:val="0"/>
            <w:vAlign w:val="center"/>
          </w:tcPr>
          <w:p w14:paraId="28B2AB86">
            <w:pPr>
              <w:pStyle w:val="62"/>
              <w:pageBreakBefore w:val="0"/>
              <w:kinsoku/>
              <w:wordWrap/>
              <w:overflowPunct/>
              <w:bidi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承诺事项</w:t>
            </w:r>
          </w:p>
        </w:tc>
        <w:tc>
          <w:tcPr>
            <w:tcW w:w="2923" w:type="dxa"/>
            <w:noWrap w:val="0"/>
            <w:vAlign w:val="center"/>
          </w:tcPr>
          <w:p w14:paraId="17F76C2A">
            <w:pPr>
              <w:pStyle w:val="62"/>
              <w:pageBreakBefore w:val="0"/>
              <w:kinsoku/>
              <w:wordWrap/>
              <w:overflowPunct/>
              <w:bidi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承诺内容</w:t>
            </w:r>
          </w:p>
        </w:tc>
        <w:tc>
          <w:tcPr>
            <w:tcW w:w="4019" w:type="dxa"/>
            <w:noWrap w:val="0"/>
            <w:vAlign w:val="center"/>
          </w:tcPr>
          <w:p w14:paraId="688DFD5B">
            <w:pPr>
              <w:pStyle w:val="62"/>
              <w:pageBreakBefore w:val="0"/>
              <w:kinsoku/>
              <w:wordWrap/>
              <w:overflowPunct/>
              <w:bidi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违约承诺</w:t>
            </w:r>
          </w:p>
        </w:tc>
      </w:tr>
      <w:tr w14:paraId="04D2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16" w:type="dxa"/>
            <w:noWrap w:val="0"/>
            <w:vAlign w:val="center"/>
          </w:tcPr>
          <w:p w14:paraId="5958BEF9">
            <w:pPr>
              <w:pStyle w:val="62"/>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14:paraId="3487A474">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0BED1AE0">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noWrap w:val="0"/>
            <w:vAlign w:val="center"/>
          </w:tcPr>
          <w:p w14:paraId="02708758">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4019" w:type="dxa"/>
            <w:noWrap w:val="0"/>
            <w:vAlign w:val="center"/>
          </w:tcPr>
          <w:p w14:paraId="74CEC527">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636A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6" w:hRule="atLeast"/>
          <w:jc w:val="center"/>
        </w:trPr>
        <w:tc>
          <w:tcPr>
            <w:tcW w:w="716" w:type="dxa"/>
            <w:noWrap w:val="0"/>
            <w:vAlign w:val="center"/>
          </w:tcPr>
          <w:p w14:paraId="4C234E39">
            <w:pPr>
              <w:pStyle w:val="62"/>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14:paraId="7B709FA7">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0EC178BC">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noWrap w:val="0"/>
            <w:vAlign w:val="center"/>
          </w:tcPr>
          <w:p w14:paraId="1C927612">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4019" w:type="dxa"/>
            <w:noWrap w:val="0"/>
            <w:vAlign w:val="center"/>
          </w:tcPr>
          <w:p w14:paraId="414B34FF">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35F6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3" w:hRule="atLeast"/>
          <w:jc w:val="center"/>
        </w:trPr>
        <w:tc>
          <w:tcPr>
            <w:tcW w:w="716" w:type="dxa"/>
            <w:noWrap w:val="0"/>
            <w:vAlign w:val="center"/>
          </w:tcPr>
          <w:p w14:paraId="248211D3">
            <w:pPr>
              <w:pStyle w:val="62"/>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14:paraId="5115D9C4">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7D11496D">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4288B067">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noWrap w:val="0"/>
            <w:vAlign w:val="center"/>
          </w:tcPr>
          <w:p w14:paraId="3709780C">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noWrap w:val="0"/>
            <w:vAlign w:val="center"/>
          </w:tcPr>
          <w:p w14:paraId="6E87702E">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7414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3" w:hRule="atLeast"/>
          <w:jc w:val="center"/>
        </w:trPr>
        <w:tc>
          <w:tcPr>
            <w:tcW w:w="716" w:type="dxa"/>
            <w:noWrap w:val="0"/>
            <w:vAlign w:val="center"/>
          </w:tcPr>
          <w:p w14:paraId="31EAA839">
            <w:pPr>
              <w:pStyle w:val="62"/>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14:paraId="346FC519">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7AC888FE">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noWrap w:val="0"/>
            <w:vAlign w:val="center"/>
          </w:tcPr>
          <w:p w14:paraId="124AC659">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我方拟派项目经理现阶段没有担任任何在施（包括已中标未开工、已开工未竣工）建设工程项目的项目经理。</w:t>
            </w:r>
          </w:p>
        </w:tc>
        <w:tc>
          <w:tcPr>
            <w:tcW w:w="4019" w:type="dxa"/>
            <w:noWrap w:val="0"/>
            <w:vAlign w:val="center"/>
          </w:tcPr>
          <w:p w14:paraId="6293E7F5">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0F90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716" w:type="dxa"/>
            <w:noWrap w:val="0"/>
            <w:vAlign w:val="center"/>
          </w:tcPr>
          <w:p w14:paraId="1EDFD2C6">
            <w:pPr>
              <w:pStyle w:val="62"/>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14:paraId="53216285">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575AB90A">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noWrap w:val="0"/>
            <w:vAlign w:val="center"/>
          </w:tcPr>
          <w:p w14:paraId="42AB3134">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4019" w:type="dxa"/>
            <w:noWrap w:val="0"/>
            <w:vAlign w:val="center"/>
          </w:tcPr>
          <w:p w14:paraId="51609CB5">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7C18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16" w:type="dxa"/>
            <w:noWrap w:val="0"/>
            <w:vAlign w:val="center"/>
          </w:tcPr>
          <w:p w14:paraId="6B31AF3E">
            <w:pPr>
              <w:pStyle w:val="62"/>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14:paraId="05E969B8">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7291B7F4">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noWrap w:val="0"/>
            <w:vAlign w:val="center"/>
          </w:tcPr>
          <w:p w14:paraId="1B9704D9">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4019" w:type="dxa"/>
            <w:tcBorders>
              <w:bottom w:val="single" w:color="auto" w:sz="4" w:space="0"/>
            </w:tcBorders>
            <w:noWrap w:val="0"/>
            <w:vAlign w:val="center"/>
            <mc:AlternateContent>
              <mc:Choice Requires="wpsCustomData">
                <wpsCustomData:diagonals>
                  <wpsCustomData:diagonal from="20000" to="0">
                    <wpsCustomData:border w:val="single" w:color="auto" w:sz="4" w:space="0"/>
                  </wpsCustomData:diagonal>
                </wpsCustomData:diagonals>
              </mc:Choice>
            </mc:AlternateContent>
          </w:tcPr>
          <w:p w14:paraId="78231BCB">
            <w:pPr>
              <w:pStyle w:val="63"/>
              <w:pageBreakBefore w:val="0"/>
              <w:kinsoku/>
              <w:wordWrap/>
              <w:overflowPunct/>
              <w:bidi w:val="0"/>
              <w:adjustRightInd w:val="0"/>
              <w:snapToGrid w:val="0"/>
              <w:spacing w:line="360" w:lineRule="auto"/>
              <w:ind w:firstLine="0" w:firstLineChars="0"/>
              <w:jc w:val="left"/>
              <mc:AlternateContent>
                <mc:Choice Requires="wpsCustomData">
                  <wpsCustomData:diagonalParaType/>
                </mc:Choice>
              </mc:AlternateContent>
              <w:rPr>
                <w:rFonts w:hint="eastAsia" w:ascii="宋体" w:hAnsi="宋体" w:eastAsia="宋体" w:cs="宋体"/>
                <w:snapToGrid w:val="0"/>
                <w:color w:val="auto"/>
                <w:kern w:val="0"/>
                <w:sz w:val="21"/>
                <w:szCs w:val="21"/>
                <w:highlight w:val="none"/>
              </w:rPr>
            </w:pPr>
          </w:p>
          <w:p w14:paraId="4CC2F0D7">
            <w:pPr>
              <w:pStyle w:val="63"/>
              <w:pageBreakBefore w:val="0"/>
              <w:kinsoku/>
              <w:wordWrap/>
              <w:overflowPunct/>
              <w:bidi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75F8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043514C3">
            <w:pPr>
              <w:pStyle w:val="62"/>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14:paraId="235F3116">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14:paraId="59E6BB78">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2923" w:type="dxa"/>
            <w:noWrap w:val="0"/>
            <w:vAlign w:val="center"/>
          </w:tcPr>
          <w:p w14:paraId="04907DD5">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019" w:type="dxa"/>
            <w:tcBorders>
              <w:tr2bl w:val="single" w:color="auto" w:sz="4" w:space="0"/>
            </w:tcBorders>
            <w:noWrap w:val="0"/>
            <w:vAlign w:val="center"/>
          </w:tcPr>
          <w:p w14:paraId="70E0D9D1">
            <w:pPr>
              <w:pStyle w:val="63"/>
              <w:pageBreakBefore w:val="0"/>
              <w:kinsoku/>
              <w:wordWrap/>
              <w:overflowPunct/>
              <w:bidi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p w14:paraId="189C95F2">
            <w:pPr>
              <w:pStyle w:val="63"/>
              <w:pageBreakBefore w:val="0"/>
              <w:kinsoku/>
              <w:wordWrap/>
              <w:overflowPunct/>
              <w:bidi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6BFC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727DA8FA">
            <w:pPr>
              <w:pStyle w:val="62"/>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14:paraId="0D21C7D0">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14:paraId="18281251">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2923" w:type="dxa"/>
            <w:noWrap w:val="0"/>
            <w:vAlign w:val="center"/>
          </w:tcPr>
          <w:p w14:paraId="0EFF3052">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4019" w:type="dxa"/>
            <w:noWrap w:val="0"/>
            <w:vAlign w:val="center"/>
          </w:tcPr>
          <w:p w14:paraId="5019C284">
            <w:pPr>
              <w:pStyle w:val="63"/>
              <w:pageBreakBefore w:val="0"/>
              <w:kinsoku/>
              <w:wordWrap/>
              <w:overflowPunct/>
              <w:bidi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2DDE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105C35A9">
            <w:pPr>
              <w:pStyle w:val="62"/>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14:paraId="01E74381">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07DC4A37">
            <w:pPr>
              <w:pStyle w:val="63"/>
              <w:pageBreakBefore w:val="0"/>
              <w:kinsoku/>
              <w:wordWrap/>
              <w:overflowPunct/>
              <w:bidi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noWrap w:val="0"/>
            <w:vAlign w:val="center"/>
          </w:tcPr>
          <w:p w14:paraId="5A06FEEF">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noWrap w:val="0"/>
            <w:vAlign w:val="center"/>
          </w:tcPr>
          <w:p w14:paraId="1FD7AE5E">
            <w:pPr>
              <w:pStyle w:val="63"/>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24D3237B">
      <w:pPr>
        <w:pStyle w:val="62"/>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highlight w:val="none"/>
        </w:rPr>
      </w:pPr>
    </w:p>
    <w:p w14:paraId="046F0F03">
      <w:pPr>
        <w:pStyle w:val="15"/>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p>
    <w:p w14:paraId="484E4F6D">
      <w:pPr>
        <w:pStyle w:val="15"/>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0F7A98C2">
      <w:pPr>
        <w:pStyle w:val="15"/>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p>
    <w:p w14:paraId="2229334B">
      <w:pPr>
        <w:pStyle w:val="15"/>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p>
    <w:p w14:paraId="6E81400B">
      <w:pPr>
        <w:pStyle w:val="15"/>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法定代表人或其委托代理人：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26E5072B">
      <w:pPr>
        <w:pStyle w:val="15"/>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Cs w:val="24"/>
          <w:highlight w:val="none"/>
        </w:rPr>
      </w:pPr>
    </w:p>
    <w:p w14:paraId="74AA5DC2">
      <w:pPr>
        <w:pStyle w:val="15"/>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日</w:t>
      </w:r>
    </w:p>
    <w:p w14:paraId="5C841019">
      <w:pPr>
        <w:pageBreakBefore w:val="0"/>
        <w:kinsoku/>
        <w:wordWrap/>
        <w:overflowPunct/>
        <w:bidi w:val="0"/>
        <w:rPr>
          <w:rFonts w:hint="eastAsia" w:ascii="宋体" w:hAnsi="宋体" w:eastAsia="宋体" w:cs="宋体"/>
          <w:color w:val="auto"/>
          <w:highlight w:val="none"/>
        </w:rPr>
      </w:pPr>
    </w:p>
    <w:p w14:paraId="628D37FD">
      <w:pPr>
        <w:pageBreakBefore w:val="0"/>
        <w:kinsoku/>
        <w:wordWrap/>
        <w:overflowPunct/>
        <w:bidi w:val="0"/>
        <w:rPr>
          <w:rFonts w:hint="eastAsia" w:ascii="宋体" w:hAnsi="宋体" w:eastAsia="宋体" w:cs="宋体"/>
          <w:color w:val="auto"/>
          <w:highlight w:val="none"/>
        </w:rPr>
      </w:pPr>
    </w:p>
    <w:p w14:paraId="05699BF2">
      <w:pPr>
        <w:pageBreakBefore w:val="0"/>
        <w:kinsoku/>
        <w:wordWrap/>
        <w:overflowPunct/>
        <w:bidi w:val="0"/>
        <w:rPr>
          <w:rFonts w:hint="eastAsia" w:ascii="宋体" w:hAnsi="宋体" w:eastAsia="宋体" w:cs="宋体"/>
          <w:color w:val="auto"/>
          <w:highlight w:val="none"/>
        </w:rPr>
      </w:pPr>
    </w:p>
    <w:p w14:paraId="74DED8EF">
      <w:pPr>
        <w:pageBreakBefore w:val="0"/>
        <w:kinsoku/>
        <w:wordWrap/>
        <w:overflowPunct/>
        <w:bidi w:val="0"/>
        <w:rPr>
          <w:rFonts w:hint="eastAsia" w:ascii="宋体" w:hAnsi="宋体" w:eastAsia="宋体" w:cs="宋体"/>
          <w:color w:val="auto"/>
          <w:highlight w:val="none"/>
        </w:rPr>
      </w:pPr>
    </w:p>
    <w:p w14:paraId="255CDE9C">
      <w:pPr>
        <w:pageBreakBefore w:val="0"/>
        <w:kinsoku/>
        <w:wordWrap/>
        <w:overflowPunct/>
        <w:bidi w:val="0"/>
        <w:rPr>
          <w:rFonts w:hint="eastAsia" w:ascii="宋体" w:hAnsi="宋体" w:eastAsia="宋体" w:cs="宋体"/>
          <w:color w:val="auto"/>
          <w:highlight w:val="none"/>
        </w:rPr>
      </w:pPr>
    </w:p>
    <w:p w14:paraId="6C88DCBC">
      <w:pPr>
        <w:pageBreakBefore w:val="0"/>
        <w:kinsoku/>
        <w:wordWrap/>
        <w:overflowPunct/>
        <w:bidi w:val="0"/>
        <w:rPr>
          <w:rFonts w:hint="eastAsia" w:ascii="宋体" w:hAnsi="宋体" w:eastAsia="宋体" w:cs="宋体"/>
          <w:color w:val="auto"/>
          <w:highlight w:val="none"/>
        </w:rPr>
      </w:pPr>
    </w:p>
    <w:p w14:paraId="716F8935">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03" w:name="_Toc27327"/>
      <w:bookmarkStart w:id="304" w:name="_Toc1343"/>
      <w:r>
        <w:rPr>
          <w:rFonts w:hint="eastAsia" w:ascii="宋体" w:hAnsi="宋体" w:eastAsia="宋体" w:cs="宋体"/>
          <w:b/>
          <w:bCs/>
          <w:color w:val="auto"/>
          <w:spacing w:val="-11"/>
          <w:sz w:val="24"/>
          <w:szCs w:val="24"/>
          <w:highlight w:val="none"/>
          <w:lang w:val="en-US" w:eastAsia="zh-CN"/>
        </w:rPr>
        <w:t>格式四   授权委托书</w:t>
      </w:r>
      <w:bookmarkEnd w:id="303"/>
      <w:bookmarkEnd w:id="304"/>
    </w:p>
    <w:p w14:paraId="66087581">
      <w:pPr>
        <w:pageBreakBefore w:val="0"/>
        <w:kinsoku/>
        <w:wordWrap/>
        <w:overflowPunct/>
        <w:bidi w:val="0"/>
        <w:adjustRightInd w:val="0"/>
        <w:snapToGrid w:val="0"/>
        <w:spacing w:before="260" w:after="260" w:line="360" w:lineRule="auto"/>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授权委托书</w:t>
      </w:r>
    </w:p>
    <w:p w14:paraId="68A237FF">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8"/>
          <w:highlight w:val="none"/>
        </w:rPr>
      </w:pPr>
    </w:p>
    <w:p w14:paraId="572DC2E8">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（项目名称）投标文件、签订合同和处理有关事宜，其法律后果由我方承担。</w:t>
      </w:r>
    </w:p>
    <w:p w14:paraId="5B8DDD93">
      <w:pPr>
        <w:pageBreakBefore w:val="0"/>
        <w:kinsoku/>
        <w:wordWrap/>
        <w:overflowPunct/>
        <w:bidi w:val="0"/>
        <w:adjustRightInd w:val="0"/>
        <w:snapToGrid w:val="0"/>
        <w:spacing w:line="360" w:lineRule="auto"/>
        <w:ind w:firstLine="420" w:firstLineChars="200"/>
        <w:rPr>
          <w:rFonts w:hint="eastAsia" w:ascii="宋体" w:hAnsi="宋体" w:eastAsia="宋体" w:cs="宋体"/>
          <w:b w:val="0"/>
          <w:bCs w:val="0"/>
          <w:i w:val="0"/>
          <w:iCs w:val="0"/>
          <w:snapToGrid w:val="0"/>
          <w:color w:val="auto"/>
          <w:kern w:val="0"/>
          <w:szCs w:val="21"/>
          <w:highlight w:val="none"/>
        </w:rPr>
      </w:pPr>
      <w:r>
        <w:rPr>
          <w:rFonts w:hint="eastAsia" w:ascii="宋体" w:hAnsi="宋体" w:eastAsia="宋体" w:cs="宋体"/>
          <w:b w:val="0"/>
          <w:bCs w:val="0"/>
          <w:i w:val="0"/>
          <w:iCs w:val="0"/>
          <w:snapToGrid w:val="0"/>
          <w:color w:val="auto"/>
          <w:kern w:val="0"/>
          <w:szCs w:val="21"/>
          <w:highlight w:val="none"/>
        </w:rPr>
        <w:t>委托期限：</w:t>
      </w:r>
      <w:r>
        <w:rPr>
          <w:rFonts w:hint="eastAsia" w:ascii="宋体" w:hAnsi="宋体" w:eastAsia="宋体" w:cs="宋体"/>
          <w:b w:val="0"/>
          <w:bCs w:val="0"/>
          <w:i w:val="0"/>
          <w:iCs w:val="0"/>
          <w:snapToGrid w:val="0"/>
          <w:color w:val="auto"/>
          <w:kern w:val="0"/>
          <w:szCs w:val="21"/>
          <w:highlight w:val="none"/>
          <w:lang w:val="en-US" w:eastAsia="zh-CN"/>
        </w:rPr>
        <w:t>至</w:t>
      </w:r>
      <w:r>
        <w:rPr>
          <w:rFonts w:hint="eastAsia" w:ascii="宋体" w:hAnsi="宋体" w:eastAsia="宋体" w:cs="宋体"/>
          <w:b w:val="0"/>
          <w:bCs w:val="0"/>
          <w:i w:val="0"/>
          <w:iCs w:val="0"/>
          <w:snapToGrid w:val="0"/>
          <w:color w:val="auto"/>
          <w:kern w:val="0"/>
          <w:szCs w:val="21"/>
          <w:highlight w:val="none"/>
          <w:u w:val="single"/>
        </w:rPr>
        <w:t xml:space="preserve">     </w:t>
      </w:r>
      <w:r>
        <w:rPr>
          <w:rFonts w:hint="eastAsia" w:ascii="宋体" w:hAnsi="宋体" w:eastAsia="宋体" w:cs="宋体"/>
          <w:b w:val="0"/>
          <w:bCs w:val="0"/>
          <w:i w:val="0"/>
          <w:iCs w:val="0"/>
          <w:snapToGrid w:val="0"/>
          <w:color w:val="auto"/>
          <w:kern w:val="0"/>
          <w:szCs w:val="21"/>
          <w:highlight w:val="none"/>
          <w:lang w:val="en-US" w:eastAsia="zh-CN"/>
        </w:rPr>
        <w:t>年</w:t>
      </w:r>
      <w:r>
        <w:rPr>
          <w:rFonts w:hint="eastAsia" w:ascii="宋体" w:hAnsi="宋体" w:eastAsia="宋体" w:cs="宋体"/>
          <w:b w:val="0"/>
          <w:bCs w:val="0"/>
          <w:i w:val="0"/>
          <w:iCs w:val="0"/>
          <w:snapToGrid w:val="0"/>
          <w:color w:val="auto"/>
          <w:kern w:val="0"/>
          <w:szCs w:val="21"/>
          <w:highlight w:val="none"/>
          <w:u w:val="single"/>
        </w:rPr>
        <w:t xml:space="preserve">     </w:t>
      </w:r>
      <w:r>
        <w:rPr>
          <w:rFonts w:hint="eastAsia" w:ascii="宋体" w:hAnsi="宋体" w:eastAsia="宋体" w:cs="宋体"/>
          <w:b w:val="0"/>
          <w:bCs w:val="0"/>
          <w:i w:val="0"/>
          <w:iCs w:val="0"/>
          <w:snapToGrid w:val="0"/>
          <w:color w:val="auto"/>
          <w:kern w:val="0"/>
          <w:szCs w:val="21"/>
          <w:highlight w:val="none"/>
          <w:lang w:val="en-US" w:eastAsia="zh-CN"/>
        </w:rPr>
        <w:t>月</w:t>
      </w:r>
      <w:r>
        <w:rPr>
          <w:rFonts w:hint="eastAsia" w:ascii="宋体" w:hAnsi="宋体" w:eastAsia="宋体" w:cs="宋体"/>
          <w:b w:val="0"/>
          <w:bCs w:val="0"/>
          <w:i w:val="0"/>
          <w:iCs w:val="0"/>
          <w:snapToGrid w:val="0"/>
          <w:color w:val="auto"/>
          <w:kern w:val="0"/>
          <w:szCs w:val="21"/>
          <w:highlight w:val="none"/>
          <w:u w:val="single"/>
        </w:rPr>
        <w:t xml:space="preserve">     </w:t>
      </w:r>
      <w:r>
        <w:rPr>
          <w:rFonts w:hint="eastAsia" w:ascii="宋体" w:hAnsi="宋体" w:eastAsia="宋体" w:cs="宋体"/>
          <w:b w:val="0"/>
          <w:bCs w:val="0"/>
          <w:i w:val="0"/>
          <w:iCs w:val="0"/>
          <w:snapToGrid w:val="0"/>
          <w:color w:val="auto"/>
          <w:kern w:val="0"/>
          <w:szCs w:val="21"/>
          <w:highlight w:val="none"/>
          <w:lang w:val="en-US" w:eastAsia="zh-CN"/>
        </w:rPr>
        <w:t>日</w:t>
      </w:r>
      <w:r>
        <w:rPr>
          <w:rFonts w:hint="eastAsia" w:ascii="宋体" w:hAnsi="宋体" w:eastAsia="宋体" w:cs="宋体"/>
          <w:b w:val="0"/>
          <w:bCs w:val="0"/>
          <w:i w:val="0"/>
          <w:iCs w:val="0"/>
          <w:snapToGrid w:val="0"/>
          <w:color w:val="auto"/>
          <w:kern w:val="0"/>
          <w:szCs w:val="21"/>
          <w:highlight w:val="none"/>
          <w:u w:val="single"/>
          <w:lang w:val="en-US" w:eastAsia="zh-CN"/>
        </w:rPr>
        <w:t>（不得短于招标文件规定的投标有效期）</w:t>
      </w:r>
      <w:r>
        <w:rPr>
          <w:rFonts w:hint="eastAsia" w:ascii="宋体" w:hAnsi="宋体" w:eastAsia="宋体" w:cs="宋体"/>
          <w:b w:val="0"/>
          <w:bCs w:val="0"/>
          <w:i w:val="0"/>
          <w:iCs w:val="0"/>
          <w:snapToGrid w:val="0"/>
          <w:color w:val="auto"/>
          <w:kern w:val="0"/>
          <w:szCs w:val="21"/>
          <w:highlight w:val="none"/>
          <w:lang w:val="en-US" w:eastAsia="zh-CN"/>
        </w:rPr>
        <w:t>。</w:t>
      </w:r>
    </w:p>
    <w:p w14:paraId="756D8030">
      <w:pPr>
        <w:pageBreakBefore w:val="0"/>
        <w:kinsoku/>
        <w:wordWrap/>
        <w:overflowPunct/>
        <w:bidi w:val="0"/>
        <w:adjustRightInd w:val="0"/>
        <w:snapToGrid w:val="0"/>
        <w:spacing w:line="360" w:lineRule="auto"/>
        <w:ind w:firstLine="422" w:firstLineChars="200"/>
        <w:rPr>
          <w:rFonts w:hint="eastAsia" w:ascii="宋体" w:hAnsi="宋体" w:eastAsia="宋体" w:cs="宋体"/>
          <w:b/>
          <w:bCs/>
          <w:i w:val="0"/>
          <w:iCs w:val="0"/>
          <w:snapToGrid w:val="0"/>
          <w:color w:val="auto"/>
          <w:kern w:val="0"/>
          <w:szCs w:val="21"/>
          <w:highlight w:val="none"/>
        </w:rPr>
      </w:pPr>
    </w:p>
    <w:p w14:paraId="2A192204">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代理人无转委托权。</w:t>
      </w:r>
    </w:p>
    <w:p w14:paraId="0415E772">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Cs w:val="21"/>
          <w:highlight w:val="none"/>
        </w:rPr>
      </w:pPr>
    </w:p>
    <w:p w14:paraId="1C8A9DF5">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Cs w:val="21"/>
          <w:highlight w:val="none"/>
        </w:rPr>
      </w:pPr>
    </w:p>
    <w:p w14:paraId="6259FD5E">
      <w:pPr>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投  标  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6A252D18">
      <w:pPr>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13BADAF4">
      <w:pPr>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56C03AB1">
      <w:pPr>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委托代理人：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188ECF2A">
      <w:pPr>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4D7910DF">
      <w:pPr>
        <w:pageBreakBefore w:val="0"/>
        <w:kinsoku/>
        <w:wordWrap/>
        <w:overflowPunct/>
        <w:bidi w:val="0"/>
        <w:adjustRightInd w:val="0"/>
        <w:snapToGrid w:val="0"/>
        <w:spacing w:line="360" w:lineRule="auto"/>
        <w:ind w:firstLine="420" w:firstLineChars="2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6BD1BF">
      <w:pPr>
        <w:pageBreakBefore w:val="0"/>
        <w:kinsoku/>
        <w:wordWrap/>
        <w:overflowPunct/>
        <w:bidi w:val="0"/>
        <w:rPr>
          <w:rFonts w:hint="eastAsia" w:ascii="宋体" w:hAnsi="宋体" w:eastAsia="宋体" w:cs="宋体"/>
          <w:color w:val="auto"/>
          <w:highlight w:val="none"/>
        </w:rPr>
      </w:pPr>
    </w:p>
    <w:p w14:paraId="10596A54">
      <w:pPr>
        <w:pageBreakBefore w:val="0"/>
        <w:kinsoku/>
        <w:wordWrap/>
        <w:overflowPunct/>
        <w:bidi w:val="0"/>
        <w:rPr>
          <w:rFonts w:hint="eastAsia" w:ascii="宋体" w:hAnsi="宋体" w:eastAsia="宋体" w:cs="宋体"/>
          <w:color w:val="auto"/>
          <w:highlight w:val="none"/>
        </w:rPr>
      </w:pPr>
    </w:p>
    <w:p w14:paraId="0C542C18">
      <w:pPr>
        <w:pageBreakBefore w:val="0"/>
        <w:kinsoku/>
        <w:wordWrap/>
        <w:overflowPunct/>
        <w:bidi w:val="0"/>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5ED4BC5">
                            <w:pPr>
                              <w:jc w:val="center"/>
                              <w:rPr>
                                <w:rFonts w:hint="eastAsia"/>
                                <w:szCs w:val="21"/>
                              </w:rPr>
                            </w:pPr>
                          </w:p>
                          <w:p w14:paraId="201C270E">
                            <w:pPr>
                              <w:jc w:val="both"/>
                              <w:rPr>
                                <w:rFonts w:hint="eastAsia"/>
                                <w:szCs w:val="21"/>
                              </w:rPr>
                            </w:pPr>
                          </w:p>
                          <w:p w14:paraId="6CB2FB26">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35ED4BC5">
                      <w:pPr>
                        <w:jc w:val="center"/>
                        <w:rPr>
                          <w:rFonts w:hint="eastAsia"/>
                          <w:szCs w:val="21"/>
                        </w:rPr>
                      </w:pPr>
                    </w:p>
                    <w:p w14:paraId="201C270E">
                      <w:pPr>
                        <w:jc w:val="both"/>
                        <w:rPr>
                          <w:rFonts w:hint="eastAsia"/>
                          <w:szCs w:val="21"/>
                        </w:rPr>
                      </w:pPr>
                    </w:p>
                    <w:p w14:paraId="6CB2FB26">
                      <w:pPr>
                        <w:jc w:val="center"/>
                        <w:rPr>
                          <w:szCs w:val="21"/>
                        </w:rPr>
                      </w:pPr>
                      <w:r>
                        <w:rPr>
                          <w:rFonts w:hint="eastAsia"/>
                          <w:szCs w:val="21"/>
                        </w:rPr>
                        <w:t>委托代理人身份证彩色扫描件正、反面</w:t>
                      </w:r>
                    </w:p>
                  </w:txbxContent>
                </v:textbox>
              </v:shape>
            </w:pict>
          </mc:Fallback>
        </mc:AlternateContent>
      </w:r>
    </w:p>
    <w:p w14:paraId="61BED0D8">
      <w:pPr>
        <w:pageBreakBefore w:val="0"/>
        <w:kinsoku/>
        <w:wordWrap/>
        <w:overflowPunct/>
        <w:bidi w:val="0"/>
        <w:rPr>
          <w:rFonts w:hint="eastAsia" w:ascii="宋体" w:hAnsi="宋体" w:eastAsia="宋体" w:cs="宋体"/>
          <w:color w:val="auto"/>
          <w:highlight w:val="none"/>
        </w:rPr>
      </w:pPr>
    </w:p>
    <w:p w14:paraId="6DCC7A25">
      <w:pPr>
        <w:pageBreakBefore w:val="0"/>
        <w:kinsoku/>
        <w:wordWrap/>
        <w:overflowPunct/>
        <w:bidi w:val="0"/>
        <w:rPr>
          <w:rFonts w:hint="eastAsia" w:ascii="宋体" w:hAnsi="宋体" w:eastAsia="宋体" w:cs="宋体"/>
          <w:color w:val="auto"/>
          <w:highlight w:val="none"/>
        </w:rPr>
      </w:pPr>
    </w:p>
    <w:p w14:paraId="6A1F5D3C">
      <w:pPr>
        <w:pageBreakBefore w:val="0"/>
        <w:kinsoku/>
        <w:wordWrap/>
        <w:overflowPunct/>
        <w:bidi w:val="0"/>
        <w:rPr>
          <w:rFonts w:hint="eastAsia" w:ascii="宋体" w:hAnsi="宋体" w:eastAsia="宋体" w:cs="宋体"/>
          <w:color w:val="auto"/>
          <w:highlight w:val="none"/>
        </w:rPr>
      </w:pPr>
    </w:p>
    <w:p w14:paraId="02ECA28D">
      <w:pPr>
        <w:pageBreakBefore w:val="0"/>
        <w:kinsoku/>
        <w:wordWrap/>
        <w:overflowPunct/>
        <w:bidi w:val="0"/>
        <w:rPr>
          <w:rFonts w:hint="eastAsia" w:ascii="宋体" w:hAnsi="宋体" w:eastAsia="宋体" w:cs="宋体"/>
          <w:color w:val="auto"/>
          <w:highlight w:val="none"/>
        </w:rPr>
      </w:pPr>
    </w:p>
    <w:p w14:paraId="683343FB">
      <w:pPr>
        <w:pageBreakBefore w:val="0"/>
        <w:kinsoku/>
        <w:wordWrap/>
        <w:overflowPunct/>
        <w:bidi w:val="0"/>
        <w:rPr>
          <w:rFonts w:hint="eastAsia" w:ascii="宋体" w:hAnsi="宋体" w:eastAsia="宋体" w:cs="宋体"/>
          <w:color w:val="auto"/>
          <w:highlight w:val="none"/>
        </w:rPr>
      </w:pPr>
    </w:p>
    <w:p w14:paraId="3E5D6803">
      <w:pPr>
        <w:pageBreakBefore w:val="0"/>
        <w:kinsoku/>
        <w:wordWrap/>
        <w:overflowPunct/>
        <w:bidi w:val="0"/>
        <w:rPr>
          <w:rFonts w:hint="eastAsia" w:ascii="宋体" w:hAnsi="宋体" w:eastAsia="宋体" w:cs="宋体"/>
          <w:color w:val="auto"/>
          <w:highlight w:val="none"/>
        </w:rPr>
      </w:pPr>
    </w:p>
    <w:p w14:paraId="3D6B16A0">
      <w:pPr>
        <w:pageBreakBefore w:val="0"/>
        <w:kinsoku/>
        <w:wordWrap/>
        <w:overflowPunct/>
        <w:bidi w:val="0"/>
        <w:rPr>
          <w:rFonts w:hint="eastAsia" w:ascii="宋体" w:hAnsi="宋体" w:eastAsia="宋体" w:cs="宋体"/>
          <w:color w:val="auto"/>
          <w:highlight w:val="none"/>
        </w:rPr>
      </w:pPr>
    </w:p>
    <w:p w14:paraId="6B336B49">
      <w:pPr>
        <w:pageBreakBefore w:val="0"/>
        <w:kinsoku/>
        <w:wordWrap/>
        <w:overflowPunct/>
        <w:bidi w:val="0"/>
        <w:rPr>
          <w:rFonts w:hint="eastAsia" w:ascii="宋体" w:hAnsi="宋体" w:eastAsia="宋体" w:cs="宋体"/>
          <w:color w:val="auto"/>
          <w:highlight w:val="none"/>
        </w:rPr>
      </w:pPr>
    </w:p>
    <w:p w14:paraId="6A08C93E">
      <w:pPr>
        <w:pageBreakBefore w:val="0"/>
        <w:kinsoku/>
        <w:wordWrap/>
        <w:overflowPunct/>
        <w:bidi w:val="0"/>
        <w:rPr>
          <w:rFonts w:hint="eastAsia" w:ascii="宋体" w:hAnsi="宋体" w:eastAsia="宋体" w:cs="宋体"/>
          <w:color w:val="auto"/>
          <w:highlight w:val="none"/>
        </w:rPr>
      </w:pPr>
    </w:p>
    <w:p w14:paraId="77315177">
      <w:pPr>
        <w:pageBreakBefore w:val="0"/>
        <w:kinsoku/>
        <w:wordWrap/>
        <w:overflowPunct/>
        <w:bidi w:val="0"/>
        <w:rPr>
          <w:rFonts w:hint="eastAsia" w:ascii="宋体" w:hAnsi="宋体" w:eastAsia="宋体" w:cs="宋体"/>
          <w:color w:val="auto"/>
          <w:highlight w:val="none"/>
        </w:rPr>
      </w:pPr>
    </w:p>
    <w:p w14:paraId="47167783">
      <w:pPr>
        <w:pageBreakBefore w:val="0"/>
        <w:kinsoku/>
        <w:wordWrap/>
        <w:overflowPunct/>
        <w:bidi w:val="0"/>
        <w:rPr>
          <w:rFonts w:hint="eastAsia" w:ascii="宋体" w:hAnsi="宋体" w:eastAsia="宋体" w:cs="宋体"/>
          <w:color w:val="auto"/>
          <w:highlight w:val="none"/>
        </w:rPr>
      </w:pPr>
    </w:p>
    <w:p w14:paraId="3E918856">
      <w:pPr>
        <w:pageBreakBefore w:val="0"/>
        <w:kinsoku/>
        <w:wordWrap/>
        <w:overflowPunct/>
        <w:bidi w:val="0"/>
        <w:rPr>
          <w:rFonts w:hint="eastAsia" w:ascii="宋体" w:hAnsi="宋体" w:eastAsia="宋体" w:cs="宋体"/>
          <w:color w:val="auto"/>
          <w:highlight w:val="none"/>
        </w:rPr>
      </w:pPr>
    </w:p>
    <w:p w14:paraId="67BC31A3">
      <w:pPr>
        <w:pageBreakBefore w:val="0"/>
        <w:kinsoku/>
        <w:wordWrap/>
        <w:overflowPunct/>
        <w:bidi w:val="0"/>
        <w:rPr>
          <w:rFonts w:hint="eastAsia" w:ascii="宋体" w:hAnsi="宋体" w:eastAsia="宋体" w:cs="宋体"/>
          <w:color w:val="auto"/>
          <w:highlight w:val="none"/>
        </w:rPr>
      </w:pPr>
    </w:p>
    <w:p w14:paraId="5DEF4393">
      <w:pPr>
        <w:pageBreakBefore w:val="0"/>
        <w:kinsoku/>
        <w:wordWrap/>
        <w:overflowPunct/>
        <w:bidi w:val="0"/>
        <w:rPr>
          <w:rFonts w:hint="eastAsia" w:ascii="宋体" w:hAnsi="宋体" w:eastAsia="宋体" w:cs="宋体"/>
          <w:color w:val="auto"/>
          <w:highlight w:val="none"/>
        </w:rPr>
      </w:pPr>
    </w:p>
    <w:p w14:paraId="0F7FAC28">
      <w:pPr>
        <w:pageBreakBefore w:val="0"/>
        <w:kinsoku/>
        <w:wordWrap/>
        <w:overflowPunct/>
        <w:bidi w:val="0"/>
        <w:rPr>
          <w:rFonts w:hint="eastAsia" w:ascii="宋体" w:hAnsi="宋体" w:eastAsia="宋体" w:cs="宋体"/>
          <w:color w:val="auto"/>
          <w:highlight w:val="none"/>
        </w:rPr>
      </w:pPr>
    </w:p>
    <w:p w14:paraId="0EFBE34F">
      <w:pPr>
        <w:pageBreakBefore w:val="0"/>
        <w:kinsoku/>
        <w:wordWrap/>
        <w:overflowPunct/>
        <w:bidi w:val="0"/>
        <w:rPr>
          <w:rFonts w:hint="eastAsia" w:ascii="宋体" w:hAnsi="宋体" w:eastAsia="宋体" w:cs="宋体"/>
          <w:color w:val="auto"/>
          <w:highlight w:val="none"/>
        </w:rPr>
      </w:pPr>
    </w:p>
    <w:p w14:paraId="196529BF">
      <w:pPr>
        <w:pageBreakBefore w:val="0"/>
        <w:kinsoku/>
        <w:wordWrap/>
        <w:overflowPunct/>
        <w:bidi w:val="0"/>
        <w:rPr>
          <w:rFonts w:hint="eastAsia" w:ascii="宋体" w:hAnsi="宋体" w:eastAsia="宋体" w:cs="宋体"/>
          <w:color w:val="auto"/>
          <w:highlight w:val="none"/>
        </w:rPr>
      </w:pPr>
    </w:p>
    <w:p w14:paraId="4FC40903">
      <w:pPr>
        <w:pageBreakBefore w:val="0"/>
        <w:kinsoku/>
        <w:wordWrap/>
        <w:overflowPunct/>
        <w:bidi w:val="0"/>
        <w:rPr>
          <w:rFonts w:hint="eastAsia" w:ascii="宋体" w:hAnsi="宋体" w:eastAsia="宋体" w:cs="宋体"/>
          <w:color w:val="auto"/>
          <w:highlight w:val="none"/>
        </w:rPr>
      </w:pPr>
    </w:p>
    <w:p w14:paraId="3E17E85F">
      <w:pPr>
        <w:pageBreakBefore w:val="0"/>
        <w:kinsoku/>
        <w:wordWrap/>
        <w:overflowPunct/>
        <w:bidi w:val="0"/>
        <w:rPr>
          <w:rFonts w:hint="eastAsia" w:ascii="宋体" w:hAnsi="宋体" w:eastAsia="宋体" w:cs="宋体"/>
          <w:color w:val="auto"/>
          <w:highlight w:val="none"/>
        </w:rPr>
      </w:pPr>
    </w:p>
    <w:p w14:paraId="3705CA0A">
      <w:pPr>
        <w:pageBreakBefore w:val="0"/>
        <w:kinsoku/>
        <w:wordWrap/>
        <w:overflowPunct/>
        <w:bidi w:val="0"/>
        <w:rPr>
          <w:rFonts w:hint="eastAsia" w:ascii="宋体" w:hAnsi="宋体" w:eastAsia="宋体" w:cs="宋体"/>
          <w:color w:val="auto"/>
          <w:highlight w:val="none"/>
        </w:rPr>
      </w:pPr>
    </w:p>
    <w:p w14:paraId="14B86FF1">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05" w:name="_Toc14327"/>
      <w:bookmarkStart w:id="306" w:name="_Toc24252"/>
      <w:r>
        <w:rPr>
          <w:rFonts w:hint="eastAsia" w:ascii="宋体" w:hAnsi="宋体" w:eastAsia="宋体" w:cs="宋体"/>
          <w:b/>
          <w:bCs/>
          <w:color w:val="auto"/>
          <w:spacing w:val="-11"/>
          <w:sz w:val="24"/>
          <w:szCs w:val="24"/>
          <w:highlight w:val="none"/>
          <w:lang w:val="en-US" w:eastAsia="zh-CN"/>
        </w:rPr>
        <w:t>格式五   法定代表人身份证明</w:t>
      </w:r>
      <w:bookmarkEnd w:id="305"/>
      <w:bookmarkEnd w:id="306"/>
    </w:p>
    <w:p w14:paraId="09613183">
      <w:pPr>
        <w:pageBreakBefore w:val="0"/>
        <w:kinsoku/>
        <w:wordWrap/>
        <w:overflowPunct/>
        <w:bidi w:val="0"/>
        <w:adjustRightInd w:val="0"/>
        <w:snapToGrid w:val="0"/>
        <w:spacing w:before="260" w:after="260" w:line="360" w:lineRule="auto"/>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法定代表人身份证明</w:t>
      </w:r>
    </w:p>
    <w:p w14:paraId="58A9CFE4">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1"/>
          <w:highlight w:val="none"/>
        </w:rPr>
      </w:pPr>
    </w:p>
    <w:p w14:paraId="540C6373">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投标人名称：</w:t>
      </w:r>
      <w:r>
        <w:rPr>
          <w:rFonts w:hint="eastAsia" w:ascii="宋体" w:hAnsi="宋体" w:eastAsia="宋体" w:cs="宋体"/>
          <w:snapToGrid w:val="0"/>
          <w:color w:val="auto"/>
          <w:kern w:val="0"/>
          <w:szCs w:val="21"/>
          <w:highlight w:val="none"/>
          <w:u w:val="single"/>
        </w:rPr>
        <w:t xml:space="preserve">                  </w:t>
      </w:r>
    </w:p>
    <w:p w14:paraId="3AB35966">
      <w:pPr>
        <w:pageBreakBefore w:val="0"/>
        <w:kinsoku/>
        <w:wordWrap/>
        <w:overflowPunct/>
        <w:bidi w:val="0"/>
        <w:adjustRightInd w:val="0"/>
        <w:snapToGrid w:val="0"/>
        <w:spacing w:line="360" w:lineRule="auto"/>
        <w:ind w:firstLine="1050" w:firstLineChars="5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姓名：</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性别：</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年龄：</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职务：</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w:t>
      </w:r>
    </w:p>
    <w:p w14:paraId="7481C7F6">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特此证明。</w:t>
      </w:r>
    </w:p>
    <w:p w14:paraId="14AE9157">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1"/>
          <w:highlight w:val="none"/>
        </w:rPr>
      </w:pPr>
    </w:p>
    <w:p w14:paraId="13D37778">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1"/>
          <w:highlight w:val="none"/>
        </w:rPr>
      </w:pPr>
    </w:p>
    <w:p w14:paraId="51B836BE">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3BD0D72E">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1"/>
          <w:highlight w:val="none"/>
        </w:rPr>
      </w:pPr>
    </w:p>
    <w:p w14:paraId="26453FAF">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77CFA69C">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4B16DAD1">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 xml:space="preserve">日       </w:t>
      </w:r>
    </w:p>
    <w:p w14:paraId="36F7072C">
      <w:pPr>
        <w:pageBreakBefore w:val="0"/>
        <w:kinsoku/>
        <w:wordWrap/>
        <w:overflowPunct/>
        <w:bidi w:val="0"/>
        <w:adjustRightInd w:val="0"/>
        <w:snapToGrid w:val="0"/>
        <w:spacing w:line="360" w:lineRule="auto"/>
        <w:ind w:firstLine="210" w:firstLineChars="100"/>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0919DBBA">
      <w:pPr>
        <w:pageBreakBefore w:val="0"/>
        <w:kinsoku/>
        <w:wordWrap/>
        <w:overflowPunct/>
        <w:bidi w:val="0"/>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i/>
          <w:iCs/>
          <w:snapToGrid w:val="0"/>
          <w:color w:val="auto"/>
          <w:kern w:val="0"/>
          <w:szCs w:val="21"/>
          <w:highlight w:val="none"/>
        </w:rPr>
        <w:t xml:space="preserve"> </w:t>
      </w:r>
    </w:p>
    <w:p w14:paraId="12653D35">
      <w:pPr>
        <w:pageBreakBefore w:val="0"/>
        <w:kinsoku/>
        <w:wordWrap/>
        <w:overflowPunct/>
        <w:bidi w:val="0"/>
        <w:rPr>
          <w:rFonts w:hint="eastAsia" w:ascii="宋体" w:hAnsi="宋体" w:eastAsia="宋体" w:cs="宋体"/>
          <w:color w:val="auto"/>
          <w:highlight w:val="none"/>
        </w:rPr>
      </w:pPr>
    </w:p>
    <w:p w14:paraId="4C25B00A">
      <w:pPr>
        <w:pageBreakBefore w:val="0"/>
        <w:kinsoku/>
        <w:wordWrap/>
        <w:overflowPunct/>
        <w:bidi w:val="0"/>
        <w:rPr>
          <w:rFonts w:hint="eastAsia" w:ascii="宋体" w:hAnsi="宋体" w:eastAsia="宋体" w:cs="宋体"/>
          <w:color w:val="auto"/>
          <w:highlight w:val="none"/>
        </w:rPr>
      </w:pPr>
    </w:p>
    <w:p w14:paraId="26C1E0A4">
      <w:pPr>
        <w:pageBreakBefore w:val="0"/>
        <w:kinsoku/>
        <w:wordWrap/>
        <w:overflowPunct/>
        <w:bidi w:val="0"/>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32125E3">
                            <w:pPr>
                              <w:jc w:val="both"/>
                              <w:rPr>
                                <w:rFonts w:hint="eastAsia"/>
                                <w:szCs w:val="21"/>
                              </w:rPr>
                            </w:pPr>
                          </w:p>
                          <w:p w14:paraId="2F711A31">
                            <w:pPr>
                              <w:jc w:val="center"/>
                              <w:rPr>
                                <w:rFonts w:hint="eastAsia"/>
                                <w:szCs w:val="21"/>
                              </w:rPr>
                            </w:pPr>
                          </w:p>
                          <w:p w14:paraId="20F0F4F4">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127.5pt;margin-top:1.6pt;height:124.75pt;width:222.45pt;z-index:251660288;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hXUptgAAAAJAQAADwAAAAAAAAABACAAAAAiAAAAZHJzL2Rvd25yZXYueG1sUEsBAhQAFAAAAAgA&#10;h07iQP2aoBQlAgAAVAQAAA4AAAAAAAAAAQAgAAAAJwEAAGRycy9lMm9Eb2MueG1sUEsFBgAAAAAG&#10;AAYAWQEAAL4FAAAAAA==&#10;">
                <v:fill on="t" focussize="0,0"/>
                <v:stroke color="#000000" joinstyle="miter"/>
                <v:imagedata o:title=""/>
                <o:lock v:ext="edit" aspectratio="f"/>
                <v:textbox>
                  <w:txbxContent>
                    <w:p w14:paraId="532125E3">
                      <w:pPr>
                        <w:jc w:val="both"/>
                        <w:rPr>
                          <w:rFonts w:hint="eastAsia"/>
                          <w:szCs w:val="21"/>
                        </w:rPr>
                      </w:pPr>
                    </w:p>
                    <w:p w14:paraId="2F711A31">
                      <w:pPr>
                        <w:jc w:val="center"/>
                        <w:rPr>
                          <w:rFonts w:hint="eastAsia"/>
                          <w:szCs w:val="21"/>
                        </w:rPr>
                      </w:pPr>
                    </w:p>
                    <w:p w14:paraId="20F0F4F4">
                      <w:pPr>
                        <w:jc w:val="center"/>
                        <w:rPr>
                          <w:szCs w:val="21"/>
                        </w:rPr>
                      </w:pPr>
                      <w:r>
                        <w:rPr>
                          <w:rFonts w:hint="eastAsia"/>
                          <w:szCs w:val="21"/>
                        </w:rPr>
                        <w:t>法定代表人身份证彩色扫描件正、反面</w:t>
                      </w:r>
                    </w:p>
                  </w:txbxContent>
                </v:textbox>
              </v:shape>
            </w:pict>
          </mc:Fallback>
        </mc:AlternateContent>
      </w:r>
    </w:p>
    <w:p w14:paraId="6BB36E90">
      <w:pPr>
        <w:pageBreakBefore w:val="0"/>
        <w:kinsoku/>
        <w:wordWrap/>
        <w:overflowPunct/>
        <w:bidi w:val="0"/>
        <w:rPr>
          <w:rFonts w:hint="eastAsia" w:ascii="宋体" w:hAnsi="宋体" w:eastAsia="宋体" w:cs="宋体"/>
          <w:color w:val="auto"/>
          <w:highlight w:val="none"/>
        </w:rPr>
      </w:pPr>
    </w:p>
    <w:p w14:paraId="001E54A3">
      <w:pPr>
        <w:pageBreakBefore w:val="0"/>
        <w:kinsoku/>
        <w:wordWrap/>
        <w:overflowPunct/>
        <w:bidi w:val="0"/>
        <w:rPr>
          <w:rFonts w:hint="eastAsia" w:ascii="宋体" w:hAnsi="宋体" w:eastAsia="宋体" w:cs="宋体"/>
          <w:color w:val="auto"/>
          <w:highlight w:val="none"/>
        </w:rPr>
      </w:pPr>
    </w:p>
    <w:p w14:paraId="632F3628">
      <w:pPr>
        <w:pageBreakBefore w:val="0"/>
        <w:kinsoku/>
        <w:wordWrap/>
        <w:overflowPunct/>
        <w:bidi w:val="0"/>
        <w:rPr>
          <w:rFonts w:hint="eastAsia" w:ascii="宋体" w:hAnsi="宋体" w:eastAsia="宋体" w:cs="宋体"/>
          <w:color w:val="auto"/>
          <w:highlight w:val="none"/>
        </w:rPr>
      </w:pPr>
    </w:p>
    <w:p w14:paraId="330D22E7">
      <w:pPr>
        <w:pageBreakBefore w:val="0"/>
        <w:kinsoku/>
        <w:wordWrap/>
        <w:overflowPunct/>
        <w:bidi w:val="0"/>
        <w:rPr>
          <w:rFonts w:hint="eastAsia" w:ascii="宋体" w:hAnsi="宋体" w:eastAsia="宋体" w:cs="宋体"/>
          <w:color w:val="auto"/>
          <w:highlight w:val="none"/>
        </w:rPr>
      </w:pPr>
    </w:p>
    <w:p w14:paraId="4BB9672C">
      <w:pPr>
        <w:pageBreakBefore w:val="0"/>
        <w:kinsoku/>
        <w:wordWrap/>
        <w:overflowPunct/>
        <w:bidi w:val="0"/>
        <w:rPr>
          <w:rFonts w:hint="eastAsia" w:ascii="宋体" w:hAnsi="宋体" w:eastAsia="宋体" w:cs="宋体"/>
          <w:color w:val="auto"/>
          <w:highlight w:val="none"/>
        </w:rPr>
      </w:pPr>
    </w:p>
    <w:p w14:paraId="2994404E">
      <w:pPr>
        <w:pageBreakBefore w:val="0"/>
        <w:kinsoku/>
        <w:wordWrap/>
        <w:overflowPunct/>
        <w:bidi w:val="0"/>
        <w:rPr>
          <w:rFonts w:hint="eastAsia" w:ascii="宋体" w:hAnsi="宋体" w:eastAsia="宋体" w:cs="宋体"/>
          <w:color w:val="auto"/>
          <w:highlight w:val="none"/>
        </w:rPr>
      </w:pPr>
    </w:p>
    <w:p w14:paraId="5F31FA10">
      <w:pPr>
        <w:pageBreakBefore w:val="0"/>
        <w:kinsoku/>
        <w:wordWrap/>
        <w:overflowPunct/>
        <w:bidi w:val="0"/>
        <w:rPr>
          <w:rFonts w:hint="eastAsia" w:ascii="宋体" w:hAnsi="宋体" w:eastAsia="宋体" w:cs="宋体"/>
          <w:color w:val="auto"/>
          <w:highlight w:val="none"/>
        </w:rPr>
      </w:pPr>
    </w:p>
    <w:p w14:paraId="6144B3B2">
      <w:pPr>
        <w:pageBreakBefore w:val="0"/>
        <w:kinsoku/>
        <w:wordWrap/>
        <w:overflowPunct/>
        <w:bidi w:val="0"/>
        <w:rPr>
          <w:rFonts w:hint="eastAsia" w:ascii="宋体" w:hAnsi="宋体" w:eastAsia="宋体" w:cs="宋体"/>
          <w:color w:val="auto"/>
          <w:highlight w:val="none"/>
        </w:rPr>
      </w:pPr>
    </w:p>
    <w:p w14:paraId="33375A46">
      <w:pPr>
        <w:pageBreakBefore w:val="0"/>
        <w:kinsoku/>
        <w:wordWrap/>
        <w:overflowPunct/>
        <w:bidi w:val="0"/>
        <w:rPr>
          <w:rFonts w:hint="eastAsia" w:ascii="宋体" w:hAnsi="宋体" w:eastAsia="宋体" w:cs="宋体"/>
          <w:color w:val="auto"/>
          <w:highlight w:val="none"/>
        </w:rPr>
      </w:pPr>
    </w:p>
    <w:p w14:paraId="6A658622">
      <w:pPr>
        <w:pageBreakBefore w:val="0"/>
        <w:kinsoku/>
        <w:wordWrap/>
        <w:overflowPunct/>
        <w:bidi w:val="0"/>
        <w:rPr>
          <w:rFonts w:hint="eastAsia" w:ascii="宋体" w:hAnsi="宋体" w:eastAsia="宋体" w:cs="宋体"/>
          <w:color w:val="auto"/>
          <w:highlight w:val="none"/>
        </w:rPr>
      </w:pPr>
    </w:p>
    <w:p w14:paraId="24F286FA">
      <w:pPr>
        <w:pageBreakBefore w:val="0"/>
        <w:kinsoku/>
        <w:wordWrap/>
        <w:overflowPunct/>
        <w:bidi w:val="0"/>
        <w:rPr>
          <w:rFonts w:hint="eastAsia" w:ascii="宋体" w:hAnsi="宋体" w:eastAsia="宋体" w:cs="宋体"/>
          <w:color w:val="auto"/>
          <w:highlight w:val="none"/>
        </w:rPr>
      </w:pPr>
    </w:p>
    <w:p w14:paraId="693204F3">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92E9D21">
      <w:pPr>
        <w:spacing w:before="78" w:line="220" w:lineRule="auto"/>
        <w:outlineLvl w:val="2"/>
        <w:rPr>
          <w:rFonts w:hint="eastAsia" w:ascii="宋体" w:hAnsi="宋体" w:eastAsia="宋体" w:cs="宋体"/>
          <w:b/>
          <w:bCs/>
          <w:color w:val="auto"/>
          <w:spacing w:val="-4"/>
          <w:sz w:val="24"/>
          <w:szCs w:val="24"/>
          <w:highlight w:val="none"/>
        </w:rPr>
      </w:pPr>
      <w:bookmarkStart w:id="307" w:name="_Toc23975"/>
      <w:r>
        <w:rPr>
          <w:rFonts w:hint="eastAsia" w:ascii="宋体" w:hAnsi="宋体" w:eastAsia="宋体" w:cs="宋体"/>
          <w:b/>
          <w:bCs/>
          <w:color w:val="auto"/>
          <w:spacing w:val="-4"/>
          <w:sz w:val="24"/>
          <w:szCs w:val="24"/>
          <w:highlight w:val="none"/>
        </w:rPr>
        <w:t>格式六 联合体协议书</w:t>
      </w:r>
      <w:bookmarkEnd w:id="307"/>
    </w:p>
    <w:p w14:paraId="6220D0CA">
      <w:pPr>
        <w:spacing w:before="98" w:line="219" w:lineRule="auto"/>
        <w:ind w:left="3638"/>
        <w:rPr>
          <w:rFonts w:hint="eastAsia" w:ascii="宋体" w:hAnsi="宋体" w:eastAsia="宋体" w:cs="宋体"/>
          <w:color w:val="auto"/>
          <w:sz w:val="30"/>
          <w:szCs w:val="30"/>
          <w:highlight w:val="none"/>
        </w:rPr>
      </w:pPr>
      <w:bookmarkStart w:id="308" w:name="bookmark153"/>
      <w:bookmarkEnd w:id="308"/>
      <w:r>
        <w:rPr>
          <w:rFonts w:hint="eastAsia" w:ascii="宋体" w:hAnsi="宋体" w:eastAsia="宋体" w:cs="宋体"/>
          <w:b/>
          <w:bCs/>
          <w:color w:val="auto"/>
          <w:spacing w:val="-5"/>
          <w:sz w:val="30"/>
          <w:szCs w:val="30"/>
          <w:highlight w:val="none"/>
        </w:rPr>
        <w:t>联合体协议书</w:t>
      </w:r>
    </w:p>
    <w:p w14:paraId="1661594B">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snapToGrid w:val="0"/>
          <w:color w:val="auto"/>
          <w:sz w:val="21"/>
          <w:szCs w:val="21"/>
          <w:highlight w:val="none"/>
          <w:lang w:val="en-US" w:eastAsia="en-US" w:bidi="ar-SA"/>
        </w:rPr>
      </w:pPr>
    </w:p>
    <w:p w14:paraId="3AF05B5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5FCA2E92">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BECB4C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5CF0C045">
      <w:pPr>
        <w:outlineLvl w:val="9"/>
        <w:rPr>
          <w:rFonts w:hint="eastAsia"/>
          <w:color w:val="auto"/>
          <w:highlight w:val="none"/>
        </w:rPr>
      </w:pPr>
    </w:p>
    <w:p w14:paraId="64ED916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1E7D539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60474505">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719ABD01">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40E848EC">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pacing w:val="-1"/>
          <w:sz w:val="24"/>
          <w:szCs w:val="24"/>
          <w:highlight w:val="none"/>
        </w:rPr>
        <w:t>合体投标事宜订立如下协议：</w:t>
      </w:r>
    </w:p>
    <w:p w14:paraId="185BF427">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23ADF3E3">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文件编制活动，代表联合体提交和接收相关的资料、信息及指示，并处理与投标和中标有关的一切事务；联合体中标后，联合体牵头人负责合同订立和合同实施阶段的主办、组织和协调工作。</w:t>
      </w:r>
    </w:p>
    <w:p w14:paraId="0E30224D">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后的合同，共同承担合同规定的一切义务和责任，联合体各成员单位按照内部职责的部</w:t>
      </w:r>
      <w:r>
        <w:rPr>
          <w:rFonts w:hint="eastAsia" w:ascii="宋体" w:hAnsi="宋体" w:eastAsia="宋体" w:cs="宋体"/>
          <w:color w:val="auto"/>
          <w:spacing w:val="-1"/>
          <w:sz w:val="24"/>
          <w:szCs w:val="24"/>
          <w:highlight w:val="none"/>
        </w:rPr>
        <w:t>分，承担各自所负的责任和风险，并向招标人承担连带责任。</w:t>
      </w:r>
    </w:p>
    <w:p w14:paraId="62EC881C">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309" w:name="_Toc32149"/>
      <w:bookmarkStart w:id="310"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309"/>
      <w:bookmarkEnd w:id="310"/>
    </w:p>
    <w:p w14:paraId="38E92738">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25AA7738">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7FE34D9C">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686D66C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311" w:name="_Toc26708"/>
      <w:bookmarkStart w:id="312"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311"/>
      <w:bookmarkEnd w:id="312"/>
    </w:p>
    <w:p w14:paraId="6BB406D9">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313" w:name="bookmark154"/>
      <w:bookmarkEnd w:id="313"/>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0716AF93">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snapToGrid w:val="0"/>
          <w:color w:val="auto"/>
          <w:sz w:val="21"/>
          <w:szCs w:val="21"/>
          <w:highlight w:val="none"/>
          <w:lang w:val="en-US" w:eastAsia="en-US" w:bidi="ar-SA"/>
        </w:rPr>
      </w:pPr>
    </w:p>
    <w:p w14:paraId="52533C55">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4A4DB85F">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1566FEBB">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snapToGrid w:val="0"/>
          <w:color w:val="auto"/>
          <w:sz w:val="21"/>
          <w:szCs w:val="21"/>
          <w:highlight w:val="none"/>
          <w:lang w:val="en-US" w:eastAsia="en-US" w:bidi="ar-SA"/>
        </w:rPr>
      </w:pPr>
    </w:p>
    <w:p w14:paraId="6CC45C9E">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58B3F04D">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69B842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snapToGrid w:val="0"/>
          <w:color w:val="auto"/>
          <w:sz w:val="21"/>
          <w:szCs w:val="21"/>
          <w:highlight w:val="none"/>
          <w:lang w:val="en-US" w:eastAsia="en-US" w:bidi="ar-SA"/>
        </w:rPr>
      </w:pPr>
    </w:p>
    <w:p w14:paraId="49BE3B9A">
      <w:pPr>
        <w:pageBreakBefore w:val="0"/>
        <w:kinsoku/>
        <w:wordWrap/>
        <w:overflowPunct/>
        <w:bidi w:val="0"/>
        <w:rPr>
          <w:rFonts w:hint="eastAsia" w:ascii="宋体" w:hAnsi="宋体" w:eastAsia="宋体" w:cs="宋体"/>
          <w:color w:val="auto"/>
          <w:spacing w:val="-2"/>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6214226D">
      <w:pPr>
        <w:rPr>
          <w:rFonts w:hint="eastAsia" w:ascii="宋体" w:hAnsi="宋体" w:eastAsia="宋体" w:cs="宋体"/>
          <w:color w:val="auto"/>
          <w:spacing w:val="-2"/>
          <w:sz w:val="20"/>
          <w:szCs w:val="20"/>
          <w:highlight w:val="none"/>
        </w:rPr>
      </w:pPr>
      <w:r>
        <w:rPr>
          <w:rFonts w:hint="eastAsia" w:ascii="宋体" w:hAnsi="宋体" w:eastAsia="宋体" w:cs="宋体"/>
          <w:color w:val="auto"/>
          <w:spacing w:val="-2"/>
          <w:sz w:val="20"/>
          <w:szCs w:val="20"/>
          <w:highlight w:val="none"/>
        </w:rPr>
        <w:br w:type="page"/>
      </w:r>
    </w:p>
    <w:p w14:paraId="143AB608">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14" w:name="_Toc102"/>
      <w:bookmarkStart w:id="315" w:name="_Toc15233"/>
      <w:r>
        <w:rPr>
          <w:rFonts w:hint="eastAsia" w:ascii="宋体" w:hAnsi="宋体" w:eastAsia="宋体" w:cs="宋体"/>
          <w:b/>
          <w:bCs/>
          <w:color w:val="auto"/>
          <w:spacing w:val="-11"/>
          <w:sz w:val="24"/>
          <w:szCs w:val="24"/>
          <w:highlight w:val="none"/>
          <w:lang w:val="en-US" w:eastAsia="zh-CN"/>
        </w:rPr>
        <w:t>格式七    投标人基本情况表</w:t>
      </w:r>
      <w:bookmarkEnd w:id="314"/>
      <w:bookmarkEnd w:id="315"/>
    </w:p>
    <w:p w14:paraId="53B6A321">
      <w:pPr>
        <w:pStyle w:val="61"/>
        <w:pageBreakBefore w:val="0"/>
        <w:widowControl w:val="0"/>
        <w:kinsoku/>
        <w:wordWrap/>
        <w:overflowPunct/>
        <w:bidi w:val="0"/>
        <w:adjustRightInd w:val="0"/>
        <w:snapToGrid w:val="0"/>
        <w:spacing w:before="260" w:after="260" w:line="240" w:lineRule="auto"/>
        <w:ind w:firstLine="0"/>
        <w:jc w:val="center"/>
        <w:rPr>
          <w:rFonts w:hint="eastAsia"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1409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85" w:type="dxa"/>
            <w:noWrap w:val="0"/>
            <w:vAlign w:val="center"/>
          </w:tcPr>
          <w:p w14:paraId="1F5E6A1E">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投标人名称</w:t>
            </w:r>
          </w:p>
        </w:tc>
        <w:tc>
          <w:tcPr>
            <w:tcW w:w="7020" w:type="dxa"/>
            <w:gridSpan w:val="8"/>
            <w:noWrap w:val="0"/>
            <w:vAlign w:val="center"/>
          </w:tcPr>
          <w:p w14:paraId="338CD7A5">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50CE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485" w:type="dxa"/>
            <w:noWrap w:val="0"/>
            <w:vAlign w:val="center"/>
          </w:tcPr>
          <w:p w14:paraId="4F3A3455">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注册地址</w:t>
            </w:r>
          </w:p>
        </w:tc>
        <w:tc>
          <w:tcPr>
            <w:tcW w:w="3389" w:type="dxa"/>
            <w:gridSpan w:val="3"/>
            <w:noWrap w:val="0"/>
            <w:vAlign w:val="center"/>
          </w:tcPr>
          <w:p w14:paraId="4824853B">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0762499C">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邮政编码</w:t>
            </w:r>
          </w:p>
        </w:tc>
        <w:tc>
          <w:tcPr>
            <w:tcW w:w="2385" w:type="dxa"/>
            <w:gridSpan w:val="3"/>
            <w:noWrap w:val="0"/>
            <w:vAlign w:val="center"/>
          </w:tcPr>
          <w:p w14:paraId="29AEF494">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2819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485" w:type="dxa"/>
            <w:vMerge w:val="restart"/>
            <w:noWrap w:val="0"/>
            <w:vAlign w:val="center"/>
          </w:tcPr>
          <w:p w14:paraId="005A109A">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联系方式</w:t>
            </w:r>
          </w:p>
        </w:tc>
        <w:tc>
          <w:tcPr>
            <w:tcW w:w="897" w:type="dxa"/>
            <w:noWrap w:val="0"/>
            <w:vAlign w:val="center"/>
          </w:tcPr>
          <w:p w14:paraId="1CDD0028">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联系人</w:t>
            </w:r>
          </w:p>
        </w:tc>
        <w:tc>
          <w:tcPr>
            <w:tcW w:w="2492" w:type="dxa"/>
            <w:gridSpan w:val="2"/>
            <w:noWrap w:val="0"/>
            <w:vAlign w:val="center"/>
          </w:tcPr>
          <w:p w14:paraId="7A1F7045">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7B9A7A9B">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  话</w:t>
            </w:r>
          </w:p>
        </w:tc>
        <w:tc>
          <w:tcPr>
            <w:tcW w:w="2385" w:type="dxa"/>
            <w:gridSpan w:val="3"/>
            <w:noWrap w:val="0"/>
            <w:vAlign w:val="center"/>
          </w:tcPr>
          <w:p w14:paraId="66A62316">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0A0D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485" w:type="dxa"/>
            <w:vMerge w:val="continue"/>
            <w:noWrap w:val="0"/>
            <w:vAlign w:val="center"/>
          </w:tcPr>
          <w:p w14:paraId="2F52E139">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897" w:type="dxa"/>
            <w:noWrap w:val="0"/>
            <w:vAlign w:val="center"/>
          </w:tcPr>
          <w:p w14:paraId="4AF67B27">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传  真</w:t>
            </w:r>
          </w:p>
        </w:tc>
        <w:tc>
          <w:tcPr>
            <w:tcW w:w="2492" w:type="dxa"/>
            <w:gridSpan w:val="2"/>
            <w:noWrap w:val="0"/>
            <w:vAlign w:val="center"/>
          </w:tcPr>
          <w:p w14:paraId="63F7C353">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1E86FE0D">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电子邮箱</w:t>
            </w:r>
          </w:p>
        </w:tc>
        <w:tc>
          <w:tcPr>
            <w:tcW w:w="2385" w:type="dxa"/>
            <w:gridSpan w:val="3"/>
            <w:noWrap w:val="0"/>
            <w:vAlign w:val="center"/>
          </w:tcPr>
          <w:p w14:paraId="0D1A3437">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4CC4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1485" w:type="dxa"/>
            <w:noWrap w:val="0"/>
            <w:vAlign w:val="center"/>
          </w:tcPr>
          <w:p w14:paraId="1D074B88">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单位性质</w:t>
            </w:r>
          </w:p>
        </w:tc>
        <w:tc>
          <w:tcPr>
            <w:tcW w:w="7020" w:type="dxa"/>
            <w:gridSpan w:val="8"/>
            <w:noWrap w:val="0"/>
            <w:vAlign w:val="center"/>
          </w:tcPr>
          <w:p w14:paraId="17E2BE77">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379D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61900B63">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w:t>
            </w:r>
          </w:p>
        </w:tc>
        <w:tc>
          <w:tcPr>
            <w:tcW w:w="897" w:type="dxa"/>
            <w:noWrap w:val="0"/>
            <w:vAlign w:val="center"/>
          </w:tcPr>
          <w:p w14:paraId="0DD24313">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姓名</w:t>
            </w:r>
          </w:p>
        </w:tc>
        <w:tc>
          <w:tcPr>
            <w:tcW w:w="1689" w:type="dxa"/>
            <w:noWrap w:val="0"/>
            <w:vAlign w:val="center"/>
          </w:tcPr>
          <w:p w14:paraId="6B968462">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noWrap w:val="0"/>
            <w:vAlign w:val="center"/>
          </w:tcPr>
          <w:p w14:paraId="58E84C41">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技术职称</w:t>
            </w:r>
          </w:p>
        </w:tc>
        <w:tc>
          <w:tcPr>
            <w:tcW w:w="1220" w:type="dxa"/>
            <w:gridSpan w:val="2"/>
            <w:noWrap w:val="0"/>
            <w:vAlign w:val="center"/>
          </w:tcPr>
          <w:p w14:paraId="33B8317C">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709" w:type="dxa"/>
            <w:noWrap w:val="0"/>
            <w:vAlign w:val="center"/>
          </w:tcPr>
          <w:p w14:paraId="6E6CA876">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电话</w:t>
            </w:r>
          </w:p>
        </w:tc>
        <w:tc>
          <w:tcPr>
            <w:tcW w:w="1416" w:type="dxa"/>
            <w:noWrap w:val="0"/>
            <w:vAlign w:val="center"/>
          </w:tcPr>
          <w:p w14:paraId="6C8B5919">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643C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485" w:type="dxa"/>
            <w:noWrap w:val="0"/>
            <w:vAlign w:val="center"/>
          </w:tcPr>
          <w:p w14:paraId="0A8DF084">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成立时间</w:t>
            </w:r>
          </w:p>
        </w:tc>
        <w:tc>
          <w:tcPr>
            <w:tcW w:w="2586" w:type="dxa"/>
            <w:gridSpan w:val="2"/>
            <w:noWrap w:val="0"/>
            <w:vAlign w:val="center"/>
          </w:tcPr>
          <w:p w14:paraId="5104AEE9">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4434" w:type="dxa"/>
            <w:gridSpan w:val="6"/>
            <w:noWrap w:val="0"/>
            <w:vAlign w:val="center"/>
          </w:tcPr>
          <w:p w14:paraId="21133CCA">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员工总人数（个）：</w:t>
            </w:r>
          </w:p>
        </w:tc>
      </w:tr>
      <w:tr w14:paraId="17A0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85" w:type="dxa"/>
            <w:noWrap w:val="0"/>
            <w:vAlign w:val="center"/>
          </w:tcPr>
          <w:p w14:paraId="7DAA4B35">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企业资质</w:t>
            </w:r>
          </w:p>
          <w:p w14:paraId="3060BCDA">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类型和等级</w:t>
            </w:r>
          </w:p>
        </w:tc>
        <w:tc>
          <w:tcPr>
            <w:tcW w:w="2586" w:type="dxa"/>
            <w:gridSpan w:val="2"/>
            <w:noWrap w:val="0"/>
            <w:vAlign w:val="center"/>
          </w:tcPr>
          <w:p w14:paraId="69FFFC26">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restart"/>
            <w:noWrap w:val="0"/>
            <w:vAlign w:val="center"/>
          </w:tcPr>
          <w:p w14:paraId="2951E8B3">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其中</w:t>
            </w:r>
          </w:p>
        </w:tc>
        <w:tc>
          <w:tcPr>
            <w:tcW w:w="1929" w:type="dxa"/>
            <w:gridSpan w:val="3"/>
            <w:noWrap w:val="0"/>
            <w:vAlign w:val="center"/>
          </w:tcPr>
          <w:p w14:paraId="10A76B07">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项目经理</w:t>
            </w:r>
          </w:p>
        </w:tc>
        <w:tc>
          <w:tcPr>
            <w:tcW w:w="1416" w:type="dxa"/>
            <w:noWrap w:val="0"/>
            <w:vAlign w:val="center"/>
          </w:tcPr>
          <w:p w14:paraId="31D0B562">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3829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exact"/>
          <w:jc w:val="center"/>
        </w:trPr>
        <w:tc>
          <w:tcPr>
            <w:tcW w:w="1485" w:type="dxa"/>
            <w:noWrap w:val="0"/>
            <w:vAlign w:val="center"/>
          </w:tcPr>
          <w:p w14:paraId="5B9824B9">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营业执照号</w:t>
            </w:r>
          </w:p>
        </w:tc>
        <w:tc>
          <w:tcPr>
            <w:tcW w:w="2586" w:type="dxa"/>
            <w:gridSpan w:val="2"/>
            <w:noWrap w:val="0"/>
            <w:vAlign w:val="center"/>
          </w:tcPr>
          <w:p w14:paraId="791A985D">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4D71DDBD">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6D1569DE">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高级职称人员</w:t>
            </w:r>
          </w:p>
        </w:tc>
        <w:tc>
          <w:tcPr>
            <w:tcW w:w="1416" w:type="dxa"/>
            <w:noWrap w:val="0"/>
            <w:vAlign w:val="center"/>
          </w:tcPr>
          <w:p w14:paraId="7D0B54C6">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4C3B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jc w:val="center"/>
        </w:trPr>
        <w:tc>
          <w:tcPr>
            <w:tcW w:w="1485" w:type="dxa"/>
            <w:noWrap w:val="0"/>
            <w:vAlign w:val="center"/>
          </w:tcPr>
          <w:p w14:paraId="13245F5C">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注册资金</w:t>
            </w:r>
          </w:p>
        </w:tc>
        <w:tc>
          <w:tcPr>
            <w:tcW w:w="2586" w:type="dxa"/>
            <w:gridSpan w:val="2"/>
            <w:noWrap w:val="0"/>
            <w:vAlign w:val="center"/>
          </w:tcPr>
          <w:p w14:paraId="4BBE96E5">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7B0EB2E6">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1D277CA6">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中级职称人员</w:t>
            </w:r>
          </w:p>
        </w:tc>
        <w:tc>
          <w:tcPr>
            <w:tcW w:w="1416" w:type="dxa"/>
            <w:noWrap w:val="0"/>
            <w:vAlign w:val="center"/>
          </w:tcPr>
          <w:p w14:paraId="5DB1AC0C">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3802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485" w:type="dxa"/>
            <w:noWrap w:val="0"/>
            <w:vAlign w:val="center"/>
          </w:tcPr>
          <w:p w14:paraId="10815DEC">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0FBBE568">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开户银行</w:t>
            </w:r>
          </w:p>
        </w:tc>
        <w:tc>
          <w:tcPr>
            <w:tcW w:w="2586" w:type="dxa"/>
            <w:gridSpan w:val="2"/>
            <w:noWrap w:val="0"/>
            <w:vAlign w:val="center"/>
          </w:tcPr>
          <w:p w14:paraId="7177D233">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102FD1A0">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03E26018">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初级职称人员</w:t>
            </w:r>
          </w:p>
        </w:tc>
        <w:tc>
          <w:tcPr>
            <w:tcW w:w="1416" w:type="dxa"/>
            <w:noWrap w:val="0"/>
            <w:vAlign w:val="center"/>
          </w:tcPr>
          <w:p w14:paraId="59C9DABA">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454D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1485" w:type="dxa"/>
            <w:noWrap w:val="0"/>
            <w:vAlign w:val="center"/>
          </w:tcPr>
          <w:p w14:paraId="7059B497">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44767438">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银行账号</w:t>
            </w:r>
          </w:p>
        </w:tc>
        <w:tc>
          <w:tcPr>
            <w:tcW w:w="2586" w:type="dxa"/>
            <w:gridSpan w:val="2"/>
            <w:noWrap w:val="0"/>
            <w:vAlign w:val="center"/>
          </w:tcPr>
          <w:p w14:paraId="375D0989">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65205087">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573D8441">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技术员</w:t>
            </w:r>
          </w:p>
        </w:tc>
        <w:tc>
          <w:tcPr>
            <w:tcW w:w="1416" w:type="dxa"/>
            <w:noWrap w:val="0"/>
            <w:vAlign w:val="center"/>
          </w:tcPr>
          <w:p w14:paraId="3B0533B3">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6491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5" w:type="dxa"/>
            <w:noWrap w:val="0"/>
            <w:vAlign w:val="center"/>
          </w:tcPr>
          <w:p w14:paraId="6BDB8E90">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经营范围</w:t>
            </w:r>
          </w:p>
        </w:tc>
        <w:tc>
          <w:tcPr>
            <w:tcW w:w="7020" w:type="dxa"/>
            <w:gridSpan w:val="8"/>
            <w:noWrap w:val="0"/>
            <w:vAlign w:val="center"/>
          </w:tcPr>
          <w:p w14:paraId="2CA0F450">
            <w:pPr>
              <w:pStyle w:val="64"/>
              <w:pageBreakBefore w:val="0"/>
              <w:kinsoku/>
              <w:wordWrap/>
              <w:overflowPunct/>
              <w:bidi w:val="0"/>
              <w:adjustRightInd w:val="0"/>
              <w:snapToGrid w:val="0"/>
              <w:spacing w:line="360" w:lineRule="auto"/>
              <w:jc w:val="left"/>
              <w:rPr>
                <w:rFonts w:hint="eastAsia" w:ascii="宋体" w:hAnsi="宋体" w:eastAsia="宋体" w:cs="宋体"/>
                <w:snapToGrid w:val="0"/>
                <w:color w:val="auto"/>
                <w:kern w:val="0"/>
                <w:szCs w:val="21"/>
                <w:highlight w:val="none"/>
              </w:rPr>
            </w:pPr>
          </w:p>
        </w:tc>
      </w:tr>
      <w:tr w14:paraId="52E8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1485" w:type="dxa"/>
            <w:noWrap w:val="0"/>
            <w:vAlign w:val="center"/>
          </w:tcPr>
          <w:p w14:paraId="4E31F12A">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关联企业情况</w:t>
            </w:r>
          </w:p>
        </w:tc>
        <w:tc>
          <w:tcPr>
            <w:tcW w:w="7020" w:type="dxa"/>
            <w:gridSpan w:val="8"/>
            <w:noWrap w:val="0"/>
            <w:vAlign w:val="center"/>
          </w:tcPr>
          <w:p w14:paraId="61991BD2">
            <w:pPr>
              <w:pStyle w:val="64"/>
              <w:pageBreakBefore w:val="0"/>
              <w:kinsoku/>
              <w:wordWrap/>
              <w:overflowPunct/>
              <w:bidi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包括但不限于与投标人存在以下关系的不同单位：</w:t>
            </w:r>
          </w:p>
          <w:p w14:paraId="25823A94">
            <w:pPr>
              <w:pStyle w:val="64"/>
              <w:pageBreakBefore w:val="0"/>
              <w:kinsoku/>
              <w:wordWrap/>
              <w:overflowPunct/>
              <w:bidi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法定代表人为同一人的。</w:t>
            </w:r>
          </w:p>
          <w:p w14:paraId="4A80F19E">
            <w:pPr>
              <w:pStyle w:val="64"/>
              <w:pageBreakBefore w:val="0"/>
              <w:kinsoku/>
              <w:wordWrap/>
              <w:overflowPunct/>
              <w:bidi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存在控股、管理关系的。</w:t>
            </w:r>
          </w:p>
          <w:p w14:paraId="546624C5">
            <w:pPr>
              <w:pStyle w:val="64"/>
              <w:pageBreakBefore w:val="0"/>
              <w:kinsoku/>
              <w:wordWrap/>
              <w:overflowPunct/>
              <w:bidi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主要人员相互任职的。</w:t>
            </w:r>
          </w:p>
        </w:tc>
      </w:tr>
      <w:tr w14:paraId="116F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5" w:type="dxa"/>
            <w:noWrap w:val="0"/>
            <w:vAlign w:val="center"/>
          </w:tcPr>
          <w:p w14:paraId="584EA065">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备注</w:t>
            </w:r>
          </w:p>
        </w:tc>
        <w:tc>
          <w:tcPr>
            <w:tcW w:w="7020" w:type="dxa"/>
            <w:gridSpan w:val="8"/>
            <w:noWrap w:val="0"/>
            <w:vAlign w:val="center"/>
          </w:tcPr>
          <w:p w14:paraId="124B712D">
            <w:pPr>
              <w:pStyle w:val="64"/>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Cs w:val="21"/>
                <w:highlight w:val="none"/>
              </w:rPr>
            </w:pPr>
          </w:p>
        </w:tc>
      </w:tr>
    </w:tbl>
    <w:p w14:paraId="4939D955">
      <w:pPr>
        <w:pStyle w:val="64"/>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说明：</w:t>
      </w:r>
    </w:p>
    <w:p w14:paraId="2014D061">
      <w:pPr>
        <w:pStyle w:val="64"/>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Cs w:val="21"/>
          <w:highlight w:val="none"/>
        </w:rPr>
      </w:pPr>
      <w:bookmarkStart w:id="316" w:name="_Toc32526"/>
      <w:r>
        <w:rPr>
          <w:rFonts w:hint="eastAsia" w:ascii="宋体" w:hAnsi="宋体" w:eastAsia="宋体" w:cs="宋体"/>
          <w:snapToGrid w:val="0"/>
          <w:color w:val="auto"/>
          <w:kern w:val="0"/>
          <w:szCs w:val="21"/>
          <w:highlight w:val="none"/>
        </w:rPr>
        <w:t>1</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《投标人基本情况表》后应附以下资料：</w:t>
      </w:r>
      <w:bookmarkEnd w:id="316"/>
    </w:p>
    <w:p w14:paraId="5FC0DE77">
      <w:pPr>
        <w:pStyle w:val="64"/>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（1）企业营业执照、资质证书、安全生产许可证的</w:t>
      </w:r>
      <w:r>
        <w:rPr>
          <w:rFonts w:hint="eastAsia" w:ascii="宋体" w:hAnsi="宋体" w:eastAsia="宋体" w:cs="宋体"/>
          <w:b/>
          <w:bCs/>
          <w:snapToGrid w:val="0"/>
          <w:color w:val="auto"/>
          <w:kern w:val="0"/>
          <w:szCs w:val="21"/>
          <w:highlight w:val="none"/>
          <w:lang w:val="en-US" w:eastAsia="zh-CN"/>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企业的安全生产许可证实时网页查询路径：登录“中华人民共和国住房和城乡建设部”，进入 “全国工程质量安全监管信息平台公共服务门户”版块，具体网址为：https://zlaq.mohurd.gov.cn，进入后点击“安全生产许可证信息”，输入企业名称和统一社会信用代码即可查询。如中标后，投标单位安全生产许可证发生被暂扣情形，需双方另行协商）</w:t>
      </w:r>
      <w:r>
        <w:rPr>
          <w:rFonts w:hint="eastAsia" w:ascii="宋体" w:hAnsi="宋体" w:eastAsia="宋体" w:cs="宋体"/>
          <w:b/>
          <w:bCs/>
          <w:snapToGrid w:val="0"/>
          <w:color w:val="auto"/>
          <w:kern w:val="0"/>
          <w:szCs w:val="21"/>
          <w:highlight w:val="none"/>
        </w:rPr>
        <w:t>；</w:t>
      </w:r>
    </w:p>
    <w:p w14:paraId="07D556BE">
      <w:pPr>
        <w:pStyle w:val="64"/>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Cs w:val="21"/>
          <w:highlight w:val="none"/>
        </w:rPr>
        <w:t>（2）“进粤企业和人员诚信信</w:t>
      </w:r>
      <w:r>
        <w:rPr>
          <w:rFonts w:hint="eastAsia" w:ascii="宋体" w:hAnsi="宋体" w:eastAsia="宋体" w:cs="宋体"/>
          <w:snapToGrid w:val="0"/>
          <w:color w:val="auto"/>
          <w:kern w:val="0"/>
          <w:highlight w:val="none"/>
        </w:rPr>
        <w:t>息登记平台”企业信息情况打印页彩色扫描件或网页截图。（适用于省外建筑企业）；</w:t>
      </w:r>
    </w:p>
    <w:p w14:paraId="0280223A">
      <w:pPr>
        <w:pStyle w:val="64"/>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highlight w:val="none"/>
        </w:rPr>
        <w:t>《法人和非法人组织公共信用信息报告》(在“信用中国”网站企业查询界面中下载) 。</w:t>
      </w:r>
    </w:p>
    <w:p w14:paraId="426AAF63">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17" w:name="_Toc23039"/>
      <w:bookmarkStart w:id="318" w:name="_Toc8882"/>
      <w:r>
        <w:rPr>
          <w:rFonts w:hint="eastAsia" w:ascii="宋体" w:hAnsi="宋体" w:eastAsia="宋体" w:cs="宋体"/>
          <w:b/>
          <w:bCs/>
          <w:color w:val="auto"/>
          <w:spacing w:val="-11"/>
          <w:sz w:val="24"/>
          <w:szCs w:val="24"/>
          <w:highlight w:val="none"/>
          <w:lang w:val="en-US" w:eastAsia="zh-CN"/>
        </w:rPr>
        <w:t>格式八   项目经理简历表</w:t>
      </w:r>
      <w:bookmarkEnd w:id="317"/>
      <w:bookmarkEnd w:id="318"/>
    </w:p>
    <w:tbl>
      <w:tblPr>
        <w:tblStyle w:val="25"/>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CB61F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B56E75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7A85DF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183A75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D4225F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CA00F74">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119A79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69C63A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D5BABF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A3C9DB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96336A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24FF960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BA84EC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484DC2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3E0CC2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1E1C2C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5C4DCE3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E576ED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B9EDB8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495D64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23C2143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以项目经理身份参与过的主要业绩（已完工项目）</w:t>
            </w:r>
          </w:p>
        </w:tc>
      </w:tr>
      <w:tr w14:paraId="3413E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63FE25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00952E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C1CBA6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EC89A3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A7962D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A928A3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6653FD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926741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345822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3AD82C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49ADCE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09924B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2DC386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2475D5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2ABFA7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520A4C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A91C04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A2077B4">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518EA9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AF2ECC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280BA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9C3E40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2E7052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82ABA0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6DB0CB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856575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C2617E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1F5CA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CB66F2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F1A1B4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75A391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5F95647">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24D1994">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2E536B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bl>
    <w:p w14:paraId="6CEDCDC0">
      <w:pPr>
        <w:pageBreakBefore w:val="0"/>
        <w:kinsoku/>
        <w:wordWrap/>
        <w:overflowPunct/>
        <w:bidi w:val="0"/>
        <w:jc w:val="center"/>
        <w:rPr>
          <w:rFonts w:hint="eastAsia" w:ascii="宋体" w:hAnsi="宋体" w:eastAsia="宋体" w:cs="宋体"/>
          <w:b/>
          <w:bCs/>
          <w:color w:val="auto"/>
          <w:sz w:val="30"/>
          <w:szCs w:val="30"/>
          <w:highlight w:val="none"/>
        </w:rPr>
      </w:pPr>
      <w:bookmarkStart w:id="319" w:name="_Toc30114"/>
      <w:r>
        <w:rPr>
          <w:rFonts w:hint="eastAsia" w:ascii="宋体" w:hAnsi="宋体" w:eastAsia="宋体" w:cs="宋体"/>
          <w:b/>
          <w:bCs/>
          <w:color w:val="auto"/>
          <w:sz w:val="30"/>
          <w:szCs w:val="30"/>
          <w:highlight w:val="none"/>
        </w:rPr>
        <w:t>项目经理简历表</w:t>
      </w:r>
      <w:bookmarkEnd w:id="319"/>
    </w:p>
    <w:p w14:paraId="5C260890">
      <w:pPr>
        <w:pageBreakBefore w:val="0"/>
        <w:kinsoku/>
        <w:wordWrap/>
        <w:overflowPunct/>
        <w:bidi w:val="0"/>
        <w:adjustRightInd w:val="0"/>
        <w:snapToGrid w:val="0"/>
        <w:spacing w:line="360" w:lineRule="auto"/>
        <w:ind w:firstLine="570"/>
        <w:rPr>
          <w:rFonts w:hint="eastAsia" w:ascii="宋体" w:hAnsi="宋体" w:eastAsia="宋体" w:cs="宋体"/>
          <w:snapToGrid w:val="0"/>
          <w:color w:val="auto"/>
          <w:kern w:val="0"/>
          <w:szCs w:val="28"/>
          <w:highlight w:val="none"/>
        </w:rPr>
      </w:pPr>
    </w:p>
    <w:p w14:paraId="7A758A19">
      <w:pPr>
        <w:pStyle w:val="62"/>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highlight w:val="none"/>
        </w:rPr>
      </w:pPr>
    </w:p>
    <w:p w14:paraId="0CE73ABD">
      <w:pPr>
        <w:pStyle w:val="62"/>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项目经理：</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113DCC34">
      <w:pPr>
        <w:pStyle w:val="62"/>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highlight w:val="none"/>
        </w:rPr>
      </w:pPr>
    </w:p>
    <w:p w14:paraId="3F546439">
      <w:pPr>
        <w:pStyle w:val="62"/>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6A2A543C">
      <w:pPr>
        <w:pageBreakBefore w:val="0"/>
        <w:kinsoku/>
        <w:wordWrap/>
        <w:overflowPunct/>
        <w:bidi w:val="0"/>
        <w:adjustRightInd w:val="0"/>
        <w:snapToGrid w:val="0"/>
        <w:spacing w:line="360" w:lineRule="auto"/>
        <w:ind w:firstLine="570"/>
        <w:rPr>
          <w:rFonts w:hint="eastAsia" w:ascii="宋体" w:hAnsi="宋体" w:eastAsia="宋体" w:cs="宋体"/>
          <w:snapToGrid w:val="0"/>
          <w:color w:val="auto"/>
          <w:kern w:val="0"/>
          <w:szCs w:val="28"/>
          <w:highlight w:val="none"/>
        </w:rPr>
      </w:pPr>
    </w:p>
    <w:p w14:paraId="59A691F7">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说明：《项目经理简历表》后应附拟派项目经理以下资料：</w:t>
      </w:r>
    </w:p>
    <w:p w14:paraId="5C22EF16">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bookmarkStart w:id="320" w:name="_Toc950"/>
      <w:r>
        <w:rPr>
          <w:rFonts w:hint="eastAsia" w:ascii="宋体" w:hAnsi="宋体" w:eastAsia="宋体" w:cs="宋体"/>
          <w:snapToGrid w:val="0"/>
          <w:color w:val="auto"/>
          <w:kern w:val="0"/>
          <w:sz w:val="21"/>
          <w:szCs w:val="28"/>
          <w:highlight w:val="none"/>
        </w:rPr>
        <w:t>1</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身份证彩色扫描件；</w:t>
      </w:r>
      <w:bookmarkEnd w:id="320"/>
    </w:p>
    <w:p w14:paraId="137698AC">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 xml:space="preserve">   2</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建造师电子注册证书（在使用有效期内的有效电子证书）；</w:t>
      </w:r>
    </w:p>
    <w:p w14:paraId="2F647E35">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3</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B类安全生产考核合格证书彩色扫描件或广东省建筑施工企业管理人员安全生产考核系统考核合格信息；</w:t>
      </w:r>
    </w:p>
    <w:p w14:paraId="6A6DA73D">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4</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8"/>
          <w:highlight w:val="none"/>
          <w:lang w:eastAsia="zh-CN"/>
        </w:rPr>
        <w:t>至少一个月，其中必须有2025年</w:t>
      </w:r>
      <w:r>
        <w:rPr>
          <w:rFonts w:hint="eastAsia" w:ascii="宋体" w:hAnsi="宋体" w:eastAsia="宋体" w:cs="宋体"/>
          <w:snapToGrid w:val="0"/>
          <w:color w:val="auto"/>
          <w:kern w:val="0"/>
          <w:sz w:val="21"/>
          <w:szCs w:val="28"/>
          <w:highlight w:val="none"/>
          <w:lang w:val="en-US" w:eastAsia="zh-CN"/>
        </w:rPr>
        <w:t>9</w:t>
      </w:r>
      <w:r>
        <w:rPr>
          <w:rFonts w:hint="eastAsia" w:ascii="宋体" w:hAnsi="宋体" w:eastAsia="宋体" w:cs="宋体"/>
          <w:snapToGrid w:val="0"/>
          <w:color w:val="auto"/>
          <w:kern w:val="0"/>
          <w:sz w:val="21"/>
          <w:szCs w:val="28"/>
          <w:highlight w:val="none"/>
          <w:lang w:eastAsia="zh-CN"/>
        </w:rPr>
        <w:t>月</w:t>
      </w:r>
      <w:r>
        <w:rPr>
          <w:rFonts w:hint="eastAsia" w:ascii="宋体" w:hAnsi="宋体" w:eastAsia="宋体" w:cs="宋体"/>
          <w:snapToGrid w:val="0"/>
          <w:color w:val="auto"/>
          <w:kern w:val="0"/>
          <w:sz w:val="21"/>
          <w:szCs w:val="28"/>
          <w:highlight w:val="none"/>
        </w:rPr>
        <w:t>）彩色扫描件。拟派项目经理为退休返聘人员无法提供社保证明的，提供退休证和劳动合同彩色扫描件。</w:t>
      </w:r>
    </w:p>
    <w:p w14:paraId="1A0A328B">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szCs w:val="28"/>
          <w:highlight w:val="none"/>
        </w:rPr>
        <w:t>5</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highlight w:val="none"/>
        </w:rPr>
        <w:t>“进粤企业和人员诚信信息登记平台”个人（项目经理等）信息情况截图。（适用于省外建筑企业）</w:t>
      </w:r>
    </w:p>
    <w:p w14:paraId="3BC740CB">
      <w:pPr>
        <w:pageBreakBefore w:val="0"/>
        <w:kinsoku/>
        <w:wordWrap/>
        <w:overflowPunct/>
        <w:bidi w:val="0"/>
        <w:rPr>
          <w:rFonts w:hint="eastAsia" w:ascii="宋体" w:hAnsi="宋体" w:eastAsia="宋体" w:cs="宋体"/>
          <w:color w:val="auto"/>
          <w:highlight w:val="none"/>
        </w:rPr>
      </w:pPr>
    </w:p>
    <w:p w14:paraId="78BD32D6">
      <w:pPr>
        <w:pageBreakBefore w:val="0"/>
        <w:kinsoku/>
        <w:wordWrap/>
        <w:overflowPunct/>
        <w:bidi w:val="0"/>
        <w:rPr>
          <w:rFonts w:hint="eastAsia" w:ascii="宋体" w:hAnsi="宋体" w:eastAsia="宋体" w:cs="宋体"/>
          <w:color w:val="auto"/>
          <w:highlight w:val="none"/>
        </w:rPr>
      </w:pPr>
    </w:p>
    <w:p w14:paraId="5A2A6006">
      <w:pPr>
        <w:pageBreakBefore w:val="0"/>
        <w:kinsoku/>
        <w:wordWrap/>
        <w:overflowPunct/>
        <w:bidi w:val="0"/>
        <w:rPr>
          <w:rFonts w:hint="eastAsia" w:ascii="宋体" w:hAnsi="宋体" w:eastAsia="宋体" w:cs="宋体"/>
          <w:color w:val="auto"/>
          <w:highlight w:val="none"/>
        </w:rPr>
      </w:pPr>
    </w:p>
    <w:p w14:paraId="79CFF234">
      <w:pPr>
        <w:pageBreakBefore w:val="0"/>
        <w:kinsoku/>
        <w:wordWrap/>
        <w:overflowPunct/>
        <w:bidi w:val="0"/>
        <w:rPr>
          <w:rFonts w:hint="eastAsia" w:ascii="宋体" w:hAnsi="宋体" w:eastAsia="宋体" w:cs="宋体"/>
          <w:color w:val="auto"/>
          <w:highlight w:val="none"/>
        </w:rPr>
      </w:pPr>
    </w:p>
    <w:p w14:paraId="161307C0">
      <w:pPr>
        <w:pageBreakBefore w:val="0"/>
        <w:kinsoku/>
        <w:wordWrap/>
        <w:overflowPunct/>
        <w:bidi w:val="0"/>
        <w:rPr>
          <w:rFonts w:hint="eastAsia" w:ascii="宋体" w:hAnsi="宋体" w:eastAsia="宋体" w:cs="宋体"/>
          <w:color w:val="auto"/>
          <w:highlight w:val="none"/>
        </w:rPr>
      </w:pPr>
    </w:p>
    <w:p w14:paraId="53B5F7AD">
      <w:pPr>
        <w:pageBreakBefore w:val="0"/>
        <w:kinsoku/>
        <w:wordWrap/>
        <w:overflowPunct/>
        <w:bidi w:val="0"/>
        <w:rPr>
          <w:rFonts w:hint="eastAsia" w:ascii="宋体" w:hAnsi="宋体" w:eastAsia="宋体" w:cs="宋体"/>
          <w:color w:val="auto"/>
          <w:highlight w:val="none"/>
        </w:rPr>
      </w:pPr>
    </w:p>
    <w:p w14:paraId="18551E3D">
      <w:pPr>
        <w:pageBreakBefore w:val="0"/>
        <w:kinsoku/>
        <w:wordWrap/>
        <w:overflowPunct/>
        <w:bidi w:val="0"/>
        <w:rPr>
          <w:rFonts w:hint="eastAsia" w:ascii="宋体" w:hAnsi="宋体" w:eastAsia="宋体" w:cs="宋体"/>
          <w:color w:val="auto"/>
          <w:highlight w:val="none"/>
        </w:rPr>
      </w:pPr>
    </w:p>
    <w:p w14:paraId="582DBCE8">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21" w:name="_Toc25955"/>
      <w:bookmarkStart w:id="322" w:name="_Toc20129"/>
      <w:r>
        <w:rPr>
          <w:rFonts w:hint="eastAsia" w:ascii="宋体" w:hAnsi="宋体" w:eastAsia="宋体" w:cs="宋体"/>
          <w:b/>
          <w:bCs/>
          <w:color w:val="auto"/>
          <w:spacing w:val="-11"/>
          <w:sz w:val="24"/>
          <w:szCs w:val="24"/>
          <w:highlight w:val="none"/>
          <w:lang w:val="en-US" w:eastAsia="zh-CN"/>
        </w:rPr>
        <w:t>格式九   项目经理任职声明</w:t>
      </w:r>
      <w:bookmarkEnd w:id="321"/>
      <w:bookmarkEnd w:id="322"/>
    </w:p>
    <w:p w14:paraId="6509A88D">
      <w:pPr>
        <w:pageBreakBefore w:val="0"/>
        <w:kinsoku/>
        <w:wordWrap/>
        <w:overflowPunct/>
        <w:bidi w:val="0"/>
        <w:adjustRightInd w:val="0"/>
        <w:snapToGrid w:val="0"/>
        <w:spacing w:before="260" w:after="260" w:line="360" w:lineRule="auto"/>
        <w:jc w:val="center"/>
        <w:rPr>
          <w:rFonts w:hint="eastAsia" w:ascii="宋体" w:hAnsi="宋体" w:eastAsia="宋体" w:cs="宋体"/>
          <w:snapToGrid w:val="0"/>
          <w:color w:val="auto"/>
          <w:kern w:val="0"/>
          <w:szCs w:val="28"/>
          <w:highlight w:val="none"/>
        </w:rPr>
      </w:pPr>
      <w:r>
        <w:rPr>
          <w:rFonts w:hint="eastAsia" w:ascii="宋体" w:hAnsi="宋体" w:eastAsia="宋体" w:cs="宋体"/>
          <w:b/>
          <w:snapToGrid w:val="0"/>
          <w:color w:val="auto"/>
          <w:kern w:val="0"/>
          <w:sz w:val="30"/>
          <w:highlight w:val="none"/>
        </w:rPr>
        <w:t>项目经理任职声明</w:t>
      </w:r>
    </w:p>
    <w:p w14:paraId="73DA9097">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（招标人名称）：</w:t>
      </w:r>
    </w:p>
    <w:p w14:paraId="699AA83C">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我方在此声明，我方拟派往</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（项目名称）的项目经理</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（项目经理姓名）现阶段没有担任任何在施（包括已中标未开工、已开工未竣工）建设工程项目的项目经理。</w:t>
      </w:r>
    </w:p>
    <w:p w14:paraId="5575BC8B">
      <w:pPr>
        <w:pageBreakBefore w:val="0"/>
        <w:kinsoku/>
        <w:wordWrap/>
        <w:overflowPunct/>
        <w:bidi w:val="0"/>
        <w:adjustRightInd w:val="0"/>
        <w:snapToGrid w:val="0"/>
        <w:spacing w:line="360" w:lineRule="auto"/>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我方保证上述信息的真实和准确，并愿意承担因我方就此弄虚作假所引起的一切法律后果。</w:t>
      </w:r>
    </w:p>
    <w:p w14:paraId="60348B3F">
      <w:pPr>
        <w:pageBreakBefore w:val="0"/>
        <w:kinsoku/>
        <w:wordWrap/>
        <w:overflowPunct/>
        <w:bidi w:val="0"/>
        <w:adjustRightInd w:val="0"/>
        <w:snapToGrid w:val="0"/>
        <w:spacing w:line="360" w:lineRule="auto"/>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10BE7076">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特此承诺　　</w:t>
      </w:r>
    </w:p>
    <w:p w14:paraId="5BFD446E">
      <w:pPr>
        <w:pageBreakBefore w:val="0"/>
        <w:kinsoku/>
        <w:wordWrap/>
        <w:overflowPunct/>
        <w:bidi w:val="0"/>
        <w:rPr>
          <w:rFonts w:hint="eastAsia" w:ascii="宋体" w:hAnsi="宋体" w:eastAsia="宋体" w:cs="宋体"/>
          <w:color w:val="auto"/>
          <w:highlight w:val="none"/>
        </w:rPr>
      </w:pPr>
      <w:r>
        <w:rPr>
          <w:rFonts w:hint="eastAsia" w:ascii="宋体" w:hAnsi="宋体" w:eastAsia="宋体" w:cs="宋体"/>
          <w:snapToGrid w:val="0"/>
          <w:color w:val="auto"/>
          <w:kern w:val="0"/>
          <w:szCs w:val="28"/>
          <w:highlight w:val="none"/>
        </w:rPr>
        <w:t>　</w:t>
      </w:r>
    </w:p>
    <w:p w14:paraId="37BD09A4">
      <w:pPr>
        <w:pageBreakBefore w:val="0"/>
        <w:kinsoku/>
        <w:wordWrap/>
        <w:overflowPunct/>
        <w:bidi w:val="0"/>
        <w:rPr>
          <w:rFonts w:hint="eastAsia" w:ascii="宋体" w:hAnsi="宋体" w:eastAsia="宋体" w:cs="宋体"/>
          <w:color w:val="auto"/>
          <w:highlight w:val="none"/>
        </w:rPr>
      </w:pPr>
      <w:r>
        <w:rPr>
          <w:rFonts w:hint="eastAsia" w:ascii="宋体" w:hAnsi="宋体" w:eastAsia="宋体" w:cs="宋体"/>
          <w:color w:val="auto"/>
          <w:highlight w:val="none"/>
        </w:rPr>
        <w:t>　</w:t>
      </w:r>
    </w:p>
    <w:p w14:paraId="38BA62EC">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投标人：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（盖单位章）</w:t>
      </w:r>
    </w:p>
    <w:p w14:paraId="2D3E5E4F">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8"/>
          <w:highlight w:val="none"/>
        </w:rPr>
      </w:pPr>
    </w:p>
    <w:p w14:paraId="4EE621C8">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8"/>
          <w:highlight w:val="none"/>
        </w:rPr>
      </w:pPr>
    </w:p>
    <w:p w14:paraId="1BD82FD6">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法定代表人或其委托代理人：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（签字或盖章）</w:t>
      </w:r>
    </w:p>
    <w:p w14:paraId="3E30BC6E">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8"/>
          <w:highlight w:val="none"/>
        </w:rPr>
      </w:pPr>
    </w:p>
    <w:p w14:paraId="2EEA4A8A">
      <w:pPr>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月</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日</w:t>
      </w:r>
    </w:p>
    <w:p w14:paraId="1CBEEDFF">
      <w:pPr>
        <w:pageBreakBefore w:val="0"/>
        <w:kinsoku/>
        <w:wordWrap/>
        <w:overflowPunct/>
        <w:bidi w:val="0"/>
        <w:rPr>
          <w:rFonts w:hint="eastAsia" w:ascii="宋体" w:hAnsi="宋体" w:eastAsia="宋体" w:cs="宋体"/>
          <w:color w:val="auto"/>
          <w:highlight w:val="none"/>
        </w:rPr>
      </w:pPr>
    </w:p>
    <w:p w14:paraId="4C3B3340">
      <w:pPr>
        <w:pageBreakBefore w:val="0"/>
        <w:kinsoku/>
        <w:wordWrap/>
        <w:overflowPunct/>
        <w:bidi w:val="0"/>
        <w:rPr>
          <w:rFonts w:hint="eastAsia" w:ascii="宋体" w:hAnsi="宋体" w:eastAsia="宋体" w:cs="宋体"/>
          <w:color w:val="auto"/>
          <w:highlight w:val="none"/>
        </w:rPr>
      </w:pPr>
    </w:p>
    <w:p w14:paraId="3085189B">
      <w:pPr>
        <w:pageBreakBefore w:val="0"/>
        <w:kinsoku/>
        <w:wordWrap/>
        <w:overflowPunct/>
        <w:bidi w:val="0"/>
        <w:rPr>
          <w:rFonts w:hint="eastAsia" w:ascii="宋体" w:hAnsi="宋体" w:eastAsia="宋体" w:cs="宋体"/>
          <w:color w:val="auto"/>
          <w:highlight w:val="none"/>
        </w:rPr>
      </w:pPr>
    </w:p>
    <w:p w14:paraId="28919134">
      <w:pPr>
        <w:pageBreakBefore w:val="0"/>
        <w:kinsoku/>
        <w:wordWrap/>
        <w:overflowPunct/>
        <w:bidi w:val="0"/>
        <w:rPr>
          <w:rFonts w:hint="eastAsia" w:ascii="宋体" w:hAnsi="宋体" w:eastAsia="宋体" w:cs="宋体"/>
          <w:color w:val="auto"/>
          <w:highlight w:val="none"/>
        </w:rPr>
      </w:pPr>
    </w:p>
    <w:p w14:paraId="6F63443F">
      <w:pPr>
        <w:pageBreakBefore w:val="0"/>
        <w:kinsoku/>
        <w:wordWrap/>
        <w:overflowPunct/>
        <w:bidi w:val="0"/>
        <w:rPr>
          <w:rFonts w:hint="eastAsia" w:ascii="宋体" w:hAnsi="宋体" w:eastAsia="宋体" w:cs="宋体"/>
          <w:color w:val="auto"/>
          <w:highlight w:val="none"/>
        </w:rPr>
      </w:pPr>
    </w:p>
    <w:p w14:paraId="7826462E">
      <w:pPr>
        <w:pageBreakBefore w:val="0"/>
        <w:kinsoku/>
        <w:wordWrap/>
        <w:overflowPunct/>
        <w:bidi w:val="0"/>
        <w:rPr>
          <w:rFonts w:hint="eastAsia" w:ascii="宋体" w:hAnsi="宋体" w:eastAsia="宋体" w:cs="宋体"/>
          <w:color w:val="auto"/>
          <w:highlight w:val="none"/>
        </w:rPr>
      </w:pPr>
    </w:p>
    <w:p w14:paraId="47844A6D">
      <w:pPr>
        <w:pageBreakBefore w:val="0"/>
        <w:kinsoku/>
        <w:wordWrap/>
        <w:overflowPunct/>
        <w:bidi w:val="0"/>
        <w:rPr>
          <w:rFonts w:hint="eastAsia" w:ascii="宋体" w:hAnsi="宋体" w:eastAsia="宋体" w:cs="宋体"/>
          <w:color w:val="auto"/>
          <w:highlight w:val="none"/>
        </w:rPr>
      </w:pPr>
    </w:p>
    <w:p w14:paraId="0AC09AE7">
      <w:pPr>
        <w:pageBreakBefore w:val="0"/>
        <w:kinsoku/>
        <w:wordWrap/>
        <w:overflowPunct/>
        <w:bidi w:val="0"/>
        <w:rPr>
          <w:rFonts w:hint="eastAsia" w:ascii="宋体" w:hAnsi="宋体" w:eastAsia="宋体" w:cs="宋体"/>
          <w:color w:val="auto"/>
          <w:highlight w:val="none"/>
        </w:rPr>
      </w:pPr>
    </w:p>
    <w:p w14:paraId="08929D72">
      <w:pPr>
        <w:pageBreakBefore w:val="0"/>
        <w:kinsoku/>
        <w:wordWrap/>
        <w:overflowPunct/>
        <w:bidi w:val="0"/>
        <w:rPr>
          <w:rFonts w:hint="eastAsia" w:ascii="宋体" w:hAnsi="宋体" w:eastAsia="宋体" w:cs="宋体"/>
          <w:color w:val="auto"/>
          <w:highlight w:val="none"/>
        </w:rPr>
      </w:pPr>
    </w:p>
    <w:p w14:paraId="7B5D25EE">
      <w:pPr>
        <w:pageBreakBefore w:val="0"/>
        <w:kinsoku/>
        <w:wordWrap/>
        <w:overflowPunct/>
        <w:bidi w:val="0"/>
        <w:rPr>
          <w:rFonts w:hint="eastAsia" w:ascii="宋体" w:hAnsi="宋体" w:eastAsia="宋体" w:cs="宋体"/>
          <w:color w:val="auto"/>
          <w:highlight w:val="none"/>
        </w:rPr>
      </w:pPr>
    </w:p>
    <w:p w14:paraId="3341094E">
      <w:pPr>
        <w:pageBreakBefore w:val="0"/>
        <w:kinsoku/>
        <w:wordWrap/>
        <w:overflowPunct/>
        <w:bidi w:val="0"/>
        <w:rPr>
          <w:rFonts w:hint="eastAsia" w:ascii="宋体" w:hAnsi="宋体" w:eastAsia="宋体" w:cs="宋体"/>
          <w:color w:val="auto"/>
          <w:highlight w:val="none"/>
        </w:rPr>
      </w:pPr>
    </w:p>
    <w:p w14:paraId="37995BE5">
      <w:pPr>
        <w:pageBreakBefore w:val="0"/>
        <w:kinsoku/>
        <w:wordWrap/>
        <w:overflowPunct/>
        <w:bidi w:val="0"/>
        <w:rPr>
          <w:rFonts w:hint="eastAsia" w:ascii="宋体" w:hAnsi="宋体" w:eastAsia="宋体" w:cs="宋体"/>
          <w:color w:val="auto"/>
          <w:highlight w:val="none"/>
        </w:rPr>
      </w:pPr>
    </w:p>
    <w:p w14:paraId="3F9FE769">
      <w:pPr>
        <w:pageBreakBefore w:val="0"/>
        <w:kinsoku/>
        <w:wordWrap/>
        <w:overflowPunct/>
        <w:bidi w:val="0"/>
        <w:rPr>
          <w:rFonts w:hint="eastAsia" w:ascii="宋体" w:hAnsi="宋体" w:eastAsia="宋体" w:cs="宋体"/>
          <w:color w:val="auto"/>
          <w:highlight w:val="none"/>
        </w:rPr>
      </w:pPr>
    </w:p>
    <w:p w14:paraId="6B60A7C9">
      <w:pPr>
        <w:pageBreakBefore w:val="0"/>
        <w:kinsoku/>
        <w:wordWrap/>
        <w:overflowPunct/>
        <w:bidi w:val="0"/>
        <w:rPr>
          <w:rFonts w:hint="eastAsia" w:ascii="宋体" w:hAnsi="宋体" w:eastAsia="宋体" w:cs="宋体"/>
          <w:color w:val="auto"/>
          <w:highlight w:val="none"/>
        </w:rPr>
      </w:pPr>
    </w:p>
    <w:p w14:paraId="217BAFFE">
      <w:pPr>
        <w:pageBreakBefore w:val="0"/>
        <w:kinsoku/>
        <w:wordWrap/>
        <w:overflowPunct/>
        <w:bidi w:val="0"/>
        <w:rPr>
          <w:rFonts w:hint="eastAsia" w:ascii="宋体" w:hAnsi="宋体" w:eastAsia="宋体" w:cs="宋体"/>
          <w:color w:val="auto"/>
          <w:highlight w:val="none"/>
        </w:rPr>
      </w:pPr>
    </w:p>
    <w:p w14:paraId="35AEEA01">
      <w:pPr>
        <w:pageBreakBefore w:val="0"/>
        <w:kinsoku/>
        <w:wordWrap/>
        <w:overflowPunct/>
        <w:bidi w:val="0"/>
        <w:rPr>
          <w:rFonts w:hint="eastAsia" w:ascii="宋体" w:hAnsi="宋体" w:eastAsia="宋体" w:cs="宋体"/>
          <w:color w:val="auto"/>
          <w:highlight w:val="none"/>
        </w:rPr>
      </w:pPr>
    </w:p>
    <w:p w14:paraId="377F15E3">
      <w:pPr>
        <w:pageBreakBefore w:val="0"/>
        <w:kinsoku/>
        <w:wordWrap/>
        <w:overflowPunct/>
        <w:bidi w:val="0"/>
        <w:rPr>
          <w:rFonts w:hint="eastAsia" w:ascii="宋体" w:hAnsi="宋体" w:eastAsia="宋体" w:cs="宋体"/>
          <w:color w:val="auto"/>
          <w:highlight w:val="none"/>
        </w:rPr>
      </w:pPr>
    </w:p>
    <w:p w14:paraId="262F290D">
      <w:pPr>
        <w:pageBreakBefore w:val="0"/>
        <w:kinsoku/>
        <w:wordWrap/>
        <w:overflowPunct/>
        <w:bidi w:val="0"/>
        <w:rPr>
          <w:rFonts w:hint="eastAsia" w:ascii="宋体" w:hAnsi="宋体" w:eastAsia="宋体" w:cs="宋体"/>
          <w:color w:val="auto"/>
          <w:highlight w:val="none"/>
        </w:rPr>
      </w:pPr>
    </w:p>
    <w:p w14:paraId="2C8F7B84">
      <w:pPr>
        <w:pageBreakBefore w:val="0"/>
        <w:kinsoku/>
        <w:wordWrap/>
        <w:overflowPunct/>
        <w:bidi w:val="0"/>
        <w:rPr>
          <w:rFonts w:hint="eastAsia" w:ascii="宋体" w:hAnsi="宋体" w:eastAsia="宋体" w:cs="宋体"/>
          <w:color w:val="auto"/>
          <w:highlight w:val="none"/>
        </w:rPr>
      </w:pPr>
    </w:p>
    <w:p w14:paraId="06F11753">
      <w:pPr>
        <w:pageBreakBefore w:val="0"/>
        <w:kinsoku/>
        <w:wordWrap/>
        <w:overflowPunct/>
        <w:bidi w:val="0"/>
        <w:rPr>
          <w:rFonts w:hint="eastAsia" w:ascii="宋体" w:hAnsi="宋体" w:eastAsia="宋体" w:cs="宋体"/>
          <w:color w:val="auto"/>
          <w:highlight w:val="none"/>
        </w:rPr>
      </w:pPr>
    </w:p>
    <w:p w14:paraId="6089CE80">
      <w:pPr>
        <w:pageBreakBefore w:val="0"/>
        <w:kinsoku/>
        <w:wordWrap/>
        <w:overflowPunct/>
        <w:bidi w:val="0"/>
        <w:rPr>
          <w:rFonts w:hint="eastAsia" w:ascii="宋体" w:hAnsi="宋体" w:eastAsia="宋体" w:cs="宋体"/>
          <w:color w:val="auto"/>
          <w:highlight w:val="none"/>
        </w:rPr>
      </w:pPr>
    </w:p>
    <w:p w14:paraId="2331CFC2">
      <w:pPr>
        <w:pageBreakBefore w:val="0"/>
        <w:kinsoku/>
        <w:wordWrap/>
        <w:overflowPunct/>
        <w:bidi w:val="0"/>
        <w:rPr>
          <w:rFonts w:hint="eastAsia" w:ascii="宋体" w:hAnsi="宋体" w:eastAsia="宋体" w:cs="宋体"/>
          <w:color w:val="auto"/>
          <w:highlight w:val="none"/>
        </w:rPr>
      </w:pPr>
    </w:p>
    <w:p w14:paraId="1BAA40A1">
      <w:pPr>
        <w:pageBreakBefore w:val="0"/>
        <w:kinsoku/>
        <w:wordWrap/>
        <w:overflowPunct/>
        <w:bidi w:val="0"/>
        <w:rPr>
          <w:rFonts w:hint="eastAsia" w:ascii="宋体" w:hAnsi="宋体" w:eastAsia="宋体" w:cs="宋体"/>
          <w:color w:val="auto"/>
          <w:highlight w:val="none"/>
        </w:rPr>
      </w:pPr>
    </w:p>
    <w:p w14:paraId="1AA3FA13">
      <w:pPr>
        <w:pageBreakBefore w:val="0"/>
        <w:kinsoku/>
        <w:wordWrap/>
        <w:overflowPunct/>
        <w:bidi w:val="0"/>
        <w:rPr>
          <w:rFonts w:hint="eastAsia" w:ascii="宋体" w:hAnsi="宋体" w:eastAsia="宋体" w:cs="宋体"/>
          <w:color w:val="auto"/>
          <w:highlight w:val="none"/>
        </w:rPr>
      </w:pPr>
    </w:p>
    <w:p w14:paraId="7451E2F5">
      <w:pPr>
        <w:pageBreakBefore w:val="0"/>
        <w:kinsoku/>
        <w:wordWrap/>
        <w:overflowPunct/>
        <w:bidi w:val="0"/>
        <w:rPr>
          <w:rFonts w:hint="eastAsia" w:ascii="宋体" w:hAnsi="宋体" w:eastAsia="宋体" w:cs="宋体"/>
          <w:color w:val="auto"/>
          <w:highlight w:val="none"/>
        </w:rPr>
      </w:pPr>
    </w:p>
    <w:p w14:paraId="7EE4AA48">
      <w:pPr>
        <w:pageBreakBefore w:val="0"/>
        <w:kinsoku/>
        <w:wordWrap/>
        <w:overflowPunct/>
        <w:bidi w:val="0"/>
        <w:rPr>
          <w:rFonts w:hint="eastAsia" w:ascii="宋体" w:hAnsi="宋体" w:eastAsia="宋体" w:cs="宋体"/>
          <w:color w:val="auto"/>
          <w:highlight w:val="none"/>
        </w:rPr>
      </w:pPr>
    </w:p>
    <w:p w14:paraId="2707167B">
      <w:pPr>
        <w:pageBreakBefore w:val="0"/>
        <w:kinsoku/>
        <w:wordWrap/>
        <w:overflowPunct/>
        <w:bidi w:val="0"/>
        <w:rPr>
          <w:rFonts w:hint="eastAsia" w:ascii="宋体" w:hAnsi="宋体" w:eastAsia="宋体" w:cs="宋体"/>
          <w:color w:val="auto"/>
          <w:highlight w:val="none"/>
        </w:rPr>
      </w:pPr>
    </w:p>
    <w:p w14:paraId="4B8AAD12">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23" w:name="_Toc24090"/>
      <w:bookmarkStart w:id="324" w:name="_Toc8772"/>
      <w:r>
        <w:rPr>
          <w:rFonts w:hint="eastAsia" w:ascii="宋体" w:hAnsi="宋体" w:eastAsia="宋体" w:cs="宋体"/>
          <w:b/>
          <w:bCs/>
          <w:color w:val="auto"/>
          <w:spacing w:val="-11"/>
          <w:sz w:val="24"/>
          <w:szCs w:val="24"/>
          <w:highlight w:val="none"/>
          <w:lang w:val="en-US" w:eastAsia="zh-CN"/>
        </w:rPr>
        <w:t>格式十   项目技术负责人简历表</w:t>
      </w:r>
      <w:bookmarkEnd w:id="323"/>
      <w:bookmarkEnd w:id="324"/>
    </w:p>
    <w:tbl>
      <w:tblPr>
        <w:tblStyle w:val="25"/>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F00A1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F005AA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34B5C25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2100075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5E8C331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68E7004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DE8732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5CC5B1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8FB1AA7">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4F88072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4DF9C1D">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1F6F54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A2AD93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1B398F7">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4B59E0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EE6442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098466A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7444F55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E754BA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16561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104EB15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以项目技术负责人身份参与过的主要业绩（已完工项目）</w:t>
            </w:r>
          </w:p>
        </w:tc>
      </w:tr>
      <w:tr w14:paraId="763CE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2E3735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DE7A2D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0F15C6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988C70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10AE0A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16F6DF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74706B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1C0AF0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F073AC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80E1BF4">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256F4D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BC93EE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8D9E38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4B949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D28FB2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D49D72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F199F2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C84DDC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CB8329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3C7E88D">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3E75E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4C2D1F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0F5D4B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DB15AD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4D9472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DE736F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515641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5EC02F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0C1A9E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9262A67">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A39511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DB9CFE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721B06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F26481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60FE2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9844E9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025EFA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EFD264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580E22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BA089E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11AA13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bl>
    <w:p w14:paraId="6A4A1EF9">
      <w:pPr>
        <w:pageBreakBefore w:val="0"/>
        <w:kinsoku/>
        <w:wordWrap/>
        <w:overflowPunct/>
        <w:bidi w:val="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项目技术负责人简历表</w:t>
      </w:r>
    </w:p>
    <w:p w14:paraId="228E9C15">
      <w:pPr>
        <w:pageBreakBefore w:val="0"/>
        <w:kinsoku/>
        <w:wordWrap/>
        <w:overflowPunct/>
        <w:bidi w:val="0"/>
        <w:adjustRightInd w:val="0"/>
        <w:snapToGrid w:val="0"/>
        <w:spacing w:line="360" w:lineRule="auto"/>
        <w:ind w:firstLine="570"/>
        <w:rPr>
          <w:rFonts w:hint="eastAsia" w:ascii="宋体" w:hAnsi="宋体" w:eastAsia="宋体" w:cs="宋体"/>
          <w:snapToGrid w:val="0"/>
          <w:color w:val="auto"/>
          <w:kern w:val="0"/>
          <w:szCs w:val="28"/>
          <w:highlight w:val="none"/>
        </w:rPr>
      </w:pPr>
    </w:p>
    <w:p w14:paraId="458C4862">
      <w:pPr>
        <w:pStyle w:val="62"/>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highlight w:val="none"/>
        </w:rPr>
      </w:pPr>
    </w:p>
    <w:p w14:paraId="3C1852E4">
      <w:pPr>
        <w:pStyle w:val="62"/>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项目技术负责人：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755BB5DB">
      <w:pPr>
        <w:pStyle w:val="62"/>
        <w:pageBreakBefore w:val="0"/>
        <w:kinsoku/>
        <w:wordWrap/>
        <w:overflowPunct/>
        <w:bidi w:val="0"/>
        <w:adjustRightInd w:val="0"/>
        <w:snapToGrid w:val="0"/>
        <w:spacing w:line="360" w:lineRule="auto"/>
        <w:jc w:val="right"/>
        <w:rPr>
          <w:rFonts w:hint="eastAsia" w:ascii="宋体" w:hAnsi="宋体" w:eastAsia="宋体" w:cs="宋体"/>
          <w:snapToGrid w:val="0"/>
          <w:color w:val="auto"/>
          <w:kern w:val="0"/>
          <w:highlight w:val="none"/>
        </w:rPr>
      </w:pPr>
    </w:p>
    <w:p w14:paraId="6D0F59C6">
      <w:pPr>
        <w:pStyle w:val="62"/>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5CE31011">
      <w:pPr>
        <w:pageBreakBefore w:val="0"/>
        <w:kinsoku/>
        <w:wordWrap/>
        <w:overflowPunct/>
        <w:bidi w:val="0"/>
        <w:adjustRightInd w:val="0"/>
        <w:snapToGrid w:val="0"/>
        <w:spacing w:line="360" w:lineRule="auto"/>
        <w:rPr>
          <w:rFonts w:hint="eastAsia" w:ascii="宋体" w:hAnsi="宋体" w:eastAsia="宋体" w:cs="宋体"/>
          <w:snapToGrid w:val="0"/>
          <w:color w:val="auto"/>
          <w:kern w:val="0"/>
          <w:szCs w:val="28"/>
          <w:highlight w:val="none"/>
        </w:rPr>
      </w:pPr>
    </w:p>
    <w:p w14:paraId="7459C7E0">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说明：《项目技术负责人简历表》后应附拟派项目技术负责人以下资料：</w:t>
      </w:r>
    </w:p>
    <w:p w14:paraId="2A5C91F2">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身份证彩色扫描件；</w:t>
      </w:r>
    </w:p>
    <w:p w14:paraId="4F1CEC20">
      <w:pPr>
        <w:pageBreakBefore w:val="0"/>
        <w:kinsoku/>
        <w:wordWrap/>
        <w:overflowPunct/>
        <w:bidi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2</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职称证彩色扫描件；</w:t>
      </w:r>
    </w:p>
    <w:p w14:paraId="7B9E03D8">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8"/>
          <w:highlight w:val="none"/>
          <w:lang w:eastAsia="zh-CN"/>
        </w:rPr>
        <w:t>至少一个月，其中必须有2025年</w:t>
      </w:r>
      <w:r>
        <w:rPr>
          <w:rFonts w:hint="eastAsia" w:ascii="宋体" w:hAnsi="宋体" w:eastAsia="宋体" w:cs="宋体"/>
          <w:snapToGrid w:val="0"/>
          <w:color w:val="auto"/>
          <w:kern w:val="0"/>
          <w:sz w:val="21"/>
          <w:szCs w:val="28"/>
          <w:highlight w:val="none"/>
          <w:lang w:val="en-US" w:eastAsia="zh-CN"/>
        </w:rPr>
        <w:t>9</w:t>
      </w:r>
      <w:r>
        <w:rPr>
          <w:rFonts w:hint="eastAsia" w:ascii="宋体" w:hAnsi="宋体" w:eastAsia="宋体" w:cs="宋体"/>
          <w:snapToGrid w:val="0"/>
          <w:color w:val="auto"/>
          <w:kern w:val="0"/>
          <w:sz w:val="21"/>
          <w:szCs w:val="28"/>
          <w:highlight w:val="none"/>
          <w:lang w:eastAsia="zh-CN"/>
        </w:rPr>
        <w:t>月</w:t>
      </w:r>
      <w:r>
        <w:rPr>
          <w:rFonts w:hint="eastAsia" w:ascii="宋体" w:hAnsi="宋体" w:eastAsia="宋体" w:cs="宋体"/>
          <w:snapToGrid w:val="0"/>
          <w:color w:val="auto"/>
          <w:kern w:val="0"/>
          <w:sz w:val="21"/>
          <w:szCs w:val="28"/>
          <w:highlight w:val="none"/>
        </w:rPr>
        <w:t>）彩色扫描件。拟派项目技术负责人为退休返聘人员无法提供社保证明的，提供退休证和劳动合同彩色扫描件。</w:t>
      </w:r>
    </w:p>
    <w:p w14:paraId="25EDB8F3">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lang w:val="en-US" w:eastAsia="zh-CN"/>
        </w:rPr>
        <w:t>4.</w:t>
      </w:r>
      <w:r>
        <w:rPr>
          <w:rFonts w:hint="eastAsia" w:ascii="宋体" w:hAnsi="宋体" w:eastAsia="宋体" w:cs="宋体"/>
          <w:snapToGrid w:val="0"/>
          <w:color w:val="auto"/>
          <w:kern w:val="0"/>
          <w:sz w:val="21"/>
          <w:highlight w:val="none"/>
        </w:rPr>
        <w:t>“进粤企业和人员诚信信息登记平台”个人信息情况截图。（适用于省外建筑企业）</w:t>
      </w:r>
    </w:p>
    <w:p w14:paraId="0956FBE8">
      <w:pPr>
        <w:rPr>
          <w:rFonts w:hint="eastAsia" w:ascii="宋体" w:hAnsi="宋体" w:eastAsia="宋体" w:cs="宋体"/>
          <w:color w:val="auto"/>
          <w:highlight w:val="none"/>
        </w:rPr>
      </w:pPr>
      <w:r>
        <w:rPr>
          <w:rFonts w:hint="eastAsia" w:ascii="宋体" w:hAnsi="宋体" w:eastAsia="宋体" w:cs="宋体"/>
          <w:color w:val="auto"/>
          <w:highlight w:val="none"/>
        </w:rPr>
        <w:br w:type="page"/>
      </w:r>
    </w:p>
    <w:bookmarkEnd w:id="289"/>
    <w:bookmarkEnd w:id="290"/>
    <w:p w14:paraId="29CBAFA0">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25" w:name="_Toc6074"/>
      <w:bookmarkStart w:id="326" w:name="_Toc3720"/>
      <w:bookmarkStart w:id="327" w:name="_Toc20506"/>
      <w:bookmarkStart w:id="328" w:name="_Toc14261309"/>
      <w:bookmarkStart w:id="329" w:name="_Toc200338098"/>
      <w:bookmarkStart w:id="330" w:name="_Toc8264"/>
      <w:r>
        <w:rPr>
          <w:rFonts w:hint="eastAsia" w:ascii="宋体" w:hAnsi="宋体" w:eastAsia="宋体" w:cs="宋体"/>
          <w:b/>
          <w:bCs/>
          <w:color w:val="auto"/>
          <w:spacing w:val="-11"/>
          <w:sz w:val="24"/>
          <w:szCs w:val="24"/>
          <w:highlight w:val="none"/>
          <w:lang w:val="en-US" w:eastAsia="zh-CN"/>
        </w:rPr>
        <w:t>格式</w:t>
      </w:r>
      <w:bookmarkStart w:id="331" w:name="_Hlt287950384"/>
      <w:bookmarkEnd w:id="331"/>
      <w:r>
        <w:rPr>
          <w:rFonts w:hint="eastAsia" w:ascii="宋体" w:hAnsi="宋体" w:eastAsia="宋体" w:cs="宋体"/>
          <w:b/>
          <w:bCs/>
          <w:color w:val="auto"/>
          <w:spacing w:val="-11"/>
          <w:sz w:val="24"/>
          <w:szCs w:val="24"/>
          <w:highlight w:val="none"/>
          <w:lang w:val="en-US" w:eastAsia="zh-CN"/>
        </w:rPr>
        <w:t>十一   项目管理机构组成表</w:t>
      </w:r>
      <w:bookmarkEnd w:id="325"/>
      <w:bookmarkEnd w:id="326"/>
      <w:bookmarkEnd w:id="327"/>
      <w:bookmarkEnd w:id="328"/>
    </w:p>
    <w:p w14:paraId="62B89F36">
      <w:pPr>
        <w:pageBreakBefore w:val="0"/>
        <w:kinsoku/>
        <w:wordWrap/>
        <w:overflowPunct/>
        <w:bidi w:val="0"/>
        <w:jc w:val="center"/>
        <w:rPr>
          <w:rFonts w:hint="eastAsia" w:ascii="宋体" w:hAnsi="宋体" w:eastAsia="宋体" w:cs="宋体"/>
          <w:b/>
          <w:bCs/>
          <w:color w:val="auto"/>
          <w:sz w:val="30"/>
          <w:szCs w:val="30"/>
          <w:highlight w:val="none"/>
        </w:rPr>
      </w:pPr>
      <w:bookmarkStart w:id="332" w:name="_Toc23063"/>
      <w:bookmarkStart w:id="333" w:name="_Toc14261751"/>
      <w:r>
        <w:rPr>
          <w:rFonts w:hint="eastAsia" w:ascii="宋体" w:hAnsi="宋体" w:eastAsia="宋体" w:cs="宋体"/>
          <w:b/>
          <w:bCs/>
          <w:color w:val="auto"/>
          <w:sz w:val="30"/>
          <w:szCs w:val="30"/>
          <w:highlight w:val="none"/>
        </w:rPr>
        <w:t>项目管理机构组成表</w:t>
      </w:r>
      <w:bookmarkEnd w:id="332"/>
      <w:bookmarkEnd w:id="333"/>
    </w:p>
    <w:tbl>
      <w:tblPr>
        <w:tblStyle w:val="25"/>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310AF6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auto" w:sz="6" w:space="0"/>
              <w:left w:val="single" w:color="auto" w:sz="6" w:space="0"/>
              <w:bottom w:val="single" w:color="auto" w:sz="6" w:space="0"/>
              <w:right w:val="single" w:color="auto" w:sz="6" w:space="0"/>
            </w:tcBorders>
            <w:noWrap w:val="0"/>
            <w:vAlign w:val="center"/>
          </w:tcPr>
          <w:p w14:paraId="6319B8C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2E0A2AA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职务</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93B419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F69596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性别</w:t>
            </w:r>
          </w:p>
        </w:tc>
        <w:tc>
          <w:tcPr>
            <w:tcW w:w="817" w:type="dxa"/>
            <w:tcBorders>
              <w:top w:val="single" w:color="auto" w:sz="6" w:space="0"/>
              <w:left w:val="single" w:color="auto" w:sz="6" w:space="0"/>
              <w:bottom w:val="single" w:color="auto" w:sz="6" w:space="0"/>
              <w:right w:val="single" w:color="auto" w:sz="6" w:space="0"/>
            </w:tcBorders>
            <w:noWrap w:val="0"/>
            <w:vAlign w:val="center"/>
          </w:tcPr>
          <w:p w14:paraId="71EAF56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年龄</w:t>
            </w: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2C21F3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w:t>
            </w: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135D58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7CFC5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6F3F43F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4510B71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F2CB22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969241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D7334A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ED23567">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302414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650360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1"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1337B263">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1560494">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项目技术</w:t>
            </w:r>
          </w:p>
          <w:p w14:paraId="77E88E5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负责人</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06A6B0E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4958496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0075410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27AAD5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2D6DBD1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1130F1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exact"/>
        </w:trPr>
        <w:tc>
          <w:tcPr>
            <w:tcW w:w="743" w:type="dxa"/>
            <w:tcBorders>
              <w:top w:val="single" w:color="auto" w:sz="6" w:space="0"/>
              <w:left w:val="single" w:color="auto" w:sz="6" w:space="0"/>
              <w:right w:val="single" w:color="auto" w:sz="6" w:space="0"/>
            </w:tcBorders>
            <w:noWrap w:val="0"/>
            <w:vAlign w:val="center"/>
          </w:tcPr>
          <w:p w14:paraId="6B01F99D">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21" w:type="dxa"/>
            <w:tcBorders>
              <w:top w:val="single" w:color="auto" w:sz="6" w:space="0"/>
              <w:left w:val="single" w:color="auto" w:sz="6" w:space="0"/>
              <w:right w:val="single" w:color="auto" w:sz="6" w:space="0"/>
            </w:tcBorders>
            <w:noWrap w:val="0"/>
            <w:vAlign w:val="center"/>
          </w:tcPr>
          <w:p w14:paraId="70D401B7">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专职安全员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C2A049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8D771C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56AA8AB">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B22661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C8F325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56F73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724905C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5660B007">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4789C3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66529B5">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45DEDF94">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EE8788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3CB84C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2199F4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0DEA964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A0B31A4">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27F6B8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4FC9FD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1AD807F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29B2733D">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CE1706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7BD3E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76981A5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3BC5B1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材料员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CBFA0D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C354AD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14132BC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72891D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DDC65F0">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3164DE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2EE05B1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4E16E694">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56539FA">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272489FD">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3906DA7C">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7DA4AC71">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5D5E92E">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r w14:paraId="4A782F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2FE2FC8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535A707">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0B152D92">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1F730818">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0A73660F">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6D4FEB9">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4CC08A6">
            <w:pPr>
              <w:pageBreakBefore w:val="0"/>
              <w:kinsoku/>
              <w:wordWrap/>
              <w:overflowPunct/>
              <w:bidi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bl>
    <w:p w14:paraId="08D0A145">
      <w:pPr>
        <w:pStyle w:val="61"/>
        <w:pageBreakBefore w:val="0"/>
        <w:widowControl w:val="0"/>
        <w:kinsoku/>
        <w:wordWrap/>
        <w:overflowPunct/>
        <w:bidi w:val="0"/>
        <w:adjustRightInd w:val="0"/>
        <w:snapToGrid w:val="0"/>
        <w:spacing w:line="360" w:lineRule="auto"/>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说明：</w:t>
      </w:r>
    </w:p>
    <w:p w14:paraId="31EA20B3">
      <w:pPr>
        <w:pStyle w:val="61"/>
        <w:pageBreakBefore w:val="0"/>
        <w:widowControl w:val="0"/>
        <w:kinsoku/>
        <w:wordWrap/>
        <w:overflowPunct/>
        <w:bidi w:val="0"/>
        <w:adjustRightInd w:val="0"/>
        <w:snapToGrid w:val="0"/>
        <w:spacing w:line="360" w:lineRule="auto"/>
        <w:rPr>
          <w:rFonts w:hint="eastAsia" w:ascii="宋体" w:hAnsi="宋体" w:eastAsia="宋体" w:cs="宋体"/>
          <w:snapToGrid w:val="0"/>
          <w:color w:val="auto"/>
          <w:sz w:val="21"/>
          <w:szCs w:val="28"/>
          <w:highlight w:val="none"/>
        </w:rPr>
      </w:pPr>
      <w:r>
        <w:rPr>
          <w:rFonts w:hint="eastAsia" w:ascii="宋体" w:hAnsi="宋体" w:eastAsia="宋体" w:cs="宋体"/>
          <w:snapToGrid w:val="0"/>
          <w:color w:val="auto"/>
          <w:sz w:val="21"/>
          <w:highlight w:val="none"/>
        </w:rPr>
        <w:t>1</w:t>
      </w:r>
      <w:r>
        <w:rPr>
          <w:rFonts w:hint="eastAsia" w:ascii="宋体" w:hAnsi="宋体" w:eastAsia="宋体" w:cs="宋体"/>
          <w:snapToGrid w:val="0"/>
          <w:color w:val="auto"/>
          <w:sz w:val="21"/>
          <w:szCs w:val="28"/>
          <w:highlight w:val="none"/>
          <w:lang w:eastAsia="zh-CN"/>
        </w:rPr>
        <w:t>.</w:t>
      </w:r>
      <w:r>
        <w:rPr>
          <w:rFonts w:hint="eastAsia" w:ascii="宋体" w:hAnsi="宋体" w:eastAsia="宋体" w:cs="宋体"/>
          <w:snapToGrid w:val="0"/>
          <w:color w:val="auto"/>
          <w:sz w:val="21"/>
          <w:highlight w:val="none"/>
        </w:rPr>
        <w:t>《项目管理机构组成表》后应附表中拟派人员（项目经理、项目技术负责人</w:t>
      </w:r>
      <w:r>
        <w:rPr>
          <w:rFonts w:hint="eastAsia" w:ascii="宋体" w:hAnsi="宋体" w:eastAsia="宋体" w:cs="宋体"/>
          <w:snapToGrid w:val="0"/>
          <w:color w:val="auto"/>
          <w:sz w:val="21"/>
          <w:highlight w:val="none"/>
          <w:lang w:val="en-US" w:eastAsia="zh-CN"/>
        </w:rPr>
        <w:t>除外</w:t>
      </w:r>
      <w:r>
        <w:rPr>
          <w:rFonts w:hint="eastAsia" w:ascii="宋体" w:hAnsi="宋体" w:eastAsia="宋体" w:cs="宋体"/>
          <w:snapToGrid w:val="0"/>
          <w:color w:val="auto"/>
          <w:sz w:val="21"/>
          <w:highlight w:val="none"/>
        </w:rPr>
        <w:t>）以下资料：</w:t>
      </w:r>
    </w:p>
    <w:p w14:paraId="55F8A514">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（1）身份证彩色扫描件；</w:t>
      </w:r>
    </w:p>
    <w:p w14:paraId="5F3551B1">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（2）专职安全员须提供C类安全生产考核合格证书扫描件或“建筑施工企业管理人员安全生产考核信息系统”考核合格信息扫描件；施工员、质量员、材料员、资料员附岗位证书或培训证书彩色扫描件；</w:t>
      </w:r>
    </w:p>
    <w:p w14:paraId="7FD54262">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（3）在本单位缴纳社保的证明（</w:t>
      </w:r>
      <w:r>
        <w:rPr>
          <w:rFonts w:hint="eastAsia" w:ascii="宋体" w:hAnsi="宋体" w:eastAsia="宋体" w:cs="宋体"/>
          <w:snapToGrid w:val="0"/>
          <w:color w:val="auto"/>
          <w:kern w:val="0"/>
          <w:sz w:val="21"/>
          <w:szCs w:val="20"/>
          <w:highlight w:val="none"/>
          <w:lang w:val="en-US" w:eastAsia="zh-CN" w:bidi="ar-SA"/>
        </w:rPr>
        <w:t>至少一个月，其中必须有2025年9月）彩</w:t>
      </w:r>
      <w:r>
        <w:rPr>
          <w:rFonts w:hint="eastAsia" w:ascii="宋体" w:hAnsi="宋体" w:eastAsia="宋体" w:cs="宋体"/>
          <w:snapToGrid w:val="0"/>
          <w:color w:val="auto"/>
          <w:kern w:val="0"/>
          <w:sz w:val="21"/>
          <w:szCs w:val="28"/>
          <w:highlight w:val="none"/>
        </w:rPr>
        <w:t>色扫描件。拟派人员为退休返聘人员无法提供社保证明的，提供退休证和劳动合同彩色扫描件。</w:t>
      </w:r>
    </w:p>
    <w:p w14:paraId="7F0FD89B">
      <w:pPr>
        <w:pageBreakBefore w:val="0"/>
        <w:kinsoku/>
        <w:wordWrap/>
        <w:overflowPunct/>
        <w:bidi w:val="0"/>
        <w:adjustRightInd w:val="0"/>
        <w:snapToGrid w:val="0"/>
        <w:spacing w:line="360" w:lineRule="auto"/>
        <w:ind w:firstLine="420" w:firstLineChars="2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lang w:eastAsia="zh-CN"/>
        </w:rPr>
        <w:t>（</w:t>
      </w:r>
      <w:r>
        <w:rPr>
          <w:rFonts w:hint="eastAsia" w:ascii="宋体" w:hAnsi="宋体" w:eastAsia="宋体" w:cs="宋体"/>
          <w:snapToGrid w:val="0"/>
          <w:color w:val="auto"/>
          <w:kern w:val="0"/>
          <w:sz w:val="21"/>
          <w:highlight w:val="none"/>
          <w:lang w:val="en-US" w:eastAsia="zh-CN"/>
        </w:rPr>
        <w:t>4）</w:t>
      </w:r>
      <w:r>
        <w:rPr>
          <w:rFonts w:hint="eastAsia" w:ascii="宋体" w:hAnsi="宋体" w:eastAsia="宋体" w:cs="宋体"/>
          <w:snapToGrid w:val="0"/>
          <w:color w:val="auto"/>
          <w:kern w:val="0"/>
          <w:sz w:val="21"/>
          <w:highlight w:val="none"/>
        </w:rPr>
        <w:t>“进粤企业和人员诚信信息登记平台”个人信息情况截图。（适用于省外建筑企业）</w:t>
      </w:r>
    </w:p>
    <w:p w14:paraId="6817F90A">
      <w:pPr>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br w:type="page"/>
      </w:r>
    </w:p>
    <w:bookmarkEnd w:id="329"/>
    <w:bookmarkEnd w:id="330"/>
    <w:p w14:paraId="038F0315">
      <w:pPr>
        <w:pageBreakBefore w:val="0"/>
        <w:kinsoku/>
        <w:wordWrap/>
        <w:overflowPunct/>
        <w:bidi w:val="0"/>
        <w:rPr>
          <w:rFonts w:hint="eastAsia" w:ascii="宋体" w:hAnsi="宋体" w:eastAsia="宋体" w:cs="宋体"/>
          <w:color w:val="auto"/>
          <w:highlight w:val="none"/>
        </w:rPr>
      </w:pPr>
      <w:bookmarkStart w:id="334" w:name="_Toc36804690"/>
    </w:p>
    <w:p w14:paraId="17688EDC">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35" w:name="_Toc11234"/>
      <w:r>
        <w:rPr>
          <w:rFonts w:hint="eastAsia" w:ascii="宋体" w:hAnsi="宋体" w:eastAsia="宋体" w:cs="宋体"/>
          <w:b/>
          <w:bCs/>
          <w:color w:val="auto"/>
          <w:spacing w:val="-11"/>
          <w:sz w:val="24"/>
          <w:szCs w:val="24"/>
          <w:highlight w:val="none"/>
          <w:lang w:val="en-US" w:eastAsia="zh-CN"/>
        </w:rPr>
        <w:t>格式十二   建造师查询页（有效期+建造师签字）</w:t>
      </w:r>
      <w:bookmarkEnd w:id="335"/>
    </w:p>
    <w:p w14:paraId="7D361745">
      <w:pPr>
        <w:pageBreakBefore w:val="0"/>
        <w:kinsoku/>
        <w:wordWrap/>
        <w:overflowPunct/>
        <w:bidi w:val="0"/>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drawing>
          <wp:inline distT="0" distB="0" distL="114300" distR="114300">
            <wp:extent cx="6073775" cy="8491220"/>
            <wp:effectExtent l="0" t="0" r="3175" b="5080"/>
            <wp:docPr id="4" name="图片 113" descr="b7c3fa9a6b84aa75afaa6419d14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3" descr="b7c3fa9a6b84aa75afaa6419d149817"/>
                    <pic:cNvPicPr>
                      <a:picLocks noChangeAspect="1"/>
                    </pic:cNvPicPr>
                  </pic:nvPicPr>
                  <pic:blipFill>
                    <a:blip r:embed="rId33"/>
                    <a:stretch>
                      <a:fillRect/>
                    </a:stretch>
                  </pic:blipFill>
                  <pic:spPr>
                    <a:xfrm>
                      <a:off x="0" y="0"/>
                      <a:ext cx="6073775" cy="8491220"/>
                    </a:xfrm>
                    <a:prstGeom prst="rect">
                      <a:avLst/>
                    </a:prstGeom>
                    <a:noFill/>
                    <a:ln>
                      <a:noFill/>
                    </a:ln>
                  </pic:spPr>
                </pic:pic>
              </a:graphicData>
            </a:graphic>
          </wp:inline>
        </w:drawing>
      </w:r>
    </w:p>
    <w:p w14:paraId="5233E5D8">
      <w:pPr>
        <w:pageBreakBefore w:val="0"/>
        <w:kinsoku/>
        <w:wordWrap/>
        <w:overflowPunct/>
        <w:bidi w:val="0"/>
        <w:rPr>
          <w:rFonts w:hint="eastAsia" w:ascii="宋体" w:hAnsi="宋体" w:eastAsia="宋体" w:cs="宋体"/>
          <w:snapToGrid w:val="0"/>
          <w:color w:val="auto"/>
          <w:sz w:val="21"/>
          <w:highlight w:val="none"/>
        </w:rPr>
      </w:pPr>
    </w:p>
    <w:p w14:paraId="5FBC33E1">
      <w:pPr>
        <w:pageBreakBefore w:val="0"/>
        <w:kinsoku/>
        <w:wordWrap/>
        <w:overflowPunct/>
        <w:bidi w:val="0"/>
        <w:rPr>
          <w:rFonts w:hint="eastAsia" w:ascii="宋体" w:hAnsi="宋体" w:eastAsia="宋体" w:cs="宋体"/>
          <w:snapToGrid w:val="0"/>
          <w:color w:val="auto"/>
          <w:sz w:val="21"/>
          <w:highlight w:val="none"/>
        </w:rPr>
      </w:pPr>
    </w:p>
    <w:p w14:paraId="3B43CCC4">
      <w:pPr>
        <w:pageBreakBefore w:val="0"/>
        <w:kinsoku/>
        <w:wordWrap/>
        <w:overflowPunct/>
        <w:bidi w:val="0"/>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114300" distR="114300">
            <wp:extent cx="6088380" cy="6311265"/>
            <wp:effectExtent l="0" t="0" r="7620" b="13335"/>
            <wp:docPr id="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4"/>
                    <pic:cNvPicPr>
                      <a:picLocks noChangeAspect="1"/>
                    </pic:cNvPicPr>
                  </pic:nvPicPr>
                  <pic:blipFill>
                    <a:blip r:embed="rId34"/>
                    <a:stretch>
                      <a:fillRect/>
                    </a:stretch>
                  </pic:blipFill>
                  <pic:spPr>
                    <a:xfrm>
                      <a:off x="0" y="0"/>
                      <a:ext cx="6088380" cy="6311265"/>
                    </a:xfrm>
                    <a:prstGeom prst="rect">
                      <a:avLst/>
                    </a:prstGeom>
                    <a:noFill/>
                    <a:ln>
                      <a:noFill/>
                    </a:ln>
                  </pic:spPr>
                </pic:pic>
              </a:graphicData>
            </a:graphic>
          </wp:inline>
        </w:drawing>
      </w:r>
    </w:p>
    <w:p w14:paraId="50E74E37">
      <w:pPr>
        <w:pageBreakBefore w:val="0"/>
        <w:kinsoku/>
        <w:wordWrap/>
        <w:overflowPunct/>
        <w:bidi w:val="0"/>
        <w:rPr>
          <w:rFonts w:hint="eastAsia" w:ascii="宋体" w:hAnsi="宋体" w:eastAsia="宋体" w:cs="宋体"/>
          <w:color w:val="auto"/>
          <w:highlight w:val="none"/>
        </w:rPr>
      </w:pPr>
    </w:p>
    <w:p w14:paraId="24137043">
      <w:pPr>
        <w:pageBreakBefore w:val="0"/>
        <w:kinsoku/>
        <w:wordWrap/>
        <w:overflowPunct/>
        <w:bidi w:val="0"/>
        <w:rPr>
          <w:rFonts w:hint="eastAsia" w:ascii="宋体" w:hAnsi="宋体" w:eastAsia="宋体" w:cs="宋体"/>
          <w:color w:val="auto"/>
          <w:highlight w:val="none"/>
        </w:rPr>
      </w:pPr>
    </w:p>
    <w:p w14:paraId="77AA41E2">
      <w:pPr>
        <w:pageBreakBefore w:val="0"/>
        <w:kinsoku/>
        <w:wordWrap/>
        <w:overflowPunct/>
        <w:bidi w:val="0"/>
        <w:rPr>
          <w:rFonts w:hint="eastAsia" w:ascii="宋体" w:hAnsi="宋体" w:eastAsia="宋体" w:cs="宋体"/>
          <w:color w:val="auto"/>
          <w:highlight w:val="none"/>
        </w:rPr>
      </w:pPr>
    </w:p>
    <w:p w14:paraId="2CBC0C8B">
      <w:pPr>
        <w:pageBreakBefore w:val="0"/>
        <w:kinsoku/>
        <w:wordWrap/>
        <w:overflowPunct/>
        <w:bidi w:val="0"/>
        <w:rPr>
          <w:rFonts w:hint="eastAsia" w:ascii="宋体" w:hAnsi="宋体" w:eastAsia="宋体" w:cs="宋体"/>
          <w:color w:val="auto"/>
          <w:highlight w:val="none"/>
        </w:rPr>
      </w:pPr>
    </w:p>
    <w:p w14:paraId="44EC900C">
      <w:pPr>
        <w:pageBreakBefore w:val="0"/>
        <w:kinsoku/>
        <w:wordWrap/>
        <w:overflowPunct/>
        <w:bidi w:val="0"/>
        <w:rPr>
          <w:rFonts w:hint="eastAsia" w:ascii="宋体" w:hAnsi="宋体" w:eastAsia="宋体" w:cs="宋体"/>
          <w:color w:val="auto"/>
          <w:highlight w:val="none"/>
        </w:rPr>
      </w:pPr>
    </w:p>
    <w:p w14:paraId="00EC1A2A">
      <w:pPr>
        <w:pageBreakBefore w:val="0"/>
        <w:kinsoku/>
        <w:wordWrap/>
        <w:overflowPunct/>
        <w:bidi w:val="0"/>
        <w:rPr>
          <w:rFonts w:hint="eastAsia" w:ascii="宋体" w:hAnsi="宋体" w:eastAsia="宋体" w:cs="宋体"/>
          <w:color w:val="auto"/>
          <w:highlight w:val="none"/>
        </w:rPr>
      </w:pPr>
    </w:p>
    <w:p w14:paraId="2F8241EE">
      <w:pPr>
        <w:pageBreakBefore w:val="0"/>
        <w:kinsoku/>
        <w:wordWrap/>
        <w:overflowPunct/>
        <w:bidi w:val="0"/>
        <w:rPr>
          <w:rFonts w:hint="eastAsia" w:ascii="宋体" w:hAnsi="宋体" w:eastAsia="宋体" w:cs="宋体"/>
          <w:color w:val="auto"/>
          <w:highlight w:val="none"/>
        </w:rPr>
      </w:pPr>
    </w:p>
    <w:p w14:paraId="798C45DD">
      <w:pPr>
        <w:pageBreakBefore w:val="0"/>
        <w:kinsoku/>
        <w:wordWrap/>
        <w:overflowPunct/>
        <w:bidi w:val="0"/>
        <w:rPr>
          <w:rFonts w:hint="eastAsia" w:ascii="宋体" w:hAnsi="宋体" w:eastAsia="宋体" w:cs="宋体"/>
          <w:color w:val="auto"/>
          <w:highlight w:val="none"/>
        </w:rPr>
      </w:pPr>
    </w:p>
    <w:p w14:paraId="36C9709B">
      <w:pPr>
        <w:pageBreakBefore w:val="0"/>
        <w:kinsoku/>
        <w:wordWrap/>
        <w:overflowPunct/>
        <w:bidi w:val="0"/>
        <w:rPr>
          <w:rFonts w:hint="eastAsia" w:ascii="宋体" w:hAnsi="宋体" w:eastAsia="宋体" w:cs="宋体"/>
          <w:color w:val="auto"/>
          <w:highlight w:val="none"/>
        </w:rPr>
      </w:pPr>
    </w:p>
    <w:p w14:paraId="4B6CCB7E">
      <w:pPr>
        <w:pageBreakBefore w:val="0"/>
        <w:kinsoku/>
        <w:wordWrap/>
        <w:overflowPunct/>
        <w:bidi w:val="0"/>
        <w:rPr>
          <w:rFonts w:hint="eastAsia" w:ascii="宋体" w:hAnsi="宋体" w:eastAsia="宋体" w:cs="宋体"/>
          <w:color w:val="auto"/>
          <w:highlight w:val="none"/>
        </w:rPr>
      </w:pPr>
    </w:p>
    <w:p w14:paraId="07F606DA">
      <w:pPr>
        <w:pageBreakBefore w:val="0"/>
        <w:kinsoku/>
        <w:wordWrap/>
        <w:overflowPunct/>
        <w:bidi w:val="0"/>
        <w:rPr>
          <w:rFonts w:hint="eastAsia" w:ascii="宋体" w:hAnsi="宋体" w:eastAsia="宋体" w:cs="宋体"/>
          <w:color w:val="auto"/>
          <w:highlight w:val="none"/>
        </w:rPr>
      </w:pPr>
    </w:p>
    <w:p w14:paraId="4AE815E4">
      <w:pPr>
        <w:pageBreakBefore w:val="0"/>
        <w:kinsoku/>
        <w:wordWrap/>
        <w:overflowPunct/>
        <w:bidi w:val="0"/>
        <w:rPr>
          <w:rFonts w:hint="eastAsia" w:ascii="宋体" w:hAnsi="宋体" w:eastAsia="宋体" w:cs="宋体"/>
          <w:color w:val="auto"/>
          <w:highlight w:val="none"/>
        </w:rPr>
      </w:pPr>
    </w:p>
    <w:p w14:paraId="6FD2E8AF">
      <w:pPr>
        <w:pageBreakBefore w:val="0"/>
        <w:kinsoku/>
        <w:wordWrap/>
        <w:overflowPunct/>
        <w:bidi w:val="0"/>
        <w:rPr>
          <w:rFonts w:hint="eastAsia" w:ascii="宋体" w:hAnsi="宋体" w:eastAsia="宋体" w:cs="宋体"/>
          <w:color w:val="auto"/>
          <w:highlight w:val="none"/>
        </w:rPr>
      </w:pPr>
    </w:p>
    <w:p w14:paraId="69D3EEE5">
      <w:pPr>
        <w:pageBreakBefore w:val="0"/>
        <w:kinsoku/>
        <w:wordWrap/>
        <w:overflowPunct/>
        <w:bidi w:val="0"/>
        <w:rPr>
          <w:rFonts w:hint="eastAsia" w:ascii="宋体" w:hAnsi="宋体" w:eastAsia="宋体" w:cs="宋体"/>
          <w:color w:val="auto"/>
          <w:highlight w:val="none"/>
        </w:rPr>
      </w:pPr>
    </w:p>
    <w:p w14:paraId="7ECC2CAE">
      <w:pPr>
        <w:pageBreakBefore w:val="0"/>
        <w:kinsoku/>
        <w:wordWrap/>
        <w:overflowPunct/>
        <w:bidi w:val="0"/>
        <w:rPr>
          <w:rFonts w:hint="eastAsia" w:ascii="宋体" w:hAnsi="宋体" w:eastAsia="宋体" w:cs="宋体"/>
          <w:color w:val="auto"/>
          <w:highlight w:val="none"/>
        </w:rPr>
      </w:pPr>
    </w:p>
    <w:p w14:paraId="566192B7">
      <w:pPr>
        <w:pageBreakBefore w:val="0"/>
        <w:kinsoku/>
        <w:wordWrap/>
        <w:overflowPunct/>
        <w:bidi w:val="0"/>
        <w:rPr>
          <w:rFonts w:hint="eastAsia" w:ascii="宋体" w:hAnsi="宋体" w:eastAsia="宋体" w:cs="宋体"/>
          <w:color w:val="auto"/>
          <w:highlight w:val="none"/>
        </w:rPr>
      </w:pPr>
    </w:p>
    <w:p w14:paraId="184A4199">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36" w:name="_Toc16953"/>
      <w:bookmarkStart w:id="337" w:name="_Toc9813"/>
      <w:r>
        <w:rPr>
          <w:rFonts w:hint="eastAsia" w:ascii="宋体" w:hAnsi="宋体" w:eastAsia="宋体" w:cs="宋体"/>
          <w:b/>
          <w:bCs/>
          <w:color w:val="auto"/>
          <w:spacing w:val="-11"/>
          <w:sz w:val="24"/>
          <w:szCs w:val="24"/>
          <w:highlight w:val="none"/>
          <w:lang w:val="en-US" w:eastAsia="zh-CN"/>
        </w:rPr>
        <w:t>格式十</w:t>
      </w:r>
      <w:bookmarkEnd w:id="336"/>
      <w:r>
        <w:rPr>
          <w:rFonts w:hint="eastAsia" w:ascii="宋体" w:hAnsi="宋体" w:eastAsia="宋体" w:cs="宋体"/>
          <w:b/>
          <w:bCs/>
          <w:color w:val="auto"/>
          <w:spacing w:val="-11"/>
          <w:sz w:val="24"/>
          <w:szCs w:val="24"/>
          <w:highlight w:val="none"/>
          <w:lang w:val="en-US" w:eastAsia="zh-CN"/>
        </w:rPr>
        <w:t>三   危险性较大的分部分项工程清单及超过一定规模的危险性较大的分部分项工程清单</w:t>
      </w:r>
      <w:bookmarkEnd w:id="337"/>
    </w:p>
    <w:p w14:paraId="3C04293C">
      <w:pPr>
        <w:pStyle w:val="8"/>
        <w:pageBreakBefore w:val="0"/>
        <w:kinsoku/>
        <w:wordWrap/>
        <w:overflowPunct/>
        <w:bidi w:val="0"/>
        <w:spacing w:before="101" w:line="360" w:lineRule="auto"/>
        <w:ind w:left="3259" w:right="41" w:hanging="3213"/>
        <w:jc w:val="left"/>
        <w:rPr>
          <w:rFonts w:hint="eastAsia" w:ascii="宋体" w:hAnsi="宋体" w:eastAsia="宋体" w:cs="宋体"/>
          <w:color w:val="auto"/>
          <w:sz w:val="28"/>
          <w:szCs w:val="28"/>
          <w:highlight w:val="none"/>
        </w:rPr>
      </w:pPr>
      <w:r>
        <w:rPr>
          <w:rFonts w:hint="eastAsia" w:ascii="宋体" w:hAnsi="宋体" w:eastAsia="宋体" w:cs="宋体"/>
          <w:b/>
          <w:bCs/>
          <w:color w:val="auto"/>
          <w:spacing w:val="7"/>
          <w:sz w:val="28"/>
          <w:szCs w:val="28"/>
          <w:highlight w:val="none"/>
        </w:rPr>
        <w:t>危险性较大的分部分项工程清单及超过一定规模的危险性较大的</w:t>
      </w:r>
      <w:r>
        <w:rPr>
          <w:rFonts w:hint="eastAsia" w:ascii="宋体" w:hAnsi="宋体" w:eastAsia="宋体" w:cs="宋体"/>
          <w:b/>
          <w:bCs/>
          <w:color w:val="auto"/>
          <w:spacing w:val="5"/>
          <w:sz w:val="28"/>
          <w:szCs w:val="28"/>
          <w:highlight w:val="none"/>
        </w:rPr>
        <w:t>分部分项工程清单</w:t>
      </w:r>
    </w:p>
    <w:p w14:paraId="0F06CFE4">
      <w:pPr>
        <w:pStyle w:val="8"/>
        <w:pageBreakBefore w:val="0"/>
        <w:kinsoku/>
        <w:wordWrap/>
        <w:overflowPunct/>
        <w:bidi w:val="0"/>
        <w:spacing w:before="6" w:line="360" w:lineRule="auto"/>
        <w:ind w:left="5" w:firstLine="492"/>
        <w:rPr>
          <w:rFonts w:hint="eastAsia" w:ascii="宋体" w:hAnsi="宋体" w:eastAsia="宋体" w:cs="宋体"/>
          <w:color w:val="auto"/>
          <w:highlight w:val="none"/>
        </w:rPr>
      </w:pPr>
      <w:r>
        <w:rPr>
          <w:rFonts w:hint="eastAsia" w:ascii="宋体" w:hAnsi="宋体" w:eastAsia="宋体" w:cs="宋体"/>
          <w:color w:val="auto"/>
          <w:spacing w:val="-1"/>
          <w:highlight w:val="none"/>
        </w:rPr>
        <w:t>1、根据中华人民共和国住房和城乡建设部令第37号《危险性较大的分部分项工程</w:t>
      </w:r>
      <w:r>
        <w:rPr>
          <w:rFonts w:hint="eastAsia" w:ascii="宋体" w:hAnsi="宋体" w:eastAsia="宋体" w:cs="宋体"/>
          <w:color w:val="auto"/>
          <w:spacing w:val="8"/>
          <w:highlight w:val="none"/>
        </w:rPr>
        <w:t xml:space="preserve"> </w:t>
      </w:r>
      <w:r>
        <w:rPr>
          <w:rFonts w:hint="eastAsia" w:ascii="宋体" w:hAnsi="宋体" w:eastAsia="宋体" w:cs="宋体"/>
          <w:color w:val="auto"/>
          <w:spacing w:val="-2"/>
          <w:highlight w:val="none"/>
        </w:rPr>
        <w:t>安全管理规定》（以下简称“37号文</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11"/>
          <w:highlight w:val="none"/>
        </w:rPr>
        <w:t>），</w:t>
      </w:r>
      <w:r>
        <w:rPr>
          <w:rFonts w:hint="eastAsia" w:ascii="宋体" w:hAnsi="宋体" w:eastAsia="宋体" w:cs="宋体"/>
          <w:color w:val="auto"/>
          <w:spacing w:val="-2"/>
          <w:highlight w:val="none"/>
        </w:rPr>
        <w:t>投标人在投标时须补充完善危大工程清单并</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明确相应的安全管理措施。</w:t>
      </w:r>
    </w:p>
    <w:p w14:paraId="66587309">
      <w:pPr>
        <w:pStyle w:val="8"/>
        <w:pageBreakBefore w:val="0"/>
        <w:kinsoku/>
        <w:wordWrap/>
        <w:overflowPunct/>
        <w:bidi w:val="0"/>
        <w:spacing w:before="208" w:line="360" w:lineRule="auto"/>
        <w:ind w:left="1" w:firstLine="481"/>
        <w:rPr>
          <w:rFonts w:hint="eastAsia" w:ascii="宋体" w:hAnsi="宋体" w:eastAsia="宋体" w:cs="宋体"/>
          <w:color w:val="auto"/>
          <w:highlight w:val="none"/>
        </w:rPr>
      </w:pPr>
      <w:r>
        <w:rPr>
          <w:rFonts w:hint="eastAsia" w:ascii="宋体" w:hAnsi="宋体" w:eastAsia="宋体" w:cs="宋体"/>
          <w:color w:val="auto"/>
          <w:spacing w:val="-2"/>
          <w:highlight w:val="none"/>
        </w:rPr>
        <w:t>2、招标人根据设计文件的要求及37号文、粤建规范〔2019〕2号文的规定列出“危</w:t>
      </w:r>
      <w:r>
        <w:rPr>
          <w:rFonts w:hint="eastAsia" w:ascii="宋体" w:hAnsi="宋体" w:eastAsia="宋体" w:cs="宋体"/>
          <w:color w:val="auto"/>
          <w:spacing w:val="18"/>
          <w:highlight w:val="none"/>
        </w:rPr>
        <w:t xml:space="preserve"> </w:t>
      </w:r>
      <w:r>
        <w:rPr>
          <w:rFonts w:hint="eastAsia" w:ascii="宋体" w:hAnsi="宋体" w:eastAsia="宋体" w:cs="宋体"/>
          <w:color w:val="auto"/>
          <w:spacing w:val="-2"/>
          <w:highlight w:val="none"/>
        </w:rPr>
        <w:t>险性较大的分部分项工程清单及超过一定规模的危</w:t>
      </w:r>
      <w:r>
        <w:rPr>
          <w:rFonts w:hint="eastAsia" w:ascii="宋体" w:hAnsi="宋体" w:eastAsia="宋体" w:cs="宋体"/>
          <w:color w:val="auto"/>
          <w:spacing w:val="-3"/>
          <w:highlight w:val="none"/>
        </w:rPr>
        <w:t>险性较大的分部分项工程清单</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3"/>
          <w:highlight w:val="none"/>
        </w:rPr>
        <w:t>”中与</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本招标项目相关的清单项，具体详见第5点“打</w:t>
      </w:r>
      <w:r>
        <w:rPr>
          <w:rFonts w:hint="eastAsia" w:ascii="宋体" w:hAnsi="宋体" w:eastAsia="宋体" w:cs="宋体"/>
          <w:color w:val="auto"/>
          <w:spacing w:val="-34"/>
          <w:highlight w:val="none"/>
        </w:rPr>
        <w:t xml:space="preserve"> </w:t>
      </w:r>
      <w:r>
        <w:rPr>
          <w:rFonts w:hint="eastAsia" w:ascii="宋体" w:hAnsi="宋体" w:eastAsia="宋体" w:cs="宋体"/>
          <w:color w:val="auto"/>
          <w:spacing w:val="-5"/>
          <w:highlight w:val="none"/>
        </w:rPr>
        <w:t>√</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5"/>
          <w:highlight w:val="none"/>
        </w:rPr>
        <w:t>”标识。</w:t>
      </w:r>
    </w:p>
    <w:p w14:paraId="688A95F4">
      <w:pPr>
        <w:pStyle w:val="8"/>
        <w:pageBreakBefore w:val="0"/>
        <w:kinsoku/>
        <w:wordWrap/>
        <w:overflowPunct/>
        <w:bidi w:val="0"/>
        <w:spacing w:before="208" w:line="360" w:lineRule="auto"/>
        <w:ind w:left="3" w:right="72" w:firstLine="488"/>
        <w:rPr>
          <w:rFonts w:hint="eastAsia" w:ascii="宋体" w:hAnsi="宋体" w:eastAsia="宋体" w:cs="宋体"/>
          <w:color w:val="auto"/>
          <w:highlight w:val="none"/>
        </w:rPr>
      </w:pPr>
      <w:r>
        <w:rPr>
          <w:rFonts w:hint="eastAsia" w:ascii="宋体" w:hAnsi="宋体" w:eastAsia="宋体" w:cs="宋体"/>
          <w:color w:val="auto"/>
          <w:spacing w:val="-3"/>
          <w:highlight w:val="none"/>
        </w:rPr>
        <w:t>（1）投标单位同意建设单位在清单中标识的该</w:t>
      </w:r>
      <w:r>
        <w:rPr>
          <w:rFonts w:hint="eastAsia" w:ascii="宋体" w:hAnsi="宋体" w:eastAsia="宋体" w:cs="宋体"/>
          <w:color w:val="auto"/>
          <w:spacing w:val="-4"/>
          <w:highlight w:val="none"/>
        </w:rPr>
        <w:t>项请在对应项打“</w:t>
      </w:r>
      <w:r>
        <w:rPr>
          <w:rFonts w:hint="eastAsia" w:ascii="宋体" w:hAnsi="宋体" w:eastAsia="宋体" w:cs="宋体"/>
          <w:color w:val="auto"/>
          <w:spacing w:val="-51"/>
          <w:highlight w:val="none"/>
        </w:rPr>
        <w:t xml:space="preserve"> </w:t>
      </w:r>
      <w:r>
        <w:rPr>
          <w:rFonts w:hint="eastAsia" w:ascii="宋体" w:hAnsi="宋体" w:eastAsia="宋体" w:cs="宋体"/>
          <w:color w:val="auto"/>
          <w:spacing w:val="-4"/>
          <w:highlight w:val="none"/>
        </w:rPr>
        <w:t>√</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4"/>
          <w:highlight w:val="none"/>
        </w:rPr>
        <w:t>”标识，并与</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投标文件中提供相应的安全管理措施。</w:t>
      </w:r>
    </w:p>
    <w:p w14:paraId="10A3F36C">
      <w:pPr>
        <w:pStyle w:val="8"/>
        <w:pageBreakBefore w:val="0"/>
        <w:kinsoku/>
        <w:wordWrap/>
        <w:overflowPunct/>
        <w:bidi w:val="0"/>
        <w:spacing w:before="206" w:line="360" w:lineRule="auto"/>
        <w:ind w:left="2" w:right="72" w:firstLine="489"/>
        <w:rPr>
          <w:rFonts w:hint="eastAsia" w:ascii="宋体" w:hAnsi="宋体" w:eastAsia="宋体" w:cs="宋体"/>
          <w:color w:val="auto"/>
          <w:highlight w:val="none"/>
        </w:rPr>
      </w:pPr>
      <w:r>
        <w:rPr>
          <w:rFonts w:hint="eastAsia" w:ascii="宋体" w:hAnsi="宋体" w:eastAsia="宋体" w:cs="宋体"/>
          <w:color w:val="auto"/>
          <w:spacing w:val="-3"/>
          <w:highlight w:val="none"/>
        </w:rPr>
        <w:t>（2）投标单位对清单中认为需要补充的该项请</w:t>
      </w:r>
      <w:r>
        <w:rPr>
          <w:rFonts w:hint="eastAsia" w:ascii="宋体" w:hAnsi="宋体" w:eastAsia="宋体" w:cs="宋体"/>
          <w:color w:val="auto"/>
          <w:spacing w:val="-4"/>
          <w:highlight w:val="none"/>
        </w:rPr>
        <w:t>在对应项打“</w:t>
      </w:r>
      <w:r>
        <w:rPr>
          <w:rFonts w:hint="eastAsia" w:ascii="宋体" w:hAnsi="宋体" w:eastAsia="宋体" w:cs="宋体"/>
          <w:color w:val="auto"/>
          <w:spacing w:val="-51"/>
          <w:highlight w:val="none"/>
        </w:rPr>
        <w:t xml:space="preserve"> </w:t>
      </w:r>
      <w:r>
        <w:rPr>
          <w:rFonts w:hint="eastAsia" w:ascii="宋体" w:hAnsi="宋体" w:eastAsia="宋体" w:cs="宋体"/>
          <w:color w:val="auto"/>
          <w:spacing w:val="-4"/>
          <w:highlight w:val="none"/>
        </w:rPr>
        <w:t>√</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4"/>
          <w:highlight w:val="none"/>
        </w:rPr>
        <w:t>”标识，并与投标</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文件中提供相应的安全管理措施。</w:t>
      </w:r>
    </w:p>
    <w:p w14:paraId="31E03A44">
      <w:pPr>
        <w:pStyle w:val="8"/>
        <w:pageBreakBefore w:val="0"/>
        <w:kinsoku/>
        <w:wordWrap/>
        <w:overflowPunct/>
        <w:bidi w:val="0"/>
        <w:spacing w:before="208" w:line="360" w:lineRule="auto"/>
        <w:ind w:right="72" w:firstLine="492"/>
        <w:rPr>
          <w:rFonts w:hint="eastAsia" w:ascii="宋体" w:hAnsi="宋体" w:eastAsia="宋体" w:cs="宋体"/>
          <w:color w:val="auto"/>
          <w:highlight w:val="none"/>
        </w:rPr>
      </w:pPr>
      <w:r>
        <w:rPr>
          <w:rFonts w:hint="eastAsia" w:ascii="宋体" w:hAnsi="宋体" w:eastAsia="宋体" w:cs="宋体"/>
          <w:color w:val="auto"/>
          <w:spacing w:val="-3"/>
          <w:highlight w:val="none"/>
        </w:rPr>
        <w:t>（3）投标单位不同意建设单位在清单中标识的该项请在对应项打“</w:t>
      </w:r>
      <w:r>
        <w:rPr>
          <w:rFonts w:hint="eastAsia" w:ascii="宋体" w:hAnsi="宋体" w:eastAsia="宋体" w:cs="宋体"/>
          <w:color w:val="auto"/>
          <w:spacing w:val="-66"/>
          <w:highlight w:val="none"/>
        </w:rPr>
        <w:t xml:space="preserve"> </w:t>
      </w:r>
      <w:r>
        <w:rPr>
          <w:rFonts w:hint="eastAsia" w:ascii="宋体" w:hAnsi="宋体" w:eastAsia="宋体" w:cs="宋体"/>
          <w:color w:val="auto"/>
          <w:spacing w:val="-3"/>
          <w:highlight w:val="none"/>
        </w:rPr>
        <w:t>×</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3"/>
          <w:highlight w:val="none"/>
        </w:rPr>
        <w:t>”标识，并</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在备注栏填上相关说明。</w:t>
      </w:r>
    </w:p>
    <w:p w14:paraId="4EFDC912">
      <w:pPr>
        <w:pStyle w:val="8"/>
        <w:pageBreakBefore w:val="0"/>
        <w:kinsoku/>
        <w:wordWrap/>
        <w:overflowPunct/>
        <w:bidi w:val="0"/>
        <w:spacing w:before="210" w:line="360" w:lineRule="auto"/>
        <w:ind w:firstLine="484"/>
        <w:jc w:val="both"/>
        <w:rPr>
          <w:rFonts w:hint="eastAsia" w:ascii="宋体" w:hAnsi="宋体" w:eastAsia="宋体" w:cs="宋体"/>
          <w:color w:val="auto"/>
          <w:highlight w:val="none"/>
        </w:rPr>
      </w:pPr>
      <w:r>
        <w:rPr>
          <w:rFonts w:hint="eastAsia" w:ascii="宋体" w:hAnsi="宋体" w:eastAsia="宋体" w:cs="宋体"/>
          <w:b/>
          <w:bCs/>
          <w:color w:val="auto"/>
          <w:spacing w:val="-4"/>
          <w:highlight w:val="none"/>
          <w:u w:val="single" w:color="auto"/>
        </w:rPr>
        <w:t>3、投标单位应当在投标时根据招标人提供的下述第5点清单，</w:t>
      </w:r>
      <w:r>
        <w:rPr>
          <w:rFonts w:hint="eastAsia" w:ascii="宋体" w:hAnsi="宋体" w:eastAsia="宋体" w:cs="宋体"/>
          <w:b/>
          <w:bCs/>
          <w:color w:val="auto"/>
          <w:spacing w:val="-5"/>
          <w:highlight w:val="none"/>
          <w:u w:val="single" w:color="auto"/>
        </w:rPr>
        <w:t>在投标施工组织中回</w:t>
      </w:r>
      <w:r>
        <w:rPr>
          <w:rFonts w:hint="eastAsia" w:ascii="宋体" w:hAnsi="宋体" w:eastAsia="宋体" w:cs="宋体"/>
          <w:b/>
          <w:bCs/>
          <w:color w:val="auto"/>
          <w:spacing w:val="-4"/>
          <w:highlight w:val="none"/>
          <w:u w:val="single" w:color="auto"/>
        </w:rPr>
        <w:t>应建设单位提供的危大工程清单，补充相应的安全管理措施。（为减轻标书编制</w:t>
      </w:r>
      <w:r>
        <w:rPr>
          <w:rFonts w:hint="eastAsia" w:ascii="宋体" w:hAnsi="宋体" w:eastAsia="宋体" w:cs="宋体"/>
          <w:b/>
          <w:bCs/>
          <w:color w:val="auto"/>
          <w:spacing w:val="-5"/>
          <w:highlight w:val="none"/>
          <w:u w:val="single" w:color="auto"/>
        </w:rPr>
        <w:t>的工作</w:t>
      </w:r>
      <w:r>
        <w:rPr>
          <w:rFonts w:hint="eastAsia" w:ascii="宋体" w:hAnsi="宋体" w:eastAsia="宋体" w:cs="宋体"/>
          <w:b/>
          <w:bCs/>
          <w:color w:val="auto"/>
          <w:spacing w:val="-2"/>
          <w:highlight w:val="none"/>
          <w:u w:val="single" w:color="auto"/>
        </w:rPr>
        <w:t>量，投标单位回应的危大工程清单该部分的页数应控制在3页内）</w:t>
      </w:r>
    </w:p>
    <w:p w14:paraId="06901094">
      <w:pPr>
        <w:pStyle w:val="8"/>
        <w:pageBreakBefore w:val="0"/>
        <w:kinsoku/>
        <w:wordWrap/>
        <w:overflowPunct/>
        <w:bidi w:val="0"/>
        <w:spacing w:before="37" w:line="360" w:lineRule="auto"/>
        <w:ind w:left="1" w:firstLine="478"/>
        <w:rPr>
          <w:rFonts w:hint="eastAsia" w:ascii="宋体" w:hAnsi="宋体" w:eastAsia="宋体" w:cs="宋体"/>
          <w:color w:val="auto"/>
          <w:highlight w:val="none"/>
        </w:rPr>
      </w:pPr>
      <w:r>
        <w:rPr>
          <w:rFonts w:hint="eastAsia" w:ascii="宋体" w:hAnsi="宋体" w:eastAsia="宋体" w:cs="宋体"/>
          <w:color w:val="auto"/>
          <w:highlight w:val="none"/>
        </w:rPr>
        <w:t>4、对于超过一定规模的危大工程，中标单位应当组织召开</w:t>
      </w:r>
      <w:r>
        <w:rPr>
          <w:rFonts w:hint="eastAsia" w:ascii="宋体" w:hAnsi="宋体" w:eastAsia="宋体" w:cs="宋体"/>
          <w:color w:val="auto"/>
          <w:spacing w:val="-1"/>
          <w:highlight w:val="none"/>
        </w:rPr>
        <w:t>专家论证会对专项施工</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方案进行论证。实行施工总承包的，由施工总承包单位组织召开专家论证会。专家论证</w:t>
      </w:r>
      <w:r>
        <w:rPr>
          <w:rFonts w:hint="eastAsia" w:ascii="宋体" w:hAnsi="宋体" w:eastAsia="宋体" w:cs="宋体"/>
          <w:color w:val="auto"/>
          <w:spacing w:val="16"/>
          <w:highlight w:val="none"/>
        </w:rPr>
        <w:t xml:space="preserve"> </w:t>
      </w:r>
      <w:r>
        <w:rPr>
          <w:rFonts w:hint="eastAsia" w:ascii="宋体" w:hAnsi="宋体" w:eastAsia="宋体" w:cs="宋体"/>
          <w:color w:val="auto"/>
          <w:spacing w:val="-1"/>
          <w:highlight w:val="none"/>
        </w:rPr>
        <w:t>前专项施工方案应当通过施工总承包单位审核和总监理工程师审查。</w:t>
      </w:r>
    </w:p>
    <w:p w14:paraId="3C5F3DD9">
      <w:pPr>
        <w:pStyle w:val="8"/>
        <w:pageBreakBefore w:val="0"/>
        <w:kinsoku/>
        <w:wordWrap/>
        <w:overflowPunct/>
        <w:bidi w:val="0"/>
        <w:spacing w:before="205" w:line="360" w:lineRule="auto"/>
        <w:ind w:firstLine="484"/>
        <w:rPr>
          <w:rFonts w:hint="eastAsia" w:ascii="宋体" w:hAnsi="宋体" w:eastAsia="宋体" w:cs="宋体"/>
          <w:color w:val="auto"/>
          <w:highlight w:val="none"/>
        </w:rPr>
      </w:pPr>
      <w:r>
        <w:rPr>
          <w:rFonts w:hint="eastAsia" w:ascii="宋体" w:hAnsi="宋体" w:eastAsia="宋体" w:cs="宋体"/>
          <w:color w:val="auto"/>
          <w:spacing w:val="2"/>
          <w:highlight w:val="none"/>
        </w:rPr>
        <w:t>5、危险性较大的分部分项工程清单及超过一</w:t>
      </w:r>
      <w:r>
        <w:rPr>
          <w:rFonts w:hint="eastAsia" w:ascii="宋体" w:hAnsi="宋体" w:eastAsia="宋体" w:cs="宋体"/>
          <w:color w:val="auto"/>
          <w:spacing w:val="1"/>
          <w:highlight w:val="none"/>
        </w:rPr>
        <w:t>定规模的危险性较大的分部分项工程</w:t>
      </w:r>
      <w:r>
        <w:rPr>
          <w:rFonts w:hint="eastAsia" w:ascii="宋体" w:hAnsi="宋体" w:eastAsia="宋体" w:cs="宋体"/>
          <w:color w:val="auto"/>
          <w:spacing w:val="-4"/>
          <w:highlight w:val="none"/>
        </w:rPr>
        <w:t>清单：</w:t>
      </w:r>
    </w:p>
    <w:p w14:paraId="4D834F10">
      <w:pPr>
        <w:pageBreakBefore w:val="0"/>
        <w:kinsoku/>
        <w:wordWrap/>
        <w:overflowPunct/>
        <w:bidi w:val="0"/>
        <w:spacing w:line="360" w:lineRule="auto"/>
        <w:rPr>
          <w:rFonts w:hint="eastAsia" w:ascii="宋体" w:hAnsi="宋体" w:eastAsia="宋体" w:cs="宋体"/>
          <w:color w:val="auto"/>
          <w:highlight w:val="none"/>
        </w:rPr>
      </w:pPr>
    </w:p>
    <w:tbl>
      <w:tblPr>
        <w:tblStyle w:val="25"/>
        <w:tblpPr w:leftFromText="180" w:rightFromText="180" w:vertAnchor="text" w:horzAnchor="page" w:tblpX="1026" w:tblpY="258"/>
        <w:tblOverlap w:val="never"/>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1DD3F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70B2D0E">
            <w:pPr>
              <w:spacing w:before="133" w:line="220" w:lineRule="auto"/>
              <w:ind w:firstLine="205" w:firstLineChars="100"/>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3"/>
                <w:sz w:val="21"/>
                <w:szCs w:val="21"/>
                <w:highlight w:val="none"/>
              </w:rPr>
              <w:t>一、危险性较大的分部分项工程清单</w:t>
            </w:r>
          </w:p>
        </w:tc>
        <w:tc>
          <w:tcPr>
            <w:tcW w:w="1294" w:type="dxa"/>
            <w:vAlign w:val="top"/>
          </w:tcPr>
          <w:p w14:paraId="6A6810AA">
            <w:pPr>
              <w:spacing w:before="133" w:line="221" w:lineRule="auto"/>
              <w:ind w:left="206"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4"/>
                <w:sz w:val="21"/>
                <w:szCs w:val="21"/>
                <w:highlight w:val="none"/>
              </w:rPr>
              <w:t>建设单位</w:t>
            </w:r>
          </w:p>
        </w:tc>
        <w:tc>
          <w:tcPr>
            <w:tcW w:w="1294" w:type="dxa"/>
            <w:vAlign w:val="top"/>
          </w:tcPr>
          <w:p w14:paraId="02436639">
            <w:pPr>
              <w:spacing w:before="133" w:line="221" w:lineRule="auto"/>
              <w:ind w:left="205" w:leftChars="0"/>
              <w:rPr>
                <w:rFonts w:hint="eastAsia" w:ascii="宋体" w:hAnsi="宋体" w:eastAsia="宋体" w:cs="宋体"/>
                <w:color w:val="auto"/>
                <w:spacing w:val="-19"/>
                <w:w w:val="94"/>
                <w:sz w:val="21"/>
                <w:szCs w:val="21"/>
                <w:highlight w:val="none"/>
              </w:rPr>
            </w:pPr>
            <w:r>
              <w:rPr>
                <w:rFonts w:hint="eastAsia" w:ascii="宋体" w:hAnsi="宋体" w:eastAsia="宋体" w:cs="宋体"/>
                <w:b/>
                <w:bCs/>
                <w:color w:val="auto"/>
                <w:spacing w:val="-5"/>
                <w:sz w:val="21"/>
                <w:szCs w:val="21"/>
                <w:highlight w:val="none"/>
              </w:rPr>
              <w:t>投标单位</w:t>
            </w:r>
          </w:p>
        </w:tc>
        <w:tc>
          <w:tcPr>
            <w:tcW w:w="2428" w:type="dxa"/>
            <w:vAlign w:val="top"/>
          </w:tcPr>
          <w:p w14:paraId="66700114">
            <w:pPr>
              <w:spacing w:before="133" w:line="222" w:lineRule="auto"/>
              <w:ind w:left="360" w:leftChars="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32904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12BE7DF">
            <w:pPr>
              <w:spacing w:before="128" w:line="221" w:lineRule="auto"/>
              <w:ind w:left="120" w:left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3"/>
                <w:sz w:val="21"/>
                <w:szCs w:val="21"/>
                <w:highlight w:val="none"/>
              </w:rPr>
              <w:t>一、基坑支护</w:t>
            </w:r>
          </w:p>
        </w:tc>
        <w:tc>
          <w:tcPr>
            <w:tcW w:w="1294" w:type="dxa"/>
            <w:vAlign w:val="top"/>
          </w:tcPr>
          <w:p w14:paraId="3619199E">
            <w:pPr>
              <w:spacing w:before="128" w:line="223" w:lineRule="auto"/>
              <w:jc w:val="center"/>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bookmarkStart w:id="338" w:name="OLE_LINK39"/>
            <w:r>
              <w:rPr>
                <w:rFonts w:hint="eastAsia" w:ascii="宋体" w:hAnsi="宋体" w:eastAsia="宋体" w:cs="宋体"/>
                <w:color w:val="auto"/>
                <w:spacing w:val="5"/>
                <w:sz w:val="21"/>
                <w:szCs w:val="21"/>
                <w:highlight w:val="none"/>
              </w:rPr>
              <w:t xml:space="preserve">  </w:t>
            </w:r>
            <w:bookmarkEnd w:id="338"/>
            <w:r>
              <w:rPr>
                <w:rFonts w:hint="eastAsia" w:ascii="宋体" w:hAnsi="宋体" w:eastAsia="宋体" w:cs="宋体"/>
                <w:color w:val="auto"/>
                <w:spacing w:val="-19"/>
                <w:w w:val="94"/>
                <w:sz w:val="21"/>
                <w:szCs w:val="21"/>
                <w:highlight w:val="none"/>
              </w:rPr>
              <w:t>)</w:t>
            </w:r>
          </w:p>
        </w:tc>
        <w:tc>
          <w:tcPr>
            <w:tcW w:w="1294" w:type="dxa"/>
            <w:vAlign w:val="top"/>
          </w:tcPr>
          <w:p w14:paraId="4FCF2E8B">
            <w:pPr>
              <w:spacing w:before="128" w:line="223" w:lineRule="auto"/>
              <w:ind w:left="367"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327C641">
            <w:pPr>
              <w:pStyle w:val="33"/>
              <w:rPr>
                <w:rFonts w:hint="eastAsia" w:ascii="宋体" w:hAnsi="宋体" w:eastAsia="宋体" w:cs="宋体"/>
                <w:color w:val="auto"/>
                <w:sz w:val="21"/>
                <w:szCs w:val="21"/>
                <w:highlight w:val="none"/>
              </w:rPr>
            </w:pPr>
          </w:p>
        </w:tc>
      </w:tr>
      <w:tr w14:paraId="5B860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5D001C7">
            <w:pPr>
              <w:spacing w:before="129" w:line="328" w:lineRule="auto"/>
              <w:ind w:left="135" w:leftChars="0" w:right="68" w:rightChars="0" w:hanging="8" w:firstLine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4"/>
                <w:sz w:val="21"/>
                <w:szCs w:val="21"/>
                <w:highlight w:val="none"/>
              </w:rPr>
              <w:t>（一）开挖深度超过</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4"/>
                <w:sz w:val="21"/>
                <w:szCs w:val="21"/>
                <w:highlight w:val="none"/>
              </w:rPr>
              <w:t>3m（含</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4"/>
                <w:sz w:val="21"/>
                <w:szCs w:val="21"/>
                <w:highlight w:val="none"/>
              </w:rPr>
              <w:t>3m）的基坑（槽）</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的土方开挖、支护、降水工程。</w:t>
            </w:r>
          </w:p>
        </w:tc>
        <w:tc>
          <w:tcPr>
            <w:tcW w:w="1294" w:type="dxa"/>
            <w:vAlign w:val="top"/>
          </w:tcPr>
          <w:p w14:paraId="605CE9B2">
            <w:pPr>
              <w:pStyle w:val="33"/>
              <w:spacing w:line="297" w:lineRule="auto"/>
              <w:rPr>
                <w:rFonts w:hint="eastAsia" w:ascii="宋体" w:hAnsi="宋体" w:eastAsia="宋体" w:cs="宋体"/>
                <w:color w:val="auto"/>
                <w:sz w:val="21"/>
                <w:szCs w:val="21"/>
                <w:highlight w:val="none"/>
              </w:rPr>
            </w:pPr>
          </w:p>
          <w:p w14:paraId="0EA62865">
            <w:pPr>
              <w:spacing w:before="78" w:line="223" w:lineRule="auto"/>
              <w:ind w:left="396"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0D7BB99">
            <w:pPr>
              <w:pStyle w:val="33"/>
              <w:spacing w:line="297" w:lineRule="auto"/>
              <w:rPr>
                <w:rFonts w:hint="eastAsia" w:ascii="宋体" w:hAnsi="宋体" w:eastAsia="宋体" w:cs="宋体"/>
                <w:color w:val="auto"/>
                <w:sz w:val="21"/>
                <w:szCs w:val="21"/>
                <w:highlight w:val="none"/>
              </w:rPr>
            </w:pPr>
          </w:p>
          <w:p w14:paraId="53EDE3F9">
            <w:pPr>
              <w:spacing w:before="78" w:line="223" w:lineRule="auto"/>
              <w:ind w:left="367"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8DAAB23">
            <w:pPr>
              <w:pStyle w:val="33"/>
              <w:rPr>
                <w:rFonts w:hint="eastAsia" w:ascii="宋体" w:hAnsi="宋体" w:eastAsia="宋体" w:cs="宋体"/>
                <w:color w:val="auto"/>
                <w:sz w:val="21"/>
                <w:szCs w:val="21"/>
                <w:highlight w:val="none"/>
              </w:rPr>
            </w:pPr>
          </w:p>
        </w:tc>
      </w:tr>
      <w:tr w14:paraId="1970C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8D4C764">
            <w:pPr>
              <w:spacing w:before="132" w:line="354" w:lineRule="auto"/>
              <w:ind w:left="116" w:right="108" w:firstLine="11"/>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（二）开挖深度虽未超过</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
                <w:sz w:val="21"/>
                <w:szCs w:val="21"/>
                <w:highlight w:val="none"/>
              </w:rPr>
              <w:t>3m，但地质条件、周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围环境和地下管线复杂，或影响毗邻建、构筑</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1"/>
                <w:sz w:val="21"/>
                <w:szCs w:val="21"/>
                <w:highlight w:val="none"/>
              </w:rPr>
              <w:t>物安全的基坑（槽）的土方开挖、支护、降水</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4"/>
                <w:sz w:val="21"/>
                <w:szCs w:val="21"/>
                <w:highlight w:val="none"/>
              </w:rPr>
              <w:t>工程。</w:t>
            </w:r>
          </w:p>
        </w:tc>
        <w:tc>
          <w:tcPr>
            <w:tcW w:w="1294" w:type="dxa"/>
            <w:vAlign w:val="top"/>
          </w:tcPr>
          <w:p w14:paraId="46B3B203">
            <w:pPr>
              <w:pStyle w:val="33"/>
              <w:spacing w:line="263" w:lineRule="auto"/>
              <w:rPr>
                <w:rFonts w:hint="eastAsia" w:ascii="宋体" w:hAnsi="宋体" w:eastAsia="宋体" w:cs="宋体"/>
                <w:color w:val="auto"/>
                <w:sz w:val="21"/>
                <w:szCs w:val="21"/>
                <w:highlight w:val="none"/>
              </w:rPr>
            </w:pPr>
          </w:p>
          <w:p w14:paraId="57C93467">
            <w:pPr>
              <w:pStyle w:val="33"/>
              <w:spacing w:line="263" w:lineRule="auto"/>
              <w:rPr>
                <w:rFonts w:hint="eastAsia" w:ascii="宋体" w:hAnsi="宋体" w:eastAsia="宋体" w:cs="宋体"/>
                <w:color w:val="auto"/>
                <w:sz w:val="21"/>
                <w:szCs w:val="21"/>
                <w:highlight w:val="none"/>
              </w:rPr>
            </w:pPr>
          </w:p>
          <w:p w14:paraId="3DCB2629">
            <w:pPr>
              <w:pStyle w:val="33"/>
              <w:spacing w:line="264" w:lineRule="auto"/>
              <w:rPr>
                <w:rFonts w:hint="eastAsia" w:ascii="宋体" w:hAnsi="宋体" w:eastAsia="宋体" w:cs="宋体"/>
                <w:color w:val="auto"/>
                <w:sz w:val="21"/>
                <w:szCs w:val="21"/>
                <w:highlight w:val="none"/>
              </w:rPr>
            </w:pPr>
          </w:p>
          <w:p w14:paraId="4ECDE7F4">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bookmarkStart w:id="339" w:name="OLE_LINK40"/>
            <w:r>
              <w:rPr>
                <w:rFonts w:hint="eastAsia" w:ascii="宋体" w:hAnsi="宋体" w:eastAsia="宋体" w:cs="宋体"/>
                <w:color w:val="auto"/>
                <w:spacing w:val="2"/>
                <w:sz w:val="21"/>
                <w:szCs w:val="21"/>
                <w:highlight w:val="none"/>
              </w:rPr>
              <w:t xml:space="preserve">     </w:t>
            </w:r>
            <w:bookmarkEnd w:id="339"/>
            <w:r>
              <w:rPr>
                <w:rFonts w:hint="eastAsia" w:ascii="宋体" w:hAnsi="宋体" w:eastAsia="宋体" w:cs="宋体"/>
                <w:color w:val="auto"/>
                <w:spacing w:val="-19"/>
                <w:w w:val="94"/>
                <w:sz w:val="21"/>
                <w:szCs w:val="21"/>
                <w:highlight w:val="none"/>
              </w:rPr>
              <w:t>)</w:t>
            </w:r>
          </w:p>
        </w:tc>
        <w:tc>
          <w:tcPr>
            <w:tcW w:w="1294" w:type="dxa"/>
            <w:vAlign w:val="top"/>
          </w:tcPr>
          <w:p w14:paraId="06B0DD91">
            <w:pPr>
              <w:pStyle w:val="33"/>
              <w:spacing w:line="263" w:lineRule="auto"/>
              <w:rPr>
                <w:rFonts w:hint="eastAsia" w:ascii="宋体" w:hAnsi="宋体" w:eastAsia="宋体" w:cs="宋体"/>
                <w:color w:val="auto"/>
                <w:sz w:val="21"/>
                <w:szCs w:val="21"/>
                <w:highlight w:val="none"/>
              </w:rPr>
            </w:pPr>
          </w:p>
          <w:p w14:paraId="4D5FB387">
            <w:pPr>
              <w:pStyle w:val="33"/>
              <w:spacing w:line="263" w:lineRule="auto"/>
              <w:rPr>
                <w:rFonts w:hint="eastAsia" w:ascii="宋体" w:hAnsi="宋体" w:eastAsia="宋体" w:cs="宋体"/>
                <w:color w:val="auto"/>
                <w:sz w:val="21"/>
                <w:szCs w:val="21"/>
                <w:highlight w:val="none"/>
              </w:rPr>
            </w:pPr>
          </w:p>
          <w:p w14:paraId="4D6E867F">
            <w:pPr>
              <w:pStyle w:val="33"/>
              <w:spacing w:line="264" w:lineRule="auto"/>
              <w:rPr>
                <w:rFonts w:hint="eastAsia" w:ascii="宋体" w:hAnsi="宋体" w:eastAsia="宋体" w:cs="宋体"/>
                <w:color w:val="auto"/>
                <w:sz w:val="21"/>
                <w:szCs w:val="21"/>
                <w:highlight w:val="none"/>
              </w:rPr>
            </w:pPr>
          </w:p>
          <w:p w14:paraId="01C6DBC6">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F0FCA20">
            <w:pPr>
              <w:pStyle w:val="33"/>
              <w:rPr>
                <w:rFonts w:hint="eastAsia" w:ascii="宋体" w:hAnsi="宋体" w:eastAsia="宋体" w:cs="宋体"/>
                <w:color w:val="auto"/>
                <w:sz w:val="21"/>
                <w:szCs w:val="21"/>
                <w:highlight w:val="none"/>
              </w:rPr>
            </w:pPr>
          </w:p>
        </w:tc>
      </w:tr>
      <w:tr w14:paraId="559CA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DB38396">
            <w:pPr>
              <w:spacing w:before="128" w:line="219"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二、模板工程及支撑体系</w:t>
            </w:r>
          </w:p>
        </w:tc>
        <w:tc>
          <w:tcPr>
            <w:tcW w:w="1294" w:type="dxa"/>
            <w:vAlign w:val="top"/>
          </w:tcPr>
          <w:p w14:paraId="2EAAA94A">
            <w:pPr>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5D4719CF">
            <w:pPr>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DD1DA04">
            <w:pPr>
              <w:pStyle w:val="33"/>
              <w:rPr>
                <w:rFonts w:hint="eastAsia" w:ascii="宋体" w:hAnsi="宋体" w:eastAsia="宋体" w:cs="宋体"/>
                <w:color w:val="auto"/>
                <w:sz w:val="21"/>
                <w:szCs w:val="21"/>
                <w:highlight w:val="none"/>
              </w:rPr>
            </w:pPr>
          </w:p>
        </w:tc>
      </w:tr>
      <w:tr w14:paraId="7231E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86837A4">
            <w:pPr>
              <w:spacing w:before="128" w:line="328" w:lineRule="auto"/>
              <w:ind w:left="123" w:right="25" w:firstLine="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（一）各类工具式模板工程：包括滑模、爬模、</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飞模、隧道模等工程。</w:t>
            </w:r>
          </w:p>
        </w:tc>
        <w:tc>
          <w:tcPr>
            <w:tcW w:w="1294" w:type="dxa"/>
            <w:vAlign w:val="top"/>
          </w:tcPr>
          <w:p w14:paraId="06EC3D80">
            <w:pPr>
              <w:pStyle w:val="33"/>
              <w:spacing w:line="293" w:lineRule="auto"/>
              <w:rPr>
                <w:rFonts w:hint="eastAsia" w:ascii="宋体" w:hAnsi="宋体" w:eastAsia="宋体" w:cs="宋体"/>
                <w:color w:val="auto"/>
                <w:sz w:val="21"/>
                <w:szCs w:val="21"/>
                <w:highlight w:val="none"/>
              </w:rPr>
            </w:pPr>
          </w:p>
          <w:p w14:paraId="1718CEF8">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90E6DA8">
            <w:pPr>
              <w:pStyle w:val="33"/>
              <w:spacing w:line="293" w:lineRule="auto"/>
              <w:rPr>
                <w:rFonts w:hint="eastAsia" w:ascii="宋体" w:hAnsi="宋体" w:eastAsia="宋体" w:cs="宋体"/>
                <w:color w:val="auto"/>
                <w:sz w:val="21"/>
                <w:szCs w:val="21"/>
                <w:highlight w:val="none"/>
              </w:rPr>
            </w:pPr>
          </w:p>
          <w:p w14:paraId="17D59C31">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B11B570">
            <w:pPr>
              <w:pStyle w:val="33"/>
              <w:rPr>
                <w:rFonts w:hint="eastAsia" w:ascii="宋体" w:hAnsi="宋体" w:eastAsia="宋体" w:cs="宋体"/>
                <w:color w:val="auto"/>
                <w:sz w:val="21"/>
                <w:szCs w:val="21"/>
                <w:highlight w:val="none"/>
              </w:rPr>
            </w:pPr>
          </w:p>
        </w:tc>
      </w:tr>
      <w:tr w14:paraId="3EB8A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009FFF4">
            <w:pPr>
              <w:spacing w:before="131" w:line="362" w:lineRule="auto"/>
              <w:ind w:left="115" w:right="105" w:firstLine="12"/>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（二）混凝土模板支撑工程：搭设高度</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5m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5"/>
                <w:sz w:val="21"/>
                <w:szCs w:val="21"/>
                <w:highlight w:val="none"/>
              </w:rPr>
              <w:t>及以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上，或搭设跨度</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0"/>
                <w:sz w:val="21"/>
                <w:szCs w:val="21"/>
                <w:highlight w:val="none"/>
              </w:rPr>
              <w:t>10m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0"/>
                <w:sz w:val="21"/>
                <w:szCs w:val="21"/>
                <w:highlight w:val="none"/>
              </w:rPr>
              <w:t>及以上，或施工总荷</w:t>
            </w:r>
            <w:r>
              <w:rPr>
                <w:rFonts w:hint="eastAsia" w:ascii="宋体" w:hAnsi="宋体" w:eastAsia="宋体" w:cs="宋体"/>
                <w:color w:val="auto"/>
                <w:spacing w:val="-11"/>
                <w:sz w:val="21"/>
                <w:szCs w:val="21"/>
                <w:highlight w:val="none"/>
              </w:rPr>
              <w:t>载（荷</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载效应基本组合的设计值，以下简称设计值）</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14"/>
                <w:sz w:val="21"/>
                <w:szCs w:val="21"/>
                <w:highlight w:val="none"/>
              </w:rPr>
              <w:t>10kN/m2</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4"/>
                <w:sz w:val="21"/>
                <w:szCs w:val="21"/>
                <w:highlight w:val="none"/>
              </w:rPr>
              <w:t>及以上，或集中线荷载（设计值）15kN/m</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及以上，或高度大于支撑水平投影宽度且相对</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独立无联系构件的混凝土模板支撑工程。</w:t>
            </w:r>
          </w:p>
        </w:tc>
        <w:tc>
          <w:tcPr>
            <w:tcW w:w="1294" w:type="dxa"/>
            <w:vAlign w:val="top"/>
          </w:tcPr>
          <w:p w14:paraId="43CDB7E3">
            <w:pPr>
              <w:pStyle w:val="33"/>
              <w:spacing w:line="255" w:lineRule="auto"/>
              <w:rPr>
                <w:rFonts w:hint="eastAsia" w:ascii="宋体" w:hAnsi="宋体" w:eastAsia="宋体" w:cs="宋体"/>
                <w:color w:val="auto"/>
                <w:sz w:val="21"/>
                <w:szCs w:val="21"/>
                <w:highlight w:val="none"/>
              </w:rPr>
            </w:pPr>
          </w:p>
          <w:p w14:paraId="23204A39">
            <w:pPr>
              <w:pStyle w:val="33"/>
              <w:spacing w:line="255" w:lineRule="auto"/>
              <w:rPr>
                <w:rFonts w:hint="eastAsia" w:ascii="宋体" w:hAnsi="宋体" w:eastAsia="宋体" w:cs="宋体"/>
                <w:color w:val="auto"/>
                <w:sz w:val="21"/>
                <w:szCs w:val="21"/>
                <w:highlight w:val="none"/>
              </w:rPr>
            </w:pPr>
          </w:p>
          <w:p w14:paraId="746AFB92">
            <w:pPr>
              <w:pStyle w:val="33"/>
              <w:spacing w:line="255" w:lineRule="auto"/>
              <w:rPr>
                <w:rFonts w:hint="eastAsia" w:ascii="宋体" w:hAnsi="宋体" w:eastAsia="宋体" w:cs="宋体"/>
                <w:color w:val="auto"/>
                <w:sz w:val="21"/>
                <w:szCs w:val="21"/>
                <w:highlight w:val="none"/>
              </w:rPr>
            </w:pPr>
          </w:p>
          <w:p w14:paraId="2F296681">
            <w:pPr>
              <w:pStyle w:val="33"/>
              <w:spacing w:line="255" w:lineRule="auto"/>
              <w:rPr>
                <w:rFonts w:hint="eastAsia" w:ascii="宋体" w:hAnsi="宋体" w:eastAsia="宋体" w:cs="宋体"/>
                <w:color w:val="auto"/>
                <w:sz w:val="21"/>
                <w:szCs w:val="21"/>
                <w:highlight w:val="none"/>
              </w:rPr>
            </w:pPr>
          </w:p>
          <w:p w14:paraId="77A977FC">
            <w:pPr>
              <w:pStyle w:val="33"/>
              <w:spacing w:line="256" w:lineRule="auto"/>
              <w:rPr>
                <w:rFonts w:hint="eastAsia" w:ascii="宋体" w:hAnsi="宋体" w:eastAsia="宋体" w:cs="宋体"/>
                <w:color w:val="auto"/>
                <w:sz w:val="21"/>
                <w:szCs w:val="21"/>
                <w:highlight w:val="none"/>
              </w:rPr>
            </w:pPr>
          </w:p>
          <w:p w14:paraId="78CB9CCE">
            <w:pPr>
              <w:spacing w:before="78"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4AE0111">
            <w:pPr>
              <w:pStyle w:val="33"/>
              <w:spacing w:line="255" w:lineRule="auto"/>
              <w:rPr>
                <w:rFonts w:hint="eastAsia" w:ascii="宋体" w:hAnsi="宋体" w:eastAsia="宋体" w:cs="宋体"/>
                <w:color w:val="auto"/>
                <w:sz w:val="21"/>
                <w:szCs w:val="21"/>
                <w:highlight w:val="none"/>
              </w:rPr>
            </w:pPr>
          </w:p>
          <w:p w14:paraId="74C7A1D5">
            <w:pPr>
              <w:pStyle w:val="33"/>
              <w:spacing w:line="255" w:lineRule="auto"/>
              <w:rPr>
                <w:rFonts w:hint="eastAsia" w:ascii="宋体" w:hAnsi="宋体" w:eastAsia="宋体" w:cs="宋体"/>
                <w:color w:val="auto"/>
                <w:sz w:val="21"/>
                <w:szCs w:val="21"/>
                <w:highlight w:val="none"/>
              </w:rPr>
            </w:pPr>
          </w:p>
          <w:p w14:paraId="1C62B9D6">
            <w:pPr>
              <w:pStyle w:val="33"/>
              <w:spacing w:line="255" w:lineRule="auto"/>
              <w:rPr>
                <w:rFonts w:hint="eastAsia" w:ascii="宋体" w:hAnsi="宋体" w:eastAsia="宋体" w:cs="宋体"/>
                <w:color w:val="auto"/>
                <w:sz w:val="21"/>
                <w:szCs w:val="21"/>
                <w:highlight w:val="none"/>
              </w:rPr>
            </w:pPr>
          </w:p>
          <w:p w14:paraId="06E020DF">
            <w:pPr>
              <w:pStyle w:val="33"/>
              <w:spacing w:line="255" w:lineRule="auto"/>
              <w:rPr>
                <w:rFonts w:hint="eastAsia" w:ascii="宋体" w:hAnsi="宋体" w:eastAsia="宋体" w:cs="宋体"/>
                <w:color w:val="auto"/>
                <w:sz w:val="21"/>
                <w:szCs w:val="21"/>
                <w:highlight w:val="none"/>
              </w:rPr>
            </w:pPr>
          </w:p>
          <w:p w14:paraId="332CD8FF">
            <w:pPr>
              <w:pStyle w:val="33"/>
              <w:spacing w:line="256" w:lineRule="auto"/>
              <w:rPr>
                <w:rFonts w:hint="eastAsia" w:ascii="宋体" w:hAnsi="宋体" w:eastAsia="宋体" w:cs="宋体"/>
                <w:color w:val="auto"/>
                <w:sz w:val="21"/>
                <w:szCs w:val="21"/>
                <w:highlight w:val="none"/>
              </w:rPr>
            </w:pPr>
          </w:p>
          <w:p w14:paraId="375FD30A">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4A2D13B">
            <w:pPr>
              <w:pStyle w:val="33"/>
              <w:rPr>
                <w:rFonts w:hint="eastAsia" w:ascii="宋体" w:hAnsi="宋体" w:eastAsia="宋体" w:cs="宋体"/>
                <w:color w:val="auto"/>
                <w:sz w:val="21"/>
                <w:szCs w:val="21"/>
                <w:highlight w:val="none"/>
              </w:rPr>
            </w:pPr>
          </w:p>
        </w:tc>
      </w:tr>
      <w:tr w14:paraId="28EE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904A19D">
            <w:pPr>
              <w:spacing w:before="130" w:line="327" w:lineRule="auto"/>
              <w:ind w:left="117" w:right="168" w:firstLine="1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（三）承重支撑体系：用于钢结构安装等满堂</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3"/>
                <w:sz w:val="21"/>
                <w:szCs w:val="21"/>
                <w:highlight w:val="none"/>
              </w:rPr>
              <w:t>支撑体系。</w:t>
            </w:r>
          </w:p>
        </w:tc>
        <w:tc>
          <w:tcPr>
            <w:tcW w:w="1294" w:type="dxa"/>
            <w:vAlign w:val="top"/>
          </w:tcPr>
          <w:p w14:paraId="4596F956">
            <w:pPr>
              <w:pStyle w:val="33"/>
              <w:spacing w:line="296" w:lineRule="auto"/>
              <w:rPr>
                <w:rFonts w:hint="eastAsia" w:ascii="宋体" w:hAnsi="宋体" w:eastAsia="宋体" w:cs="宋体"/>
                <w:color w:val="auto"/>
                <w:sz w:val="21"/>
                <w:szCs w:val="21"/>
                <w:highlight w:val="none"/>
              </w:rPr>
            </w:pPr>
          </w:p>
          <w:p w14:paraId="753F9C8C">
            <w:pPr>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5B153154">
            <w:pPr>
              <w:pStyle w:val="33"/>
              <w:spacing w:line="296" w:lineRule="auto"/>
              <w:rPr>
                <w:rFonts w:hint="eastAsia" w:ascii="宋体" w:hAnsi="宋体" w:eastAsia="宋体" w:cs="宋体"/>
                <w:color w:val="auto"/>
                <w:sz w:val="21"/>
                <w:szCs w:val="21"/>
                <w:highlight w:val="none"/>
              </w:rPr>
            </w:pPr>
          </w:p>
          <w:p w14:paraId="2131DD20">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F08285F">
            <w:pPr>
              <w:pStyle w:val="33"/>
              <w:rPr>
                <w:rFonts w:hint="eastAsia" w:ascii="宋体" w:hAnsi="宋体" w:eastAsia="宋体" w:cs="宋体"/>
                <w:color w:val="auto"/>
                <w:sz w:val="21"/>
                <w:szCs w:val="21"/>
                <w:highlight w:val="none"/>
              </w:rPr>
            </w:pPr>
          </w:p>
        </w:tc>
      </w:tr>
      <w:tr w14:paraId="77EF1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91C9A49">
            <w:pPr>
              <w:spacing w:before="130" w:line="219" w:lineRule="auto"/>
              <w:ind w:left="35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三、起重吊装及起重机械安装拆卸工程</w:t>
            </w:r>
          </w:p>
        </w:tc>
        <w:tc>
          <w:tcPr>
            <w:tcW w:w="1294" w:type="dxa"/>
            <w:vAlign w:val="top"/>
          </w:tcPr>
          <w:p w14:paraId="4F51A0F6">
            <w:pPr>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7CA8CE17">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5287E35">
            <w:pPr>
              <w:pStyle w:val="33"/>
              <w:rPr>
                <w:rFonts w:hint="eastAsia" w:ascii="宋体" w:hAnsi="宋体" w:eastAsia="宋体" w:cs="宋体"/>
                <w:color w:val="auto"/>
                <w:sz w:val="21"/>
                <w:szCs w:val="21"/>
                <w:highlight w:val="none"/>
              </w:rPr>
            </w:pPr>
          </w:p>
        </w:tc>
      </w:tr>
      <w:tr w14:paraId="5366C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9F6CD4">
            <w:pPr>
              <w:spacing w:before="131" w:line="327" w:lineRule="auto"/>
              <w:ind w:left="144" w:right="168" w:hanging="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（一）采用非常规起重设备、方法，且单件起</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4"/>
                <w:sz w:val="21"/>
                <w:szCs w:val="21"/>
                <w:highlight w:val="none"/>
              </w:rPr>
              <w:t>吊重量在</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rPr>
              <w:t>10kN</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4"/>
                <w:sz w:val="21"/>
                <w:szCs w:val="21"/>
                <w:highlight w:val="none"/>
              </w:rPr>
              <w:t>及以上的起重吊装工程。</w:t>
            </w:r>
          </w:p>
        </w:tc>
        <w:tc>
          <w:tcPr>
            <w:tcW w:w="1294" w:type="dxa"/>
            <w:vAlign w:val="top"/>
          </w:tcPr>
          <w:p w14:paraId="145D0264">
            <w:pPr>
              <w:pStyle w:val="33"/>
              <w:spacing w:line="297" w:lineRule="auto"/>
              <w:rPr>
                <w:rFonts w:hint="eastAsia" w:ascii="宋体" w:hAnsi="宋体" w:eastAsia="宋体" w:cs="宋体"/>
                <w:color w:val="auto"/>
                <w:sz w:val="21"/>
                <w:szCs w:val="21"/>
                <w:highlight w:val="none"/>
              </w:rPr>
            </w:pPr>
          </w:p>
          <w:p w14:paraId="230EFC87">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7ABE362">
            <w:pPr>
              <w:pStyle w:val="33"/>
              <w:spacing w:line="297" w:lineRule="auto"/>
              <w:rPr>
                <w:rFonts w:hint="eastAsia" w:ascii="宋体" w:hAnsi="宋体" w:eastAsia="宋体" w:cs="宋体"/>
                <w:color w:val="auto"/>
                <w:sz w:val="21"/>
                <w:szCs w:val="21"/>
                <w:highlight w:val="none"/>
              </w:rPr>
            </w:pPr>
          </w:p>
          <w:p w14:paraId="3259AF19">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7607113">
            <w:pPr>
              <w:pStyle w:val="33"/>
              <w:rPr>
                <w:rFonts w:hint="eastAsia" w:ascii="宋体" w:hAnsi="宋体" w:eastAsia="宋体" w:cs="宋体"/>
                <w:color w:val="auto"/>
                <w:sz w:val="21"/>
                <w:szCs w:val="21"/>
                <w:highlight w:val="none"/>
              </w:rPr>
            </w:pPr>
          </w:p>
        </w:tc>
      </w:tr>
      <w:tr w14:paraId="05F8B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AA28E50">
            <w:pPr>
              <w:spacing w:before="132"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（二）采用起重机械进行安装的工程。</w:t>
            </w:r>
          </w:p>
        </w:tc>
        <w:tc>
          <w:tcPr>
            <w:tcW w:w="1294" w:type="dxa"/>
            <w:vAlign w:val="top"/>
          </w:tcPr>
          <w:p w14:paraId="79AB8AE0">
            <w:pPr>
              <w:spacing w:before="131"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B393163">
            <w:pPr>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64058D7">
            <w:pPr>
              <w:pStyle w:val="33"/>
              <w:rPr>
                <w:rFonts w:hint="eastAsia" w:ascii="宋体" w:hAnsi="宋体" w:eastAsia="宋体" w:cs="宋体"/>
                <w:color w:val="auto"/>
                <w:sz w:val="21"/>
                <w:szCs w:val="21"/>
                <w:highlight w:val="none"/>
              </w:rPr>
            </w:pPr>
          </w:p>
        </w:tc>
      </w:tr>
      <w:tr w14:paraId="30AED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5C60F4">
            <w:pPr>
              <w:spacing w:before="130"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（三）起重机械安装和拆卸工程。</w:t>
            </w:r>
          </w:p>
        </w:tc>
        <w:tc>
          <w:tcPr>
            <w:tcW w:w="1294" w:type="dxa"/>
            <w:vAlign w:val="top"/>
          </w:tcPr>
          <w:p w14:paraId="018F4390">
            <w:pPr>
              <w:spacing w:before="129"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5546620">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67440AC">
            <w:pPr>
              <w:pStyle w:val="33"/>
              <w:rPr>
                <w:rFonts w:hint="eastAsia" w:ascii="宋体" w:hAnsi="宋体" w:eastAsia="宋体" w:cs="宋体"/>
                <w:color w:val="auto"/>
                <w:sz w:val="21"/>
                <w:szCs w:val="21"/>
                <w:highlight w:val="none"/>
              </w:rPr>
            </w:pPr>
          </w:p>
        </w:tc>
      </w:tr>
      <w:tr w14:paraId="5EE6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8B83009">
            <w:pPr>
              <w:spacing w:before="131" w:line="219" w:lineRule="auto"/>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1294" w:type="dxa"/>
            <w:vAlign w:val="top"/>
          </w:tcPr>
          <w:p w14:paraId="402C4479">
            <w:pPr>
              <w:spacing w:before="130" w:line="223"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2FC3A10">
            <w:pPr>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0FE75A6">
            <w:pPr>
              <w:pStyle w:val="33"/>
              <w:rPr>
                <w:rFonts w:hint="eastAsia" w:ascii="宋体" w:hAnsi="宋体" w:eastAsia="宋体" w:cs="宋体"/>
                <w:color w:val="auto"/>
                <w:sz w:val="21"/>
                <w:szCs w:val="21"/>
                <w:highlight w:val="none"/>
              </w:rPr>
            </w:pPr>
          </w:p>
        </w:tc>
      </w:tr>
      <w:tr w14:paraId="1F65D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10736FD">
            <w:pPr>
              <w:spacing w:before="130" w:line="327" w:lineRule="auto"/>
              <w:ind w:left="117" w:right="168" w:firstLine="1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（一）搭设高度</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24m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及以上的落地式钢管脚手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架工程（包括采光井、电梯井脚手架）。</w:t>
            </w:r>
          </w:p>
        </w:tc>
        <w:tc>
          <w:tcPr>
            <w:tcW w:w="1294" w:type="dxa"/>
            <w:vAlign w:val="top"/>
          </w:tcPr>
          <w:p w14:paraId="25E917E2">
            <w:pPr>
              <w:pStyle w:val="33"/>
              <w:spacing w:line="297" w:lineRule="auto"/>
              <w:rPr>
                <w:rFonts w:hint="eastAsia" w:ascii="宋体" w:hAnsi="宋体" w:eastAsia="宋体" w:cs="宋体"/>
                <w:color w:val="auto"/>
                <w:sz w:val="21"/>
                <w:szCs w:val="21"/>
                <w:highlight w:val="none"/>
              </w:rPr>
            </w:pPr>
          </w:p>
          <w:p w14:paraId="5B888C83">
            <w:pPr>
              <w:spacing w:before="78"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D377882">
            <w:pPr>
              <w:pStyle w:val="33"/>
              <w:spacing w:line="297" w:lineRule="auto"/>
              <w:rPr>
                <w:rFonts w:hint="eastAsia" w:ascii="宋体" w:hAnsi="宋体" w:eastAsia="宋体" w:cs="宋体"/>
                <w:color w:val="auto"/>
                <w:sz w:val="21"/>
                <w:szCs w:val="21"/>
                <w:highlight w:val="none"/>
              </w:rPr>
            </w:pPr>
          </w:p>
          <w:p w14:paraId="25113B5D">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3CD2285">
            <w:pPr>
              <w:pStyle w:val="33"/>
              <w:rPr>
                <w:rFonts w:hint="eastAsia" w:ascii="宋体" w:hAnsi="宋体" w:eastAsia="宋体" w:cs="宋体"/>
                <w:color w:val="auto"/>
                <w:sz w:val="21"/>
                <w:szCs w:val="21"/>
                <w:highlight w:val="none"/>
              </w:rPr>
            </w:pPr>
          </w:p>
        </w:tc>
      </w:tr>
      <w:tr w14:paraId="10FD1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8568EAB">
            <w:pPr>
              <w:spacing w:before="131"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（二）附着式升降脚手架工程。</w:t>
            </w:r>
          </w:p>
        </w:tc>
        <w:tc>
          <w:tcPr>
            <w:tcW w:w="1294" w:type="dxa"/>
            <w:vAlign w:val="top"/>
          </w:tcPr>
          <w:p w14:paraId="220FA5E2">
            <w:pPr>
              <w:spacing w:before="130"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540F55F0">
            <w:pPr>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6740CEB4">
            <w:pPr>
              <w:pStyle w:val="33"/>
              <w:rPr>
                <w:rFonts w:hint="eastAsia" w:ascii="宋体" w:hAnsi="宋体" w:eastAsia="宋体" w:cs="宋体"/>
                <w:color w:val="auto"/>
                <w:sz w:val="21"/>
                <w:szCs w:val="21"/>
                <w:highlight w:val="none"/>
              </w:rPr>
            </w:pPr>
          </w:p>
        </w:tc>
      </w:tr>
      <w:tr w14:paraId="0BD1B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7938D3">
            <w:pPr>
              <w:spacing w:before="132"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（三）悬挑式脚手架工程。</w:t>
            </w:r>
          </w:p>
        </w:tc>
        <w:tc>
          <w:tcPr>
            <w:tcW w:w="1294" w:type="dxa"/>
            <w:vAlign w:val="top"/>
          </w:tcPr>
          <w:p w14:paraId="588A5288">
            <w:pPr>
              <w:spacing w:before="131"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7A1A4999">
            <w:pPr>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BBF6902">
            <w:pPr>
              <w:pStyle w:val="33"/>
              <w:rPr>
                <w:rFonts w:hint="eastAsia" w:ascii="宋体" w:hAnsi="宋体" w:eastAsia="宋体" w:cs="宋体"/>
                <w:color w:val="auto"/>
                <w:sz w:val="21"/>
                <w:szCs w:val="21"/>
                <w:highlight w:val="none"/>
              </w:rPr>
            </w:pPr>
          </w:p>
        </w:tc>
      </w:tr>
      <w:tr w14:paraId="2AAEC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043F6B2">
            <w:pPr>
              <w:spacing w:before="131"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（四）高处作业吊篮。</w:t>
            </w:r>
          </w:p>
        </w:tc>
        <w:tc>
          <w:tcPr>
            <w:tcW w:w="1294" w:type="dxa"/>
            <w:vAlign w:val="top"/>
          </w:tcPr>
          <w:p w14:paraId="396DEDA3">
            <w:pPr>
              <w:spacing w:before="131"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4D70872">
            <w:pPr>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9969861">
            <w:pPr>
              <w:pStyle w:val="33"/>
              <w:rPr>
                <w:rFonts w:hint="eastAsia" w:ascii="宋体" w:hAnsi="宋体" w:eastAsia="宋体" w:cs="宋体"/>
                <w:color w:val="auto"/>
                <w:sz w:val="21"/>
                <w:szCs w:val="21"/>
                <w:highlight w:val="none"/>
              </w:rPr>
            </w:pPr>
          </w:p>
        </w:tc>
      </w:tr>
      <w:tr w14:paraId="2FC34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84A2CE5">
            <w:pPr>
              <w:spacing w:before="132"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（五）卸料平台、操作平台工程。</w:t>
            </w:r>
          </w:p>
        </w:tc>
        <w:tc>
          <w:tcPr>
            <w:tcW w:w="1294" w:type="dxa"/>
            <w:vAlign w:val="top"/>
          </w:tcPr>
          <w:p w14:paraId="4E944151">
            <w:pPr>
              <w:spacing w:before="132"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F699D9C">
            <w:pPr>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A2E21C7">
            <w:pPr>
              <w:pStyle w:val="33"/>
              <w:rPr>
                <w:rFonts w:hint="eastAsia" w:ascii="宋体" w:hAnsi="宋体" w:eastAsia="宋体" w:cs="宋体"/>
                <w:color w:val="auto"/>
                <w:sz w:val="21"/>
                <w:szCs w:val="21"/>
                <w:highlight w:val="none"/>
              </w:rPr>
            </w:pPr>
          </w:p>
        </w:tc>
      </w:tr>
      <w:tr w14:paraId="2461E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50BDC88">
            <w:pPr>
              <w:spacing w:before="133"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（六）异型脚手架工程。</w:t>
            </w:r>
          </w:p>
        </w:tc>
        <w:tc>
          <w:tcPr>
            <w:tcW w:w="1294" w:type="dxa"/>
            <w:vAlign w:val="top"/>
          </w:tcPr>
          <w:p w14:paraId="636C5847">
            <w:pPr>
              <w:spacing w:before="132"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76B9754">
            <w:pPr>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97B7D8D">
            <w:pPr>
              <w:pStyle w:val="33"/>
              <w:rPr>
                <w:rFonts w:hint="eastAsia" w:ascii="宋体" w:hAnsi="宋体" w:eastAsia="宋体" w:cs="宋体"/>
                <w:color w:val="auto"/>
                <w:sz w:val="21"/>
                <w:szCs w:val="21"/>
                <w:highlight w:val="none"/>
              </w:rPr>
            </w:pPr>
          </w:p>
        </w:tc>
      </w:tr>
      <w:tr w14:paraId="51DC6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6120263">
            <w:pPr>
              <w:spacing w:before="131" w:line="22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1294" w:type="dxa"/>
            <w:vAlign w:val="top"/>
          </w:tcPr>
          <w:p w14:paraId="0DE7B647">
            <w:pPr>
              <w:spacing w:before="131" w:line="223"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9E4B28C">
            <w:pPr>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B0C7DA7">
            <w:pPr>
              <w:pStyle w:val="33"/>
              <w:rPr>
                <w:rFonts w:hint="eastAsia" w:ascii="宋体" w:hAnsi="宋体" w:eastAsia="宋体" w:cs="宋体"/>
                <w:color w:val="auto"/>
                <w:sz w:val="21"/>
                <w:szCs w:val="21"/>
                <w:highlight w:val="none"/>
              </w:rPr>
            </w:pPr>
          </w:p>
        </w:tc>
      </w:tr>
      <w:tr w14:paraId="7C812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A534DAD">
            <w:pPr>
              <w:spacing w:before="126" w:line="329" w:lineRule="auto"/>
              <w:ind w:left="117" w:right="168"/>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可能影响行人、交通、电力设施、通讯设施或</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其它建、构筑物安全的拆除工程。</w:t>
            </w:r>
          </w:p>
        </w:tc>
        <w:tc>
          <w:tcPr>
            <w:tcW w:w="1294" w:type="dxa"/>
            <w:vAlign w:val="top"/>
          </w:tcPr>
          <w:p w14:paraId="1FFBABB5">
            <w:pPr>
              <w:pStyle w:val="33"/>
              <w:spacing w:line="294" w:lineRule="auto"/>
              <w:rPr>
                <w:rFonts w:hint="eastAsia" w:ascii="宋体" w:hAnsi="宋体" w:eastAsia="宋体" w:cs="宋体"/>
                <w:color w:val="auto"/>
                <w:sz w:val="21"/>
                <w:szCs w:val="21"/>
                <w:highlight w:val="none"/>
              </w:rPr>
            </w:pPr>
          </w:p>
          <w:p w14:paraId="79200CCC">
            <w:pPr>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1591ACA">
            <w:pPr>
              <w:pStyle w:val="33"/>
              <w:spacing w:line="294" w:lineRule="auto"/>
              <w:rPr>
                <w:rFonts w:hint="eastAsia" w:ascii="宋体" w:hAnsi="宋体" w:eastAsia="宋体" w:cs="宋体"/>
                <w:color w:val="auto"/>
                <w:sz w:val="21"/>
                <w:szCs w:val="21"/>
                <w:highlight w:val="none"/>
              </w:rPr>
            </w:pPr>
          </w:p>
          <w:p w14:paraId="2260A8F7">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557F4CD">
            <w:pPr>
              <w:pStyle w:val="33"/>
              <w:rPr>
                <w:rFonts w:hint="eastAsia" w:ascii="宋体" w:hAnsi="宋体" w:eastAsia="宋体" w:cs="宋体"/>
                <w:color w:val="auto"/>
                <w:sz w:val="21"/>
                <w:szCs w:val="21"/>
                <w:highlight w:val="none"/>
              </w:rPr>
            </w:pPr>
          </w:p>
        </w:tc>
      </w:tr>
      <w:tr w14:paraId="72E4B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E8ABCDD">
            <w:pPr>
              <w:spacing w:before="126" w:line="221" w:lineRule="auto"/>
              <w:ind w:left="35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六、暗挖工程</w:t>
            </w:r>
          </w:p>
        </w:tc>
        <w:tc>
          <w:tcPr>
            <w:tcW w:w="1294" w:type="dxa"/>
            <w:vAlign w:val="top"/>
          </w:tcPr>
          <w:p w14:paraId="254FF6A4">
            <w:pPr>
              <w:spacing w:before="126"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C21F815">
            <w:pPr>
              <w:spacing w:before="126"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20034A5">
            <w:pPr>
              <w:pStyle w:val="33"/>
              <w:rPr>
                <w:rFonts w:hint="eastAsia" w:ascii="宋体" w:hAnsi="宋体" w:eastAsia="宋体" w:cs="宋体"/>
                <w:color w:val="auto"/>
                <w:sz w:val="21"/>
                <w:szCs w:val="21"/>
                <w:highlight w:val="none"/>
              </w:rPr>
            </w:pPr>
          </w:p>
        </w:tc>
      </w:tr>
      <w:tr w14:paraId="15EE6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1B525E6">
            <w:pPr>
              <w:spacing w:before="128" w:line="328" w:lineRule="auto"/>
              <w:ind w:left="119" w:right="168" w:hanging="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采用矿山法、盾构法、顶管法施工的隧道、洞</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室工程。</w:t>
            </w:r>
          </w:p>
        </w:tc>
        <w:tc>
          <w:tcPr>
            <w:tcW w:w="1294" w:type="dxa"/>
            <w:vAlign w:val="top"/>
          </w:tcPr>
          <w:p w14:paraId="137C78C1">
            <w:pPr>
              <w:pStyle w:val="33"/>
              <w:spacing w:line="294" w:lineRule="auto"/>
              <w:rPr>
                <w:rFonts w:hint="eastAsia" w:ascii="宋体" w:hAnsi="宋体" w:eastAsia="宋体" w:cs="宋体"/>
                <w:color w:val="auto"/>
                <w:sz w:val="21"/>
                <w:szCs w:val="21"/>
                <w:highlight w:val="none"/>
              </w:rPr>
            </w:pPr>
          </w:p>
          <w:p w14:paraId="6BFB6EDD">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519791D6">
            <w:pPr>
              <w:pStyle w:val="33"/>
              <w:spacing w:line="294" w:lineRule="auto"/>
              <w:rPr>
                <w:rFonts w:hint="eastAsia" w:ascii="宋体" w:hAnsi="宋体" w:eastAsia="宋体" w:cs="宋体"/>
                <w:color w:val="auto"/>
                <w:sz w:val="21"/>
                <w:szCs w:val="21"/>
                <w:highlight w:val="none"/>
              </w:rPr>
            </w:pPr>
          </w:p>
          <w:p w14:paraId="5A13CD15">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6695AF8">
            <w:pPr>
              <w:pStyle w:val="33"/>
              <w:rPr>
                <w:rFonts w:hint="eastAsia" w:ascii="宋体" w:hAnsi="宋体" w:eastAsia="宋体" w:cs="宋体"/>
                <w:color w:val="auto"/>
                <w:sz w:val="21"/>
                <w:szCs w:val="21"/>
                <w:highlight w:val="none"/>
              </w:rPr>
            </w:pPr>
          </w:p>
        </w:tc>
      </w:tr>
      <w:tr w14:paraId="12B5D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40997DB">
            <w:pPr>
              <w:spacing w:before="129" w:line="222"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七、其它</w:t>
            </w:r>
          </w:p>
        </w:tc>
        <w:tc>
          <w:tcPr>
            <w:tcW w:w="1294" w:type="dxa"/>
            <w:vAlign w:val="top"/>
          </w:tcPr>
          <w:p w14:paraId="3D171CF9">
            <w:pPr>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FB2766A">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F867773">
            <w:pPr>
              <w:pStyle w:val="33"/>
              <w:rPr>
                <w:rFonts w:hint="eastAsia" w:ascii="宋体" w:hAnsi="宋体" w:eastAsia="宋体" w:cs="宋体"/>
                <w:color w:val="auto"/>
                <w:sz w:val="21"/>
                <w:szCs w:val="21"/>
                <w:highlight w:val="none"/>
              </w:rPr>
            </w:pPr>
          </w:p>
        </w:tc>
      </w:tr>
      <w:tr w14:paraId="3447B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F7DEAB8">
            <w:pPr>
              <w:spacing w:before="128" w:line="219"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（一）建筑幕墙安装工程。</w:t>
            </w:r>
          </w:p>
        </w:tc>
        <w:tc>
          <w:tcPr>
            <w:tcW w:w="1294" w:type="dxa"/>
            <w:vAlign w:val="top"/>
          </w:tcPr>
          <w:p w14:paraId="1DFFCB4B">
            <w:pPr>
              <w:spacing w:before="127"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2B9FEF0">
            <w:pPr>
              <w:spacing w:before="127"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2B07056">
            <w:pPr>
              <w:pStyle w:val="33"/>
              <w:rPr>
                <w:rFonts w:hint="eastAsia" w:ascii="宋体" w:hAnsi="宋体" w:eastAsia="宋体" w:cs="宋体"/>
                <w:color w:val="auto"/>
                <w:sz w:val="21"/>
                <w:szCs w:val="21"/>
                <w:highlight w:val="none"/>
              </w:rPr>
            </w:pPr>
          </w:p>
        </w:tc>
      </w:tr>
      <w:tr w14:paraId="3A246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4EEF3E2">
            <w:pPr>
              <w:spacing w:before="128" w:line="221"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（二）钢结构、网架和索膜结构安装工程。</w:t>
            </w:r>
          </w:p>
        </w:tc>
        <w:tc>
          <w:tcPr>
            <w:tcW w:w="1294" w:type="dxa"/>
            <w:vAlign w:val="top"/>
          </w:tcPr>
          <w:p w14:paraId="440AB044">
            <w:pPr>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9A95F6F">
            <w:pPr>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6EB1A9E9">
            <w:pPr>
              <w:pStyle w:val="33"/>
              <w:rPr>
                <w:rFonts w:hint="eastAsia" w:ascii="宋体" w:hAnsi="宋体" w:eastAsia="宋体" w:cs="宋体"/>
                <w:color w:val="auto"/>
                <w:sz w:val="21"/>
                <w:szCs w:val="21"/>
                <w:highlight w:val="none"/>
              </w:rPr>
            </w:pPr>
          </w:p>
        </w:tc>
      </w:tr>
      <w:tr w14:paraId="46B8D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10B3A36">
            <w:pPr>
              <w:spacing w:before="128"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（三）人工挖孔桩工程。</w:t>
            </w:r>
          </w:p>
        </w:tc>
        <w:tc>
          <w:tcPr>
            <w:tcW w:w="1294" w:type="dxa"/>
            <w:vAlign w:val="top"/>
          </w:tcPr>
          <w:p w14:paraId="60404520">
            <w:pPr>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EE4B4A6">
            <w:pPr>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911EADA">
            <w:pPr>
              <w:pStyle w:val="33"/>
              <w:rPr>
                <w:rFonts w:hint="eastAsia" w:ascii="宋体" w:hAnsi="宋体" w:eastAsia="宋体" w:cs="宋体"/>
                <w:color w:val="auto"/>
                <w:sz w:val="21"/>
                <w:szCs w:val="21"/>
                <w:highlight w:val="none"/>
              </w:rPr>
            </w:pPr>
          </w:p>
        </w:tc>
      </w:tr>
      <w:tr w14:paraId="7C36D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35199359">
            <w:pPr>
              <w:spacing w:before="129"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（四）水下作业工程。</w:t>
            </w:r>
          </w:p>
        </w:tc>
        <w:tc>
          <w:tcPr>
            <w:tcW w:w="1294" w:type="dxa"/>
            <w:vAlign w:val="top"/>
          </w:tcPr>
          <w:p w14:paraId="72AFBA83">
            <w:pPr>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FECF81F">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B3DA1B3">
            <w:pPr>
              <w:pStyle w:val="33"/>
              <w:rPr>
                <w:rFonts w:hint="eastAsia" w:ascii="宋体" w:hAnsi="宋体" w:eastAsia="宋体" w:cs="宋体"/>
                <w:color w:val="auto"/>
                <w:sz w:val="21"/>
                <w:szCs w:val="21"/>
                <w:highlight w:val="none"/>
              </w:rPr>
            </w:pPr>
          </w:p>
        </w:tc>
      </w:tr>
      <w:tr w14:paraId="4FFE3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FCA8CCB">
            <w:pPr>
              <w:spacing w:before="129"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（五）装配式建筑混凝土预制构件安装工程。</w:t>
            </w:r>
          </w:p>
        </w:tc>
        <w:tc>
          <w:tcPr>
            <w:tcW w:w="1294" w:type="dxa"/>
            <w:vAlign w:val="top"/>
          </w:tcPr>
          <w:p w14:paraId="4EE35656">
            <w:pPr>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2B4BE51">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C466686">
            <w:pPr>
              <w:pStyle w:val="33"/>
              <w:rPr>
                <w:rFonts w:hint="eastAsia" w:ascii="宋体" w:hAnsi="宋体" w:eastAsia="宋体" w:cs="宋体"/>
                <w:color w:val="auto"/>
                <w:sz w:val="21"/>
                <w:szCs w:val="21"/>
                <w:highlight w:val="none"/>
              </w:rPr>
            </w:pPr>
          </w:p>
        </w:tc>
      </w:tr>
      <w:tr w14:paraId="6737A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736F69BE">
            <w:pPr>
              <w:spacing w:before="129" w:line="345" w:lineRule="auto"/>
              <w:ind w:left="117" w:right="168" w:firstLine="1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（六）采用新技术、新工艺、新材料、新设备</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可能影响工程施工安全，尚无国家、行业及地</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rPr>
              <w:t>方技术标准的分部分项工程。</w:t>
            </w:r>
          </w:p>
        </w:tc>
        <w:tc>
          <w:tcPr>
            <w:tcW w:w="1294" w:type="dxa"/>
            <w:vAlign w:val="top"/>
          </w:tcPr>
          <w:p w14:paraId="793D675C">
            <w:pPr>
              <w:pStyle w:val="33"/>
              <w:spacing w:line="270" w:lineRule="auto"/>
              <w:rPr>
                <w:rFonts w:hint="eastAsia" w:ascii="宋体" w:hAnsi="宋体" w:eastAsia="宋体" w:cs="宋体"/>
                <w:color w:val="auto"/>
                <w:sz w:val="21"/>
                <w:szCs w:val="21"/>
                <w:highlight w:val="none"/>
              </w:rPr>
            </w:pPr>
          </w:p>
          <w:p w14:paraId="6D18B22C">
            <w:pPr>
              <w:pStyle w:val="33"/>
              <w:spacing w:line="271" w:lineRule="auto"/>
              <w:rPr>
                <w:rFonts w:hint="eastAsia" w:ascii="宋体" w:hAnsi="宋体" w:eastAsia="宋体" w:cs="宋体"/>
                <w:color w:val="auto"/>
                <w:sz w:val="21"/>
                <w:szCs w:val="21"/>
                <w:highlight w:val="none"/>
              </w:rPr>
            </w:pPr>
          </w:p>
          <w:p w14:paraId="070C23BA">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086CE21">
            <w:pPr>
              <w:pStyle w:val="33"/>
              <w:spacing w:line="270" w:lineRule="auto"/>
              <w:rPr>
                <w:rFonts w:hint="eastAsia" w:ascii="宋体" w:hAnsi="宋体" w:eastAsia="宋体" w:cs="宋体"/>
                <w:color w:val="auto"/>
                <w:sz w:val="21"/>
                <w:szCs w:val="21"/>
                <w:highlight w:val="none"/>
              </w:rPr>
            </w:pPr>
          </w:p>
          <w:p w14:paraId="382FC5C0">
            <w:pPr>
              <w:pStyle w:val="33"/>
              <w:spacing w:line="271" w:lineRule="auto"/>
              <w:rPr>
                <w:rFonts w:hint="eastAsia" w:ascii="宋体" w:hAnsi="宋体" w:eastAsia="宋体" w:cs="宋体"/>
                <w:color w:val="auto"/>
                <w:sz w:val="21"/>
                <w:szCs w:val="21"/>
                <w:highlight w:val="none"/>
              </w:rPr>
            </w:pPr>
          </w:p>
          <w:p w14:paraId="1B3A5D4B">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2E8DA1E">
            <w:pPr>
              <w:pStyle w:val="33"/>
              <w:rPr>
                <w:rFonts w:hint="eastAsia" w:ascii="宋体" w:hAnsi="宋体" w:eastAsia="宋体" w:cs="宋体"/>
                <w:color w:val="auto"/>
                <w:sz w:val="21"/>
                <w:szCs w:val="21"/>
                <w:highlight w:val="none"/>
              </w:rPr>
            </w:pPr>
          </w:p>
        </w:tc>
      </w:tr>
      <w:tr w14:paraId="4D1F4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34EA5C35">
            <w:pPr>
              <w:spacing w:before="129" w:line="328" w:lineRule="auto"/>
              <w:ind w:left="115" w:right="108" w:firstLine="4"/>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二、超过一定规模的危险性较大的分部分项工</w:t>
            </w:r>
            <w:r>
              <w:rPr>
                <w:rFonts w:hint="eastAsia" w:ascii="宋体" w:hAnsi="宋体" w:eastAsia="宋体" w:cs="宋体"/>
                <w:b/>
                <w:bCs/>
                <w:color w:val="auto"/>
                <w:spacing w:val="-5"/>
                <w:sz w:val="21"/>
                <w:szCs w:val="21"/>
                <w:highlight w:val="none"/>
              </w:rPr>
              <w:t>程清单</w:t>
            </w:r>
          </w:p>
        </w:tc>
        <w:tc>
          <w:tcPr>
            <w:tcW w:w="1294" w:type="dxa"/>
            <w:vAlign w:val="top"/>
          </w:tcPr>
          <w:p w14:paraId="1BED00BD">
            <w:pPr>
              <w:pStyle w:val="33"/>
              <w:spacing w:line="295" w:lineRule="auto"/>
              <w:rPr>
                <w:rFonts w:hint="eastAsia" w:ascii="宋体" w:hAnsi="宋体" w:eastAsia="宋体" w:cs="宋体"/>
                <w:color w:val="auto"/>
                <w:sz w:val="21"/>
                <w:szCs w:val="21"/>
                <w:highlight w:val="none"/>
              </w:rPr>
            </w:pPr>
          </w:p>
          <w:p w14:paraId="4D20CEAB">
            <w:pPr>
              <w:spacing w:before="78" w:line="221" w:lineRule="auto"/>
              <w:ind w:left="20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建设单位</w:t>
            </w:r>
          </w:p>
        </w:tc>
        <w:tc>
          <w:tcPr>
            <w:tcW w:w="1294" w:type="dxa"/>
            <w:vAlign w:val="top"/>
          </w:tcPr>
          <w:p w14:paraId="596ADA40">
            <w:pPr>
              <w:pStyle w:val="33"/>
              <w:spacing w:line="295" w:lineRule="auto"/>
              <w:rPr>
                <w:rFonts w:hint="eastAsia" w:ascii="宋体" w:hAnsi="宋体" w:eastAsia="宋体" w:cs="宋体"/>
                <w:color w:val="auto"/>
                <w:sz w:val="21"/>
                <w:szCs w:val="21"/>
                <w:highlight w:val="none"/>
              </w:rPr>
            </w:pPr>
          </w:p>
          <w:p w14:paraId="44DFCE93">
            <w:pPr>
              <w:spacing w:before="78" w:line="221" w:lineRule="auto"/>
              <w:ind w:left="119"/>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2428" w:type="dxa"/>
            <w:vAlign w:val="top"/>
          </w:tcPr>
          <w:p w14:paraId="44ED321C">
            <w:pPr>
              <w:pStyle w:val="33"/>
              <w:spacing w:line="295" w:lineRule="auto"/>
              <w:rPr>
                <w:rFonts w:hint="eastAsia" w:ascii="宋体" w:hAnsi="宋体" w:eastAsia="宋体" w:cs="宋体"/>
                <w:color w:val="auto"/>
                <w:sz w:val="21"/>
                <w:szCs w:val="21"/>
                <w:highlight w:val="none"/>
              </w:rPr>
            </w:pPr>
          </w:p>
          <w:p w14:paraId="05E8323B">
            <w:pPr>
              <w:spacing w:before="78" w:line="222" w:lineRule="auto"/>
              <w:ind w:left="3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4209E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C7B8FA4">
            <w:pPr>
              <w:spacing w:before="129" w:line="221"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一、深基坑工程</w:t>
            </w:r>
          </w:p>
        </w:tc>
        <w:tc>
          <w:tcPr>
            <w:tcW w:w="1294" w:type="dxa"/>
            <w:vAlign w:val="top"/>
          </w:tcPr>
          <w:p w14:paraId="4A58CA41">
            <w:pPr>
              <w:spacing w:before="129"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71F54D07">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65661DC">
            <w:pPr>
              <w:pStyle w:val="33"/>
              <w:rPr>
                <w:rFonts w:hint="eastAsia" w:ascii="宋体" w:hAnsi="宋体" w:eastAsia="宋体" w:cs="宋体"/>
                <w:color w:val="auto"/>
                <w:sz w:val="21"/>
                <w:szCs w:val="21"/>
                <w:highlight w:val="none"/>
              </w:rPr>
            </w:pPr>
          </w:p>
        </w:tc>
      </w:tr>
      <w:tr w14:paraId="6DA5B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DBA57FE">
            <w:pPr>
              <w:spacing w:before="131" w:line="327" w:lineRule="auto"/>
              <w:ind w:left="117" w:right="10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开挖深度超过</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5m（含</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5"/>
                <w:sz w:val="21"/>
                <w:szCs w:val="21"/>
                <w:highlight w:val="none"/>
              </w:rPr>
              <w:t>5m）的基坑（槽）的土方</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开挖、支护、降水工程。</w:t>
            </w:r>
          </w:p>
        </w:tc>
        <w:tc>
          <w:tcPr>
            <w:tcW w:w="1294" w:type="dxa"/>
            <w:vAlign w:val="top"/>
          </w:tcPr>
          <w:p w14:paraId="645F3877">
            <w:pPr>
              <w:pStyle w:val="33"/>
              <w:spacing w:line="295" w:lineRule="auto"/>
              <w:rPr>
                <w:rFonts w:hint="eastAsia" w:ascii="宋体" w:hAnsi="宋体" w:eastAsia="宋体" w:cs="宋体"/>
                <w:color w:val="auto"/>
                <w:sz w:val="21"/>
                <w:szCs w:val="21"/>
                <w:highlight w:val="none"/>
              </w:rPr>
            </w:pPr>
          </w:p>
          <w:p w14:paraId="0235EC6B">
            <w:pPr>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6C6FBB6">
            <w:pPr>
              <w:pStyle w:val="33"/>
              <w:spacing w:line="295" w:lineRule="auto"/>
              <w:rPr>
                <w:rFonts w:hint="eastAsia" w:ascii="宋体" w:hAnsi="宋体" w:eastAsia="宋体" w:cs="宋体"/>
                <w:color w:val="auto"/>
                <w:sz w:val="21"/>
                <w:szCs w:val="21"/>
                <w:highlight w:val="none"/>
              </w:rPr>
            </w:pPr>
          </w:p>
          <w:p w14:paraId="5F85EAD3">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63D3743">
            <w:pPr>
              <w:pStyle w:val="33"/>
              <w:rPr>
                <w:rFonts w:hint="eastAsia" w:ascii="宋体" w:hAnsi="宋体" w:eastAsia="宋体" w:cs="宋体"/>
                <w:color w:val="auto"/>
                <w:sz w:val="21"/>
                <w:szCs w:val="21"/>
                <w:highlight w:val="none"/>
              </w:rPr>
            </w:pPr>
          </w:p>
        </w:tc>
      </w:tr>
      <w:tr w14:paraId="78B25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5395C0F">
            <w:pPr>
              <w:spacing w:before="130" w:line="219"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二、模板工程及支撑体系</w:t>
            </w:r>
          </w:p>
        </w:tc>
        <w:tc>
          <w:tcPr>
            <w:tcW w:w="1294" w:type="dxa"/>
            <w:vAlign w:val="top"/>
          </w:tcPr>
          <w:p w14:paraId="3D58A4A2">
            <w:pPr>
              <w:spacing w:before="129"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default" w:ascii="宋体" w:hAnsi="宋体" w:eastAsia="宋体" w:cs="宋体"/>
                <w:color w:val="auto"/>
                <w:spacing w:val="2"/>
                <w:sz w:val="21"/>
                <w:szCs w:val="21"/>
                <w:highlight w:val="none"/>
                <w:lang w:val="en-US"/>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76CBEEE1">
            <w:pPr>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77D7D38">
            <w:pPr>
              <w:pStyle w:val="33"/>
              <w:rPr>
                <w:rFonts w:hint="eastAsia" w:ascii="宋体" w:hAnsi="宋体" w:eastAsia="宋体" w:cs="宋体"/>
                <w:color w:val="auto"/>
                <w:sz w:val="21"/>
                <w:szCs w:val="21"/>
                <w:highlight w:val="none"/>
              </w:rPr>
            </w:pPr>
          </w:p>
        </w:tc>
      </w:tr>
      <w:tr w14:paraId="3D4A2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D0E2984">
            <w:pPr>
              <w:spacing w:before="130" w:line="327" w:lineRule="auto"/>
              <w:ind w:left="123" w:right="25" w:firstLine="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（一）各类工具式模板工程：包括滑模、爬模、</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2"/>
                <w:sz w:val="21"/>
                <w:szCs w:val="21"/>
                <w:highlight w:val="none"/>
              </w:rPr>
              <w:t>飞模、隧道模等工程。</w:t>
            </w:r>
          </w:p>
        </w:tc>
        <w:tc>
          <w:tcPr>
            <w:tcW w:w="1294" w:type="dxa"/>
            <w:vAlign w:val="top"/>
          </w:tcPr>
          <w:p w14:paraId="334E644A">
            <w:pPr>
              <w:pStyle w:val="33"/>
              <w:spacing w:line="294" w:lineRule="auto"/>
              <w:rPr>
                <w:rFonts w:hint="eastAsia" w:ascii="宋体" w:hAnsi="宋体" w:eastAsia="宋体" w:cs="宋体"/>
                <w:color w:val="auto"/>
                <w:sz w:val="21"/>
                <w:szCs w:val="21"/>
                <w:highlight w:val="none"/>
              </w:rPr>
            </w:pPr>
          </w:p>
          <w:p w14:paraId="1369E67E">
            <w:pPr>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26987D57">
            <w:pPr>
              <w:pStyle w:val="33"/>
              <w:spacing w:line="294" w:lineRule="auto"/>
              <w:rPr>
                <w:rFonts w:hint="eastAsia" w:ascii="宋体" w:hAnsi="宋体" w:eastAsia="宋体" w:cs="宋体"/>
                <w:color w:val="auto"/>
                <w:sz w:val="21"/>
                <w:szCs w:val="21"/>
                <w:highlight w:val="none"/>
              </w:rPr>
            </w:pPr>
          </w:p>
          <w:p w14:paraId="2FCAF437">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6B1B1480">
            <w:pPr>
              <w:pStyle w:val="33"/>
              <w:rPr>
                <w:rFonts w:hint="eastAsia" w:ascii="宋体" w:hAnsi="宋体" w:eastAsia="宋体" w:cs="宋体"/>
                <w:color w:val="auto"/>
                <w:sz w:val="21"/>
                <w:szCs w:val="21"/>
                <w:highlight w:val="none"/>
              </w:rPr>
            </w:pPr>
          </w:p>
        </w:tc>
      </w:tr>
      <w:tr w14:paraId="4513F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96FA509">
            <w:pPr>
              <w:spacing w:before="132" w:line="353" w:lineRule="auto"/>
              <w:ind w:left="116" w:right="6" w:firstLine="11"/>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（二）混凝土模板支撑工程：搭设高度8m</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及以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上，或搭设跨度</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1"/>
                <w:sz w:val="21"/>
                <w:szCs w:val="21"/>
                <w:highlight w:val="none"/>
              </w:rPr>
              <w:t>18m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1"/>
                <w:sz w:val="21"/>
                <w:szCs w:val="21"/>
                <w:highlight w:val="none"/>
              </w:rPr>
              <w:t>及以上，或施工总荷载（设计值）15kN/m2</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1"/>
                <w:sz w:val="21"/>
                <w:szCs w:val="21"/>
                <w:highlight w:val="none"/>
              </w:rPr>
              <w:t>及以上，或集中线荷载（设</w:t>
            </w:r>
            <w:r>
              <w:rPr>
                <w:rFonts w:hint="eastAsia" w:ascii="宋体" w:hAnsi="宋体" w:eastAsia="宋体" w:cs="宋体"/>
                <w:color w:val="auto"/>
                <w:spacing w:val="-12"/>
                <w:sz w:val="21"/>
                <w:szCs w:val="21"/>
                <w:highlight w:val="none"/>
              </w:rPr>
              <w:t>计值）</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20kN/m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及以上。</w:t>
            </w:r>
          </w:p>
        </w:tc>
        <w:tc>
          <w:tcPr>
            <w:tcW w:w="1294" w:type="dxa"/>
            <w:vAlign w:val="top"/>
          </w:tcPr>
          <w:p w14:paraId="4F8DCE43">
            <w:pPr>
              <w:pStyle w:val="33"/>
              <w:spacing w:line="262" w:lineRule="auto"/>
              <w:rPr>
                <w:rFonts w:hint="eastAsia" w:ascii="宋体" w:hAnsi="宋体" w:eastAsia="宋体" w:cs="宋体"/>
                <w:color w:val="auto"/>
                <w:sz w:val="21"/>
                <w:szCs w:val="21"/>
                <w:highlight w:val="none"/>
              </w:rPr>
            </w:pPr>
          </w:p>
          <w:p w14:paraId="20D2C3A4">
            <w:pPr>
              <w:pStyle w:val="33"/>
              <w:spacing w:line="263" w:lineRule="auto"/>
              <w:rPr>
                <w:rFonts w:hint="eastAsia" w:ascii="宋体" w:hAnsi="宋体" w:eastAsia="宋体" w:cs="宋体"/>
                <w:color w:val="auto"/>
                <w:sz w:val="21"/>
                <w:szCs w:val="21"/>
                <w:highlight w:val="none"/>
              </w:rPr>
            </w:pPr>
          </w:p>
          <w:p w14:paraId="5032328D">
            <w:pPr>
              <w:pStyle w:val="33"/>
              <w:spacing w:line="263" w:lineRule="auto"/>
              <w:rPr>
                <w:rFonts w:hint="eastAsia" w:ascii="宋体" w:hAnsi="宋体" w:eastAsia="宋体" w:cs="宋体"/>
                <w:color w:val="auto"/>
                <w:sz w:val="21"/>
                <w:szCs w:val="21"/>
                <w:highlight w:val="none"/>
              </w:rPr>
            </w:pPr>
          </w:p>
          <w:p w14:paraId="6D829AA8">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DAA4E2D">
            <w:pPr>
              <w:pStyle w:val="33"/>
              <w:spacing w:line="262" w:lineRule="auto"/>
              <w:rPr>
                <w:rFonts w:hint="eastAsia" w:ascii="宋体" w:hAnsi="宋体" w:eastAsia="宋体" w:cs="宋体"/>
                <w:color w:val="auto"/>
                <w:sz w:val="21"/>
                <w:szCs w:val="21"/>
                <w:highlight w:val="none"/>
              </w:rPr>
            </w:pPr>
          </w:p>
          <w:p w14:paraId="457FA86F">
            <w:pPr>
              <w:pStyle w:val="33"/>
              <w:spacing w:line="263" w:lineRule="auto"/>
              <w:rPr>
                <w:rFonts w:hint="eastAsia" w:ascii="宋体" w:hAnsi="宋体" w:eastAsia="宋体" w:cs="宋体"/>
                <w:color w:val="auto"/>
                <w:sz w:val="21"/>
                <w:szCs w:val="21"/>
                <w:highlight w:val="none"/>
              </w:rPr>
            </w:pPr>
          </w:p>
          <w:p w14:paraId="55CE218A">
            <w:pPr>
              <w:pStyle w:val="33"/>
              <w:spacing w:line="263" w:lineRule="auto"/>
              <w:rPr>
                <w:rFonts w:hint="eastAsia" w:ascii="宋体" w:hAnsi="宋体" w:eastAsia="宋体" w:cs="宋体"/>
                <w:color w:val="auto"/>
                <w:sz w:val="21"/>
                <w:szCs w:val="21"/>
                <w:highlight w:val="none"/>
              </w:rPr>
            </w:pPr>
          </w:p>
          <w:p w14:paraId="0B98BE43">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3D2E8EB">
            <w:pPr>
              <w:pStyle w:val="33"/>
              <w:rPr>
                <w:rFonts w:hint="eastAsia" w:ascii="宋体" w:hAnsi="宋体" w:eastAsia="宋体" w:cs="宋体"/>
                <w:color w:val="auto"/>
                <w:sz w:val="21"/>
                <w:szCs w:val="21"/>
                <w:highlight w:val="none"/>
              </w:rPr>
            </w:pPr>
          </w:p>
        </w:tc>
      </w:tr>
      <w:tr w14:paraId="5E6F8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3A228CB">
            <w:pPr>
              <w:spacing w:before="131"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（三）承重支撑体系：用于钢结构安装等满堂</w:t>
            </w:r>
          </w:p>
        </w:tc>
        <w:tc>
          <w:tcPr>
            <w:tcW w:w="1294" w:type="dxa"/>
            <w:vAlign w:val="top"/>
          </w:tcPr>
          <w:p w14:paraId="5162708B">
            <w:pPr>
              <w:spacing w:before="131"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776CAD4B">
            <w:pPr>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94E10F2">
            <w:pPr>
              <w:pStyle w:val="33"/>
              <w:rPr>
                <w:rFonts w:hint="eastAsia" w:ascii="宋体" w:hAnsi="宋体" w:eastAsia="宋体" w:cs="宋体"/>
                <w:color w:val="auto"/>
                <w:sz w:val="21"/>
                <w:szCs w:val="21"/>
                <w:highlight w:val="none"/>
              </w:rPr>
            </w:pPr>
          </w:p>
        </w:tc>
      </w:tr>
      <w:tr w14:paraId="0A631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F495403">
            <w:pPr>
              <w:spacing w:before="131" w:line="220" w:lineRule="auto"/>
              <w:ind w:left="1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支撑体系，承受单点集中荷载</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
                <w:sz w:val="21"/>
                <w:szCs w:val="21"/>
                <w:highlight w:val="none"/>
              </w:rPr>
              <w:t>7kN</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及以上。</w:t>
            </w:r>
          </w:p>
        </w:tc>
        <w:tc>
          <w:tcPr>
            <w:tcW w:w="1294" w:type="dxa"/>
            <w:vAlign w:val="top"/>
          </w:tcPr>
          <w:p w14:paraId="2845D055">
            <w:pPr>
              <w:pStyle w:val="33"/>
              <w:rPr>
                <w:rFonts w:hint="eastAsia" w:ascii="宋体" w:hAnsi="宋体" w:eastAsia="宋体" w:cs="宋体"/>
                <w:color w:val="auto"/>
                <w:sz w:val="21"/>
                <w:szCs w:val="21"/>
                <w:highlight w:val="none"/>
              </w:rPr>
            </w:pPr>
          </w:p>
        </w:tc>
        <w:tc>
          <w:tcPr>
            <w:tcW w:w="1294" w:type="dxa"/>
            <w:vAlign w:val="top"/>
          </w:tcPr>
          <w:p w14:paraId="08AF3C3C">
            <w:pPr>
              <w:pStyle w:val="33"/>
              <w:rPr>
                <w:rFonts w:hint="eastAsia" w:ascii="宋体" w:hAnsi="宋体" w:eastAsia="宋体" w:cs="宋体"/>
                <w:color w:val="auto"/>
                <w:sz w:val="21"/>
                <w:szCs w:val="21"/>
                <w:highlight w:val="none"/>
              </w:rPr>
            </w:pPr>
          </w:p>
        </w:tc>
        <w:tc>
          <w:tcPr>
            <w:tcW w:w="2428" w:type="dxa"/>
            <w:vAlign w:val="top"/>
          </w:tcPr>
          <w:p w14:paraId="04BD56CB">
            <w:pPr>
              <w:pStyle w:val="33"/>
              <w:rPr>
                <w:rFonts w:hint="eastAsia" w:ascii="宋体" w:hAnsi="宋体" w:eastAsia="宋体" w:cs="宋体"/>
                <w:color w:val="auto"/>
                <w:sz w:val="21"/>
                <w:szCs w:val="21"/>
                <w:highlight w:val="none"/>
              </w:rPr>
            </w:pPr>
          </w:p>
        </w:tc>
      </w:tr>
      <w:tr w14:paraId="08638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EC360FC">
            <w:pPr>
              <w:spacing w:before="128" w:line="219" w:lineRule="auto"/>
              <w:ind w:left="35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三、起重吊装及起重机械安装拆卸工程</w:t>
            </w:r>
          </w:p>
        </w:tc>
        <w:tc>
          <w:tcPr>
            <w:tcW w:w="1294" w:type="dxa"/>
            <w:vAlign w:val="top"/>
          </w:tcPr>
          <w:p w14:paraId="4C8E1F6E">
            <w:pPr>
              <w:spacing w:before="127"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654E117">
            <w:pPr>
              <w:spacing w:before="127"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DDCBA67">
            <w:pPr>
              <w:pStyle w:val="33"/>
              <w:rPr>
                <w:rFonts w:hint="eastAsia" w:ascii="宋体" w:hAnsi="宋体" w:eastAsia="宋体" w:cs="宋体"/>
                <w:color w:val="auto"/>
                <w:sz w:val="21"/>
                <w:szCs w:val="21"/>
                <w:highlight w:val="none"/>
              </w:rPr>
            </w:pPr>
          </w:p>
        </w:tc>
      </w:tr>
      <w:tr w14:paraId="19BCB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B929FD3">
            <w:pPr>
              <w:spacing w:before="129" w:line="328" w:lineRule="auto"/>
              <w:ind w:left="144" w:right="168" w:hanging="1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（一）采用非常规起重设备、方法，且单件起</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4"/>
                <w:sz w:val="21"/>
                <w:szCs w:val="21"/>
                <w:highlight w:val="none"/>
              </w:rPr>
              <w:t>吊重量在</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4"/>
                <w:sz w:val="21"/>
                <w:szCs w:val="21"/>
                <w:highlight w:val="none"/>
              </w:rPr>
              <w:t>100kN</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4"/>
                <w:sz w:val="21"/>
                <w:szCs w:val="21"/>
                <w:highlight w:val="none"/>
              </w:rPr>
              <w:t>及以上的起重吊装工程。</w:t>
            </w:r>
          </w:p>
        </w:tc>
        <w:tc>
          <w:tcPr>
            <w:tcW w:w="1294" w:type="dxa"/>
            <w:vAlign w:val="top"/>
          </w:tcPr>
          <w:p w14:paraId="6352D7E5">
            <w:pPr>
              <w:pStyle w:val="33"/>
              <w:spacing w:line="295" w:lineRule="auto"/>
              <w:rPr>
                <w:rFonts w:hint="eastAsia" w:ascii="宋体" w:hAnsi="宋体" w:eastAsia="宋体" w:cs="宋体"/>
                <w:color w:val="auto"/>
                <w:sz w:val="21"/>
                <w:szCs w:val="21"/>
                <w:highlight w:val="none"/>
              </w:rPr>
            </w:pPr>
          </w:p>
          <w:p w14:paraId="2AAACFA4">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8313761">
            <w:pPr>
              <w:pStyle w:val="33"/>
              <w:spacing w:line="295" w:lineRule="auto"/>
              <w:rPr>
                <w:rFonts w:hint="eastAsia" w:ascii="宋体" w:hAnsi="宋体" w:eastAsia="宋体" w:cs="宋体"/>
                <w:color w:val="auto"/>
                <w:sz w:val="21"/>
                <w:szCs w:val="21"/>
                <w:highlight w:val="none"/>
              </w:rPr>
            </w:pPr>
          </w:p>
          <w:p w14:paraId="0E657224">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856B4A2">
            <w:pPr>
              <w:pStyle w:val="33"/>
              <w:rPr>
                <w:rFonts w:hint="eastAsia" w:ascii="宋体" w:hAnsi="宋体" w:eastAsia="宋体" w:cs="宋体"/>
                <w:color w:val="auto"/>
                <w:sz w:val="21"/>
                <w:szCs w:val="21"/>
                <w:highlight w:val="none"/>
              </w:rPr>
            </w:pPr>
          </w:p>
        </w:tc>
      </w:tr>
      <w:tr w14:paraId="22FB9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70AC52E">
            <w:pPr>
              <w:spacing w:before="129" w:line="345" w:lineRule="auto"/>
              <w:ind w:left="115" w:right="105" w:firstLine="12"/>
              <w:jc w:val="both"/>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（二）起重量</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12"/>
                <w:sz w:val="21"/>
                <w:szCs w:val="21"/>
                <w:highlight w:val="none"/>
              </w:rPr>
              <w:t>300kN</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2"/>
                <w:sz w:val="21"/>
                <w:szCs w:val="21"/>
                <w:highlight w:val="none"/>
              </w:rPr>
              <w:t>及以上，或搭设总高度</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2"/>
                <w:sz w:val="21"/>
                <w:szCs w:val="21"/>
                <w:highlight w:val="none"/>
              </w:rPr>
              <w:t>200m</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及以上，或搭设基础标高在</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4"/>
                <w:sz w:val="21"/>
                <w:szCs w:val="21"/>
                <w:highlight w:val="none"/>
              </w:rPr>
              <w:t>200m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及以上的起重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机械安装和拆卸工程。</w:t>
            </w:r>
          </w:p>
        </w:tc>
        <w:tc>
          <w:tcPr>
            <w:tcW w:w="1294" w:type="dxa"/>
            <w:vAlign w:val="top"/>
          </w:tcPr>
          <w:p w14:paraId="531F30C0">
            <w:pPr>
              <w:pStyle w:val="33"/>
              <w:spacing w:line="270" w:lineRule="auto"/>
              <w:rPr>
                <w:rFonts w:hint="eastAsia" w:ascii="宋体" w:hAnsi="宋体" w:eastAsia="宋体" w:cs="宋体"/>
                <w:color w:val="auto"/>
                <w:sz w:val="21"/>
                <w:szCs w:val="21"/>
                <w:highlight w:val="none"/>
              </w:rPr>
            </w:pPr>
          </w:p>
          <w:p w14:paraId="519D3A69">
            <w:pPr>
              <w:pStyle w:val="33"/>
              <w:spacing w:line="270" w:lineRule="auto"/>
              <w:rPr>
                <w:rFonts w:hint="eastAsia" w:ascii="宋体" w:hAnsi="宋体" w:eastAsia="宋体" w:cs="宋体"/>
                <w:color w:val="auto"/>
                <w:sz w:val="21"/>
                <w:szCs w:val="21"/>
                <w:highlight w:val="none"/>
              </w:rPr>
            </w:pPr>
          </w:p>
          <w:p w14:paraId="6DAD7794">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DEB6B8B">
            <w:pPr>
              <w:pStyle w:val="33"/>
              <w:spacing w:line="270" w:lineRule="auto"/>
              <w:rPr>
                <w:rFonts w:hint="eastAsia" w:ascii="宋体" w:hAnsi="宋体" w:eastAsia="宋体" w:cs="宋体"/>
                <w:color w:val="auto"/>
                <w:sz w:val="21"/>
                <w:szCs w:val="21"/>
                <w:highlight w:val="none"/>
              </w:rPr>
            </w:pPr>
          </w:p>
          <w:p w14:paraId="78B92882">
            <w:pPr>
              <w:pStyle w:val="33"/>
              <w:spacing w:line="270" w:lineRule="auto"/>
              <w:rPr>
                <w:rFonts w:hint="eastAsia" w:ascii="宋体" w:hAnsi="宋体" w:eastAsia="宋体" w:cs="宋体"/>
                <w:color w:val="auto"/>
                <w:sz w:val="21"/>
                <w:szCs w:val="21"/>
                <w:highlight w:val="none"/>
              </w:rPr>
            </w:pPr>
          </w:p>
          <w:p w14:paraId="785C8FCC">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955683D">
            <w:pPr>
              <w:pStyle w:val="33"/>
              <w:rPr>
                <w:rFonts w:hint="eastAsia" w:ascii="宋体" w:hAnsi="宋体" w:eastAsia="宋体" w:cs="宋体"/>
                <w:color w:val="auto"/>
                <w:sz w:val="21"/>
                <w:szCs w:val="21"/>
                <w:highlight w:val="none"/>
              </w:rPr>
            </w:pPr>
          </w:p>
        </w:tc>
      </w:tr>
      <w:tr w14:paraId="7D788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D272E41">
            <w:pPr>
              <w:spacing w:before="128" w:line="219" w:lineRule="auto"/>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1294" w:type="dxa"/>
            <w:vAlign w:val="top"/>
          </w:tcPr>
          <w:p w14:paraId="2C784B01">
            <w:pPr>
              <w:spacing w:before="127"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D745DBB">
            <w:pPr>
              <w:spacing w:before="127"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6CEE5D51">
            <w:pPr>
              <w:pStyle w:val="33"/>
              <w:rPr>
                <w:rFonts w:hint="eastAsia" w:ascii="宋体" w:hAnsi="宋体" w:eastAsia="宋体" w:cs="宋体"/>
                <w:color w:val="auto"/>
                <w:sz w:val="21"/>
                <w:szCs w:val="21"/>
                <w:highlight w:val="none"/>
              </w:rPr>
            </w:pPr>
          </w:p>
        </w:tc>
      </w:tr>
      <w:tr w14:paraId="5C57B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9A2F8D2">
            <w:pPr>
              <w:spacing w:before="128" w:line="328" w:lineRule="auto"/>
              <w:ind w:left="117" w:right="168" w:firstLine="1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（一）搭设高度</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50m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3"/>
                <w:sz w:val="21"/>
                <w:szCs w:val="21"/>
                <w:highlight w:val="none"/>
              </w:rPr>
              <w:t>及以上的落地式钢管脚手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架工程。</w:t>
            </w:r>
          </w:p>
        </w:tc>
        <w:tc>
          <w:tcPr>
            <w:tcW w:w="1294" w:type="dxa"/>
            <w:vAlign w:val="top"/>
          </w:tcPr>
          <w:p w14:paraId="15F94472">
            <w:pPr>
              <w:pStyle w:val="33"/>
              <w:spacing w:line="296" w:lineRule="auto"/>
              <w:rPr>
                <w:rFonts w:hint="eastAsia" w:ascii="宋体" w:hAnsi="宋体" w:eastAsia="宋体" w:cs="宋体"/>
                <w:color w:val="auto"/>
                <w:sz w:val="21"/>
                <w:szCs w:val="21"/>
                <w:highlight w:val="none"/>
              </w:rPr>
            </w:pPr>
          </w:p>
          <w:p w14:paraId="1D1E5C82">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430EAC3">
            <w:pPr>
              <w:pStyle w:val="33"/>
              <w:spacing w:line="296" w:lineRule="auto"/>
              <w:rPr>
                <w:rFonts w:hint="eastAsia" w:ascii="宋体" w:hAnsi="宋体" w:eastAsia="宋体" w:cs="宋体"/>
                <w:color w:val="auto"/>
                <w:sz w:val="21"/>
                <w:szCs w:val="21"/>
                <w:highlight w:val="none"/>
              </w:rPr>
            </w:pPr>
          </w:p>
          <w:p w14:paraId="6B526F8D">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A698A26">
            <w:pPr>
              <w:pStyle w:val="33"/>
              <w:rPr>
                <w:rFonts w:hint="eastAsia" w:ascii="宋体" w:hAnsi="宋体" w:eastAsia="宋体" w:cs="宋体"/>
                <w:color w:val="auto"/>
                <w:sz w:val="21"/>
                <w:szCs w:val="21"/>
                <w:highlight w:val="none"/>
              </w:rPr>
            </w:pPr>
          </w:p>
        </w:tc>
      </w:tr>
      <w:tr w14:paraId="597AE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3E19DA59">
            <w:pPr>
              <w:spacing w:before="131" w:line="327" w:lineRule="auto"/>
              <w:ind w:left="116" w:right="105" w:firstLine="1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（二）提升高度在</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6"/>
                <w:sz w:val="21"/>
                <w:szCs w:val="21"/>
                <w:highlight w:val="none"/>
                <w:lang w:eastAsia="zh-CN"/>
              </w:rPr>
              <w:t>450</w:t>
            </w:r>
            <w:r>
              <w:rPr>
                <w:rFonts w:hint="eastAsia" w:ascii="宋体" w:hAnsi="宋体" w:eastAsia="宋体" w:cs="宋体"/>
                <w:color w:val="auto"/>
                <w:spacing w:val="-6"/>
                <w:sz w:val="21"/>
                <w:szCs w:val="21"/>
                <w:highlight w:val="none"/>
              </w:rPr>
              <w:t>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6"/>
                <w:sz w:val="21"/>
                <w:szCs w:val="21"/>
                <w:highlight w:val="none"/>
              </w:rPr>
              <w:t>及以上的附着式升降脚</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手架工程或附着式升降操作平台工程。</w:t>
            </w:r>
          </w:p>
        </w:tc>
        <w:tc>
          <w:tcPr>
            <w:tcW w:w="1294" w:type="dxa"/>
            <w:vAlign w:val="top"/>
          </w:tcPr>
          <w:p w14:paraId="7D27C2B3">
            <w:pPr>
              <w:pStyle w:val="33"/>
              <w:spacing w:line="296" w:lineRule="auto"/>
              <w:rPr>
                <w:rFonts w:hint="eastAsia" w:ascii="宋体" w:hAnsi="宋体" w:eastAsia="宋体" w:cs="宋体"/>
                <w:color w:val="auto"/>
                <w:sz w:val="21"/>
                <w:szCs w:val="21"/>
                <w:highlight w:val="none"/>
              </w:rPr>
            </w:pPr>
          </w:p>
          <w:p w14:paraId="2F42AFA1">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5324633E">
            <w:pPr>
              <w:pStyle w:val="33"/>
              <w:spacing w:line="296" w:lineRule="auto"/>
              <w:rPr>
                <w:rFonts w:hint="eastAsia" w:ascii="宋体" w:hAnsi="宋体" w:eastAsia="宋体" w:cs="宋体"/>
                <w:color w:val="auto"/>
                <w:sz w:val="21"/>
                <w:szCs w:val="21"/>
                <w:highlight w:val="none"/>
              </w:rPr>
            </w:pPr>
          </w:p>
          <w:p w14:paraId="70FBE9DB">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089AA6D">
            <w:pPr>
              <w:pStyle w:val="33"/>
              <w:rPr>
                <w:rFonts w:hint="eastAsia" w:ascii="宋体" w:hAnsi="宋体" w:eastAsia="宋体" w:cs="宋体"/>
                <w:color w:val="auto"/>
                <w:sz w:val="21"/>
                <w:szCs w:val="21"/>
                <w:highlight w:val="none"/>
              </w:rPr>
            </w:pPr>
          </w:p>
        </w:tc>
      </w:tr>
      <w:tr w14:paraId="37BEB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3F84AE48">
            <w:pPr>
              <w:spacing w:before="129" w:line="328" w:lineRule="auto"/>
              <w:ind w:left="115" w:right="168" w:firstLine="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（三）分段架体搭设高度</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20m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及以上的悬挑式</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脚手架工程。</w:t>
            </w:r>
          </w:p>
        </w:tc>
        <w:tc>
          <w:tcPr>
            <w:tcW w:w="1294" w:type="dxa"/>
            <w:vAlign w:val="top"/>
          </w:tcPr>
          <w:p w14:paraId="7393FA32">
            <w:pPr>
              <w:pStyle w:val="33"/>
              <w:spacing w:line="297" w:lineRule="auto"/>
              <w:rPr>
                <w:rFonts w:hint="eastAsia" w:ascii="宋体" w:hAnsi="宋体" w:eastAsia="宋体" w:cs="宋体"/>
                <w:color w:val="auto"/>
                <w:sz w:val="21"/>
                <w:szCs w:val="21"/>
                <w:highlight w:val="none"/>
              </w:rPr>
            </w:pPr>
          </w:p>
          <w:p w14:paraId="51F37E28">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FCE9EA7">
            <w:pPr>
              <w:pStyle w:val="33"/>
              <w:spacing w:line="297" w:lineRule="auto"/>
              <w:rPr>
                <w:rFonts w:hint="eastAsia" w:ascii="宋体" w:hAnsi="宋体" w:eastAsia="宋体" w:cs="宋体"/>
                <w:color w:val="auto"/>
                <w:sz w:val="21"/>
                <w:szCs w:val="21"/>
                <w:highlight w:val="none"/>
              </w:rPr>
            </w:pPr>
          </w:p>
          <w:p w14:paraId="01DE944F">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0139DCC1">
            <w:pPr>
              <w:pStyle w:val="33"/>
              <w:rPr>
                <w:rFonts w:hint="eastAsia" w:ascii="宋体" w:hAnsi="宋体" w:eastAsia="宋体" w:cs="宋体"/>
                <w:color w:val="auto"/>
                <w:sz w:val="21"/>
                <w:szCs w:val="21"/>
                <w:highlight w:val="none"/>
              </w:rPr>
            </w:pPr>
          </w:p>
        </w:tc>
      </w:tr>
      <w:tr w14:paraId="5AE43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4F6FDBA">
            <w:pPr>
              <w:spacing w:before="131" w:line="22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1294" w:type="dxa"/>
            <w:vAlign w:val="top"/>
          </w:tcPr>
          <w:p w14:paraId="18A6F2C8">
            <w:pPr>
              <w:spacing w:before="158"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83E7AF8">
            <w:pPr>
              <w:spacing w:before="15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67984975">
            <w:pPr>
              <w:pStyle w:val="33"/>
              <w:rPr>
                <w:rFonts w:hint="eastAsia" w:ascii="宋体" w:hAnsi="宋体" w:eastAsia="宋体" w:cs="宋体"/>
                <w:color w:val="auto"/>
                <w:sz w:val="21"/>
                <w:szCs w:val="21"/>
                <w:highlight w:val="none"/>
              </w:rPr>
            </w:pPr>
          </w:p>
        </w:tc>
      </w:tr>
      <w:tr w14:paraId="79242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416ED2B">
            <w:pPr>
              <w:spacing w:before="132" w:line="353" w:lineRule="auto"/>
              <w:ind w:left="115" w:right="168" w:firstLine="1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（一）码头、桥梁、高架、烟囱、水塔或拆除</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中容易引起有毒有害气（液）体或粉尘扩散、</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1"/>
                <w:sz w:val="21"/>
                <w:szCs w:val="21"/>
                <w:highlight w:val="none"/>
              </w:rPr>
              <w:t>易燃易爆事故发生的特殊建、构筑物的拆除工</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5"/>
                <w:sz w:val="21"/>
                <w:szCs w:val="21"/>
                <w:highlight w:val="none"/>
              </w:rPr>
              <w:t>程。</w:t>
            </w:r>
          </w:p>
        </w:tc>
        <w:tc>
          <w:tcPr>
            <w:tcW w:w="1294" w:type="dxa"/>
            <w:vAlign w:val="top"/>
          </w:tcPr>
          <w:p w14:paraId="004E09E2">
            <w:pPr>
              <w:pStyle w:val="33"/>
              <w:spacing w:line="262" w:lineRule="auto"/>
              <w:rPr>
                <w:rFonts w:hint="eastAsia" w:ascii="宋体" w:hAnsi="宋体" w:eastAsia="宋体" w:cs="宋体"/>
                <w:color w:val="auto"/>
                <w:sz w:val="21"/>
                <w:szCs w:val="21"/>
                <w:highlight w:val="none"/>
              </w:rPr>
            </w:pPr>
          </w:p>
          <w:p w14:paraId="7C6103BD">
            <w:pPr>
              <w:pStyle w:val="33"/>
              <w:spacing w:line="262" w:lineRule="auto"/>
              <w:rPr>
                <w:rFonts w:hint="eastAsia" w:ascii="宋体" w:hAnsi="宋体" w:eastAsia="宋体" w:cs="宋体"/>
                <w:color w:val="auto"/>
                <w:sz w:val="21"/>
                <w:szCs w:val="21"/>
                <w:highlight w:val="none"/>
              </w:rPr>
            </w:pPr>
          </w:p>
          <w:p w14:paraId="610FF6C7">
            <w:pPr>
              <w:pStyle w:val="33"/>
              <w:spacing w:line="262" w:lineRule="auto"/>
              <w:rPr>
                <w:rFonts w:hint="eastAsia" w:ascii="宋体" w:hAnsi="宋体" w:eastAsia="宋体" w:cs="宋体"/>
                <w:color w:val="auto"/>
                <w:sz w:val="21"/>
                <w:szCs w:val="21"/>
                <w:highlight w:val="none"/>
              </w:rPr>
            </w:pPr>
          </w:p>
          <w:p w14:paraId="2DB14B39">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E255C0C">
            <w:pPr>
              <w:pStyle w:val="33"/>
              <w:spacing w:line="262" w:lineRule="auto"/>
              <w:rPr>
                <w:rFonts w:hint="eastAsia" w:ascii="宋体" w:hAnsi="宋体" w:eastAsia="宋体" w:cs="宋体"/>
                <w:color w:val="auto"/>
                <w:sz w:val="21"/>
                <w:szCs w:val="21"/>
                <w:highlight w:val="none"/>
              </w:rPr>
            </w:pPr>
          </w:p>
          <w:p w14:paraId="1E977A84">
            <w:pPr>
              <w:pStyle w:val="33"/>
              <w:spacing w:line="262" w:lineRule="auto"/>
              <w:rPr>
                <w:rFonts w:hint="eastAsia" w:ascii="宋体" w:hAnsi="宋体" w:eastAsia="宋体" w:cs="宋体"/>
                <w:color w:val="auto"/>
                <w:sz w:val="21"/>
                <w:szCs w:val="21"/>
                <w:highlight w:val="none"/>
              </w:rPr>
            </w:pPr>
          </w:p>
          <w:p w14:paraId="120CE437">
            <w:pPr>
              <w:pStyle w:val="33"/>
              <w:spacing w:line="262" w:lineRule="auto"/>
              <w:rPr>
                <w:rFonts w:hint="eastAsia" w:ascii="宋体" w:hAnsi="宋体" w:eastAsia="宋体" w:cs="宋体"/>
                <w:color w:val="auto"/>
                <w:sz w:val="21"/>
                <w:szCs w:val="21"/>
                <w:highlight w:val="none"/>
              </w:rPr>
            </w:pPr>
          </w:p>
          <w:p w14:paraId="22FDF84D">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1B7DDBA5">
            <w:pPr>
              <w:pStyle w:val="33"/>
              <w:rPr>
                <w:rFonts w:hint="eastAsia" w:ascii="宋体" w:hAnsi="宋体" w:eastAsia="宋体" w:cs="宋体"/>
                <w:color w:val="auto"/>
                <w:sz w:val="21"/>
                <w:szCs w:val="21"/>
                <w:highlight w:val="none"/>
              </w:rPr>
            </w:pPr>
          </w:p>
        </w:tc>
      </w:tr>
      <w:tr w14:paraId="22718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0D1BF67">
            <w:pPr>
              <w:spacing w:before="131" w:line="327" w:lineRule="auto"/>
              <w:ind w:left="117" w:right="168" w:firstLine="1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（二）文物保护建筑、优秀历史建筑或历史文</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化风貌区影响范围内的拆除工程。</w:t>
            </w:r>
          </w:p>
        </w:tc>
        <w:tc>
          <w:tcPr>
            <w:tcW w:w="1294" w:type="dxa"/>
            <w:vAlign w:val="top"/>
          </w:tcPr>
          <w:p w14:paraId="7AA69608">
            <w:pPr>
              <w:pStyle w:val="33"/>
              <w:spacing w:line="297" w:lineRule="auto"/>
              <w:rPr>
                <w:rFonts w:hint="eastAsia" w:ascii="宋体" w:hAnsi="宋体" w:eastAsia="宋体" w:cs="宋体"/>
                <w:color w:val="auto"/>
                <w:sz w:val="21"/>
                <w:szCs w:val="21"/>
                <w:highlight w:val="none"/>
              </w:rPr>
            </w:pPr>
          </w:p>
          <w:p w14:paraId="4A8BDB96">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CCB9600">
            <w:pPr>
              <w:pStyle w:val="33"/>
              <w:spacing w:line="297" w:lineRule="auto"/>
              <w:rPr>
                <w:rFonts w:hint="eastAsia" w:ascii="宋体" w:hAnsi="宋体" w:eastAsia="宋体" w:cs="宋体"/>
                <w:color w:val="auto"/>
                <w:sz w:val="21"/>
                <w:szCs w:val="21"/>
                <w:highlight w:val="none"/>
              </w:rPr>
            </w:pPr>
          </w:p>
          <w:p w14:paraId="1AA7A5B8">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3B726855">
            <w:pPr>
              <w:pStyle w:val="33"/>
              <w:rPr>
                <w:rFonts w:hint="eastAsia" w:ascii="宋体" w:hAnsi="宋体" w:eastAsia="宋体" w:cs="宋体"/>
                <w:color w:val="auto"/>
                <w:sz w:val="21"/>
                <w:szCs w:val="21"/>
                <w:highlight w:val="none"/>
              </w:rPr>
            </w:pPr>
          </w:p>
        </w:tc>
      </w:tr>
      <w:tr w14:paraId="53CDA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F076747">
            <w:pPr>
              <w:spacing w:before="131" w:line="221"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六、暗挖工程</w:t>
            </w:r>
          </w:p>
        </w:tc>
        <w:tc>
          <w:tcPr>
            <w:tcW w:w="1294" w:type="dxa"/>
            <w:vAlign w:val="top"/>
          </w:tcPr>
          <w:p w14:paraId="0D2BACDD">
            <w:pPr>
              <w:spacing w:before="14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530A7ABD">
            <w:pPr>
              <w:spacing w:before="14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EB72742">
            <w:pPr>
              <w:pStyle w:val="33"/>
              <w:rPr>
                <w:rFonts w:hint="eastAsia" w:ascii="宋体" w:hAnsi="宋体" w:eastAsia="宋体" w:cs="宋体"/>
                <w:color w:val="auto"/>
                <w:sz w:val="21"/>
                <w:szCs w:val="21"/>
                <w:highlight w:val="none"/>
              </w:rPr>
            </w:pPr>
          </w:p>
        </w:tc>
      </w:tr>
      <w:tr w14:paraId="27C76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3B7327B">
            <w:pPr>
              <w:spacing w:before="131" w:line="327" w:lineRule="auto"/>
              <w:ind w:left="119" w:right="168" w:hanging="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采用矿山法、盾构法、顶管法施工的隧道、洞</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4"/>
                <w:sz w:val="21"/>
                <w:szCs w:val="21"/>
                <w:highlight w:val="none"/>
              </w:rPr>
              <w:t>室工程。</w:t>
            </w:r>
          </w:p>
        </w:tc>
        <w:tc>
          <w:tcPr>
            <w:tcW w:w="1294" w:type="dxa"/>
            <w:vAlign w:val="top"/>
          </w:tcPr>
          <w:p w14:paraId="28FC2EDE">
            <w:pPr>
              <w:pStyle w:val="33"/>
              <w:spacing w:line="298" w:lineRule="auto"/>
              <w:rPr>
                <w:rFonts w:hint="eastAsia" w:ascii="宋体" w:hAnsi="宋体" w:eastAsia="宋体" w:cs="宋体"/>
                <w:color w:val="auto"/>
                <w:sz w:val="21"/>
                <w:szCs w:val="21"/>
                <w:highlight w:val="none"/>
              </w:rPr>
            </w:pPr>
          </w:p>
          <w:p w14:paraId="112808DD">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37B3F2F9">
            <w:pPr>
              <w:pStyle w:val="33"/>
              <w:spacing w:line="298" w:lineRule="auto"/>
              <w:rPr>
                <w:rFonts w:hint="eastAsia" w:ascii="宋体" w:hAnsi="宋体" w:eastAsia="宋体" w:cs="宋体"/>
                <w:color w:val="auto"/>
                <w:sz w:val="21"/>
                <w:szCs w:val="21"/>
                <w:highlight w:val="none"/>
              </w:rPr>
            </w:pPr>
          </w:p>
          <w:p w14:paraId="49D797E8">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CEDDC80">
            <w:pPr>
              <w:pStyle w:val="33"/>
              <w:rPr>
                <w:rFonts w:hint="eastAsia" w:ascii="宋体" w:hAnsi="宋体" w:eastAsia="宋体" w:cs="宋体"/>
                <w:color w:val="auto"/>
                <w:sz w:val="21"/>
                <w:szCs w:val="21"/>
                <w:highlight w:val="none"/>
              </w:rPr>
            </w:pPr>
          </w:p>
        </w:tc>
      </w:tr>
      <w:tr w14:paraId="31949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CFD3B17">
            <w:pPr>
              <w:spacing w:before="130" w:line="222"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七、其它</w:t>
            </w:r>
          </w:p>
        </w:tc>
        <w:tc>
          <w:tcPr>
            <w:tcW w:w="1294" w:type="dxa"/>
            <w:vAlign w:val="top"/>
          </w:tcPr>
          <w:p w14:paraId="71AC9FF1">
            <w:pPr>
              <w:spacing w:before="13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C1E2B06">
            <w:pPr>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F64E10F">
            <w:pPr>
              <w:pStyle w:val="33"/>
              <w:rPr>
                <w:rFonts w:hint="eastAsia" w:ascii="宋体" w:hAnsi="宋体" w:eastAsia="宋体" w:cs="宋体"/>
                <w:color w:val="auto"/>
                <w:sz w:val="21"/>
                <w:szCs w:val="21"/>
                <w:highlight w:val="none"/>
              </w:rPr>
            </w:pPr>
          </w:p>
        </w:tc>
      </w:tr>
      <w:tr w14:paraId="142DF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F0B244D">
            <w:pPr>
              <w:spacing w:before="130" w:line="327" w:lineRule="auto"/>
              <w:ind w:left="115" w:right="168" w:firstLine="1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（一）施工高度</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3"/>
                <w:sz w:val="21"/>
                <w:szCs w:val="21"/>
                <w:highlight w:val="none"/>
              </w:rPr>
              <w:t>50m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3"/>
                <w:sz w:val="21"/>
                <w:szCs w:val="21"/>
                <w:highlight w:val="none"/>
              </w:rPr>
              <w:t>及以上的建筑幕墙安装工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程。</w:t>
            </w:r>
          </w:p>
        </w:tc>
        <w:tc>
          <w:tcPr>
            <w:tcW w:w="1294" w:type="dxa"/>
            <w:vAlign w:val="top"/>
          </w:tcPr>
          <w:p w14:paraId="5EAF46BD">
            <w:pPr>
              <w:pStyle w:val="33"/>
              <w:spacing w:line="297" w:lineRule="auto"/>
              <w:rPr>
                <w:rFonts w:hint="eastAsia" w:ascii="宋体" w:hAnsi="宋体" w:eastAsia="宋体" w:cs="宋体"/>
                <w:color w:val="auto"/>
                <w:sz w:val="21"/>
                <w:szCs w:val="21"/>
                <w:highlight w:val="none"/>
              </w:rPr>
            </w:pPr>
          </w:p>
          <w:p w14:paraId="08A26E2E">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4805D70A">
            <w:pPr>
              <w:pStyle w:val="33"/>
              <w:spacing w:line="297" w:lineRule="auto"/>
              <w:rPr>
                <w:rFonts w:hint="eastAsia" w:ascii="宋体" w:hAnsi="宋体" w:eastAsia="宋体" w:cs="宋体"/>
                <w:color w:val="auto"/>
                <w:sz w:val="21"/>
                <w:szCs w:val="21"/>
                <w:highlight w:val="none"/>
              </w:rPr>
            </w:pPr>
          </w:p>
          <w:p w14:paraId="4244EB75">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9FEAAE3">
            <w:pPr>
              <w:pStyle w:val="33"/>
              <w:rPr>
                <w:rFonts w:hint="eastAsia" w:ascii="宋体" w:hAnsi="宋体" w:eastAsia="宋体" w:cs="宋体"/>
                <w:color w:val="auto"/>
                <w:sz w:val="21"/>
                <w:szCs w:val="21"/>
                <w:highlight w:val="none"/>
              </w:rPr>
            </w:pPr>
          </w:p>
        </w:tc>
      </w:tr>
      <w:tr w14:paraId="7C673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58849C4">
            <w:pPr>
              <w:spacing w:before="130" w:line="221"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（二）跨度</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36m</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及以上的钢结构安装工程，或</w:t>
            </w:r>
          </w:p>
        </w:tc>
        <w:tc>
          <w:tcPr>
            <w:tcW w:w="1294" w:type="dxa"/>
            <w:vAlign w:val="top"/>
          </w:tcPr>
          <w:p w14:paraId="640A0858">
            <w:pPr>
              <w:spacing w:before="13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14E7918B">
            <w:pPr>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55ABC7B8">
            <w:pPr>
              <w:pStyle w:val="33"/>
              <w:rPr>
                <w:rFonts w:hint="eastAsia" w:ascii="宋体" w:hAnsi="宋体" w:eastAsia="宋体" w:cs="宋体"/>
                <w:color w:val="auto"/>
                <w:sz w:val="21"/>
                <w:szCs w:val="21"/>
                <w:highlight w:val="none"/>
              </w:rPr>
            </w:pPr>
          </w:p>
        </w:tc>
      </w:tr>
      <w:tr w14:paraId="53C4E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2FBA661">
            <w:pPr>
              <w:spacing w:before="131" w:line="221" w:lineRule="auto"/>
              <w:ind w:left="11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跨度</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60m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及以上的网架和索膜结构安装工程。</w:t>
            </w:r>
          </w:p>
        </w:tc>
        <w:tc>
          <w:tcPr>
            <w:tcW w:w="1294" w:type="dxa"/>
            <w:vAlign w:val="top"/>
          </w:tcPr>
          <w:p w14:paraId="39DDECC0">
            <w:pPr>
              <w:pStyle w:val="33"/>
              <w:rPr>
                <w:rFonts w:hint="eastAsia" w:ascii="宋体" w:hAnsi="宋体" w:eastAsia="宋体" w:cs="宋体"/>
                <w:color w:val="auto"/>
                <w:sz w:val="21"/>
                <w:szCs w:val="21"/>
                <w:highlight w:val="none"/>
              </w:rPr>
            </w:pPr>
          </w:p>
        </w:tc>
        <w:tc>
          <w:tcPr>
            <w:tcW w:w="1294" w:type="dxa"/>
            <w:vAlign w:val="top"/>
          </w:tcPr>
          <w:p w14:paraId="23E35FBB">
            <w:pPr>
              <w:pStyle w:val="33"/>
              <w:rPr>
                <w:rFonts w:hint="eastAsia" w:ascii="宋体" w:hAnsi="宋体" w:eastAsia="宋体" w:cs="宋体"/>
                <w:color w:val="auto"/>
                <w:sz w:val="21"/>
                <w:szCs w:val="21"/>
                <w:highlight w:val="none"/>
              </w:rPr>
            </w:pPr>
          </w:p>
        </w:tc>
        <w:tc>
          <w:tcPr>
            <w:tcW w:w="2428" w:type="dxa"/>
            <w:vAlign w:val="top"/>
          </w:tcPr>
          <w:p w14:paraId="5CE86EB0">
            <w:pPr>
              <w:pStyle w:val="33"/>
              <w:rPr>
                <w:rFonts w:hint="eastAsia" w:ascii="宋体" w:hAnsi="宋体" w:eastAsia="宋体" w:cs="宋体"/>
                <w:color w:val="auto"/>
                <w:sz w:val="21"/>
                <w:szCs w:val="21"/>
                <w:highlight w:val="none"/>
              </w:rPr>
            </w:pPr>
          </w:p>
        </w:tc>
      </w:tr>
      <w:tr w14:paraId="10189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1E91F9D">
            <w:pPr>
              <w:spacing w:before="127" w:line="22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（三）开挖深度</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7"/>
                <w:sz w:val="21"/>
                <w:szCs w:val="21"/>
                <w:highlight w:val="none"/>
              </w:rPr>
              <w:t>16m</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7"/>
                <w:sz w:val="21"/>
                <w:szCs w:val="21"/>
                <w:highlight w:val="none"/>
              </w:rPr>
              <w:t>及以上的人工挖孔桩工程。</w:t>
            </w:r>
          </w:p>
        </w:tc>
        <w:tc>
          <w:tcPr>
            <w:tcW w:w="1294" w:type="dxa"/>
            <w:vAlign w:val="top"/>
          </w:tcPr>
          <w:p w14:paraId="455336E2">
            <w:pPr>
              <w:spacing w:before="127"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0DE71EF">
            <w:pPr>
              <w:spacing w:before="127"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47291E42">
            <w:pPr>
              <w:pStyle w:val="33"/>
              <w:rPr>
                <w:rFonts w:hint="eastAsia" w:ascii="宋体" w:hAnsi="宋体" w:eastAsia="宋体" w:cs="宋体"/>
                <w:color w:val="auto"/>
                <w:sz w:val="21"/>
                <w:szCs w:val="21"/>
                <w:highlight w:val="none"/>
              </w:rPr>
            </w:pPr>
          </w:p>
        </w:tc>
      </w:tr>
      <w:tr w14:paraId="0AB5A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5ADD76E">
            <w:pPr>
              <w:spacing w:before="129"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（四）水下作业工程。</w:t>
            </w:r>
          </w:p>
        </w:tc>
        <w:tc>
          <w:tcPr>
            <w:tcW w:w="1294" w:type="dxa"/>
            <w:vAlign w:val="top"/>
          </w:tcPr>
          <w:p w14:paraId="23A3F711">
            <w:pPr>
              <w:spacing w:before="163"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0B8A7056">
            <w:pPr>
              <w:spacing w:before="163"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710E3EFE">
            <w:pPr>
              <w:pStyle w:val="33"/>
              <w:rPr>
                <w:rFonts w:hint="eastAsia" w:ascii="宋体" w:hAnsi="宋体" w:eastAsia="宋体" w:cs="宋体"/>
                <w:color w:val="auto"/>
                <w:sz w:val="21"/>
                <w:szCs w:val="21"/>
                <w:highlight w:val="none"/>
              </w:rPr>
            </w:pPr>
          </w:p>
        </w:tc>
      </w:tr>
      <w:tr w14:paraId="43D61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A6B1FF9">
            <w:pPr>
              <w:spacing w:before="130" w:line="327" w:lineRule="auto"/>
              <w:ind w:left="115" w:right="25" w:firstLine="12"/>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（五）重量</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8"/>
                <w:sz w:val="21"/>
                <w:szCs w:val="21"/>
                <w:highlight w:val="none"/>
              </w:rPr>
              <w:t>1000kN及以上的大型结构整体顶升、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平移、转体等施工工艺。</w:t>
            </w:r>
          </w:p>
        </w:tc>
        <w:tc>
          <w:tcPr>
            <w:tcW w:w="1294" w:type="dxa"/>
            <w:vAlign w:val="top"/>
          </w:tcPr>
          <w:p w14:paraId="3A1F4E06">
            <w:pPr>
              <w:pStyle w:val="33"/>
              <w:spacing w:line="296" w:lineRule="auto"/>
              <w:rPr>
                <w:rFonts w:hint="eastAsia" w:ascii="宋体" w:hAnsi="宋体" w:eastAsia="宋体" w:cs="宋体"/>
                <w:color w:val="auto"/>
                <w:sz w:val="21"/>
                <w:szCs w:val="21"/>
                <w:highlight w:val="none"/>
              </w:rPr>
            </w:pPr>
          </w:p>
          <w:p w14:paraId="51DDE64C">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77C2D360">
            <w:pPr>
              <w:pStyle w:val="33"/>
              <w:spacing w:line="296" w:lineRule="auto"/>
              <w:rPr>
                <w:rFonts w:hint="eastAsia" w:ascii="宋体" w:hAnsi="宋体" w:eastAsia="宋体" w:cs="宋体"/>
                <w:color w:val="auto"/>
                <w:sz w:val="21"/>
                <w:szCs w:val="21"/>
                <w:highlight w:val="none"/>
              </w:rPr>
            </w:pPr>
          </w:p>
          <w:p w14:paraId="6607637F">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2B4C3E92">
            <w:pPr>
              <w:pStyle w:val="33"/>
              <w:rPr>
                <w:rFonts w:hint="eastAsia" w:ascii="宋体" w:hAnsi="宋体" w:eastAsia="宋体" w:cs="宋体"/>
                <w:color w:val="auto"/>
                <w:sz w:val="21"/>
                <w:szCs w:val="21"/>
                <w:highlight w:val="none"/>
              </w:rPr>
            </w:pPr>
          </w:p>
        </w:tc>
      </w:tr>
      <w:tr w14:paraId="51889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772C626">
            <w:pPr>
              <w:spacing w:before="129" w:line="346" w:lineRule="auto"/>
              <w:ind w:left="117" w:right="168" w:firstLine="1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（六）采用新技术、新工艺、新材料、新设备</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1"/>
                <w:sz w:val="21"/>
                <w:szCs w:val="21"/>
                <w:highlight w:val="none"/>
              </w:rPr>
              <w:t>可能影响工程施工安全，尚无国家、行业及地</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1"/>
                <w:sz w:val="21"/>
                <w:szCs w:val="21"/>
                <w:highlight w:val="none"/>
              </w:rPr>
              <w:t>方技术标准的分部分项工程。</w:t>
            </w:r>
          </w:p>
        </w:tc>
        <w:tc>
          <w:tcPr>
            <w:tcW w:w="1294" w:type="dxa"/>
            <w:vAlign w:val="top"/>
          </w:tcPr>
          <w:p w14:paraId="57AEC742">
            <w:pPr>
              <w:pStyle w:val="33"/>
              <w:spacing w:line="272" w:lineRule="auto"/>
              <w:rPr>
                <w:rFonts w:hint="eastAsia" w:ascii="宋体" w:hAnsi="宋体" w:eastAsia="宋体" w:cs="宋体"/>
                <w:color w:val="auto"/>
                <w:sz w:val="21"/>
                <w:szCs w:val="21"/>
                <w:highlight w:val="none"/>
              </w:rPr>
            </w:pPr>
          </w:p>
          <w:p w14:paraId="0A149F9D">
            <w:pPr>
              <w:pStyle w:val="33"/>
              <w:spacing w:line="272" w:lineRule="auto"/>
              <w:rPr>
                <w:rFonts w:hint="eastAsia" w:ascii="宋体" w:hAnsi="宋体" w:eastAsia="宋体" w:cs="宋体"/>
                <w:color w:val="auto"/>
                <w:sz w:val="21"/>
                <w:szCs w:val="21"/>
                <w:highlight w:val="none"/>
              </w:rPr>
            </w:pPr>
          </w:p>
          <w:p w14:paraId="242FEAAA">
            <w:pPr>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294" w:type="dxa"/>
            <w:vAlign w:val="top"/>
          </w:tcPr>
          <w:p w14:paraId="6D1912F0">
            <w:pPr>
              <w:pStyle w:val="33"/>
              <w:spacing w:line="272" w:lineRule="auto"/>
              <w:rPr>
                <w:rFonts w:hint="eastAsia" w:ascii="宋体" w:hAnsi="宋体" w:eastAsia="宋体" w:cs="宋体"/>
                <w:color w:val="auto"/>
                <w:sz w:val="21"/>
                <w:szCs w:val="21"/>
                <w:highlight w:val="none"/>
              </w:rPr>
            </w:pPr>
          </w:p>
          <w:p w14:paraId="75174976">
            <w:pPr>
              <w:pStyle w:val="33"/>
              <w:spacing w:line="272" w:lineRule="auto"/>
              <w:rPr>
                <w:rFonts w:hint="eastAsia" w:ascii="宋体" w:hAnsi="宋体" w:eastAsia="宋体" w:cs="宋体"/>
                <w:color w:val="auto"/>
                <w:sz w:val="21"/>
                <w:szCs w:val="21"/>
                <w:highlight w:val="none"/>
              </w:rPr>
            </w:pPr>
          </w:p>
          <w:p w14:paraId="721560CB">
            <w:pPr>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2428" w:type="dxa"/>
            <w:vAlign w:val="top"/>
          </w:tcPr>
          <w:p w14:paraId="62176AF6">
            <w:pPr>
              <w:pStyle w:val="33"/>
              <w:rPr>
                <w:rFonts w:hint="eastAsia" w:ascii="宋体" w:hAnsi="宋体" w:eastAsia="宋体" w:cs="宋体"/>
                <w:color w:val="auto"/>
                <w:sz w:val="21"/>
                <w:szCs w:val="21"/>
                <w:highlight w:val="none"/>
              </w:rPr>
            </w:pPr>
          </w:p>
        </w:tc>
      </w:tr>
    </w:tbl>
    <w:p w14:paraId="42F1A781">
      <w:pPr>
        <w:pageBreakBefore w:val="0"/>
        <w:kinsoku/>
        <w:wordWrap/>
        <w:overflowPunct/>
        <w:bidi w:val="0"/>
        <w:rPr>
          <w:rFonts w:hint="eastAsia" w:ascii="宋体" w:hAnsi="宋体" w:eastAsia="宋体" w:cs="宋体"/>
          <w:color w:val="auto"/>
          <w:sz w:val="21"/>
          <w:szCs w:val="21"/>
          <w:highlight w:val="none"/>
          <w:lang w:val="en-US" w:eastAsia="zh-CN"/>
        </w:rPr>
      </w:pPr>
    </w:p>
    <w:p w14:paraId="548C332F">
      <w:pPr>
        <w:pStyle w:val="8"/>
        <w:spacing w:line="288" w:lineRule="auto"/>
        <w:rPr>
          <w:rFonts w:hint="eastAsia" w:ascii="宋体" w:hAnsi="宋体" w:eastAsia="宋体" w:cs="宋体"/>
          <w:color w:val="auto"/>
          <w:sz w:val="21"/>
          <w:szCs w:val="21"/>
          <w:highlight w:val="none"/>
        </w:rPr>
      </w:pPr>
    </w:p>
    <w:p w14:paraId="4D9ADF52">
      <w:pPr>
        <w:spacing w:before="21" w:line="376" w:lineRule="exact"/>
        <w:ind w:firstLine="460" w:firstLineChars="200"/>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10"/>
          <w:sz w:val="21"/>
          <w:szCs w:val="21"/>
          <w:highlight w:val="none"/>
        </w:rPr>
        <w:t>备注：1.根据《危险性较大的分部分项工程安全管理</w:t>
      </w:r>
      <w:r>
        <w:rPr>
          <w:rFonts w:hint="eastAsia" w:ascii="宋体" w:hAnsi="宋体" w:eastAsia="宋体" w:cs="宋体"/>
          <w:color w:val="auto"/>
          <w:spacing w:val="9"/>
          <w:sz w:val="21"/>
          <w:szCs w:val="21"/>
          <w:highlight w:val="none"/>
        </w:rPr>
        <w:t>规定》，该《危险性较大的分部分项工程清单及超过一定规模的危险性较大的分部分项工程清单》</w:t>
      </w:r>
      <w:r>
        <w:rPr>
          <w:rFonts w:hint="eastAsia" w:ascii="宋体" w:hAnsi="宋体" w:eastAsia="宋体" w:cs="宋体"/>
          <w:color w:val="auto"/>
          <w:spacing w:val="9"/>
          <w:sz w:val="21"/>
          <w:szCs w:val="21"/>
          <w:highlight w:val="none"/>
          <w:lang w:eastAsia="zh-CN"/>
        </w:rPr>
        <w:t>应由建设单位组织勘察、设计等单位在招标文件中“勾选（对应项打“√”标识”危险性较大的分部分项工程。</w:t>
      </w:r>
    </w:p>
    <w:p w14:paraId="0C4D1AF6">
      <w:pPr>
        <w:spacing w:before="21" w:line="376" w:lineRule="exact"/>
        <w:ind w:firstLine="45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2.该《危险性较大的分部分项工程清单及超过一定规模的危险性较</w:t>
      </w:r>
      <w:r>
        <w:rPr>
          <w:rFonts w:hint="eastAsia" w:ascii="宋体" w:hAnsi="宋体" w:eastAsia="宋体" w:cs="宋体"/>
          <w:color w:val="auto"/>
          <w:spacing w:val="7"/>
          <w:sz w:val="21"/>
          <w:szCs w:val="21"/>
          <w:highlight w:val="none"/>
        </w:rPr>
        <w:t>大的分部分项工程清单》在办理</w:t>
      </w:r>
      <w:r>
        <w:rPr>
          <w:rFonts w:hint="eastAsia" w:ascii="宋体" w:hAnsi="宋体" w:eastAsia="宋体" w:cs="宋体"/>
          <w:color w:val="auto"/>
          <w:spacing w:val="10"/>
          <w:sz w:val="21"/>
          <w:szCs w:val="21"/>
          <w:highlight w:val="none"/>
        </w:rPr>
        <w:t>建设项目施工许可时必须提供，且各地建设行政主管部门可按照《广东省建设工</w:t>
      </w:r>
      <w:r>
        <w:rPr>
          <w:rFonts w:hint="eastAsia" w:ascii="宋体" w:hAnsi="宋体" w:eastAsia="宋体" w:cs="宋体"/>
          <w:color w:val="auto"/>
          <w:spacing w:val="9"/>
          <w:sz w:val="21"/>
          <w:szCs w:val="21"/>
          <w:highlight w:val="none"/>
        </w:rPr>
        <w:t>程项目招标中标后监督</w:t>
      </w:r>
      <w:r>
        <w:rPr>
          <w:rFonts w:hint="eastAsia" w:ascii="宋体" w:hAnsi="宋体" w:eastAsia="宋体" w:cs="宋体"/>
          <w:color w:val="auto"/>
          <w:spacing w:val="8"/>
          <w:sz w:val="21"/>
          <w:szCs w:val="21"/>
          <w:highlight w:val="none"/>
        </w:rPr>
        <w:t>检查办法》相关规定开展检查。</w:t>
      </w:r>
    </w:p>
    <w:p w14:paraId="02FD9FDF">
      <w:pPr>
        <w:spacing w:before="28" w:line="228" w:lineRule="auto"/>
        <w:ind w:left="0" w:leftChars="0" w:firstLine="369" w:firstLineChars="162"/>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9"/>
          <w:sz w:val="21"/>
          <w:szCs w:val="21"/>
          <w:highlight w:val="none"/>
        </w:rPr>
        <w:t>3.如果需要（如需要通过计算编制专项方案，或者需要专家论证</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9"/>
          <w:sz w:val="21"/>
          <w:szCs w:val="21"/>
          <w:highlight w:val="none"/>
        </w:rPr>
        <w:t>可中</w:t>
      </w:r>
      <w:r>
        <w:rPr>
          <w:rFonts w:hint="eastAsia" w:ascii="宋体" w:hAnsi="宋体" w:eastAsia="宋体" w:cs="宋体"/>
          <w:color w:val="auto"/>
          <w:spacing w:val="8"/>
          <w:sz w:val="21"/>
          <w:szCs w:val="21"/>
          <w:highlight w:val="none"/>
        </w:rPr>
        <w:t>标后提供</w:t>
      </w:r>
      <w:r>
        <w:rPr>
          <w:rFonts w:hint="eastAsia" w:ascii="宋体" w:hAnsi="宋体" w:eastAsia="宋体" w:cs="宋体"/>
          <w:color w:val="auto"/>
          <w:spacing w:val="8"/>
          <w:sz w:val="21"/>
          <w:szCs w:val="21"/>
          <w:highlight w:val="none"/>
          <w:lang w:eastAsia="zh-CN"/>
        </w:rPr>
        <w:t>详细版。</w:t>
      </w:r>
    </w:p>
    <w:p w14:paraId="631FDCC1">
      <w:pPr>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8"/>
          <w:sz w:val="24"/>
          <w:szCs w:val="24"/>
          <w:highlight w:val="none"/>
          <w:lang w:eastAsia="zh-CN"/>
        </w:rPr>
        <w:br w:type="page"/>
      </w:r>
    </w:p>
    <w:p w14:paraId="123DB228">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40" w:name="_Toc13446"/>
      <w:bookmarkStart w:id="341" w:name="_Toc6639"/>
      <w:bookmarkStart w:id="342" w:name="_Toc25639"/>
      <w:r>
        <w:rPr>
          <w:rFonts w:hint="eastAsia" w:ascii="宋体" w:hAnsi="宋体" w:eastAsia="宋体" w:cs="宋体"/>
          <w:b/>
          <w:bCs/>
          <w:color w:val="auto"/>
          <w:spacing w:val="-11"/>
          <w:sz w:val="24"/>
          <w:szCs w:val="24"/>
          <w:highlight w:val="none"/>
          <w:lang w:val="en-US" w:eastAsia="zh-CN"/>
        </w:rPr>
        <w:t>格式十</w:t>
      </w:r>
      <w:bookmarkEnd w:id="340"/>
      <w:bookmarkEnd w:id="341"/>
      <w:r>
        <w:rPr>
          <w:rFonts w:hint="eastAsia" w:ascii="宋体" w:hAnsi="宋体" w:eastAsia="宋体" w:cs="宋体"/>
          <w:b/>
          <w:bCs/>
          <w:color w:val="auto"/>
          <w:spacing w:val="-11"/>
          <w:sz w:val="24"/>
          <w:szCs w:val="24"/>
          <w:highlight w:val="none"/>
          <w:lang w:val="en-US" w:eastAsia="zh-CN"/>
        </w:rPr>
        <w:t>四   投标保证金信用承诺函</w:t>
      </w:r>
      <w:bookmarkEnd w:id="342"/>
    </w:p>
    <w:p w14:paraId="0A711391">
      <w:pPr>
        <w:pStyle w:val="8"/>
        <w:pageBreakBefore w:val="0"/>
        <w:kinsoku/>
        <w:wordWrap/>
        <w:overflowPunct/>
        <w:bidi w:val="0"/>
        <w:spacing w:before="140" w:line="360" w:lineRule="auto"/>
        <w:ind w:left="2338"/>
        <w:rPr>
          <w:rFonts w:hint="eastAsia" w:ascii="宋体" w:hAnsi="宋体" w:eastAsia="宋体" w:cs="宋体"/>
          <w:color w:val="auto"/>
          <w:sz w:val="36"/>
          <w:szCs w:val="36"/>
          <w:highlight w:val="none"/>
        </w:rPr>
      </w:pPr>
      <w:r>
        <w:rPr>
          <w:rFonts w:hint="eastAsia" w:ascii="宋体" w:hAnsi="宋体" w:eastAsia="宋体" w:cs="宋体"/>
          <w:b/>
          <w:bCs/>
          <w:color w:val="auto"/>
          <w:spacing w:val="4"/>
          <w:position w:val="3"/>
          <w:sz w:val="36"/>
          <w:szCs w:val="36"/>
          <w:highlight w:val="none"/>
        </w:rPr>
        <w:t>投标保证金信用承诺函</w:t>
      </w:r>
    </w:p>
    <w:p w14:paraId="325EB536">
      <w:pPr>
        <w:pageBreakBefore w:val="0"/>
        <w:kinsoku/>
        <w:wordWrap/>
        <w:overflowPunct/>
        <w:bidi w:val="0"/>
        <w:spacing w:line="360" w:lineRule="auto"/>
        <w:rPr>
          <w:rFonts w:hint="eastAsia" w:ascii="宋体" w:hAnsi="宋体" w:eastAsia="宋体" w:cs="宋体"/>
          <w:color w:val="auto"/>
          <w:sz w:val="21"/>
          <w:highlight w:val="none"/>
        </w:rPr>
      </w:pPr>
    </w:p>
    <w:p w14:paraId="32ED0890">
      <w:pPr>
        <w:pStyle w:val="8"/>
        <w:pageBreakBefore w:val="0"/>
        <w:kinsoku/>
        <w:wordWrap/>
        <w:overflowPunct/>
        <w:bidi w:val="0"/>
        <w:spacing w:before="101" w:line="360" w:lineRule="auto"/>
        <w:ind w:firstLine="450" w:firstLineChars="200"/>
        <w:jc w:val="both"/>
        <w:rPr>
          <w:rFonts w:hint="eastAsia" w:ascii="宋体" w:hAnsi="宋体" w:eastAsia="宋体" w:cs="宋体"/>
          <w:color w:val="auto"/>
          <w:highlight w:val="none"/>
        </w:rPr>
      </w:pPr>
      <w:r>
        <w:rPr>
          <w:rFonts w:hint="eastAsia" w:ascii="宋体" w:hAnsi="宋体" w:eastAsia="宋体" w:cs="宋体"/>
          <w:b/>
          <w:bCs/>
          <w:color w:val="auto"/>
          <w:spacing w:val="7"/>
          <w:highlight w:val="none"/>
        </w:rPr>
        <w:t>一、</w:t>
      </w:r>
      <w:r>
        <w:rPr>
          <w:rFonts w:hint="eastAsia" w:ascii="宋体" w:hAnsi="宋体" w:eastAsia="宋体" w:cs="宋体"/>
          <w:color w:val="auto"/>
          <w:spacing w:val="7"/>
          <w:highlight w:val="none"/>
        </w:rPr>
        <w:t>我单位参加</w:t>
      </w:r>
      <w:r>
        <w:rPr>
          <w:rFonts w:hint="eastAsia" w:ascii="宋体" w:hAnsi="宋体" w:eastAsia="宋体" w:cs="宋体"/>
          <w:color w:val="auto"/>
          <w:spacing w:val="7"/>
          <w:highlight w:val="none"/>
          <w:u w:val="single" w:color="auto"/>
        </w:rPr>
        <w:t xml:space="preserve">  （工程项目名称）  </w:t>
      </w:r>
      <w:r>
        <w:rPr>
          <w:rFonts w:hint="eastAsia" w:ascii="宋体" w:hAnsi="宋体" w:eastAsia="宋体" w:cs="宋体"/>
          <w:color w:val="auto"/>
          <w:spacing w:val="-116"/>
          <w:highlight w:val="none"/>
        </w:rPr>
        <w:t xml:space="preserve"> </w:t>
      </w:r>
      <w:r>
        <w:rPr>
          <w:rFonts w:hint="eastAsia" w:ascii="宋体" w:hAnsi="宋体" w:eastAsia="宋体" w:cs="宋体"/>
          <w:color w:val="auto"/>
          <w:spacing w:val="7"/>
          <w:highlight w:val="none"/>
        </w:rPr>
        <w:t>的投标活动，</w:t>
      </w:r>
      <w:r>
        <w:rPr>
          <w:rFonts w:hint="eastAsia" w:ascii="宋体" w:hAnsi="宋体" w:eastAsia="宋体" w:cs="宋体"/>
          <w:color w:val="auto"/>
          <w:spacing w:val="6"/>
          <w:highlight w:val="none"/>
        </w:rPr>
        <w:t>现承</w:t>
      </w:r>
      <w:r>
        <w:rPr>
          <w:rFonts w:hint="eastAsia" w:ascii="宋体" w:hAnsi="宋体" w:eastAsia="宋体" w:cs="宋体"/>
          <w:color w:val="auto"/>
          <w:spacing w:val="9"/>
          <w:highlight w:val="none"/>
        </w:rPr>
        <w:t>诺：将严格按照法律法规规定参与交易活动，按照招标文件要求依法履行投标人义务；我方若出现违反《中华人民共和国招标投标法》、《中华人民共和国招标投标法实施条例》、《电子招标投标办法》等有关法律法规的行为，将于投标有效期内全额付清</w:t>
      </w:r>
      <w:r>
        <w:rPr>
          <w:rFonts w:hint="eastAsia" w:ascii="宋体" w:hAnsi="宋体" w:eastAsia="宋体" w:cs="宋体"/>
          <w:color w:val="auto"/>
          <w:spacing w:val="7"/>
          <w:highlight w:val="none"/>
        </w:rPr>
        <w:t>招标文件规定的投标保证金</w:t>
      </w:r>
      <w:r>
        <w:rPr>
          <w:rFonts w:hint="eastAsia" w:ascii="宋体" w:hAnsi="宋体" w:eastAsia="宋体" w:cs="宋体"/>
          <w:color w:val="auto"/>
          <w:spacing w:val="-153"/>
          <w:highlight w:val="none"/>
        </w:rPr>
        <w:t xml:space="preserve"> </w:t>
      </w:r>
      <w:r>
        <w:rPr>
          <w:rFonts w:hint="eastAsia" w:ascii="宋体" w:hAnsi="宋体" w:eastAsia="宋体" w:cs="宋体"/>
          <w:color w:val="auto"/>
          <w:spacing w:val="5"/>
          <w:highlight w:val="none"/>
          <w:u w:val="single" w:color="auto"/>
        </w:rPr>
        <w:t xml:space="preserve">     </w:t>
      </w:r>
      <w:r>
        <w:rPr>
          <w:rFonts w:hint="eastAsia" w:ascii="宋体" w:hAnsi="宋体" w:eastAsia="宋体" w:cs="宋体"/>
          <w:color w:val="auto"/>
          <w:spacing w:val="-138"/>
          <w:highlight w:val="none"/>
        </w:rPr>
        <w:t xml:space="preserve"> </w:t>
      </w:r>
      <w:r>
        <w:rPr>
          <w:rFonts w:hint="eastAsia" w:ascii="宋体" w:hAnsi="宋体" w:eastAsia="宋体" w:cs="宋体"/>
          <w:color w:val="auto"/>
          <w:spacing w:val="7"/>
          <w:highlight w:val="none"/>
        </w:rPr>
        <w:t>元。</w:t>
      </w:r>
    </w:p>
    <w:p w14:paraId="5B8BD4E7">
      <w:pPr>
        <w:pStyle w:val="8"/>
        <w:pageBreakBefore w:val="0"/>
        <w:kinsoku/>
        <w:wordWrap/>
        <w:overflowPunct/>
        <w:bidi w:val="0"/>
        <w:spacing w:before="48" w:line="360" w:lineRule="auto"/>
        <w:ind w:firstLine="456" w:firstLineChars="200"/>
        <w:jc w:val="both"/>
        <w:rPr>
          <w:rFonts w:hint="eastAsia" w:ascii="宋体" w:hAnsi="宋体" w:eastAsia="宋体" w:cs="宋体"/>
          <w:color w:val="auto"/>
          <w:highlight w:val="none"/>
        </w:rPr>
      </w:pPr>
      <w:r>
        <w:rPr>
          <w:rFonts w:hint="eastAsia" w:ascii="宋体" w:hAnsi="宋体" w:eastAsia="宋体" w:cs="宋体"/>
          <w:color w:val="auto"/>
          <w:spacing w:val="9"/>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5"/>
          <w:highlight w:val="none"/>
        </w:rPr>
        <w:t>台公布的信用等级为</w:t>
      </w:r>
      <w:r>
        <w:rPr>
          <w:rFonts w:hint="eastAsia" w:ascii="宋体" w:hAnsi="宋体" w:eastAsia="宋体" w:cs="宋体"/>
          <w:color w:val="auto"/>
          <w:spacing w:val="-62"/>
          <w:highlight w:val="none"/>
        </w:rPr>
        <w:t xml:space="preserve"> </w:t>
      </w:r>
      <w:r>
        <w:rPr>
          <w:rFonts w:hint="eastAsia" w:ascii="宋体" w:hAnsi="宋体" w:eastAsia="宋体" w:cs="宋体"/>
          <w:color w:val="auto"/>
          <w:spacing w:val="5"/>
          <w:highlight w:val="none"/>
        </w:rPr>
        <w:t>B</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级、C</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级、D</w:t>
      </w:r>
      <w:r>
        <w:rPr>
          <w:rFonts w:hint="eastAsia" w:ascii="宋体" w:hAnsi="宋体" w:eastAsia="宋体" w:cs="宋体"/>
          <w:color w:val="auto"/>
          <w:spacing w:val="-57"/>
          <w:highlight w:val="none"/>
        </w:rPr>
        <w:t xml:space="preserve"> </w:t>
      </w:r>
      <w:r>
        <w:rPr>
          <w:rFonts w:hint="eastAsia" w:ascii="宋体" w:hAnsi="宋体" w:eastAsia="宋体" w:cs="宋体"/>
          <w:color w:val="auto"/>
          <w:spacing w:val="5"/>
          <w:highlight w:val="none"/>
        </w:rPr>
        <w:t>级的企业。</w:t>
      </w:r>
    </w:p>
    <w:p w14:paraId="507C7C48">
      <w:pPr>
        <w:pStyle w:val="8"/>
        <w:pageBreakBefore w:val="0"/>
        <w:kinsoku/>
        <w:wordWrap/>
        <w:overflowPunct/>
        <w:bidi w:val="0"/>
        <w:spacing w:before="52" w:line="360" w:lineRule="auto"/>
        <w:ind w:left="6" w:right="2" w:firstLine="638"/>
        <w:rPr>
          <w:rFonts w:hint="eastAsia" w:ascii="宋体" w:hAnsi="宋体" w:eastAsia="宋体" w:cs="宋体"/>
          <w:color w:val="auto"/>
          <w:highlight w:val="none"/>
        </w:rPr>
      </w:pPr>
      <w:r>
        <w:rPr>
          <w:rFonts w:hint="eastAsia" w:ascii="宋体" w:hAnsi="宋体" w:eastAsia="宋体" w:cs="宋体"/>
          <w:color w:val="auto"/>
          <w:spacing w:val="9"/>
          <w:highlight w:val="none"/>
        </w:rPr>
        <w:t>本企业对以上承诺和声明负责。如有虚假，愿接受行政主管</w:t>
      </w:r>
      <w:r>
        <w:rPr>
          <w:rFonts w:hint="eastAsia" w:ascii="宋体" w:hAnsi="宋体" w:eastAsia="宋体" w:cs="宋体"/>
          <w:color w:val="auto"/>
          <w:spacing w:val="8"/>
          <w:highlight w:val="none"/>
        </w:rPr>
        <w:t>部门作出的处罚，并承担以下后果：</w:t>
      </w:r>
    </w:p>
    <w:p w14:paraId="06227EEC">
      <w:pPr>
        <w:pStyle w:val="8"/>
        <w:pageBreakBefore w:val="0"/>
        <w:kinsoku/>
        <w:wordWrap/>
        <w:overflowPunct/>
        <w:bidi w:val="0"/>
        <w:spacing w:before="48" w:line="360" w:lineRule="auto"/>
        <w:ind w:left="656"/>
        <w:rPr>
          <w:rFonts w:hint="eastAsia" w:ascii="宋体" w:hAnsi="宋体" w:eastAsia="宋体" w:cs="宋体"/>
          <w:color w:val="auto"/>
          <w:highlight w:val="none"/>
        </w:rPr>
      </w:pPr>
      <w:r>
        <w:rPr>
          <w:rFonts w:hint="eastAsia" w:ascii="宋体" w:hAnsi="宋体" w:eastAsia="宋体" w:cs="宋体"/>
          <w:color w:val="auto"/>
          <w:spacing w:val="8"/>
          <w:highlight w:val="none"/>
        </w:rPr>
        <w:t>（一）取消本单位在本项目中的投标资格或中标资格；</w:t>
      </w:r>
    </w:p>
    <w:p w14:paraId="3217AACC">
      <w:pPr>
        <w:pStyle w:val="8"/>
        <w:pageBreakBefore w:val="0"/>
        <w:kinsoku/>
        <w:wordWrap/>
        <w:overflowPunct/>
        <w:bidi w:val="0"/>
        <w:spacing w:before="64" w:line="360" w:lineRule="auto"/>
        <w:ind w:left="656"/>
        <w:rPr>
          <w:rFonts w:hint="eastAsia" w:ascii="宋体" w:hAnsi="宋体" w:eastAsia="宋体" w:cs="宋体"/>
          <w:color w:val="auto"/>
          <w:highlight w:val="none"/>
        </w:rPr>
      </w:pPr>
      <w:r>
        <w:rPr>
          <w:rFonts w:hint="eastAsia" w:ascii="宋体" w:hAnsi="宋体" w:eastAsia="宋体" w:cs="宋体"/>
          <w:color w:val="auto"/>
          <w:spacing w:val="8"/>
          <w:highlight w:val="none"/>
        </w:rPr>
        <w:t>（二）将本单位不良行为纳入信用信息管理系统；</w:t>
      </w:r>
    </w:p>
    <w:p w14:paraId="4FD92377">
      <w:pPr>
        <w:pStyle w:val="8"/>
        <w:pageBreakBefore w:val="0"/>
        <w:kinsoku/>
        <w:wordWrap/>
        <w:overflowPunct/>
        <w:bidi w:val="0"/>
        <w:spacing w:before="60" w:line="360" w:lineRule="auto"/>
        <w:ind w:left="41" w:right="2" w:firstLine="615"/>
        <w:rPr>
          <w:rFonts w:hint="eastAsia" w:ascii="宋体" w:hAnsi="宋体" w:eastAsia="宋体" w:cs="宋体"/>
          <w:color w:val="auto"/>
          <w:highlight w:val="none"/>
        </w:rPr>
      </w:pPr>
      <w:r>
        <w:rPr>
          <w:rFonts w:hint="eastAsia" w:ascii="宋体" w:hAnsi="宋体" w:eastAsia="宋体" w:cs="宋体"/>
          <w:color w:val="auto"/>
          <w:spacing w:val="9"/>
          <w:highlight w:val="none"/>
        </w:rPr>
        <w:t>（三）主动在产生不良行为所在的各县（市、区）行</w:t>
      </w:r>
      <w:r>
        <w:rPr>
          <w:rFonts w:hint="eastAsia" w:ascii="宋体" w:hAnsi="宋体" w:eastAsia="宋体" w:cs="宋体"/>
          <w:color w:val="auto"/>
          <w:spacing w:val="8"/>
          <w:highlight w:val="none"/>
        </w:rPr>
        <w:t>政区域</w:t>
      </w:r>
      <w:r>
        <w:rPr>
          <w:rFonts w:hint="eastAsia" w:ascii="宋体" w:hAnsi="宋体" w:eastAsia="宋体" w:cs="宋体"/>
          <w:color w:val="auto"/>
          <w:spacing w:val="6"/>
          <w:highlight w:val="none"/>
        </w:rPr>
        <w:t>内不参加房建市政工程项目的投标活动一年；</w:t>
      </w:r>
    </w:p>
    <w:p w14:paraId="2F7D485E">
      <w:pPr>
        <w:pStyle w:val="8"/>
        <w:pageBreakBefore w:val="0"/>
        <w:kinsoku/>
        <w:wordWrap/>
        <w:overflowPunct/>
        <w:bidi w:val="0"/>
        <w:spacing w:before="60" w:line="360" w:lineRule="auto"/>
        <w:ind w:left="41" w:right="2" w:firstLine="615"/>
        <w:rPr>
          <w:rFonts w:hint="eastAsia" w:ascii="宋体" w:hAnsi="宋体" w:eastAsia="宋体" w:cs="宋体"/>
          <w:color w:val="auto"/>
          <w:spacing w:val="9"/>
          <w:highlight w:val="none"/>
        </w:rPr>
      </w:pPr>
      <w:bookmarkStart w:id="343" w:name="_Toc30964"/>
      <w:r>
        <w:rPr>
          <w:rFonts w:hint="eastAsia" w:ascii="宋体" w:hAnsi="宋体" w:eastAsia="宋体" w:cs="宋体"/>
          <w:color w:val="auto"/>
          <w:spacing w:val="9"/>
          <w:highlight w:val="none"/>
        </w:rPr>
        <w:t>（四）应付的赔偿责任和相应法律责任。</w:t>
      </w:r>
      <w:bookmarkEnd w:id="343"/>
    </w:p>
    <w:p w14:paraId="2719E688">
      <w:pPr>
        <w:pageBreakBefore w:val="0"/>
        <w:kinsoku/>
        <w:wordWrap/>
        <w:overflowPunct/>
        <w:bidi w:val="0"/>
        <w:spacing w:line="360" w:lineRule="auto"/>
        <w:rPr>
          <w:rFonts w:hint="eastAsia" w:ascii="宋体" w:hAnsi="宋体" w:eastAsia="宋体" w:cs="宋体"/>
          <w:color w:val="auto"/>
          <w:sz w:val="21"/>
          <w:highlight w:val="none"/>
        </w:rPr>
      </w:pPr>
    </w:p>
    <w:p w14:paraId="1679D32F">
      <w:pPr>
        <w:pStyle w:val="8"/>
        <w:pageBreakBefore w:val="0"/>
        <w:kinsoku/>
        <w:wordWrap/>
        <w:overflowPunct/>
        <w:bidi w:val="0"/>
        <w:spacing w:before="101" w:line="360" w:lineRule="auto"/>
        <w:ind w:left="845"/>
        <w:rPr>
          <w:rFonts w:hint="eastAsia" w:ascii="宋体" w:hAnsi="宋体" w:eastAsia="宋体" w:cs="宋体"/>
          <w:color w:val="auto"/>
          <w:sz w:val="21"/>
          <w:highlight w:val="none"/>
        </w:rPr>
      </w:pPr>
      <w:r>
        <w:rPr>
          <w:rFonts w:hint="eastAsia" w:ascii="宋体" w:hAnsi="宋体" w:eastAsia="宋体" w:cs="宋体"/>
          <w:color w:val="auto"/>
          <w:spacing w:val="7"/>
          <w:highlight w:val="none"/>
        </w:rPr>
        <w:t>单位名称（公章</w:t>
      </w:r>
      <w:r>
        <w:rPr>
          <w:rFonts w:hint="eastAsia" w:ascii="宋体" w:hAnsi="宋体" w:eastAsia="宋体" w:cs="宋体"/>
          <w:color w:val="auto"/>
          <w:spacing w:val="1"/>
          <w:highlight w:val="none"/>
        </w:rPr>
        <w:t>）：</w:t>
      </w:r>
    </w:p>
    <w:p w14:paraId="4C878D69">
      <w:pPr>
        <w:pStyle w:val="8"/>
        <w:pageBreakBefore w:val="0"/>
        <w:kinsoku/>
        <w:wordWrap/>
        <w:overflowPunct/>
        <w:bidi w:val="0"/>
        <w:spacing w:before="101" w:line="360" w:lineRule="auto"/>
        <w:ind w:left="850"/>
        <w:rPr>
          <w:rFonts w:hint="eastAsia" w:ascii="宋体" w:hAnsi="宋体" w:eastAsia="宋体" w:cs="宋体"/>
          <w:color w:val="auto"/>
          <w:sz w:val="21"/>
          <w:highlight w:val="none"/>
        </w:rPr>
      </w:pPr>
      <w:r>
        <w:rPr>
          <w:rFonts w:hint="eastAsia" w:ascii="宋体" w:hAnsi="宋体" w:eastAsia="宋体" w:cs="宋体"/>
          <w:color w:val="auto"/>
          <w:spacing w:val="6"/>
          <w:highlight w:val="none"/>
        </w:rPr>
        <w:t>统一社会信用代码：</w:t>
      </w:r>
    </w:p>
    <w:p w14:paraId="1AA79C9D">
      <w:pPr>
        <w:pStyle w:val="8"/>
        <w:pageBreakBefore w:val="0"/>
        <w:kinsoku/>
        <w:wordWrap/>
        <w:overflowPunct/>
        <w:bidi w:val="0"/>
        <w:spacing w:before="101" w:line="360" w:lineRule="auto"/>
        <w:ind w:left="844" w:right="5000"/>
        <w:rPr>
          <w:rFonts w:hint="eastAsia" w:ascii="宋体" w:hAnsi="宋体" w:eastAsia="宋体" w:cs="宋体"/>
          <w:color w:val="auto"/>
          <w:highlight w:val="none"/>
        </w:rPr>
      </w:pPr>
      <w:r>
        <w:rPr>
          <w:rFonts w:hint="eastAsia" w:ascii="宋体" w:hAnsi="宋体" w:eastAsia="宋体" w:cs="宋体"/>
          <w:color w:val="auto"/>
          <w:spacing w:val="8"/>
          <w:highlight w:val="none"/>
        </w:rPr>
        <w:t>法定代表人（签字</w:t>
      </w:r>
      <w:r>
        <w:rPr>
          <w:rFonts w:hint="eastAsia" w:ascii="宋体" w:hAnsi="宋体" w:eastAsia="宋体" w:cs="宋体"/>
          <w:color w:val="auto"/>
          <w:spacing w:val="-29"/>
          <w:highlight w:val="none"/>
        </w:rPr>
        <w:t>）：</w:t>
      </w:r>
      <w:r>
        <w:rPr>
          <w:rFonts w:hint="eastAsia" w:ascii="宋体" w:hAnsi="宋体" w:eastAsia="宋体" w:cs="宋体"/>
          <w:color w:val="auto"/>
          <w:highlight w:val="none"/>
        </w:rPr>
        <w:t xml:space="preserve"> </w:t>
      </w:r>
    </w:p>
    <w:p w14:paraId="2E962505">
      <w:pPr>
        <w:pStyle w:val="8"/>
        <w:pageBreakBefore w:val="0"/>
        <w:kinsoku/>
        <w:wordWrap/>
        <w:overflowPunct/>
        <w:bidi w:val="0"/>
        <w:spacing w:before="101" w:line="360" w:lineRule="auto"/>
        <w:ind w:left="844" w:right="5000"/>
        <w:rPr>
          <w:rFonts w:hint="eastAsia" w:ascii="宋体" w:hAnsi="宋体" w:eastAsia="宋体" w:cs="宋体"/>
          <w:color w:val="auto"/>
          <w:spacing w:val="-6"/>
          <w:highlight w:val="none"/>
        </w:rPr>
      </w:pPr>
      <w:r>
        <w:rPr>
          <w:rFonts w:hint="eastAsia" w:ascii="宋体" w:hAnsi="宋体" w:eastAsia="宋体" w:cs="宋体"/>
          <w:color w:val="auto"/>
          <w:spacing w:val="-6"/>
          <w:highlight w:val="none"/>
        </w:rPr>
        <w:t>年</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39"/>
          <w:highlight w:val="none"/>
        </w:rPr>
        <w:t xml:space="preserve">  </w:t>
      </w:r>
      <w:r>
        <w:rPr>
          <w:rFonts w:hint="eastAsia" w:ascii="宋体" w:hAnsi="宋体" w:eastAsia="宋体" w:cs="宋体"/>
          <w:color w:val="auto"/>
          <w:spacing w:val="-6"/>
          <w:highlight w:val="none"/>
        </w:rPr>
        <w:t>日</w:t>
      </w:r>
    </w:p>
    <w:p w14:paraId="01374E41">
      <w:pPr>
        <w:pageBreakBefore w:val="0"/>
        <w:kinsoku/>
        <w:wordWrap/>
        <w:overflowPunct/>
        <w:bidi w:val="0"/>
        <w:rPr>
          <w:rFonts w:hint="eastAsia" w:ascii="宋体" w:hAnsi="宋体" w:eastAsia="宋体" w:cs="宋体"/>
          <w:color w:val="auto"/>
          <w:highlight w:val="none"/>
        </w:rPr>
      </w:pPr>
    </w:p>
    <w:p w14:paraId="5088FFF0">
      <w:pPr>
        <w:pageBreakBefore w:val="0"/>
        <w:kinsoku/>
        <w:wordWrap/>
        <w:overflowPunct/>
        <w:bidi w:val="0"/>
        <w:rPr>
          <w:rFonts w:hint="eastAsia" w:ascii="宋体" w:hAnsi="宋体" w:eastAsia="宋体" w:cs="宋体"/>
          <w:color w:val="auto"/>
          <w:highlight w:val="none"/>
        </w:rPr>
      </w:pPr>
    </w:p>
    <w:p w14:paraId="5EB4D332">
      <w:pPr>
        <w:pageBreakBefore w:val="0"/>
        <w:kinsoku/>
        <w:wordWrap/>
        <w:overflowPunct/>
        <w:bidi w:val="0"/>
        <w:rPr>
          <w:rFonts w:hint="eastAsia" w:ascii="宋体" w:hAnsi="宋体" w:eastAsia="宋体" w:cs="宋体"/>
          <w:color w:val="auto"/>
          <w:highlight w:val="none"/>
        </w:rPr>
      </w:pPr>
    </w:p>
    <w:p w14:paraId="6860374C">
      <w:pPr>
        <w:pageBreakBefore w:val="0"/>
        <w:kinsoku/>
        <w:wordWrap/>
        <w:overflowPunct/>
        <w:bidi w:val="0"/>
        <w:rPr>
          <w:rFonts w:hint="eastAsia" w:ascii="宋体" w:hAnsi="宋体" w:eastAsia="宋体" w:cs="宋体"/>
          <w:color w:val="auto"/>
          <w:highlight w:val="none"/>
        </w:rPr>
      </w:pPr>
    </w:p>
    <w:p w14:paraId="59829509">
      <w:pPr>
        <w:pageBreakBefore w:val="0"/>
        <w:kinsoku/>
        <w:wordWrap/>
        <w:overflowPunct/>
        <w:bidi w:val="0"/>
        <w:rPr>
          <w:rFonts w:hint="eastAsia" w:ascii="宋体" w:hAnsi="宋体" w:eastAsia="宋体" w:cs="宋体"/>
          <w:color w:val="auto"/>
          <w:highlight w:val="none"/>
        </w:rPr>
      </w:pPr>
    </w:p>
    <w:p w14:paraId="218BF21A">
      <w:pPr>
        <w:pageBreakBefore w:val="0"/>
        <w:kinsoku/>
        <w:wordWrap/>
        <w:overflowPunct/>
        <w:bidi w:val="0"/>
        <w:rPr>
          <w:rFonts w:hint="eastAsia" w:ascii="宋体" w:hAnsi="宋体" w:eastAsia="宋体" w:cs="宋体"/>
          <w:color w:val="auto"/>
          <w:highlight w:val="none"/>
        </w:rPr>
      </w:pPr>
    </w:p>
    <w:p w14:paraId="59129C04">
      <w:pPr>
        <w:pageBreakBefore w:val="0"/>
        <w:kinsoku/>
        <w:wordWrap/>
        <w:overflowPunct/>
        <w:bidi w:val="0"/>
        <w:rPr>
          <w:rFonts w:hint="eastAsia" w:ascii="宋体" w:hAnsi="宋体" w:eastAsia="宋体" w:cs="宋体"/>
          <w:color w:val="auto"/>
          <w:highlight w:val="none"/>
        </w:rPr>
      </w:pPr>
    </w:p>
    <w:p w14:paraId="565B7FB3">
      <w:pPr>
        <w:pageBreakBefore w:val="0"/>
        <w:kinsoku/>
        <w:wordWrap/>
        <w:overflowPunct/>
        <w:bidi w:val="0"/>
        <w:rPr>
          <w:rFonts w:hint="eastAsia" w:ascii="宋体" w:hAnsi="宋体" w:eastAsia="宋体" w:cs="宋体"/>
          <w:color w:val="auto"/>
          <w:highlight w:val="none"/>
        </w:rPr>
      </w:pPr>
    </w:p>
    <w:p w14:paraId="236DD346">
      <w:pPr>
        <w:pageBreakBefore w:val="0"/>
        <w:kinsoku/>
        <w:wordWrap/>
        <w:overflowPunct/>
        <w:bidi w:val="0"/>
        <w:rPr>
          <w:rFonts w:hint="eastAsia" w:ascii="宋体" w:hAnsi="宋体" w:eastAsia="宋体" w:cs="宋体"/>
          <w:color w:val="auto"/>
          <w:highlight w:val="none"/>
        </w:rPr>
      </w:pPr>
    </w:p>
    <w:p w14:paraId="1AF2FE0F">
      <w:pPr>
        <w:pageBreakBefore w:val="0"/>
        <w:kinsoku/>
        <w:wordWrap/>
        <w:overflowPunct/>
        <w:bidi w:val="0"/>
        <w:rPr>
          <w:rFonts w:hint="eastAsia" w:ascii="宋体" w:hAnsi="宋体" w:eastAsia="宋体" w:cs="宋体"/>
          <w:color w:val="auto"/>
          <w:highlight w:val="none"/>
        </w:rPr>
      </w:pPr>
    </w:p>
    <w:p w14:paraId="3581ADBE">
      <w:pPr>
        <w:pageBreakBefore w:val="0"/>
        <w:kinsoku/>
        <w:wordWrap/>
        <w:overflowPunct/>
        <w:bidi w:val="0"/>
        <w:rPr>
          <w:rFonts w:hint="eastAsia" w:ascii="宋体" w:hAnsi="宋体" w:eastAsia="宋体" w:cs="宋体"/>
          <w:color w:val="auto"/>
          <w:highlight w:val="none"/>
        </w:rPr>
      </w:pPr>
    </w:p>
    <w:p w14:paraId="60CFB303">
      <w:pPr>
        <w:pageBreakBefore w:val="0"/>
        <w:kinsoku/>
        <w:wordWrap/>
        <w:overflowPunct/>
        <w:bidi w:val="0"/>
        <w:rPr>
          <w:rFonts w:hint="eastAsia" w:ascii="宋体" w:hAnsi="宋体" w:eastAsia="宋体" w:cs="宋体"/>
          <w:color w:val="auto"/>
          <w:highlight w:val="none"/>
        </w:rPr>
      </w:pPr>
    </w:p>
    <w:p w14:paraId="1E8F4E39">
      <w:pPr>
        <w:pageBreakBefore w:val="0"/>
        <w:kinsoku/>
        <w:wordWrap/>
        <w:overflowPunct/>
        <w:bidi w:val="0"/>
        <w:rPr>
          <w:rFonts w:hint="eastAsia" w:ascii="宋体" w:hAnsi="宋体" w:eastAsia="宋体" w:cs="宋体"/>
          <w:color w:val="auto"/>
          <w:highlight w:val="none"/>
        </w:rPr>
      </w:pPr>
    </w:p>
    <w:p w14:paraId="64428F04">
      <w:pPr>
        <w:pageBreakBefore w:val="0"/>
        <w:kinsoku/>
        <w:wordWrap/>
        <w:overflowPunct/>
        <w:bidi w:val="0"/>
        <w:rPr>
          <w:rFonts w:hint="eastAsia" w:ascii="宋体" w:hAnsi="宋体" w:eastAsia="宋体" w:cs="宋体"/>
          <w:color w:val="auto"/>
          <w:highlight w:val="none"/>
        </w:rPr>
      </w:pPr>
    </w:p>
    <w:p w14:paraId="4DF9EF1E">
      <w:pPr>
        <w:pageBreakBefore w:val="0"/>
        <w:kinsoku/>
        <w:wordWrap/>
        <w:overflowPunct/>
        <w:bidi w:val="0"/>
        <w:rPr>
          <w:rFonts w:hint="eastAsia" w:ascii="宋体" w:hAnsi="宋体" w:eastAsia="宋体" w:cs="宋体"/>
          <w:color w:val="auto"/>
          <w:highlight w:val="none"/>
        </w:rPr>
      </w:pPr>
    </w:p>
    <w:p w14:paraId="1AE19DCB">
      <w:pPr>
        <w:pageBreakBefore w:val="0"/>
        <w:kinsoku/>
        <w:wordWrap/>
        <w:overflowPunct/>
        <w:bidi w:val="0"/>
        <w:rPr>
          <w:rFonts w:hint="eastAsia" w:ascii="宋体" w:hAnsi="宋体" w:eastAsia="宋体" w:cs="宋体"/>
          <w:color w:val="auto"/>
          <w:highlight w:val="none"/>
        </w:rPr>
      </w:pPr>
    </w:p>
    <w:p w14:paraId="654C7359">
      <w:pPr>
        <w:pageBreakBefore w:val="0"/>
        <w:kinsoku/>
        <w:wordWrap/>
        <w:overflowPunct/>
        <w:bidi w:val="0"/>
        <w:rPr>
          <w:rFonts w:hint="eastAsia" w:ascii="宋体" w:hAnsi="宋体" w:eastAsia="宋体" w:cs="宋体"/>
          <w:color w:val="auto"/>
          <w:highlight w:val="none"/>
        </w:rPr>
      </w:pPr>
    </w:p>
    <w:p w14:paraId="292F7B78">
      <w:pPr>
        <w:pageBreakBefore w:val="0"/>
        <w:kinsoku/>
        <w:wordWrap/>
        <w:overflowPunct/>
        <w:bidi w:val="0"/>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344" w:name="_Toc4336"/>
      <w:bookmarkStart w:id="345" w:name="_Toc29984"/>
      <w:r>
        <w:rPr>
          <w:rFonts w:hint="eastAsia" w:ascii="宋体" w:hAnsi="宋体" w:eastAsia="宋体" w:cs="宋体"/>
          <w:b/>
          <w:bCs/>
          <w:color w:val="auto"/>
          <w:spacing w:val="-11"/>
          <w:sz w:val="24"/>
          <w:szCs w:val="24"/>
          <w:highlight w:val="none"/>
          <w:lang w:val="en-US" w:eastAsia="zh-CN"/>
        </w:rPr>
        <w:t>格式十五   原件一览表</w:t>
      </w:r>
      <w:bookmarkEnd w:id="334"/>
      <w:bookmarkEnd w:id="344"/>
      <w:bookmarkEnd w:id="345"/>
    </w:p>
    <w:tbl>
      <w:tblPr>
        <w:tblStyle w:val="25"/>
        <w:tblpPr w:leftFromText="180" w:rightFromText="180" w:vertAnchor="text" w:horzAnchor="page" w:tblpX="1285"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80"/>
        <w:gridCol w:w="1598"/>
        <w:gridCol w:w="247"/>
        <w:gridCol w:w="1655"/>
        <w:gridCol w:w="1625"/>
        <w:gridCol w:w="754"/>
        <w:gridCol w:w="958"/>
        <w:gridCol w:w="1698"/>
      </w:tblGrid>
      <w:tr w14:paraId="20BF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615" w:type="dxa"/>
            <w:gridSpan w:val="8"/>
            <w:shd w:val="clear" w:color="000000" w:fill="FFFFFF"/>
            <w:noWrap w:val="0"/>
            <w:tcMar>
              <w:left w:w="108" w:type="dxa"/>
              <w:right w:w="108" w:type="dxa"/>
            </w:tcMar>
            <w:vAlign w:val="center"/>
          </w:tcPr>
          <w:p w14:paraId="1F5E68B5">
            <w:pPr>
              <w:pageBreakBefore w:val="0"/>
              <w:kinsoku/>
              <w:wordWrap/>
              <w:overflowPunct/>
              <w:bidi w:val="0"/>
              <w:spacing w:line="360" w:lineRule="auto"/>
              <w:jc w:val="center"/>
              <w:rPr>
                <w:rFonts w:hint="eastAsia" w:ascii="宋体" w:hAnsi="宋体" w:eastAsia="宋体" w:cs="宋体"/>
                <w:color w:val="auto"/>
                <w:highlight w:val="none"/>
              </w:rPr>
            </w:pPr>
            <w:r>
              <w:rPr>
                <w:rFonts w:hint="eastAsia" w:ascii="宋体" w:hAnsi="宋体" w:eastAsia="宋体" w:cs="宋体"/>
                <w:b/>
                <w:color w:val="auto"/>
                <w:highlight w:val="none"/>
              </w:rPr>
              <w:t>原件一览表</w:t>
            </w:r>
          </w:p>
        </w:tc>
      </w:tr>
      <w:tr w14:paraId="16AE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78" w:type="dxa"/>
            <w:gridSpan w:val="2"/>
            <w:shd w:val="clear" w:color="000000" w:fill="FFFFFF"/>
            <w:noWrap w:val="0"/>
            <w:tcMar>
              <w:left w:w="108" w:type="dxa"/>
              <w:right w:w="108" w:type="dxa"/>
            </w:tcMar>
            <w:vAlign w:val="center"/>
          </w:tcPr>
          <w:p w14:paraId="18F342B7">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p>
        </w:tc>
        <w:tc>
          <w:tcPr>
            <w:tcW w:w="6937" w:type="dxa"/>
            <w:gridSpan w:val="6"/>
            <w:shd w:val="clear" w:color="000000" w:fill="FFFFFF"/>
            <w:noWrap w:val="0"/>
            <w:tcMar>
              <w:left w:w="108" w:type="dxa"/>
              <w:right w:w="108" w:type="dxa"/>
            </w:tcMar>
            <w:vAlign w:val="center"/>
          </w:tcPr>
          <w:p w14:paraId="22905ACF">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tc>
      </w:tr>
      <w:tr w14:paraId="2C43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78" w:type="dxa"/>
            <w:gridSpan w:val="2"/>
            <w:shd w:val="clear" w:color="000000" w:fill="FFFFFF"/>
            <w:noWrap w:val="0"/>
            <w:tcMar>
              <w:left w:w="108" w:type="dxa"/>
              <w:right w:w="108" w:type="dxa"/>
            </w:tcMar>
            <w:vAlign w:val="center"/>
          </w:tcPr>
          <w:p w14:paraId="20050ADD">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                (请务必填写单位全称)</w:t>
            </w:r>
          </w:p>
        </w:tc>
        <w:tc>
          <w:tcPr>
            <w:tcW w:w="6937" w:type="dxa"/>
            <w:gridSpan w:val="6"/>
            <w:shd w:val="clear" w:color="000000" w:fill="FFFFFF"/>
            <w:noWrap w:val="0"/>
            <w:tcMar>
              <w:left w:w="108" w:type="dxa"/>
              <w:right w:w="108" w:type="dxa"/>
            </w:tcMar>
            <w:vAlign w:val="center"/>
          </w:tcPr>
          <w:p w14:paraId="110EB8D7">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2AFD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78" w:type="dxa"/>
            <w:gridSpan w:val="2"/>
            <w:shd w:val="clear" w:color="000000" w:fill="FFFFFF"/>
            <w:noWrap w:val="0"/>
            <w:tcMar>
              <w:left w:w="108" w:type="dxa"/>
              <w:right w:w="108" w:type="dxa"/>
            </w:tcMar>
            <w:vAlign w:val="center"/>
          </w:tcPr>
          <w:p w14:paraId="4E7684AD">
            <w:pPr>
              <w:pageBreakBefore w:val="0"/>
              <w:kinsoku/>
              <w:wordWrap/>
              <w:overflowPunct/>
              <w:bidi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投标人法定代表人或其</w:t>
            </w:r>
          </w:p>
          <w:p w14:paraId="3825BA07">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委托代理人签名</w:t>
            </w:r>
          </w:p>
        </w:tc>
        <w:tc>
          <w:tcPr>
            <w:tcW w:w="3527" w:type="dxa"/>
            <w:gridSpan w:val="3"/>
            <w:shd w:val="clear" w:color="000000" w:fill="FFFFFF"/>
            <w:noWrap w:val="0"/>
            <w:tcMar>
              <w:left w:w="108" w:type="dxa"/>
              <w:right w:w="108" w:type="dxa"/>
            </w:tcMar>
            <w:vAlign w:val="center"/>
          </w:tcPr>
          <w:p w14:paraId="0B9FFC52">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754" w:type="dxa"/>
            <w:shd w:val="clear" w:color="000000" w:fill="FFFFFF"/>
            <w:noWrap w:val="0"/>
            <w:tcMar>
              <w:left w:w="108" w:type="dxa"/>
              <w:right w:w="108" w:type="dxa"/>
            </w:tcMar>
            <w:vAlign w:val="center"/>
          </w:tcPr>
          <w:p w14:paraId="09C1EA23">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手机号码</w:t>
            </w:r>
          </w:p>
        </w:tc>
        <w:tc>
          <w:tcPr>
            <w:tcW w:w="2656" w:type="dxa"/>
            <w:gridSpan w:val="2"/>
            <w:shd w:val="clear" w:color="000000" w:fill="FFFFFF"/>
            <w:noWrap w:val="0"/>
            <w:tcMar>
              <w:left w:w="108" w:type="dxa"/>
              <w:right w:w="108" w:type="dxa"/>
            </w:tcMar>
            <w:vAlign w:val="center"/>
          </w:tcPr>
          <w:p w14:paraId="2492265B">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3731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615" w:type="dxa"/>
            <w:gridSpan w:val="8"/>
            <w:shd w:val="clear" w:color="000000" w:fill="FFFFFF"/>
            <w:noWrap w:val="0"/>
            <w:tcMar>
              <w:left w:w="108" w:type="dxa"/>
              <w:right w:w="108" w:type="dxa"/>
            </w:tcMar>
            <w:vAlign w:val="center"/>
          </w:tcPr>
          <w:p w14:paraId="1C803DF6">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递交的证明材料原件如下：</w:t>
            </w:r>
          </w:p>
        </w:tc>
      </w:tr>
      <w:tr w14:paraId="1F2F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auto" w:fill="FFFFFF"/>
            <w:noWrap w:val="0"/>
            <w:tcMar>
              <w:left w:w="108" w:type="dxa"/>
              <w:right w:w="108" w:type="dxa"/>
            </w:tcMar>
            <w:vAlign w:val="center"/>
          </w:tcPr>
          <w:p w14:paraId="179FC51E">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5125" w:type="dxa"/>
            <w:gridSpan w:val="4"/>
            <w:shd w:val="clear" w:color="auto" w:fill="FFFFFF"/>
            <w:noWrap w:val="0"/>
            <w:tcMar>
              <w:left w:w="108" w:type="dxa"/>
              <w:right w:w="108" w:type="dxa"/>
            </w:tcMar>
            <w:vAlign w:val="center"/>
          </w:tcPr>
          <w:p w14:paraId="55F90331">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证明材料原件名称</w:t>
            </w:r>
          </w:p>
        </w:tc>
        <w:tc>
          <w:tcPr>
            <w:tcW w:w="1712" w:type="dxa"/>
            <w:gridSpan w:val="2"/>
            <w:shd w:val="clear" w:color="auto" w:fill="FFFFFF"/>
            <w:noWrap w:val="0"/>
            <w:tcMar>
              <w:left w:w="108" w:type="dxa"/>
              <w:right w:w="108" w:type="dxa"/>
            </w:tcMar>
            <w:vAlign w:val="center"/>
          </w:tcPr>
          <w:p w14:paraId="419D8088">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698" w:type="dxa"/>
            <w:shd w:val="clear" w:color="auto" w:fill="FFFFFF"/>
            <w:noWrap w:val="0"/>
            <w:tcMar>
              <w:left w:w="108" w:type="dxa"/>
              <w:right w:w="108" w:type="dxa"/>
            </w:tcMar>
            <w:vAlign w:val="center"/>
          </w:tcPr>
          <w:p w14:paraId="6F0681CF">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r>
      <w:tr w14:paraId="7276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2318BD31">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125" w:type="dxa"/>
            <w:gridSpan w:val="4"/>
            <w:shd w:val="clear" w:color="000000" w:fill="FFFFFF"/>
            <w:noWrap w:val="0"/>
            <w:tcMar>
              <w:left w:w="108" w:type="dxa"/>
              <w:right w:w="108" w:type="dxa"/>
            </w:tcMar>
            <w:vAlign w:val="center"/>
          </w:tcPr>
          <w:p w14:paraId="3A1D0CDF">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c>
          <w:tcPr>
            <w:tcW w:w="1712" w:type="dxa"/>
            <w:gridSpan w:val="2"/>
            <w:shd w:val="clear" w:color="000000" w:fill="FFFFFF"/>
            <w:noWrap w:val="0"/>
            <w:tcMar>
              <w:left w:w="108" w:type="dxa"/>
              <w:right w:w="108" w:type="dxa"/>
            </w:tcMar>
            <w:vAlign w:val="center"/>
          </w:tcPr>
          <w:p w14:paraId="7D63B079">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c>
          <w:tcPr>
            <w:tcW w:w="1698" w:type="dxa"/>
            <w:shd w:val="clear" w:color="000000" w:fill="FFFFFF"/>
            <w:noWrap w:val="0"/>
            <w:tcMar>
              <w:left w:w="108" w:type="dxa"/>
              <w:right w:w="108" w:type="dxa"/>
            </w:tcMar>
            <w:vAlign w:val="center"/>
          </w:tcPr>
          <w:p w14:paraId="2C5FBD43">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6E0C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0C62BB99">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125" w:type="dxa"/>
            <w:gridSpan w:val="4"/>
            <w:shd w:val="clear" w:color="000000" w:fill="FFFFFF"/>
            <w:noWrap w:val="0"/>
            <w:tcMar>
              <w:left w:w="108" w:type="dxa"/>
              <w:right w:w="108" w:type="dxa"/>
            </w:tcMar>
            <w:vAlign w:val="center"/>
          </w:tcPr>
          <w:p w14:paraId="40C55F34">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c>
          <w:tcPr>
            <w:tcW w:w="1712" w:type="dxa"/>
            <w:gridSpan w:val="2"/>
            <w:shd w:val="clear" w:color="000000" w:fill="FFFFFF"/>
            <w:noWrap w:val="0"/>
            <w:tcMar>
              <w:left w:w="108" w:type="dxa"/>
              <w:right w:w="108" w:type="dxa"/>
            </w:tcMar>
            <w:vAlign w:val="center"/>
          </w:tcPr>
          <w:p w14:paraId="467917E8">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c>
          <w:tcPr>
            <w:tcW w:w="1698" w:type="dxa"/>
            <w:shd w:val="clear" w:color="000000" w:fill="FFFFFF"/>
            <w:noWrap w:val="0"/>
            <w:tcMar>
              <w:left w:w="108" w:type="dxa"/>
              <w:right w:w="108" w:type="dxa"/>
            </w:tcMar>
            <w:vAlign w:val="center"/>
          </w:tcPr>
          <w:p w14:paraId="2B854666">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r>
      <w:tr w14:paraId="22F0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22C7621D">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125" w:type="dxa"/>
            <w:gridSpan w:val="4"/>
            <w:shd w:val="clear" w:color="000000" w:fill="FFFFFF"/>
            <w:noWrap w:val="0"/>
            <w:tcMar>
              <w:left w:w="108" w:type="dxa"/>
              <w:right w:w="108" w:type="dxa"/>
            </w:tcMar>
            <w:vAlign w:val="center"/>
          </w:tcPr>
          <w:p w14:paraId="1870EB1E">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c>
          <w:tcPr>
            <w:tcW w:w="1712" w:type="dxa"/>
            <w:gridSpan w:val="2"/>
            <w:shd w:val="clear" w:color="000000" w:fill="FFFFFF"/>
            <w:noWrap w:val="0"/>
            <w:tcMar>
              <w:left w:w="108" w:type="dxa"/>
              <w:right w:w="108" w:type="dxa"/>
            </w:tcMar>
            <w:vAlign w:val="center"/>
          </w:tcPr>
          <w:p w14:paraId="0CF1B759">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c>
          <w:tcPr>
            <w:tcW w:w="1698" w:type="dxa"/>
            <w:shd w:val="clear" w:color="000000" w:fill="FFFFFF"/>
            <w:noWrap w:val="0"/>
            <w:tcMar>
              <w:left w:w="108" w:type="dxa"/>
              <w:right w:w="108" w:type="dxa"/>
            </w:tcMar>
            <w:vAlign w:val="center"/>
          </w:tcPr>
          <w:p w14:paraId="3469BE28">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r>
      <w:tr w14:paraId="664D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2C5423B9">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125" w:type="dxa"/>
            <w:gridSpan w:val="4"/>
            <w:shd w:val="clear" w:color="000000" w:fill="FFFFFF"/>
            <w:noWrap w:val="0"/>
            <w:tcMar>
              <w:left w:w="108" w:type="dxa"/>
              <w:right w:w="108" w:type="dxa"/>
            </w:tcMar>
            <w:vAlign w:val="center"/>
          </w:tcPr>
          <w:p w14:paraId="5F8B82ED">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c>
          <w:tcPr>
            <w:tcW w:w="1712" w:type="dxa"/>
            <w:gridSpan w:val="2"/>
            <w:shd w:val="clear" w:color="000000" w:fill="FFFFFF"/>
            <w:noWrap w:val="0"/>
            <w:tcMar>
              <w:left w:w="108" w:type="dxa"/>
              <w:right w:w="108" w:type="dxa"/>
            </w:tcMar>
            <w:vAlign w:val="center"/>
          </w:tcPr>
          <w:p w14:paraId="4B7E6AEF">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c>
          <w:tcPr>
            <w:tcW w:w="1698" w:type="dxa"/>
            <w:shd w:val="clear" w:color="000000" w:fill="FFFFFF"/>
            <w:noWrap w:val="0"/>
            <w:tcMar>
              <w:left w:w="108" w:type="dxa"/>
              <w:right w:w="108" w:type="dxa"/>
            </w:tcMar>
            <w:vAlign w:val="center"/>
          </w:tcPr>
          <w:p w14:paraId="2DC14E33">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1262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1080" w:type="dxa"/>
            <w:shd w:val="clear" w:color="auto" w:fill="FFFFFF"/>
            <w:noWrap w:val="0"/>
            <w:tcMar>
              <w:left w:w="108" w:type="dxa"/>
              <w:right w:w="108" w:type="dxa"/>
            </w:tcMar>
            <w:vAlign w:val="center"/>
          </w:tcPr>
          <w:p w14:paraId="222C4310">
            <w:pPr>
              <w:pageBreakBefore w:val="0"/>
              <w:kinsoku/>
              <w:wordWrap/>
              <w:overflowPunct/>
              <w:bidi w:val="0"/>
              <w:spacing w:line="360" w:lineRule="auto"/>
              <w:ind w:left="8" w:hanging="9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注意：</w:t>
            </w:r>
          </w:p>
        </w:tc>
        <w:tc>
          <w:tcPr>
            <w:tcW w:w="8535" w:type="dxa"/>
            <w:gridSpan w:val="7"/>
            <w:shd w:val="clear" w:color="auto" w:fill="FFFFFF"/>
            <w:noWrap w:val="0"/>
            <w:tcMar>
              <w:left w:w="108" w:type="dxa"/>
              <w:right w:w="108" w:type="dxa"/>
            </w:tcMar>
            <w:vAlign w:val="center"/>
          </w:tcPr>
          <w:p w14:paraId="6FEC3244">
            <w:pPr>
              <w:pageBreakBefore w:val="0"/>
              <w:kinsoku/>
              <w:wordWrap/>
              <w:overflowPunct/>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1FC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925" w:type="dxa"/>
            <w:gridSpan w:val="3"/>
            <w:shd w:val="clear" w:color="000000" w:fill="FFFFFF"/>
            <w:noWrap w:val="0"/>
            <w:tcMar>
              <w:left w:w="108" w:type="dxa"/>
              <w:right w:w="108" w:type="dxa"/>
            </w:tcMar>
            <w:vAlign w:val="center"/>
          </w:tcPr>
          <w:p w14:paraId="03326EDC">
            <w:pPr>
              <w:pageBreakBefore w:val="0"/>
              <w:kinsoku/>
              <w:wordWrap/>
              <w:overflowPunct/>
              <w:bidi w:val="0"/>
              <w:spacing w:line="360" w:lineRule="auto"/>
              <w:jc w:val="center"/>
              <w:rPr>
                <w:rFonts w:hint="eastAsia" w:ascii="宋体" w:hAnsi="宋体" w:eastAsia="宋体" w:cs="宋体"/>
                <w:color w:val="auto"/>
                <w:sz w:val="21"/>
                <w:szCs w:val="21"/>
                <w:highlight w:val="none"/>
              </w:rPr>
            </w:pPr>
          </w:p>
          <w:p w14:paraId="5D7850E3">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接收原件经办人(招标代理)：</w:t>
            </w:r>
          </w:p>
        </w:tc>
        <w:tc>
          <w:tcPr>
            <w:tcW w:w="1655" w:type="dxa"/>
            <w:shd w:val="clear" w:color="000000" w:fill="FFFFFF"/>
            <w:noWrap w:val="0"/>
            <w:tcMar>
              <w:left w:w="108" w:type="dxa"/>
              <w:right w:w="108" w:type="dxa"/>
            </w:tcMar>
            <w:vAlign w:val="center"/>
          </w:tcPr>
          <w:p w14:paraId="04093F2E">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c>
          <w:tcPr>
            <w:tcW w:w="1625" w:type="dxa"/>
            <w:shd w:val="clear" w:color="000000" w:fill="FFFFFF"/>
            <w:noWrap w:val="0"/>
            <w:tcMar>
              <w:left w:w="108" w:type="dxa"/>
              <w:right w:w="108" w:type="dxa"/>
            </w:tcMar>
            <w:vAlign w:val="center"/>
          </w:tcPr>
          <w:p w14:paraId="6D09C819">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接收时间：</w:t>
            </w:r>
          </w:p>
        </w:tc>
        <w:tc>
          <w:tcPr>
            <w:tcW w:w="3410" w:type="dxa"/>
            <w:gridSpan w:val="3"/>
            <w:shd w:val="clear" w:color="000000" w:fill="FFFFFF"/>
            <w:noWrap w:val="0"/>
            <w:tcMar>
              <w:left w:w="108" w:type="dxa"/>
              <w:right w:w="108" w:type="dxa"/>
            </w:tcMar>
            <w:vAlign w:val="center"/>
          </w:tcPr>
          <w:p w14:paraId="328608F6">
            <w:pPr>
              <w:pageBreakBefore w:val="0"/>
              <w:kinsoku/>
              <w:wordWrap/>
              <w:overflowPunct/>
              <w:bidi w:val="0"/>
              <w:spacing w:line="360" w:lineRule="auto"/>
              <w:ind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   时  分</w:t>
            </w:r>
          </w:p>
        </w:tc>
      </w:tr>
      <w:tr w14:paraId="42FF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925" w:type="dxa"/>
            <w:gridSpan w:val="3"/>
            <w:shd w:val="clear" w:color="000000" w:fill="FFFFFF"/>
            <w:noWrap w:val="0"/>
            <w:tcMar>
              <w:left w:w="108" w:type="dxa"/>
              <w:right w:w="108" w:type="dxa"/>
            </w:tcMar>
            <w:vAlign w:val="center"/>
          </w:tcPr>
          <w:p w14:paraId="33E1DEA2">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退还原件接收人(投标人)：</w:t>
            </w:r>
          </w:p>
        </w:tc>
        <w:tc>
          <w:tcPr>
            <w:tcW w:w="1655" w:type="dxa"/>
            <w:shd w:val="clear" w:color="000000" w:fill="FFFFFF"/>
            <w:noWrap w:val="0"/>
            <w:tcMar>
              <w:left w:w="108" w:type="dxa"/>
              <w:right w:w="108" w:type="dxa"/>
            </w:tcMar>
            <w:vAlign w:val="center"/>
          </w:tcPr>
          <w:p w14:paraId="55B339A2">
            <w:pPr>
              <w:pageBreakBefore w:val="0"/>
              <w:kinsoku/>
              <w:wordWrap/>
              <w:overflowPunct/>
              <w:bidi w:val="0"/>
              <w:spacing w:line="360" w:lineRule="auto"/>
              <w:jc w:val="center"/>
              <w:rPr>
                <w:rFonts w:hint="eastAsia" w:ascii="宋体" w:hAnsi="宋体" w:eastAsia="宋体" w:cs="宋体"/>
                <w:color w:val="auto"/>
                <w:sz w:val="21"/>
                <w:szCs w:val="21"/>
                <w:highlight w:val="none"/>
              </w:rPr>
            </w:pPr>
          </w:p>
        </w:tc>
        <w:tc>
          <w:tcPr>
            <w:tcW w:w="1625" w:type="dxa"/>
            <w:shd w:val="clear" w:color="000000" w:fill="FFFFFF"/>
            <w:noWrap w:val="0"/>
            <w:tcMar>
              <w:left w:w="108" w:type="dxa"/>
              <w:right w:w="108" w:type="dxa"/>
            </w:tcMar>
            <w:vAlign w:val="center"/>
          </w:tcPr>
          <w:p w14:paraId="3A803726">
            <w:pPr>
              <w:pageBreakBefore w:val="0"/>
              <w:kinsoku/>
              <w:wordWrap/>
              <w:overflowPunct/>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退还时间：</w:t>
            </w:r>
          </w:p>
        </w:tc>
        <w:tc>
          <w:tcPr>
            <w:tcW w:w="3410" w:type="dxa"/>
            <w:gridSpan w:val="3"/>
            <w:shd w:val="clear" w:color="000000" w:fill="FFFFFF"/>
            <w:noWrap w:val="0"/>
            <w:tcMar>
              <w:left w:w="108" w:type="dxa"/>
              <w:right w:w="108" w:type="dxa"/>
            </w:tcMar>
            <w:vAlign w:val="center"/>
          </w:tcPr>
          <w:p w14:paraId="4FBE05ED">
            <w:pPr>
              <w:pageBreakBefore w:val="0"/>
              <w:kinsoku/>
              <w:wordWrap/>
              <w:overflowPunct/>
              <w:bidi w:val="0"/>
              <w:spacing w:line="360" w:lineRule="auto"/>
              <w:ind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   时   分</w:t>
            </w:r>
          </w:p>
        </w:tc>
      </w:tr>
    </w:tbl>
    <w:p w14:paraId="22DF0E64">
      <w:pPr>
        <w:pageBreakBefore w:val="0"/>
        <w:kinsoku/>
        <w:wordWrap/>
        <w:overflowPunct/>
        <w:bidi w:val="0"/>
        <w:spacing w:line="360" w:lineRule="auto"/>
        <w:contextualSpacing/>
        <w:jc w:val="left"/>
        <w:rPr>
          <w:rFonts w:hint="eastAsia" w:ascii="宋体" w:hAnsi="宋体" w:eastAsia="宋体" w:cs="宋体"/>
          <w:color w:val="auto"/>
          <w:highlight w:val="none"/>
        </w:rPr>
      </w:pPr>
    </w:p>
    <w:p w14:paraId="4512EC5E">
      <w:pPr>
        <w:pageBreakBefore w:val="0"/>
        <w:kinsoku/>
        <w:wordWrap/>
        <w:overflowPunct/>
        <w:bidi w:val="0"/>
        <w:rPr>
          <w:rFonts w:hint="eastAsia" w:ascii="宋体" w:hAnsi="宋体" w:eastAsia="宋体" w:cs="宋体"/>
          <w:color w:val="auto"/>
          <w:highlight w:val="none"/>
        </w:rPr>
      </w:pPr>
    </w:p>
    <w:p w14:paraId="7590B877">
      <w:pPr>
        <w:pageBreakBefore w:val="0"/>
        <w:kinsoku/>
        <w:wordWrap/>
        <w:overflowPunct/>
        <w:bidi w:val="0"/>
        <w:rPr>
          <w:rFonts w:hint="eastAsia" w:ascii="宋体" w:hAnsi="宋体" w:eastAsia="宋体" w:cs="宋体"/>
          <w:color w:val="auto"/>
          <w:highlight w:val="none"/>
        </w:rPr>
      </w:pPr>
    </w:p>
    <w:p w14:paraId="7A69F993">
      <w:pPr>
        <w:pageBreakBefore w:val="0"/>
        <w:kinsoku/>
        <w:wordWrap/>
        <w:overflowPunct/>
        <w:bidi w:val="0"/>
        <w:rPr>
          <w:rFonts w:hint="eastAsia" w:ascii="宋体" w:hAnsi="宋体" w:eastAsia="宋体" w:cs="宋体"/>
          <w:color w:val="auto"/>
          <w:highlight w:val="none"/>
        </w:rPr>
      </w:pPr>
    </w:p>
    <w:p w14:paraId="7EE4E867">
      <w:pPr>
        <w:pageBreakBefore w:val="0"/>
        <w:kinsoku/>
        <w:wordWrap/>
        <w:overflowPunct/>
        <w:bidi w:val="0"/>
        <w:rPr>
          <w:rFonts w:hint="eastAsia" w:ascii="宋体" w:hAnsi="宋体" w:eastAsia="宋体" w:cs="宋体"/>
          <w:color w:val="auto"/>
          <w:highlight w:val="none"/>
        </w:rPr>
      </w:pPr>
    </w:p>
    <w:p w14:paraId="07574570">
      <w:pPr>
        <w:pageBreakBefore w:val="0"/>
        <w:kinsoku/>
        <w:wordWrap/>
        <w:overflowPunct/>
        <w:bidi w:val="0"/>
        <w:rPr>
          <w:rFonts w:hint="eastAsia" w:ascii="宋体" w:hAnsi="宋体" w:eastAsia="宋体" w:cs="宋体"/>
          <w:color w:val="auto"/>
          <w:highlight w:val="none"/>
        </w:rPr>
      </w:pPr>
    </w:p>
    <w:p w14:paraId="0C4FB503">
      <w:pPr>
        <w:pageBreakBefore w:val="0"/>
        <w:kinsoku/>
        <w:wordWrap/>
        <w:overflowPunct/>
        <w:bidi w:val="0"/>
        <w:rPr>
          <w:rFonts w:hint="eastAsia" w:ascii="宋体" w:hAnsi="宋体" w:eastAsia="宋体" w:cs="宋体"/>
          <w:color w:val="auto"/>
          <w:highlight w:val="none"/>
        </w:rPr>
      </w:pPr>
    </w:p>
    <w:p w14:paraId="0CD18182">
      <w:pPr>
        <w:pageBreakBefore w:val="0"/>
        <w:kinsoku/>
        <w:wordWrap/>
        <w:overflowPunct/>
        <w:bidi w:val="0"/>
        <w:rPr>
          <w:rFonts w:hint="eastAsia" w:ascii="宋体" w:hAnsi="宋体" w:eastAsia="宋体" w:cs="宋体"/>
          <w:color w:val="auto"/>
          <w:highlight w:val="none"/>
        </w:rPr>
      </w:pPr>
    </w:p>
    <w:p w14:paraId="2A265FDA">
      <w:pPr>
        <w:pageBreakBefore w:val="0"/>
        <w:kinsoku/>
        <w:wordWrap/>
        <w:overflowPunct/>
        <w:bidi w:val="0"/>
        <w:rPr>
          <w:rFonts w:hint="eastAsia" w:ascii="宋体" w:hAnsi="宋体" w:eastAsia="宋体" w:cs="宋体"/>
          <w:color w:val="auto"/>
          <w:highlight w:val="none"/>
        </w:rPr>
      </w:pPr>
    </w:p>
    <w:bookmarkEnd w:id="291"/>
    <w:bookmarkEnd w:id="292"/>
    <w:p w14:paraId="551B1C1D">
      <w:pPr>
        <w:pStyle w:val="2"/>
        <w:pageBreakBefore w:val="0"/>
        <w:kinsoku/>
        <w:wordWrap/>
        <w:overflowPunct/>
        <w:autoSpaceDE/>
        <w:autoSpaceDN/>
        <w:bidi w:val="0"/>
        <w:snapToGrid w:val="0"/>
        <w:spacing w:line="360" w:lineRule="auto"/>
        <w:jc w:val="center"/>
        <w:rPr>
          <w:rFonts w:hint="eastAsia" w:ascii="宋体" w:hAnsi="宋体" w:eastAsia="宋体" w:cs="宋体"/>
          <w:snapToGrid w:val="0"/>
          <w:color w:val="auto"/>
          <w:kern w:val="0"/>
          <w:highlight w:val="none"/>
        </w:rPr>
      </w:pPr>
      <w:bookmarkStart w:id="346" w:name="_附件十六：措施项目清单计价表"/>
      <w:bookmarkEnd w:id="346"/>
      <w:bookmarkStart w:id="347" w:name="_Hlt87793582"/>
      <w:bookmarkEnd w:id="347"/>
      <w:bookmarkStart w:id="348" w:name="_附件二十一：土建工程、电气工程、给排水工程工程清单项目费汇总表"/>
      <w:bookmarkEnd w:id="348"/>
      <w:bookmarkStart w:id="349" w:name="_Hlt87783244"/>
      <w:bookmarkEnd w:id="349"/>
      <w:bookmarkStart w:id="350" w:name="_Toc132687128"/>
      <w:bookmarkStart w:id="351" w:name="_Toc13722"/>
      <w:bookmarkStart w:id="352" w:name="_Toc133160683"/>
      <w:bookmarkStart w:id="353" w:name="_Toc11550"/>
      <w:bookmarkStart w:id="354" w:name="_Toc137444778"/>
      <w:bookmarkStart w:id="355" w:name="_Toc142468134"/>
      <w:bookmarkStart w:id="356" w:name="_Toc1967"/>
      <w:bookmarkStart w:id="357" w:name="_Toc133815902"/>
      <w:bookmarkStart w:id="358" w:name="_Toc78794873"/>
      <w:r>
        <w:rPr>
          <w:rFonts w:hint="eastAsia" w:ascii="宋体" w:hAnsi="宋体" w:eastAsia="宋体" w:cs="宋体"/>
          <w:b/>
          <w:snapToGrid w:val="0"/>
          <w:color w:val="auto"/>
          <w:sz w:val="24"/>
          <w:highlight w:val="none"/>
        </w:rPr>
        <w:t>第七章</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建设工程施工合同</w:t>
      </w:r>
      <w:bookmarkEnd w:id="350"/>
      <w:bookmarkEnd w:id="351"/>
      <w:bookmarkEnd w:id="352"/>
      <w:bookmarkEnd w:id="353"/>
      <w:bookmarkEnd w:id="354"/>
      <w:bookmarkEnd w:id="355"/>
      <w:bookmarkEnd w:id="356"/>
    </w:p>
    <w:p w14:paraId="7DA73BEC">
      <w:pPr>
        <w:pageBreakBefore w:val="0"/>
        <w:kinsoku/>
        <w:wordWrap/>
        <w:overflowPunct/>
        <w:bidi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（略），</w:t>
      </w:r>
      <w:bookmarkEnd w:id="357"/>
      <w:bookmarkEnd w:id="358"/>
      <w:r>
        <w:rPr>
          <w:rFonts w:hint="eastAsia" w:ascii="宋体" w:hAnsi="宋体" w:eastAsia="宋体" w:cs="宋体"/>
          <w:snapToGrid w:val="0"/>
          <w:color w:val="auto"/>
          <w:kern w:val="0"/>
          <w:highlight w:val="none"/>
        </w:rPr>
        <w:t>按《广东省建设工程标准施工合同》（2009年版）或《建设工程施工合同（示范文本）》（GF—2017—0201）执行。</w:t>
      </w:r>
    </w:p>
    <w:p w14:paraId="7A471E72">
      <w:pPr>
        <w:pageBreakBefore w:val="0"/>
        <w:kinsoku/>
        <w:wordWrap/>
        <w:overflowPunct/>
        <w:bidi w:val="0"/>
        <w:spacing w:before="78" w:line="360" w:lineRule="auto"/>
        <w:ind w:firstLine="480"/>
        <w:rPr>
          <w:rFonts w:hint="eastAsia" w:ascii="宋体" w:hAnsi="宋体" w:eastAsia="宋体" w:cs="宋体"/>
          <w:color w:val="auto"/>
          <w:sz w:val="24"/>
          <w:szCs w:val="24"/>
          <w:highlight w:val="none"/>
        </w:rPr>
      </w:pPr>
    </w:p>
    <w:sectPr>
      <w:footerReference r:id="rId5" w:type="default"/>
      <w:pgSz w:w="11906" w:h="16839"/>
      <w:pgMar w:top="1134" w:right="1134" w:bottom="1134" w:left="1134" w:header="850" w:footer="850" w:gutter="0"/>
      <w:pgBorders>
        <w:top w:val="none" w:sz="0" w:space="0"/>
        <w:left w:val="none" w:sz="0" w:space="0"/>
        <w:bottom w:val="none" w:sz="0" w:space="0"/>
        <w:right w:val="none" w:sz="0" w:space="0"/>
      </w:pgBorders>
      <w:pgNumType w:fmt="decimal" w:start="1"/>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A8792">
    <w:pPr>
      <w:pStyle w:val="17"/>
      <w:pBdr>
        <w:between w:val="none" w:color="auto" w:sz="0" w:space="0"/>
      </w:pBdr>
      <w:rPr>
        <w:rFonts w:hint="eastAsia"/>
      </w:rPr>
    </w:pPr>
  </w:p>
  <w:p w14:paraId="5E7CAEC2">
    <w:pPr>
      <w:pStyle w:val="17"/>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9C086">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D21ABA">
                          <w:pPr>
                            <w:pStyle w:val="17"/>
                          </w:pPr>
                          <w:r>
                            <w:fldChar w:fldCharType="begin"/>
                          </w:r>
                          <w:r>
                            <w:instrText xml:space="preserve"> PAGE  \* MERGEFORMAT </w:instrText>
                          </w:r>
                          <w:r>
                            <w:fldChar w:fldCharType="separate"/>
                          </w:r>
                          <w:r>
                            <w:t>102</w:t>
                          </w:r>
                          <w:r>
                            <w:fldChar w:fldCharType="end"/>
                          </w:r>
                        </w:p>
                      </w:txbxContent>
                    </wps:txbx>
                    <wps:bodyPr vert="horz" wrap="none" lIns="0" tIns="0" rIns="0" bIns="0" anchor="t" anchorCtr="0" upright="0">
                      <a:spAutoFit/>
                    </wps:bodyPr>
                  </wps:wsp>
                </a:graphicData>
              </a:graphic>
            </wp:anchor>
          </w:drawing>
        </mc:Choice>
        <mc:Fallback>
          <w:pict>
            <v:shape id="文本框 8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CWDBN8BAADAAwAADgAAAGRycy9lMm9Eb2MueG1srVPBjtMwEL0j8Q+W&#10;7zTZCqES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BNecuaEpYmff3w///x9/vWN&#10;rZ4ngXqPFeXdesqMw2sYKHn2IzkT76ENNv2JEaM4yXu6yKuGyGS6tFquViWFJMXmA+EX99d9wPhW&#10;gWXJqHmg+WVZxfE9xjF1TknVHNxoY/IMjfvLQZjJU6Texx6TFYfdMBHaQXMiPvQQqE4H4StnPa1B&#10;zR1tPWfmnSOV08bMRpiN3WwIJ+lizSNno/kmjpt18EHvu7xrqSn0rw6ROs0EUhtj7ak7GmyWYFrC&#10;tDl/nnPW/cPb3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HCWDBN8BAADAAwAADgAAAAAA&#10;AAABACAAAAAeAQAAZHJzL2Uyb0RvYy54bWxQSwUGAAAAAAYABgBZAQAAbwUAAAAA&#10;">
              <v:fill on="f" focussize="0,0"/>
              <v:stroke on="f"/>
              <v:imagedata o:title=""/>
              <o:lock v:ext="edit" aspectratio="f"/>
              <v:textbox inset="0mm,0mm,0mm,0mm" style="mso-fit-shape-to-text:t;">
                <w:txbxContent>
                  <w:p w14:paraId="0ED21ABA">
                    <w:pPr>
                      <w:pStyle w:val="17"/>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2DB66">
    <w:pPr>
      <w:pStyle w:val="8"/>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897CB"/>
    <w:multiLevelType w:val="singleLevel"/>
    <w:tmpl w:val="817897CB"/>
    <w:lvl w:ilvl="0" w:tentative="0">
      <w:start w:val="1"/>
      <w:numFmt w:val="decimal"/>
      <w:suff w:val="nothing"/>
      <w:lvlText w:val="（%1）"/>
      <w:lvlJc w:val="left"/>
    </w:lvl>
  </w:abstractNum>
  <w:abstractNum w:abstractNumId="1">
    <w:nsid w:val="E6C9BDCA"/>
    <w:multiLevelType w:val="singleLevel"/>
    <w:tmpl w:val="E6C9BDCA"/>
    <w:lvl w:ilvl="0" w:tentative="0">
      <w:start w:val="1"/>
      <w:numFmt w:val="decimal"/>
      <w:suff w:val="nothing"/>
      <w:lvlText w:val="（%1）"/>
      <w:lvlJc w:val="left"/>
    </w:lvl>
  </w:abstractNum>
  <w:abstractNum w:abstractNumId="2">
    <w:nsid w:val="193268E1"/>
    <w:multiLevelType w:val="singleLevel"/>
    <w:tmpl w:val="193268E1"/>
    <w:lvl w:ilvl="0" w:tentative="0">
      <w:start w:val="4"/>
      <w:numFmt w:val="decimal"/>
      <w:suff w:val="nothing"/>
      <w:lvlText w:val="（%1）"/>
      <w:lvlJc w:val="left"/>
    </w:lvl>
  </w:abstractNum>
  <w:abstractNum w:abstractNumId="3">
    <w:nsid w:val="1A65F792"/>
    <w:multiLevelType w:val="singleLevel"/>
    <w:tmpl w:val="1A65F792"/>
    <w:lvl w:ilvl="0" w:tentative="0">
      <w:start w:val="1"/>
      <w:numFmt w:val="decimal"/>
      <w:suff w:val="nothing"/>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500"/>
  <w:hyphenationZone w:val="360"/>
  <w:displayHorizontalDrawingGridEvery w:val="1"/>
  <w:displayVerticalDrawingGridEvery w:val="1"/>
  <w:noPunctuationKerning w:val="1"/>
  <w:characterSpacingControl w:val="doNotCompress"/>
  <w:hdrShapeDefaults>
    <o:shapelayout v:ext="edit">
      <o:idmap v:ext="edit" data="2"/>
    </o:shapelayout>
  </w:hdrShapeDefaults>
  <w:endnotePr>
    <w:numFmt w:val="decimal"/>
  </w:endnotePr>
  <w:compat>
    <w:spaceForUL/>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3MGIxMTBiNDNjZjYzNDdjYzI5YTAwYjZmMGE0NTMifQ=="/>
    <w:docVar w:name="KSO_WPS_MARK_KEY" w:val="6f1ed6e0-1a31-40b8-b5e7-63682a01dd85"/>
  </w:docVars>
  <w:rsids>
    <w:rsidRoot w:val="00D93B1F"/>
    <w:rsid w:val="002271DC"/>
    <w:rsid w:val="00375761"/>
    <w:rsid w:val="0061778C"/>
    <w:rsid w:val="007902EC"/>
    <w:rsid w:val="008145AB"/>
    <w:rsid w:val="00A47D6E"/>
    <w:rsid w:val="00A566D5"/>
    <w:rsid w:val="00A81A6F"/>
    <w:rsid w:val="00B311AF"/>
    <w:rsid w:val="00D93B1F"/>
    <w:rsid w:val="00DD4CCE"/>
    <w:rsid w:val="00E365EF"/>
    <w:rsid w:val="014D560B"/>
    <w:rsid w:val="01EC3E90"/>
    <w:rsid w:val="024149A6"/>
    <w:rsid w:val="024A3A67"/>
    <w:rsid w:val="026B3007"/>
    <w:rsid w:val="02D23086"/>
    <w:rsid w:val="031B2C7F"/>
    <w:rsid w:val="032A4C70"/>
    <w:rsid w:val="03695DE7"/>
    <w:rsid w:val="038325D2"/>
    <w:rsid w:val="03A367D0"/>
    <w:rsid w:val="03B94246"/>
    <w:rsid w:val="03EC0177"/>
    <w:rsid w:val="04182A85"/>
    <w:rsid w:val="0462389C"/>
    <w:rsid w:val="048C3708"/>
    <w:rsid w:val="049E7782"/>
    <w:rsid w:val="04D01847"/>
    <w:rsid w:val="04E43544"/>
    <w:rsid w:val="05023882"/>
    <w:rsid w:val="053D5C48"/>
    <w:rsid w:val="057C377D"/>
    <w:rsid w:val="057E0DE3"/>
    <w:rsid w:val="058549D8"/>
    <w:rsid w:val="05DC138F"/>
    <w:rsid w:val="060F1B65"/>
    <w:rsid w:val="068A2A69"/>
    <w:rsid w:val="069112A4"/>
    <w:rsid w:val="06C1202B"/>
    <w:rsid w:val="082B68AC"/>
    <w:rsid w:val="08580653"/>
    <w:rsid w:val="087A0447"/>
    <w:rsid w:val="08897E49"/>
    <w:rsid w:val="08BA0844"/>
    <w:rsid w:val="08BE3DCE"/>
    <w:rsid w:val="097F6AA4"/>
    <w:rsid w:val="09AA087D"/>
    <w:rsid w:val="09C86F91"/>
    <w:rsid w:val="0A2166A1"/>
    <w:rsid w:val="0A4A5BF8"/>
    <w:rsid w:val="0A9B6453"/>
    <w:rsid w:val="0AA51080"/>
    <w:rsid w:val="0B0A655D"/>
    <w:rsid w:val="0B1F549C"/>
    <w:rsid w:val="0B293A5F"/>
    <w:rsid w:val="0B3348DE"/>
    <w:rsid w:val="0B941820"/>
    <w:rsid w:val="0BDB654C"/>
    <w:rsid w:val="0C851169"/>
    <w:rsid w:val="0C8A1D9B"/>
    <w:rsid w:val="0CA1581F"/>
    <w:rsid w:val="0CDB6FDB"/>
    <w:rsid w:val="0D2546FA"/>
    <w:rsid w:val="0D474670"/>
    <w:rsid w:val="0D643474"/>
    <w:rsid w:val="0D7F57E0"/>
    <w:rsid w:val="0D9A5BFA"/>
    <w:rsid w:val="0DB241E0"/>
    <w:rsid w:val="0DBF556A"/>
    <w:rsid w:val="0E4A08BC"/>
    <w:rsid w:val="0E576B35"/>
    <w:rsid w:val="0EA0228A"/>
    <w:rsid w:val="0ED12D6A"/>
    <w:rsid w:val="0EF27F68"/>
    <w:rsid w:val="0F0806AD"/>
    <w:rsid w:val="0F0E2D86"/>
    <w:rsid w:val="0F987405"/>
    <w:rsid w:val="10091ED2"/>
    <w:rsid w:val="100F3B6B"/>
    <w:rsid w:val="10152804"/>
    <w:rsid w:val="105C0433"/>
    <w:rsid w:val="10675D77"/>
    <w:rsid w:val="109936C0"/>
    <w:rsid w:val="10C36704"/>
    <w:rsid w:val="11D24E50"/>
    <w:rsid w:val="12445622"/>
    <w:rsid w:val="12940347"/>
    <w:rsid w:val="12CD5618"/>
    <w:rsid w:val="12D270D2"/>
    <w:rsid w:val="12EA61CA"/>
    <w:rsid w:val="132959D5"/>
    <w:rsid w:val="132E3428"/>
    <w:rsid w:val="137912FC"/>
    <w:rsid w:val="13864617"/>
    <w:rsid w:val="14522A66"/>
    <w:rsid w:val="14D64C58"/>
    <w:rsid w:val="14FC5A9D"/>
    <w:rsid w:val="15033573"/>
    <w:rsid w:val="154E1149"/>
    <w:rsid w:val="157103D5"/>
    <w:rsid w:val="15712BD2"/>
    <w:rsid w:val="15881947"/>
    <w:rsid w:val="15B71F81"/>
    <w:rsid w:val="160D2073"/>
    <w:rsid w:val="162A4334"/>
    <w:rsid w:val="16646293"/>
    <w:rsid w:val="16951380"/>
    <w:rsid w:val="169A1CB5"/>
    <w:rsid w:val="17012438"/>
    <w:rsid w:val="17044DC6"/>
    <w:rsid w:val="1715307F"/>
    <w:rsid w:val="17422EB4"/>
    <w:rsid w:val="175B58E8"/>
    <w:rsid w:val="178564C1"/>
    <w:rsid w:val="17B46DA6"/>
    <w:rsid w:val="17E94CA2"/>
    <w:rsid w:val="183B5119"/>
    <w:rsid w:val="186D58D3"/>
    <w:rsid w:val="19067AD5"/>
    <w:rsid w:val="19143FA0"/>
    <w:rsid w:val="19636CD6"/>
    <w:rsid w:val="19A327C1"/>
    <w:rsid w:val="19BA3209"/>
    <w:rsid w:val="1AF84A59"/>
    <w:rsid w:val="1B1B5C83"/>
    <w:rsid w:val="1B3A75C2"/>
    <w:rsid w:val="1B520060"/>
    <w:rsid w:val="1B730995"/>
    <w:rsid w:val="1BB83309"/>
    <w:rsid w:val="1BC872C4"/>
    <w:rsid w:val="1C0227D6"/>
    <w:rsid w:val="1C202C5C"/>
    <w:rsid w:val="1C424981"/>
    <w:rsid w:val="1C556DAA"/>
    <w:rsid w:val="1CF0262F"/>
    <w:rsid w:val="1D962329"/>
    <w:rsid w:val="1E162BB9"/>
    <w:rsid w:val="1E2A7432"/>
    <w:rsid w:val="1E480248"/>
    <w:rsid w:val="1EB53B30"/>
    <w:rsid w:val="1EC75611"/>
    <w:rsid w:val="1FED554B"/>
    <w:rsid w:val="20060769"/>
    <w:rsid w:val="203942EC"/>
    <w:rsid w:val="20665917"/>
    <w:rsid w:val="20895274"/>
    <w:rsid w:val="210802D8"/>
    <w:rsid w:val="212E3725"/>
    <w:rsid w:val="21315CC2"/>
    <w:rsid w:val="214C004F"/>
    <w:rsid w:val="21BC6555"/>
    <w:rsid w:val="21E12E8E"/>
    <w:rsid w:val="23113827"/>
    <w:rsid w:val="2318643B"/>
    <w:rsid w:val="233D2346"/>
    <w:rsid w:val="23E9602A"/>
    <w:rsid w:val="240259E5"/>
    <w:rsid w:val="24B95358"/>
    <w:rsid w:val="257D5945"/>
    <w:rsid w:val="25CD5C03"/>
    <w:rsid w:val="25E22D30"/>
    <w:rsid w:val="25EF3DCB"/>
    <w:rsid w:val="26303AC6"/>
    <w:rsid w:val="26F57B3D"/>
    <w:rsid w:val="273D7D4C"/>
    <w:rsid w:val="27EE3C0E"/>
    <w:rsid w:val="27FC7AB5"/>
    <w:rsid w:val="281318C7"/>
    <w:rsid w:val="28136333"/>
    <w:rsid w:val="28BB5EEC"/>
    <w:rsid w:val="28E079FB"/>
    <w:rsid w:val="290D6316"/>
    <w:rsid w:val="29383653"/>
    <w:rsid w:val="294E1145"/>
    <w:rsid w:val="298B2C60"/>
    <w:rsid w:val="298D5819"/>
    <w:rsid w:val="29957EB6"/>
    <w:rsid w:val="2A170EE6"/>
    <w:rsid w:val="2A591288"/>
    <w:rsid w:val="2AA35349"/>
    <w:rsid w:val="2B2C33CC"/>
    <w:rsid w:val="2B3E6C5B"/>
    <w:rsid w:val="2B6F5066"/>
    <w:rsid w:val="2B7946DC"/>
    <w:rsid w:val="2BD6464A"/>
    <w:rsid w:val="2C0A2FCF"/>
    <w:rsid w:val="2C136339"/>
    <w:rsid w:val="2C1C51EE"/>
    <w:rsid w:val="2C6170A5"/>
    <w:rsid w:val="2C7D05EC"/>
    <w:rsid w:val="2CB847EB"/>
    <w:rsid w:val="2CC71519"/>
    <w:rsid w:val="2CE86152"/>
    <w:rsid w:val="2DB651CE"/>
    <w:rsid w:val="2DD1025A"/>
    <w:rsid w:val="2DE60A9D"/>
    <w:rsid w:val="2E0C1292"/>
    <w:rsid w:val="2E521472"/>
    <w:rsid w:val="2E7E14C9"/>
    <w:rsid w:val="2ED718A0"/>
    <w:rsid w:val="2EEB0EA8"/>
    <w:rsid w:val="2EF20488"/>
    <w:rsid w:val="2F5B695D"/>
    <w:rsid w:val="30120709"/>
    <w:rsid w:val="306C7DC6"/>
    <w:rsid w:val="30800BE7"/>
    <w:rsid w:val="31321EF5"/>
    <w:rsid w:val="31C92A87"/>
    <w:rsid w:val="31F33790"/>
    <w:rsid w:val="32370010"/>
    <w:rsid w:val="32A55E11"/>
    <w:rsid w:val="32B617CD"/>
    <w:rsid w:val="32C11E7A"/>
    <w:rsid w:val="32FA790B"/>
    <w:rsid w:val="333A41AC"/>
    <w:rsid w:val="33A45AC9"/>
    <w:rsid w:val="33D938EC"/>
    <w:rsid w:val="341704E1"/>
    <w:rsid w:val="345C4EFC"/>
    <w:rsid w:val="34767465"/>
    <w:rsid w:val="34B00BC9"/>
    <w:rsid w:val="35243365"/>
    <w:rsid w:val="3525070E"/>
    <w:rsid w:val="35444468"/>
    <w:rsid w:val="354971CF"/>
    <w:rsid w:val="359C2EFC"/>
    <w:rsid w:val="35B51CDA"/>
    <w:rsid w:val="35C323CB"/>
    <w:rsid w:val="35DB7EC8"/>
    <w:rsid w:val="35ED7DC5"/>
    <w:rsid w:val="36421CF5"/>
    <w:rsid w:val="36716471"/>
    <w:rsid w:val="37031DE8"/>
    <w:rsid w:val="371D1E1A"/>
    <w:rsid w:val="375F0685"/>
    <w:rsid w:val="378B147A"/>
    <w:rsid w:val="37F963E3"/>
    <w:rsid w:val="38351E66"/>
    <w:rsid w:val="386D5023"/>
    <w:rsid w:val="38A30A45"/>
    <w:rsid w:val="38CF5396"/>
    <w:rsid w:val="38D26C34"/>
    <w:rsid w:val="38E56968"/>
    <w:rsid w:val="390A0223"/>
    <w:rsid w:val="391060DB"/>
    <w:rsid w:val="395D4987"/>
    <w:rsid w:val="3A717D9C"/>
    <w:rsid w:val="3AA30888"/>
    <w:rsid w:val="3B653D90"/>
    <w:rsid w:val="3B9E5419"/>
    <w:rsid w:val="3BDA652C"/>
    <w:rsid w:val="3C011D0B"/>
    <w:rsid w:val="3C1852A6"/>
    <w:rsid w:val="3C371BD0"/>
    <w:rsid w:val="3C3B1478"/>
    <w:rsid w:val="3C920BB5"/>
    <w:rsid w:val="3CC1358A"/>
    <w:rsid w:val="3CC214A2"/>
    <w:rsid w:val="3D332398"/>
    <w:rsid w:val="3D844B7C"/>
    <w:rsid w:val="3DB64A21"/>
    <w:rsid w:val="3E4800C5"/>
    <w:rsid w:val="3E580177"/>
    <w:rsid w:val="3E9758F9"/>
    <w:rsid w:val="3EA3300B"/>
    <w:rsid w:val="3EF67200"/>
    <w:rsid w:val="3F233925"/>
    <w:rsid w:val="3F4A5777"/>
    <w:rsid w:val="3FAD641B"/>
    <w:rsid w:val="3FB44612"/>
    <w:rsid w:val="3FE01B1C"/>
    <w:rsid w:val="40046D13"/>
    <w:rsid w:val="40944A28"/>
    <w:rsid w:val="40CA5C2D"/>
    <w:rsid w:val="40CF0629"/>
    <w:rsid w:val="40D67E2A"/>
    <w:rsid w:val="417C1E33"/>
    <w:rsid w:val="41950E9A"/>
    <w:rsid w:val="42154762"/>
    <w:rsid w:val="4233012A"/>
    <w:rsid w:val="429E2606"/>
    <w:rsid w:val="43041937"/>
    <w:rsid w:val="432D323D"/>
    <w:rsid w:val="43DD3E5A"/>
    <w:rsid w:val="44355C57"/>
    <w:rsid w:val="443A6632"/>
    <w:rsid w:val="444D269F"/>
    <w:rsid w:val="44775260"/>
    <w:rsid w:val="448B0C47"/>
    <w:rsid w:val="44A1408B"/>
    <w:rsid w:val="44B33DBE"/>
    <w:rsid w:val="45287D24"/>
    <w:rsid w:val="45392515"/>
    <w:rsid w:val="454964D0"/>
    <w:rsid w:val="45CF2E79"/>
    <w:rsid w:val="45DF68CB"/>
    <w:rsid w:val="45E5269D"/>
    <w:rsid w:val="460A64D2"/>
    <w:rsid w:val="46203E24"/>
    <w:rsid w:val="463F1DAD"/>
    <w:rsid w:val="464C7C9B"/>
    <w:rsid w:val="46987301"/>
    <w:rsid w:val="46A967E4"/>
    <w:rsid w:val="470D1EAB"/>
    <w:rsid w:val="474D04FA"/>
    <w:rsid w:val="47705F96"/>
    <w:rsid w:val="477200AE"/>
    <w:rsid w:val="4785185A"/>
    <w:rsid w:val="47B61483"/>
    <w:rsid w:val="47BE6D02"/>
    <w:rsid w:val="47C54534"/>
    <w:rsid w:val="481B63B6"/>
    <w:rsid w:val="48677399"/>
    <w:rsid w:val="48710218"/>
    <w:rsid w:val="48A146AD"/>
    <w:rsid w:val="48F73CF4"/>
    <w:rsid w:val="48F74BC1"/>
    <w:rsid w:val="4905068C"/>
    <w:rsid w:val="49411970"/>
    <w:rsid w:val="496E7F48"/>
    <w:rsid w:val="4A113A61"/>
    <w:rsid w:val="4A1B1471"/>
    <w:rsid w:val="4A5C22FF"/>
    <w:rsid w:val="4ADA5F68"/>
    <w:rsid w:val="4AE304D3"/>
    <w:rsid w:val="4B1362E3"/>
    <w:rsid w:val="4B9E7576"/>
    <w:rsid w:val="4C436F62"/>
    <w:rsid w:val="4C6C5AF1"/>
    <w:rsid w:val="4C867651"/>
    <w:rsid w:val="4C8C6E2A"/>
    <w:rsid w:val="4C917D41"/>
    <w:rsid w:val="4CBA0424"/>
    <w:rsid w:val="4CC16D7F"/>
    <w:rsid w:val="4CE313E9"/>
    <w:rsid w:val="4D5679DC"/>
    <w:rsid w:val="4D866514"/>
    <w:rsid w:val="4DB4554A"/>
    <w:rsid w:val="4E037EE6"/>
    <w:rsid w:val="4E893884"/>
    <w:rsid w:val="4EC54E1A"/>
    <w:rsid w:val="4EDA51D8"/>
    <w:rsid w:val="4EF632AE"/>
    <w:rsid w:val="4F190832"/>
    <w:rsid w:val="4F292F55"/>
    <w:rsid w:val="50110FD7"/>
    <w:rsid w:val="5019366F"/>
    <w:rsid w:val="50264C5C"/>
    <w:rsid w:val="504306EC"/>
    <w:rsid w:val="50B909AE"/>
    <w:rsid w:val="50C406E4"/>
    <w:rsid w:val="50D2381E"/>
    <w:rsid w:val="5100038B"/>
    <w:rsid w:val="513B1BE3"/>
    <w:rsid w:val="51BB2504"/>
    <w:rsid w:val="51C8534D"/>
    <w:rsid w:val="53283BC9"/>
    <w:rsid w:val="539052B7"/>
    <w:rsid w:val="53E144A4"/>
    <w:rsid w:val="541C1980"/>
    <w:rsid w:val="546108D5"/>
    <w:rsid w:val="54DB601C"/>
    <w:rsid w:val="554178E8"/>
    <w:rsid w:val="55443DFC"/>
    <w:rsid w:val="557529F8"/>
    <w:rsid w:val="55781588"/>
    <w:rsid w:val="55B9763E"/>
    <w:rsid w:val="55F24830"/>
    <w:rsid w:val="56326745"/>
    <w:rsid w:val="56356D29"/>
    <w:rsid w:val="566413BC"/>
    <w:rsid w:val="56A676EB"/>
    <w:rsid w:val="56AB2D7B"/>
    <w:rsid w:val="56DB78D0"/>
    <w:rsid w:val="56EF512A"/>
    <w:rsid w:val="56F83D0C"/>
    <w:rsid w:val="571132F2"/>
    <w:rsid w:val="572763EB"/>
    <w:rsid w:val="572F455A"/>
    <w:rsid w:val="575B631B"/>
    <w:rsid w:val="57766A4D"/>
    <w:rsid w:val="577B28F1"/>
    <w:rsid w:val="57830607"/>
    <w:rsid w:val="57C71C02"/>
    <w:rsid w:val="57F4758F"/>
    <w:rsid w:val="585F0BD8"/>
    <w:rsid w:val="58871392"/>
    <w:rsid w:val="58C6175D"/>
    <w:rsid w:val="58CD2D07"/>
    <w:rsid w:val="594A6647"/>
    <w:rsid w:val="5952374E"/>
    <w:rsid w:val="59563B77"/>
    <w:rsid w:val="59AD6BD6"/>
    <w:rsid w:val="5A0709DC"/>
    <w:rsid w:val="5A3C3F0A"/>
    <w:rsid w:val="5A4D499A"/>
    <w:rsid w:val="5A537966"/>
    <w:rsid w:val="5A772246"/>
    <w:rsid w:val="5A7D0C9E"/>
    <w:rsid w:val="5AC16DDD"/>
    <w:rsid w:val="5ACE0C44"/>
    <w:rsid w:val="5AE90694"/>
    <w:rsid w:val="5AF466D4"/>
    <w:rsid w:val="5B0F405E"/>
    <w:rsid w:val="5B1433B1"/>
    <w:rsid w:val="5B1E7D8B"/>
    <w:rsid w:val="5B325FEC"/>
    <w:rsid w:val="5B7052F9"/>
    <w:rsid w:val="5BED3C02"/>
    <w:rsid w:val="5C13353F"/>
    <w:rsid w:val="5CDC7EFE"/>
    <w:rsid w:val="5CFF3BED"/>
    <w:rsid w:val="5D2D075A"/>
    <w:rsid w:val="5D861C18"/>
    <w:rsid w:val="5DCD3CEB"/>
    <w:rsid w:val="5DF72526"/>
    <w:rsid w:val="5E0B123F"/>
    <w:rsid w:val="5E60690D"/>
    <w:rsid w:val="5E9860A7"/>
    <w:rsid w:val="5EE52C75"/>
    <w:rsid w:val="5F321E6E"/>
    <w:rsid w:val="5F473B2B"/>
    <w:rsid w:val="5FD54C27"/>
    <w:rsid w:val="5FD96977"/>
    <w:rsid w:val="60593614"/>
    <w:rsid w:val="605E28A2"/>
    <w:rsid w:val="6101712B"/>
    <w:rsid w:val="611F4E36"/>
    <w:rsid w:val="6166423A"/>
    <w:rsid w:val="61824E34"/>
    <w:rsid w:val="61BA27D8"/>
    <w:rsid w:val="6338060C"/>
    <w:rsid w:val="638210D3"/>
    <w:rsid w:val="64044202"/>
    <w:rsid w:val="64D21BE7"/>
    <w:rsid w:val="6507503C"/>
    <w:rsid w:val="6535464F"/>
    <w:rsid w:val="65384C44"/>
    <w:rsid w:val="65404DA2"/>
    <w:rsid w:val="65752C9E"/>
    <w:rsid w:val="659415BD"/>
    <w:rsid w:val="666D1BC7"/>
    <w:rsid w:val="6683763C"/>
    <w:rsid w:val="66B06A9E"/>
    <w:rsid w:val="66DD63E5"/>
    <w:rsid w:val="66EA3218"/>
    <w:rsid w:val="66F75934"/>
    <w:rsid w:val="66F97A54"/>
    <w:rsid w:val="680227E3"/>
    <w:rsid w:val="68CD2DF1"/>
    <w:rsid w:val="68D4417F"/>
    <w:rsid w:val="68DC416E"/>
    <w:rsid w:val="6942558D"/>
    <w:rsid w:val="694C01BA"/>
    <w:rsid w:val="69656389"/>
    <w:rsid w:val="699F478D"/>
    <w:rsid w:val="69D4452F"/>
    <w:rsid w:val="69E90617"/>
    <w:rsid w:val="6A1D3904"/>
    <w:rsid w:val="6A5C61DA"/>
    <w:rsid w:val="6A6E23B2"/>
    <w:rsid w:val="6A9C2A7B"/>
    <w:rsid w:val="6AB9187F"/>
    <w:rsid w:val="6B047899"/>
    <w:rsid w:val="6B713F07"/>
    <w:rsid w:val="6B767770"/>
    <w:rsid w:val="6B8003A5"/>
    <w:rsid w:val="6B85333E"/>
    <w:rsid w:val="6B9B48D9"/>
    <w:rsid w:val="6C1C0677"/>
    <w:rsid w:val="6C4C59CB"/>
    <w:rsid w:val="6C6972D4"/>
    <w:rsid w:val="6C7207B7"/>
    <w:rsid w:val="6C8E6D3B"/>
    <w:rsid w:val="6CB467A2"/>
    <w:rsid w:val="6D592EA5"/>
    <w:rsid w:val="6DA93E2C"/>
    <w:rsid w:val="6DAB380B"/>
    <w:rsid w:val="6DD97740"/>
    <w:rsid w:val="6E0127B0"/>
    <w:rsid w:val="6E4C2A0A"/>
    <w:rsid w:val="6E551AFF"/>
    <w:rsid w:val="6EDA6400"/>
    <w:rsid w:val="6F5778B8"/>
    <w:rsid w:val="6FB24AEE"/>
    <w:rsid w:val="702D1B02"/>
    <w:rsid w:val="708E757A"/>
    <w:rsid w:val="7101188A"/>
    <w:rsid w:val="71593474"/>
    <w:rsid w:val="719B55D2"/>
    <w:rsid w:val="71AB5C99"/>
    <w:rsid w:val="71B13050"/>
    <w:rsid w:val="71FE04BF"/>
    <w:rsid w:val="728577B6"/>
    <w:rsid w:val="72CE73C6"/>
    <w:rsid w:val="72D311B2"/>
    <w:rsid w:val="72F53670"/>
    <w:rsid w:val="732857F3"/>
    <w:rsid w:val="733C302D"/>
    <w:rsid w:val="73E85905"/>
    <w:rsid w:val="73EB2787"/>
    <w:rsid w:val="744228E5"/>
    <w:rsid w:val="746565D3"/>
    <w:rsid w:val="746A5998"/>
    <w:rsid w:val="747F3DA7"/>
    <w:rsid w:val="74A4534E"/>
    <w:rsid w:val="74F02341"/>
    <w:rsid w:val="74FB14A6"/>
    <w:rsid w:val="74FC5B91"/>
    <w:rsid w:val="75156511"/>
    <w:rsid w:val="75241FEA"/>
    <w:rsid w:val="753F6E24"/>
    <w:rsid w:val="75AF7C6E"/>
    <w:rsid w:val="75B8488D"/>
    <w:rsid w:val="75BA46FD"/>
    <w:rsid w:val="75C612F4"/>
    <w:rsid w:val="75CF6598"/>
    <w:rsid w:val="75F47FF3"/>
    <w:rsid w:val="75FC6AC3"/>
    <w:rsid w:val="761B33ED"/>
    <w:rsid w:val="762001BB"/>
    <w:rsid w:val="76216673"/>
    <w:rsid w:val="7633508F"/>
    <w:rsid w:val="76A21419"/>
    <w:rsid w:val="76EE465E"/>
    <w:rsid w:val="77354CF9"/>
    <w:rsid w:val="773D3837"/>
    <w:rsid w:val="77512E3F"/>
    <w:rsid w:val="77743287"/>
    <w:rsid w:val="77882D05"/>
    <w:rsid w:val="77A26F92"/>
    <w:rsid w:val="77B318CB"/>
    <w:rsid w:val="77C6382D"/>
    <w:rsid w:val="77ED2B68"/>
    <w:rsid w:val="77FF15D9"/>
    <w:rsid w:val="78F3578F"/>
    <w:rsid w:val="79050385"/>
    <w:rsid w:val="79DD6C0C"/>
    <w:rsid w:val="79FC3536"/>
    <w:rsid w:val="7A236D15"/>
    <w:rsid w:val="7A3A25F4"/>
    <w:rsid w:val="7A6B598B"/>
    <w:rsid w:val="7AAE3295"/>
    <w:rsid w:val="7B000E04"/>
    <w:rsid w:val="7B046B46"/>
    <w:rsid w:val="7B252618"/>
    <w:rsid w:val="7B2965AD"/>
    <w:rsid w:val="7B2F3B4A"/>
    <w:rsid w:val="7B494559"/>
    <w:rsid w:val="7B610879"/>
    <w:rsid w:val="7B754F5D"/>
    <w:rsid w:val="7BC7188B"/>
    <w:rsid w:val="7C0725D2"/>
    <w:rsid w:val="7C853A45"/>
    <w:rsid w:val="7C952547"/>
    <w:rsid w:val="7CBE03EA"/>
    <w:rsid w:val="7D1D47BD"/>
    <w:rsid w:val="7DFC1D56"/>
    <w:rsid w:val="7E533563"/>
    <w:rsid w:val="7E5714CF"/>
    <w:rsid w:val="7EB6066D"/>
    <w:rsid w:val="7EF42459"/>
    <w:rsid w:val="7F777DF7"/>
    <w:rsid w:val="7FA553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autoSpaceDE w:val="0"/>
      <w:autoSpaceDN w:val="0"/>
      <w:adjustRightInd w:val="0"/>
      <w:jc w:val="left"/>
      <w:outlineLvl w:val="0"/>
    </w:pPr>
    <w:rPr>
      <w:rFonts w:ascii="Times New Roman"/>
      <w:kern w:val="0"/>
      <w:sz w:val="30"/>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5"/>
    <w:next w:val="5"/>
    <w:qFormat/>
    <w:uiPriority w:val="0"/>
    <w:pPr>
      <w:keepNext/>
      <w:keepLines/>
      <w:spacing w:before="120" w:beforeLines="0" w:beforeAutospacing="0" w:after="120" w:afterLines="0" w:afterAutospacing="0"/>
      <w:jc w:val="center"/>
      <w:outlineLvl w:val="2"/>
    </w:pPr>
    <w:rPr>
      <w:sz w:val="24"/>
    </w:rPr>
  </w:style>
  <w:style w:type="paragraph" w:styleId="6">
    <w:name w:val="heading 4"/>
    <w:basedOn w:val="1"/>
    <w:next w:val="1"/>
    <w:qFormat/>
    <w:uiPriority w:val="0"/>
    <w:pPr>
      <w:keepNext/>
      <w:keepLines/>
      <w:spacing w:line="374" w:lineRule="auto"/>
      <w:outlineLvl w:val="3"/>
    </w:pPr>
    <w:rPr>
      <w:rFonts w:ascii="Arial" w:hAnsi="Arial"/>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line="360" w:lineRule="auto"/>
      <w:ind w:firstLine="200" w:firstLineChars="200"/>
    </w:pPr>
    <w:rPr>
      <w:rFonts w:ascii="Times New Roman" w:hAnsi="Times New Roman" w:eastAsia="宋体" w:cs="Times New Roman"/>
      <w:sz w:val="24"/>
    </w:rPr>
  </w:style>
  <w:style w:type="paragraph" w:styleId="7">
    <w:name w:val="annotation text"/>
    <w:basedOn w:val="1"/>
    <w:next w:val="1"/>
    <w:qFormat/>
    <w:uiPriority w:val="0"/>
    <w:pPr>
      <w:adjustRightInd w:val="0"/>
      <w:spacing w:line="360" w:lineRule="atLeast"/>
      <w:jc w:val="left"/>
      <w:textAlignment w:val="baseline"/>
    </w:pPr>
    <w:rPr>
      <w:kern w:val="0"/>
    </w:rPr>
  </w:style>
  <w:style w:type="paragraph" w:styleId="8">
    <w:name w:val="Body Text"/>
    <w:basedOn w:val="1"/>
    <w:next w:val="9"/>
    <w:semiHidden/>
    <w:qFormat/>
    <w:uiPriority w:val="0"/>
    <w:rPr>
      <w:rFonts w:ascii="Arial" w:hAnsi="Arial" w:eastAsia="Arial" w:cs="Arial"/>
      <w:sz w:val="21"/>
      <w:szCs w:val="21"/>
      <w:lang w:val="en-US" w:eastAsia="en-US" w:bidi="ar-SA"/>
    </w:rPr>
  </w:style>
  <w:style w:type="paragraph" w:styleId="9">
    <w:name w:val="Title"/>
    <w:basedOn w:val="1"/>
    <w:next w:val="1"/>
    <w:qFormat/>
    <w:uiPriority w:val="0"/>
    <w:pPr>
      <w:spacing w:line="480" w:lineRule="atLeast"/>
      <w:jc w:val="center"/>
    </w:pPr>
    <w:rPr>
      <w:sz w:val="32"/>
    </w:rPr>
  </w:style>
  <w:style w:type="paragraph" w:styleId="10">
    <w:name w:val="Body Text Indent"/>
    <w:basedOn w:val="1"/>
    <w:next w:val="11"/>
    <w:qFormat/>
    <w:uiPriority w:val="0"/>
    <w:pPr>
      <w:spacing w:after="120" w:afterLines="0"/>
      <w:ind w:left="420" w:leftChars="200"/>
    </w:pPr>
  </w:style>
  <w:style w:type="paragraph" w:styleId="11">
    <w:name w:val="envelope return"/>
    <w:basedOn w:val="1"/>
    <w:qFormat/>
    <w:uiPriority w:val="99"/>
    <w:pPr>
      <w:snapToGrid w:val="0"/>
    </w:pPr>
    <w:rPr>
      <w:rFonts w:ascii="Arial" w:hAnsi="Arial"/>
    </w:rPr>
  </w:style>
  <w:style w:type="paragraph" w:styleId="12">
    <w:name w:val="toc 3"/>
    <w:basedOn w:val="1"/>
    <w:next w:val="1"/>
    <w:qFormat/>
    <w:uiPriority w:val="0"/>
    <w:pPr>
      <w:ind w:left="840" w:leftChars="400"/>
    </w:pPr>
  </w:style>
  <w:style w:type="paragraph" w:styleId="13">
    <w:name w:val="Plain Text"/>
    <w:basedOn w:val="1"/>
    <w:next w:val="14"/>
    <w:qFormat/>
    <w:uiPriority w:val="0"/>
    <w:pPr>
      <w:ind w:firstLine="200" w:firstLineChars="200"/>
    </w:pPr>
    <w:rPr>
      <w:rFonts w:ascii="宋体" w:hAnsi="Courier New"/>
      <w:szCs w:val="21"/>
    </w:rPr>
  </w:style>
  <w:style w:type="paragraph" w:customStyle="1" w:styleId="14">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styleId="15">
    <w:name w:val="Body Text Indent 2"/>
    <w:basedOn w:val="1"/>
    <w:qFormat/>
    <w:uiPriority w:val="0"/>
    <w:pPr>
      <w:spacing w:line="480" w:lineRule="auto"/>
      <w:ind w:firstLine="561"/>
    </w:pPr>
    <w:rPr>
      <w:rFonts w:ascii="宋体"/>
    </w:rPr>
  </w:style>
  <w:style w:type="paragraph" w:styleId="16">
    <w:name w:val="Balloon Text"/>
    <w:basedOn w:val="1"/>
    <w:link w:val="29"/>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link w:val="30"/>
    <w:qFormat/>
    <w:uiPriority w:val="0"/>
    <w:pPr>
      <w:pBdr>
        <w:bottom w:val="single" w:color="auto" w:sz="6" w:space="1"/>
      </w:pBdr>
      <w:tabs>
        <w:tab w:val="center" w:pos="4153"/>
        <w:tab w:val="right" w:pos="8306"/>
      </w:tabs>
      <w:jc w:val="center"/>
    </w:pPr>
    <w:rPr>
      <w:sz w:val="18"/>
      <w:szCs w:val="18"/>
    </w:rPr>
  </w:style>
  <w:style w:type="paragraph" w:styleId="19">
    <w:name w:val="toc 1"/>
    <w:basedOn w:val="1"/>
    <w:next w:val="1"/>
    <w:qFormat/>
    <w:uiPriority w:val="0"/>
  </w:style>
  <w:style w:type="paragraph" w:styleId="20">
    <w:name w:val="toc 2"/>
    <w:basedOn w:val="1"/>
    <w:next w:val="1"/>
    <w:qFormat/>
    <w:uiPriority w:val="0"/>
    <w:pPr>
      <w:ind w:left="420" w:leftChars="200"/>
    </w:pPr>
  </w:style>
  <w:style w:type="paragraph" w:styleId="21">
    <w:name w:val="Body Text 2"/>
    <w:basedOn w:val="1"/>
    <w:next w:val="8"/>
    <w:qFormat/>
    <w:uiPriority w:val="0"/>
    <w:pPr>
      <w:spacing w:line="500" w:lineRule="exact"/>
    </w:pPr>
    <w:rPr>
      <w:rFonts w:hint="default"/>
    </w:rPr>
  </w:style>
  <w:style w:type="paragraph" w:styleId="22">
    <w:name w:val="Normal (Web)"/>
    <w:basedOn w:val="1"/>
    <w:qFormat/>
    <w:uiPriority w:val="0"/>
    <w:pPr>
      <w:spacing w:beforeAutospacing="1" w:afterAutospacing="1"/>
      <w:jc w:val="left"/>
    </w:pPr>
    <w:rPr>
      <w:rFonts w:cs="Times New Roman"/>
      <w:kern w:val="0"/>
      <w:sz w:val="24"/>
    </w:rPr>
  </w:style>
  <w:style w:type="paragraph" w:styleId="23">
    <w:name w:val="Body Text First Indent"/>
    <w:basedOn w:val="8"/>
    <w:qFormat/>
    <w:uiPriority w:val="99"/>
    <w:pPr>
      <w:spacing w:line="240" w:lineRule="auto"/>
      <w:ind w:firstLine="420" w:firstLineChars="100"/>
    </w:pPr>
    <w:rPr>
      <w:rFonts w:ascii="Times New Roman" w:cs="Times New Roman"/>
      <w:sz w:val="20"/>
      <w:szCs w:val="20"/>
    </w:rPr>
  </w:style>
  <w:style w:type="paragraph" w:styleId="24">
    <w:name w:val="Body Text First Indent 2"/>
    <w:basedOn w:val="5"/>
    <w:unhideWhenUsed/>
    <w:qFormat/>
    <w:uiPriority w:val="99"/>
    <w:pPr>
      <w:tabs>
        <w:tab w:val="left" w:pos="0"/>
        <w:tab w:val="left" w:pos="8130"/>
      </w:tabs>
      <w:ind w:firstLine="42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basedOn w:val="27"/>
    <w:qFormat/>
    <w:uiPriority w:val="0"/>
    <w:rPr>
      <w:color w:val="0000FF"/>
      <w:u w:val="single"/>
    </w:rPr>
  </w:style>
  <w:style w:type="character" w:customStyle="1" w:styleId="29">
    <w:name w:val="批注框文本 Char"/>
    <w:link w:val="16"/>
    <w:qFormat/>
    <w:uiPriority w:val="0"/>
    <w:rPr>
      <w:rFonts w:ascii="Arial" w:hAnsi="Arial" w:eastAsia="Arial" w:cs="Arial"/>
      <w:snapToGrid/>
      <w:color w:val="000000"/>
      <w:sz w:val="18"/>
      <w:szCs w:val="18"/>
      <w:lang w:eastAsia="en-US"/>
    </w:rPr>
  </w:style>
  <w:style w:type="character" w:customStyle="1" w:styleId="30">
    <w:name w:val="页眉 Char"/>
    <w:link w:val="18"/>
    <w:qFormat/>
    <w:uiPriority w:val="0"/>
    <w:rPr>
      <w:rFonts w:ascii="Arial" w:hAnsi="Arial" w:eastAsia="Arial" w:cs="Arial"/>
      <w:snapToGrid/>
      <w:color w:val="000000"/>
      <w:sz w:val="18"/>
      <w:szCs w:val="18"/>
      <w:lang w:eastAsia="en-US"/>
    </w:rPr>
  </w:style>
  <w:style w:type="paragraph" w:customStyle="1" w:styleId="31">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table" w:customStyle="1" w:styleId="32">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33">
    <w:name w:val="Table Text"/>
    <w:basedOn w:val="1"/>
    <w:semiHidden/>
    <w:qFormat/>
    <w:uiPriority w:val="0"/>
    <w:rPr>
      <w:rFonts w:ascii="Arial" w:hAnsi="Arial" w:eastAsia="Arial" w:cs="Arial"/>
      <w:sz w:val="21"/>
      <w:szCs w:val="21"/>
      <w:lang w:val="en-US" w:eastAsia="en-US" w:bidi="ar-SA"/>
    </w:rPr>
  </w:style>
  <w:style w:type="paragraph" w:customStyle="1" w:styleId="34">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8">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9">
    <w:name w:val="WPSOffice手动目录 1"/>
    <w:qFormat/>
    <w:uiPriority w:val="0"/>
    <w:rPr>
      <w:rFonts w:ascii="Times New Roman" w:hAnsi="Times New Roman" w:eastAsia="宋体" w:cs="Times New Roman"/>
      <w:lang w:val="en-US" w:eastAsia="zh-CN" w:bidi="ar-SA"/>
    </w:rPr>
  </w:style>
  <w:style w:type="paragraph" w:customStyle="1" w:styleId="40">
    <w:name w:val="WPSOffice手动目录 2"/>
    <w:qFormat/>
    <w:uiPriority w:val="0"/>
    <w:pPr>
      <w:ind w:leftChars="200"/>
    </w:pPr>
    <w:rPr>
      <w:rFonts w:ascii="Times New Roman" w:hAnsi="Times New Roman" w:eastAsia="宋体" w:cs="Times New Roman"/>
      <w:lang w:val="en-US" w:eastAsia="zh-CN" w:bidi="ar-SA"/>
    </w:rPr>
  </w:style>
  <w:style w:type="paragraph" w:customStyle="1" w:styleId="41">
    <w:name w:val="WPSOffice手动目录 3"/>
    <w:qFormat/>
    <w:uiPriority w:val="0"/>
    <w:pPr>
      <w:ind w:leftChars="400"/>
    </w:pPr>
    <w:rPr>
      <w:rFonts w:ascii="Times New Roman" w:hAnsi="Times New Roman" w:eastAsia="宋体" w:cs="Times New Roman"/>
      <w:lang w:val="en-US" w:eastAsia="zh-CN" w:bidi="ar-SA"/>
    </w:rPr>
  </w:style>
  <w:style w:type="paragraph" w:customStyle="1" w:styleId="42">
    <w:name w:val="正文缩进1"/>
    <w:basedOn w:val="1"/>
    <w:qFormat/>
    <w:uiPriority w:val="0"/>
    <w:pPr>
      <w:widowControl/>
      <w:ind w:firstLine="420"/>
      <w:jc w:val="left"/>
    </w:pPr>
    <w:rPr>
      <w:kern w:val="0"/>
    </w:rPr>
  </w:style>
  <w:style w:type="paragraph" w:customStyle="1" w:styleId="43">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4">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6">
    <w:name w:val="样式 宋体 行距: 1.5 倍行距"/>
    <w:basedOn w:val="47"/>
    <w:next w:val="1"/>
    <w:qFormat/>
    <w:uiPriority w:val="99"/>
    <w:pPr>
      <w:jc w:val="center"/>
    </w:pPr>
    <w:rPr>
      <w:b/>
    </w:rPr>
  </w:style>
  <w:style w:type="paragraph" w:customStyle="1" w:styleId="4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6"/>
    <w:qFormat/>
    <w:uiPriority w:val="0"/>
    <w:pPr>
      <w:widowControl w:val="0"/>
      <w:jc w:val="both"/>
    </w:pPr>
    <w:rPr>
      <w:rFonts w:ascii="Calibri" w:hAnsi="Calibri" w:eastAsia="宋体" w:cs="黑体"/>
      <w:kern w:val="2"/>
      <w:sz w:val="21"/>
      <w:szCs w:val="24"/>
      <w:lang w:val="en-US" w:eastAsia="zh-CN" w:bidi="ar-SA"/>
    </w:rPr>
  </w:style>
  <w:style w:type="paragraph" w:customStyle="1" w:styleId="48">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49">
    <w:name w:val="NormalCharacter"/>
    <w:qFormat/>
    <w:uiPriority w:val="99"/>
  </w:style>
  <w:style w:type="paragraph" w:customStyle="1" w:styleId="50">
    <w:name w:val="普通(网站)1"/>
    <w:basedOn w:val="1"/>
    <w:qFormat/>
    <w:uiPriority w:val="0"/>
    <w:pPr>
      <w:spacing w:before="100" w:beforeAutospacing="1" w:after="100" w:afterAutospacing="1"/>
      <w:jc w:val="left"/>
    </w:pPr>
    <w:rPr>
      <w:rFonts w:ascii="宋体" w:hAnsi="宋体" w:eastAsia="宋体"/>
      <w:kern w:val="0"/>
      <w:sz w:val="24"/>
    </w:rPr>
  </w:style>
  <w:style w:type="paragraph" w:customStyle="1" w:styleId="51">
    <w:name w:val="Heading2"/>
    <w:basedOn w:val="1"/>
    <w:next w:val="1"/>
    <w:qFormat/>
    <w:uiPriority w:val="99"/>
    <w:pPr>
      <w:jc w:val="left"/>
    </w:pPr>
    <w:rPr>
      <w:kern w:val="0"/>
    </w:rPr>
  </w:style>
  <w:style w:type="paragraph" w:customStyle="1" w:styleId="52">
    <w:name w:val="AnnotationText"/>
    <w:basedOn w:val="1"/>
    <w:qFormat/>
    <w:uiPriority w:val="99"/>
    <w:pPr>
      <w:spacing w:line="360" w:lineRule="atLeast"/>
      <w:jc w:val="left"/>
    </w:pPr>
    <w:rPr>
      <w:kern w:val="0"/>
    </w:rPr>
  </w:style>
  <w:style w:type="paragraph" w:customStyle="1" w:styleId="53">
    <w:name w:val="UserStyle_44"/>
    <w:basedOn w:val="54"/>
    <w:qFormat/>
    <w:uiPriority w:val="99"/>
    <w:rPr>
      <w:sz w:val="24"/>
      <w:szCs w:val="24"/>
    </w:rPr>
  </w:style>
  <w:style w:type="paragraph" w:customStyle="1" w:styleId="54">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55">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56">
    <w:name w:val="List Paragraph"/>
    <w:basedOn w:val="1"/>
    <w:qFormat/>
    <w:uiPriority w:val="0"/>
    <w:pPr>
      <w:keepNext w:val="0"/>
      <w:keepLines w:val="0"/>
      <w:widowControl w:val="0"/>
      <w:suppressLineNumbers w:val="0"/>
      <w:spacing w:before="0" w:beforeLines="0" w:beforeAutospacing="0" w:after="0" w:afterLines="0" w:afterAutospacing="0" w:line="240" w:lineRule="auto"/>
      <w:ind w:left="0" w:right="0" w:firstLine="420" w:firstLineChars="200"/>
      <w:jc w:val="both"/>
    </w:pPr>
    <w:rPr>
      <w:rFonts w:hint="default" w:ascii="Calibri" w:hAnsi="Calibri" w:eastAsia="宋体" w:cs="Times New Roman"/>
      <w:kern w:val="2"/>
      <w:sz w:val="21"/>
      <w:szCs w:val="22"/>
      <w:lang w:val="en-US" w:eastAsia="zh-CN" w:bidi="ar"/>
    </w:rPr>
  </w:style>
  <w:style w:type="paragraph" w:customStyle="1" w:styleId="57">
    <w:name w:val="Heading1"/>
    <w:basedOn w:val="1"/>
    <w:next w:val="1"/>
    <w:qFormat/>
    <w:uiPriority w:val="99"/>
    <w:pPr>
      <w:jc w:val="left"/>
    </w:pPr>
    <w:rPr>
      <w:kern w:val="0"/>
      <w:sz w:val="30"/>
      <w:szCs w:val="30"/>
    </w:rPr>
  </w:style>
  <w:style w:type="paragraph" w:customStyle="1" w:styleId="58">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59">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0">
    <w:name w:val="标题 3 New New"/>
    <w:basedOn w:val="61"/>
    <w:next w:val="61"/>
    <w:qFormat/>
    <w:uiPriority w:val="0"/>
    <w:pPr>
      <w:keepNext/>
      <w:keepLines/>
      <w:spacing w:before="120" w:beforeLines="0" w:beforeAutospacing="0" w:after="120" w:afterLines="0" w:afterAutospacing="0"/>
      <w:jc w:val="center"/>
      <w:outlineLvl w:val="2"/>
    </w:pPr>
    <w:rPr>
      <w:rFonts w:ascii="Times New Roman"/>
      <w:sz w:val="24"/>
    </w:rPr>
  </w:style>
  <w:style w:type="paragraph" w:customStyle="1" w:styleId="61">
    <w:name w:val="正文缩进 New"/>
    <w:basedOn w:val="62"/>
    <w:qFormat/>
    <w:uiPriority w:val="0"/>
    <w:pPr>
      <w:widowControl/>
      <w:ind w:firstLine="420"/>
      <w:jc w:val="left"/>
    </w:pPr>
    <w:rPr>
      <w:kern w:val="0"/>
      <w:sz w:val="20"/>
    </w:rPr>
  </w:style>
  <w:style w:type="paragraph" w:customStyle="1" w:styleId="62">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3">
    <w:name w:val="正文文本缩进 New"/>
    <w:basedOn w:val="62"/>
    <w:qFormat/>
    <w:uiPriority w:val="0"/>
    <w:pPr>
      <w:ind w:firstLine="560" w:firstLineChars="200"/>
    </w:pPr>
    <w:rPr>
      <w:rFonts w:ascii="宋体"/>
      <w:kern w:val="2"/>
      <w:sz w:val="24"/>
    </w:rPr>
  </w:style>
  <w:style w:type="paragraph" w:customStyle="1" w:styleId="64">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正文文本1"/>
    <w:basedOn w:val="1"/>
    <w:qFormat/>
    <w:uiPriority w:val="0"/>
    <w:pPr>
      <w:spacing w:after="120"/>
    </w:pPr>
  </w:style>
  <w:style w:type="character" w:customStyle="1" w:styleId="67">
    <w:name w:val="正文文本 (2) + 间距 0 pt3"/>
    <w:basedOn w:val="27"/>
    <w:qFormat/>
    <w:uiPriority w:val="99"/>
    <w:rPr>
      <w:rFonts w:ascii="MingLiU" w:eastAsia="MingLiU" w:cs="MingLiU"/>
      <w:spacing w:val="0"/>
      <w:sz w:val="22"/>
      <w:szCs w:val="22"/>
      <w:u w:val="none"/>
    </w:rPr>
  </w:style>
  <w:style w:type="paragraph" w:customStyle="1" w:styleId="6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wmf"/><Relationship Id="rId31" Type="http://schemas.openxmlformats.org/officeDocument/2006/relationships/oleObject" Target="embeddings/oleObject12.bin"/><Relationship Id="rId30" Type="http://schemas.openxmlformats.org/officeDocument/2006/relationships/image" Target="media/image13.wmf"/><Relationship Id="rId3" Type="http://schemas.openxmlformats.org/officeDocument/2006/relationships/footer" Target="footer1.xml"/><Relationship Id="rId29" Type="http://schemas.openxmlformats.org/officeDocument/2006/relationships/oleObject" Target="embeddings/oleObject11.bin"/><Relationship Id="rId28" Type="http://schemas.openxmlformats.org/officeDocument/2006/relationships/image" Target="media/image12.wmf"/><Relationship Id="rId27" Type="http://schemas.openxmlformats.org/officeDocument/2006/relationships/oleObject" Target="embeddings/oleObject10.bin"/><Relationship Id="rId26" Type="http://schemas.openxmlformats.org/officeDocument/2006/relationships/image" Target="media/image11.wmf"/><Relationship Id="rId25" Type="http://schemas.openxmlformats.org/officeDocument/2006/relationships/oleObject" Target="embeddings/oleObject9.bin"/><Relationship Id="rId24" Type="http://schemas.openxmlformats.org/officeDocument/2006/relationships/image" Target="media/image10.wmf"/><Relationship Id="rId23" Type="http://schemas.openxmlformats.org/officeDocument/2006/relationships/oleObject" Target="embeddings/oleObject8.bin"/><Relationship Id="rId22" Type="http://schemas.openxmlformats.org/officeDocument/2006/relationships/image" Target="media/image9.wmf"/><Relationship Id="rId21" Type="http://schemas.openxmlformats.org/officeDocument/2006/relationships/oleObject" Target="embeddings/oleObject7.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7.wmf"/><Relationship Id="rId17" Type="http://schemas.openxmlformats.org/officeDocument/2006/relationships/oleObject" Target="embeddings/oleObject5.bin"/><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86</Pages>
  <Words>785</Words>
  <Characters>909</Characters>
  <Lines>459</Lines>
  <Paragraphs>129</Paragraphs>
  <TotalTime>2</TotalTime>
  <ScaleCrop>false</ScaleCrop>
  <LinksUpToDate>false</LinksUpToDate>
  <CharactersWithSpaces>1065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2024-07-04T19:08:00Z</dcterms:created>
  <dc:creator>Administrator</dc:creator>
  <cp:lastModifiedBy>Ling’記</cp:lastModifiedBy>
  <cp:lastPrinted>2025-10-21T01:54:00Z</cp:lastPrinted>
  <dcterms:modified xsi:type="dcterms:W3CDTF">2025-10-23T03:50:30Z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2024-07-30T11:15:44Z</vt:filetime>
  </property>
  <property fmtid="{D5CDD505-2E9C-101B-9397-08002B2CF9AE}" pid="4" name="KSOProductBuildVer">
    <vt:lpwstr>2052-12.1.0.23125</vt:lpwstr>
  </property>
  <property fmtid="{D5CDD505-2E9C-101B-9397-08002B2CF9AE}" pid="5" name="ICV">
    <vt:lpwstr>C9FAD581C3C34FDD94E9D7784186DFA7_13</vt:lpwstr>
  </property>
  <property fmtid="{D5CDD505-2E9C-101B-9397-08002B2CF9AE}" pid="6" name="KSOTemplateDocerSaveRecord">
    <vt:lpwstr>eyJoZGlkIjoiMGI1ZDczODYyYWY1OWJjYWYxYWZkMTA2MjI0NmZlYjgiLCJ1c2VySWQiOiIxMTc5NDg3MTQ4In0=</vt:lpwstr>
  </property>
</Properties>
</file>