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A22F3">
      <w:pPr>
        <w:rPr>
          <w:rFonts w:ascii="宋体" w:hAnsi="宋体" w:cs="宋体"/>
          <w:color w:val="auto"/>
          <w:highlight w:val="none"/>
        </w:rPr>
      </w:pPr>
    </w:p>
    <w:p w14:paraId="1AD074CC">
      <w:pPr>
        <w:rPr>
          <w:rFonts w:ascii="宋体" w:hAnsi="宋体" w:cs="宋体"/>
          <w:color w:val="auto"/>
          <w:highlight w:val="none"/>
        </w:rPr>
      </w:pPr>
    </w:p>
    <w:p w14:paraId="0D1833F9">
      <w:pPr>
        <w:pStyle w:val="23"/>
        <w:spacing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新材料产业园氟有限北侧地块基础设施建设项目-设计</w:t>
      </w:r>
    </w:p>
    <w:p w14:paraId="70164A21">
      <w:pPr>
        <w:pStyle w:val="23"/>
        <w:spacing w:line="360" w:lineRule="auto"/>
        <w:jc w:val="center"/>
        <w:rPr>
          <w:rFonts w:ascii="宋体" w:hAnsi="宋体" w:eastAsia="宋体" w:cs="宋体"/>
          <w:b/>
          <w:bCs/>
          <w:color w:val="auto"/>
          <w:sz w:val="52"/>
          <w:szCs w:val="52"/>
          <w:highlight w:val="none"/>
        </w:rPr>
      </w:pPr>
    </w:p>
    <w:p w14:paraId="23B8EC38">
      <w:pPr>
        <w:rPr>
          <w:rFonts w:ascii="宋体" w:hAnsi="宋体" w:cs="宋体"/>
          <w:color w:val="auto"/>
          <w:highlight w:val="none"/>
        </w:rPr>
      </w:pPr>
    </w:p>
    <w:p w14:paraId="5CCE1D6B">
      <w:pPr>
        <w:rPr>
          <w:rFonts w:ascii="宋体" w:hAnsi="宋体" w:cs="宋体"/>
          <w:color w:val="auto"/>
          <w:highlight w:val="none"/>
        </w:rPr>
      </w:pPr>
    </w:p>
    <w:p w14:paraId="2F7C8F81">
      <w:pPr>
        <w:pStyle w:val="23"/>
        <w:spacing w:line="360" w:lineRule="auto"/>
        <w:jc w:val="center"/>
        <w:rPr>
          <w:rFonts w:ascii="宋体" w:hAnsi="宋体" w:eastAsia="宋体" w:cs="宋体"/>
          <w:color w:val="auto"/>
          <w:highlight w:val="none"/>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662E3D98">
      <w:pPr>
        <w:rPr>
          <w:rFonts w:ascii="宋体" w:hAnsi="宋体" w:cs="宋体"/>
          <w:color w:val="auto"/>
          <w:highlight w:val="none"/>
        </w:rPr>
      </w:pPr>
    </w:p>
    <w:p w14:paraId="65FB6C7C">
      <w:pPr>
        <w:rPr>
          <w:rFonts w:ascii="宋体" w:hAnsi="宋体" w:cs="宋体"/>
          <w:color w:val="auto"/>
          <w:highlight w:val="none"/>
        </w:rPr>
      </w:pPr>
    </w:p>
    <w:p w14:paraId="685C04EE">
      <w:pPr>
        <w:rPr>
          <w:rFonts w:ascii="宋体" w:hAnsi="宋体" w:cs="宋体"/>
          <w:color w:val="auto"/>
          <w:highlight w:val="none"/>
        </w:rPr>
      </w:pPr>
    </w:p>
    <w:tbl>
      <w:tblPr>
        <w:tblStyle w:val="17"/>
        <w:tblW w:w="10119" w:type="dxa"/>
        <w:jc w:val="center"/>
        <w:tblLayout w:type="fixed"/>
        <w:tblCellMar>
          <w:top w:w="0" w:type="dxa"/>
          <w:left w:w="0" w:type="dxa"/>
          <w:bottom w:w="0" w:type="dxa"/>
          <w:right w:w="0" w:type="dxa"/>
        </w:tblCellMar>
      </w:tblPr>
      <w:tblGrid>
        <w:gridCol w:w="4799"/>
        <w:gridCol w:w="5320"/>
      </w:tblGrid>
      <w:tr w14:paraId="003AF0E9">
        <w:tblPrEx>
          <w:tblCellMar>
            <w:top w:w="0" w:type="dxa"/>
            <w:left w:w="0" w:type="dxa"/>
            <w:bottom w:w="0" w:type="dxa"/>
            <w:right w:w="0" w:type="dxa"/>
          </w:tblCellMar>
        </w:tblPrEx>
        <w:trPr>
          <w:trHeight w:val="868" w:hRule="atLeast"/>
          <w:jc w:val="center"/>
        </w:trPr>
        <w:tc>
          <w:tcPr>
            <w:tcW w:w="4799" w:type="dxa"/>
            <w:vAlign w:val="center"/>
          </w:tcPr>
          <w:p w14:paraId="11782AF9">
            <w:pPr>
              <w:pStyle w:val="24"/>
              <w:wordWrap w:val="0"/>
              <w:adjustRightInd w:val="0"/>
              <w:snapToGrid w:val="0"/>
              <w:spacing w:line="240" w:lineRule="auto"/>
              <w:jc w:val="distribute"/>
              <w:rPr>
                <w:rFonts w:hAnsi="宋体" w:cs="宋体"/>
                <w:snapToGrid w:val="0"/>
                <w:color w:val="auto"/>
                <w:kern w:val="0"/>
                <w:sz w:val="28"/>
                <w:highlight w:val="none"/>
              </w:rPr>
            </w:pPr>
            <w:r>
              <w:rPr>
                <w:rFonts w:hint="eastAsia" w:hAnsi="宋体" w:cs="宋体"/>
                <w:snapToGrid w:val="0"/>
                <w:color w:val="auto"/>
                <w:kern w:val="0"/>
                <w:sz w:val="28"/>
                <w:highlight w:val="none"/>
              </w:rPr>
              <w:t xml:space="preserve"> 招     标     人（盖单位章）：</w:t>
            </w:r>
          </w:p>
        </w:tc>
        <w:tc>
          <w:tcPr>
            <w:tcW w:w="5320" w:type="dxa"/>
            <w:vAlign w:val="center"/>
          </w:tcPr>
          <w:p w14:paraId="5DECD766">
            <w:pPr>
              <w:pStyle w:val="24"/>
              <w:wordWrap w:val="0"/>
              <w:adjustRightInd w:val="0"/>
              <w:snapToGrid w:val="0"/>
              <w:spacing w:line="240" w:lineRule="auto"/>
              <w:rPr>
                <w:rFonts w:hint="eastAsia" w:hAnsi="宋体" w:cs="宋体"/>
                <w:snapToGrid w:val="0"/>
                <w:color w:val="auto"/>
                <w:kern w:val="0"/>
                <w:sz w:val="28"/>
                <w:szCs w:val="28"/>
                <w:highlight w:val="none"/>
              </w:rPr>
            </w:pPr>
            <w:r>
              <w:rPr>
                <w:rFonts w:hint="eastAsia" w:hAnsi="宋体" w:cs="宋体"/>
                <w:snapToGrid w:val="0"/>
                <w:color w:val="auto"/>
                <w:kern w:val="0"/>
                <w:sz w:val="28"/>
                <w:szCs w:val="28"/>
                <w:highlight w:val="none"/>
              </w:rPr>
              <w:t>乳源瑶族自治县政府投资建设项目代建中心</w:t>
            </w:r>
          </w:p>
        </w:tc>
      </w:tr>
      <w:tr w14:paraId="6846776D">
        <w:tblPrEx>
          <w:tblCellMar>
            <w:top w:w="0" w:type="dxa"/>
            <w:left w:w="0" w:type="dxa"/>
            <w:bottom w:w="0" w:type="dxa"/>
            <w:right w:w="0" w:type="dxa"/>
          </w:tblCellMar>
        </w:tblPrEx>
        <w:trPr>
          <w:trHeight w:val="805" w:hRule="atLeast"/>
          <w:jc w:val="center"/>
        </w:trPr>
        <w:tc>
          <w:tcPr>
            <w:tcW w:w="4799" w:type="dxa"/>
            <w:vAlign w:val="center"/>
          </w:tcPr>
          <w:p w14:paraId="75B73FB0">
            <w:pPr>
              <w:pStyle w:val="24"/>
              <w:wordWrap w:val="0"/>
              <w:adjustRightInd w:val="0"/>
              <w:snapToGrid w:val="0"/>
              <w:spacing w:line="240" w:lineRule="auto"/>
              <w:jc w:val="distribute"/>
              <w:rPr>
                <w:rFonts w:hAnsi="宋体" w:cs="宋体"/>
                <w:snapToGrid w:val="0"/>
                <w:color w:val="auto"/>
                <w:kern w:val="0"/>
                <w:sz w:val="28"/>
                <w:highlight w:val="none"/>
              </w:rPr>
            </w:pPr>
            <w:r>
              <w:rPr>
                <w:rFonts w:hint="eastAsia" w:hAnsi="宋体" w:cs="宋体"/>
                <w:snapToGrid w:val="0"/>
                <w:color w:val="auto"/>
                <w:kern w:val="0"/>
                <w:sz w:val="28"/>
                <w:highlight w:val="none"/>
              </w:rPr>
              <w:t xml:space="preserve"> 招标人工作领导小组负责人（签字）：</w:t>
            </w:r>
          </w:p>
        </w:tc>
        <w:tc>
          <w:tcPr>
            <w:tcW w:w="5320" w:type="dxa"/>
            <w:vAlign w:val="center"/>
          </w:tcPr>
          <w:p w14:paraId="4C1F6C8C">
            <w:pPr>
              <w:pStyle w:val="24"/>
              <w:wordWrap w:val="0"/>
              <w:adjustRightInd w:val="0"/>
              <w:snapToGrid w:val="0"/>
              <w:spacing w:line="240" w:lineRule="auto"/>
              <w:rPr>
                <w:rFonts w:hint="eastAsia" w:hAnsi="宋体" w:cs="宋体"/>
                <w:snapToGrid w:val="0"/>
                <w:color w:val="auto"/>
                <w:kern w:val="0"/>
                <w:sz w:val="28"/>
                <w:szCs w:val="28"/>
                <w:highlight w:val="none"/>
              </w:rPr>
            </w:pPr>
          </w:p>
        </w:tc>
      </w:tr>
      <w:tr w14:paraId="2E98E450">
        <w:tblPrEx>
          <w:tblCellMar>
            <w:top w:w="0" w:type="dxa"/>
            <w:left w:w="0" w:type="dxa"/>
            <w:bottom w:w="0" w:type="dxa"/>
            <w:right w:w="0" w:type="dxa"/>
          </w:tblCellMar>
        </w:tblPrEx>
        <w:trPr>
          <w:trHeight w:val="906" w:hRule="atLeast"/>
          <w:jc w:val="center"/>
        </w:trPr>
        <w:tc>
          <w:tcPr>
            <w:tcW w:w="4799" w:type="dxa"/>
            <w:vAlign w:val="center"/>
          </w:tcPr>
          <w:p w14:paraId="4C9F1FD4">
            <w:pPr>
              <w:pStyle w:val="24"/>
              <w:wordWrap w:val="0"/>
              <w:adjustRightInd w:val="0"/>
              <w:snapToGrid w:val="0"/>
              <w:spacing w:line="240" w:lineRule="auto"/>
              <w:jc w:val="distribute"/>
              <w:rPr>
                <w:rFonts w:hAnsi="宋体" w:cs="宋体"/>
                <w:snapToGrid w:val="0"/>
                <w:color w:val="auto"/>
                <w:kern w:val="0"/>
                <w:sz w:val="28"/>
                <w:highlight w:val="none"/>
              </w:rPr>
            </w:pPr>
            <w:r>
              <w:rPr>
                <w:rFonts w:hint="eastAsia" w:hAnsi="宋体" w:cs="宋体"/>
                <w:snapToGrid w:val="0"/>
                <w:color w:val="auto"/>
                <w:kern w:val="0"/>
                <w:sz w:val="28"/>
                <w:highlight w:val="none"/>
              </w:rPr>
              <w:t xml:space="preserve"> 招 标 代 理 机 构 （盖单位章）：</w:t>
            </w:r>
          </w:p>
        </w:tc>
        <w:tc>
          <w:tcPr>
            <w:tcW w:w="5320" w:type="dxa"/>
            <w:vAlign w:val="center"/>
          </w:tcPr>
          <w:p w14:paraId="341CF3C1">
            <w:pPr>
              <w:pStyle w:val="24"/>
              <w:wordWrap w:val="0"/>
              <w:adjustRightInd w:val="0"/>
              <w:snapToGrid w:val="0"/>
              <w:spacing w:line="240" w:lineRule="auto"/>
              <w:rPr>
                <w:rFonts w:hint="eastAsia" w:hAnsi="宋体" w:cs="宋体"/>
                <w:snapToGrid w:val="0"/>
                <w:color w:val="auto"/>
                <w:kern w:val="0"/>
                <w:sz w:val="28"/>
                <w:szCs w:val="28"/>
                <w:highlight w:val="none"/>
              </w:rPr>
            </w:pPr>
            <w:r>
              <w:rPr>
                <w:rFonts w:hint="eastAsia" w:hAnsi="宋体" w:cs="宋体"/>
                <w:snapToGrid w:val="0"/>
                <w:color w:val="auto"/>
                <w:kern w:val="0"/>
                <w:sz w:val="28"/>
                <w:szCs w:val="28"/>
                <w:highlight w:val="none"/>
              </w:rPr>
              <w:t>广东宇成项目管理有限公司</w:t>
            </w:r>
          </w:p>
        </w:tc>
      </w:tr>
      <w:tr w14:paraId="6EA23084">
        <w:tblPrEx>
          <w:tblCellMar>
            <w:top w:w="0" w:type="dxa"/>
            <w:left w:w="0" w:type="dxa"/>
            <w:bottom w:w="0" w:type="dxa"/>
            <w:right w:w="0" w:type="dxa"/>
          </w:tblCellMar>
        </w:tblPrEx>
        <w:trPr>
          <w:trHeight w:val="902" w:hRule="atLeast"/>
          <w:jc w:val="center"/>
        </w:trPr>
        <w:tc>
          <w:tcPr>
            <w:tcW w:w="4799" w:type="dxa"/>
            <w:vAlign w:val="center"/>
          </w:tcPr>
          <w:p w14:paraId="0C9F7B96">
            <w:pPr>
              <w:pStyle w:val="24"/>
              <w:wordWrap w:val="0"/>
              <w:adjustRightInd w:val="0"/>
              <w:snapToGrid w:val="0"/>
              <w:spacing w:line="240" w:lineRule="auto"/>
              <w:jc w:val="distribute"/>
              <w:rPr>
                <w:rFonts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招标文件编制人（签字）：</w:t>
            </w:r>
          </w:p>
        </w:tc>
        <w:tc>
          <w:tcPr>
            <w:tcW w:w="5320" w:type="dxa"/>
            <w:vAlign w:val="center"/>
          </w:tcPr>
          <w:p w14:paraId="508ABF68">
            <w:pPr>
              <w:pStyle w:val="24"/>
              <w:wordWrap w:val="0"/>
              <w:adjustRightInd w:val="0"/>
              <w:snapToGrid w:val="0"/>
              <w:spacing w:line="240" w:lineRule="auto"/>
              <w:rPr>
                <w:rFonts w:hAnsi="宋体" w:cs="宋体"/>
                <w:snapToGrid w:val="0"/>
                <w:color w:val="auto"/>
                <w:kern w:val="0"/>
                <w:sz w:val="28"/>
                <w:szCs w:val="28"/>
                <w:highlight w:val="none"/>
              </w:rPr>
            </w:pPr>
          </w:p>
        </w:tc>
      </w:tr>
      <w:tr w14:paraId="659770C5">
        <w:tblPrEx>
          <w:tblCellMar>
            <w:top w:w="0" w:type="dxa"/>
            <w:left w:w="0" w:type="dxa"/>
            <w:bottom w:w="0" w:type="dxa"/>
            <w:right w:w="0" w:type="dxa"/>
          </w:tblCellMar>
        </w:tblPrEx>
        <w:trPr>
          <w:trHeight w:val="831" w:hRule="atLeast"/>
          <w:jc w:val="center"/>
        </w:trPr>
        <w:tc>
          <w:tcPr>
            <w:tcW w:w="4799" w:type="dxa"/>
            <w:vAlign w:val="center"/>
          </w:tcPr>
          <w:p w14:paraId="267F5C69">
            <w:pPr>
              <w:pStyle w:val="24"/>
              <w:wordWrap w:val="0"/>
              <w:adjustRightInd w:val="0"/>
              <w:snapToGrid w:val="0"/>
              <w:spacing w:line="240" w:lineRule="auto"/>
              <w:jc w:val="distribute"/>
              <w:rPr>
                <w:rFonts w:hAnsi="宋体" w:cs="宋体"/>
                <w:snapToGrid w:val="0"/>
                <w:color w:val="auto"/>
                <w:kern w:val="0"/>
                <w:sz w:val="28"/>
                <w:highlight w:val="none"/>
              </w:rPr>
            </w:pPr>
            <w:r>
              <w:rPr>
                <w:rFonts w:hint="eastAsia" w:hAnsi="宋体" w:cs="宋体"/>
                <w:snapToGrid w:val="0"/>
                <w:color w:val="auto"/>
                <w:kern w:val="0"/>
                <w:sz w:val="28"/>
                <w:highlight w:val="none"/>
              </w:rPr>
              <w:t xml:space="preserve"> 招标代理机构项目负责人（签字）：</w:t>
            </w:r>
          </w:p>
        </w:tc>
        <w:tc>
          <w:tcPr>
            <w:tcW w:w="5320" w:type="dxa"/>
            <w:vAlign w:val="center"/>
          </w:tcPr>
          <w:p w14:paraId="2A5312B4">
            <w:pPr>
              <w:pStyle w:val="24"/>
              <w:wordWrap w:val="0"/>
              <w:adjustRightInd w:val="0"/>
              <w:snapToGrid w:val="0"/>
              <w:spacing w:line="240" w:lineRule="auto"/>
              <w:rPr>
                <w:rFonts w:hAnsi="宋体" w:cs="宋体"/>
                <w:snapToGrid w:val="0"/>
                <w:color w:val="auto"/>
                <w:kern w:val="0"/>
                <w:sz w:val="28"/>
                <w:szCs w:val="28"/>
                <w:highlight w:val="none"/>
              </w:rPr>
            </w:pPr>
          </w:p>
        </w:tc>
      </w:tr>
      <w:tr w14:paraId="6EA7391D">
        <w:tblPrEx>
          <w:tblCellMar>
            <w:top w:w="0" w:type="dxa"/>
            <w:left w:w="0" w:type="dxa"/>
            <w:bottom w:w="0" w:type="dxa"/>
            <w:right w:w="0" w:type="dxa"/>
          </w:tblCellMar>
        </w:tblPrEx>
        <w:trPr>
          <w:trHeight w:val="1075" w:hRule="atLeast"/>
          <w:jc w:val="center"/>
        </w:trPr>
        <w:tc>
          <w:tcPr>
            <w:tcW w:w="4799" w:type="dxa"/>
            <w:vAlign w:val="center"/>
          </w:tcPr>
          <w:p w14:paraId="1947A72B">
            <w:pPr>
              <w:pStyle w:val="24"/>
              <w:wordWrap w:val="0"/>
              <w:adjustRightInd w:val="0"/>
              <w:snapToGrid w:val="0"/>
              <w:spacing w:line="240" w:lineRule="auto"/>
              <w:jc w:val="distribute"/>
              <w:rPr>
                <w:rFonts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招标文件编制日期：</w:t>
            </w:r>
          </w:p>
        </w:tc>
        <w:tc>
          <w:tcPr>
            <w:tcW w:w="5320" w:type="dxa"/>
            <w:vAlign w:val="center"/>
          </w:tcPr>
          <w:p w14:paraId="01554D7B">
            <w:pPr>
              <w:pStyle w:val="24"/>
              <w:wordWrap w:val="0"/>
              <w:adjustRightInd w:val="0"/>
              <w:snapToGrid w:val="0"/>
              <w:spacing w:line="240" w:lineRule="auto"/>
              <w:rPr>
                <w:rFonts w:hAnsi="宋体" w:cs="宋体"/>
                <w:snapToGrid w:val="0"/>
                <w:color w:val="auto"/>
                <w:kern w:val="0"/>
                <w:sz w:val="28"/>
                <w:highlight w:val="none"/>
              </w:rPr>
            </w:pPr>
            <w:r>
              <w:rPr>
                <w:rFonts w:hint="eastAsia" w:hAnsi="宋体" w:cs="宋体"/>
                <w:snapToGrid w:val="0"/>
                <w:color w:val="auto"/>
                <w:kern w:val="0"/>
                <w:sz w:val="28"/>
                <w:highlight w:val="none"/>
              </w:rPr>
              <w:t xml:space="preserve"> 202</w:t>
            </w:r>
            <w:r>
              <w:rPr>
                <w:rFonts w:hint="eastAsia" w:hAnsi="宋体" w:cs="宋体"/>
                <w:snapToGrid w:val="0"/>
                <w:color w:val="auto"/>
                <w:kern w:val="0"/>
                <w:sz w:val="28"/>
                <w:highlight w:val="none"/>
                <w:lang w:val="en-US" w:eastAsia="zh-CN"/>
              </w:rPr>
              <w:t>5</w:t>
            </w:r>
            <w:r>
              <w:rPr>
                <w:rFonts w:hint="eastAsia" w:hAnsi="宋体" w:cs="宋体"/>
                <w:snapToGrid w:val="0"/>
                <w:color w:val="auto"/>
                <w:kern w:val="0"/>
                <w:sz w:val="28"/>
                <w:highlight w:val="none"/>
              </w:rPr>
              <w:t>年</w:t>
            </w:r>
            <w:r>
              <w:rPr>
                <w:rFonts w:hint="eastAsia" w:hAnsi="宋体" w:cs="宋体"/>
                <w:snapToGrid w:val="0"/>
                <w:color w:val="auto"/>
                <w:kern w:val="0"/>
                <w:sz w:val="28"/>
                <w:highlight w:val="none"/>
                <w:lang w:val="en-US" w:eastAsia="zh-CN"/>
              </w:rPr>
              <w:t>8</w:t>
            </w:r>
            <w:r>
              <w:rPr>
                <w:rFonts w:hint="eastAsia" w:hAnsi="宋体" w:cs="宋体"/>
                <w:snapToGrid w:val="0"/>
                <w:color w:val="auto"/>
                <w:kern w:val="0"/>
                <w:sz w:val="28"/>
                <w:highlight w:val="none"/>
              </w:rPr>
              <w:t>月</w:t>
            </w:r>
          </w:p>
        </w:tc>
      </w:tr>
    </w:tbl>
    <w:p w14:paraId="2899595A">
      <w:pPr>
        <w:rPr>
          <w:rFonts w:ascii="宋体" w:hAnsi="宋体" w:cs="宋体"/>
          <w:color w:val="auto"/>
          <w:highlight w:val="none"/>
        </w:rPr>
      </w:pPr>
    </w:p>
    <w:p w14:paraId="635F9202">
      <w:pPr>
        <w:rPr>
          <w:rFonts w:ascii="宋体" w:hAnsi="宋体" w:cs="宋体"/>
          <w:color w:val="auto"/>
          <w:highlight w:val="none"/>
        </w:rPr>
        <w:sectPr>
          <w:headerReference r:id="rId3" w:type="default"/>
          <w:footerReference r:id="rId4" w:type="default"/>
          <w:endnotePr>
            <w:numFmt w:val="decimal"/>
          </w:endnotePr>
          <w:pgSz w:w="11907" w:h="16840"/>
          <w:pgMar w:top="1134" w:right="1134" w:bottom="1134" w:left="1134" w:header="850" w:footer="850" w:gutter="0"/>
          <w:cols w:space="720" w:num="1"/>
          <w:docGrid w:type="lines" w:linePitch="272" w:charSpace="0"/>
        </w:sectPr>
      </w:pPr>
    </w:p>
    <w:p w14:paraId="2B5E0CFB">
      <w:pPr>
        <w:rPr>
          <w:rFonts w:ascii="宋体" w:hAnsi="宋体" w:cs="宋体"/>
          <w:color w:val="auto"/>
          <w:highlight w:val="none"/>
        </w:rPr>
      </w:pPr>
    </w:p>
    <w:p w14:paraId="55902760">
      <w:pPr>
        <w:rPr>
          <w:rFonts w:ascii="宋体" w:hAnsi="宋体" w:cs="宋体"/>
          <w:color w:val="auto"/>
          <w:highlight w:val="none"/>
        </w:rPr>
      </w:pPr>
    </w:p>
    <w:p w14:paraId="6B4AC778">
      <w:pPr>
        <w:rPr>
          <w:rFonts w:ascii="宋体" w:hAnsi="宋体" w:cs="宋体"/>
          <w:color w:val="auto"/>
          <w:highlight w:val="none"/>
        </w:rPr>
      </w:pPr>
    </w:p>
    <w:p w14:paraId="1A08D3B7">
      <w:pPr>
        <w:rPr>
          <w:rFonts w:ascii="宋体" w:hAnsi="宋体" w:cs="宋体"/>
          <w:color w:val="auto"/>
          <w:highlight w:val="none"/>
        </w:rPr>
      </w:pPr>
    </w:p>
    <w:p w14:paraId="0D62B6B3">
      <w:pPr>
        <w:rPr>
          <w:rFonts w:ascii="宋体" w:hAnsi="宋体" w:cs="宋体"/>
          <w:color w:val="auto"/>
          <w:highlight w:val="none"/>
        </w:rPr>
      </w:pPr>
    </w:p>
    <w:p w14:paraId="5E232F8C">
      <w:pPr>
        <w:rPr>
          <w:rFonts w:ascii="宋体" w:hAnsi="宋体" w:cs="宋体"/>
          <w:color w:val="auto"/>
          <w:highlight w:val="none"/>
        </w:rPr>
      </w:pPr>
    </w:p>
    <w:p w14:paraId="6CE57A23">
      <w:pPr>
        <w:rPr>
          <w:rFonts w:ascii="宋体" w:hAnsi="宋体" w:cs="宋体"/>
          <w:color w:val="auto"/>
          <w:highlight w:val="none"/>
        </w:rPr>
      </w:pPr>
    </w:p>
    <w:p w14:paraId="6119C63E">
      <w:pPr>
        <w:rPr>
          <w:rFonts w:ascii="宋体" w:hAnsi="宋体" w:cs="宋体"/>
          <w:color w:val="auto"/>
          <w:highlight w:val="none"/>
        </w:rPr>
      </w:pPr>
    </w:p>
    <w:p w14:paraId="2B872C36">
      <w:pPr>
        <w:rPr>
          <w:rFonts w:ascii="宋体" w:hAnsi="宋体" w:cs="宋体"/>
          <w:color w:val="auto"/>
          <w:highlight w:val="none"/>
        </w:rPr>
      </w:pPr>
    </w:p>
    <w:p w14:paraId="1EC3BF31">
      <w:pPr>
        <w:rPr>
          <w:rFonts w:ascii="宋体" w:hAnsi="宋体" w:cs="宋体"/>
          <w:color w:val="auto"/>
          <w:highlight w:val="none"/>
        </w:rPr>
      </w:pPr>
    </w:p>
    <w:p w14:paraId="3360DA91">
      <w:pPr>
        <w:rPr>
          <w:rFonts w:ascii="宋体" w:hAnsi="宋体" w:cs="宋体"/>
          <w:color w:val="auto"/>
          <w:highlight w:val="none"/>
        </w:rPr>
      </w:pPr>
    </w:p>
    <w:p w14:paraId="52872E66">
      <w:pPr>
        <w:rPr>
          <w:rFonts w:ascii="宋体" w:hAnsi="宋体" w:cs="宋体"/>
          <w:color w:val="auto"/>
          <w:highlight w:val="none"/>
        </w:rPr>
      </w:pPr>
    </w:p>
    <w:p w14:paraId="77CC682A">
      <w:pPr>
        <w:rPr>
          <w:rFonts w:ascii="宋体" w:hAnsi="宋体" w:cs="宋体"/>
          <w:color w:val="auto"/>
          <w:highlight w:val="none"/>
        </w:rPr>
      </w:pPr>
    </w:p>
    <w:p w14:paraId="6E84F693">
      <w:pPr>
        <w:rPr>
          <w:rFonts w:ascii="宋体" w:hAnsi="宋体" w:cs="宋体"/>
          <w:color w:val="auto"/>
          <w:highlight w:val="none"/>
        </w:rPr>
      </w:pPr>
    </w:p>
    <w:p w14:paraId="208BA683">
      <w:pPr>
        <w:rPr>
          <w:rFonts w:ascii="宋体" w:hAnsi="宋体" w:cs="宋体"/>
          <w:color w:val="auto"/>
          <w:highlight w:val="none"/>
        </w:rPr>
      </w:pPr>
    </w:p>
    <w:p w14:paraId="20EEC4A3">
      <w:pPr>
        <w:rPr>
          <w:rFonts w:ascii="宋体" w:hAnsi="宋体" w:cs="宋体"/>
          <w:color w:val="auto"/>
          <w:highlight w:val="none"/>
        </w:rPr>
      </w:pPr>
    </w:p>
    <w:p w14:paraId="58F7C086">
      <w:pPr>
        <w:rPr>
          <w:rFonts w:ascii="宋体" w:hAnsi="宋体" w:cs="宋体"/>
          <w:color w:val="auto"/>
          <w:highlight w:val="none"/>
        </w:rPr>
      </w:pPr>
    </w:p>
    <w:p w14:paraId="1BB2575E">
      <w:pPr>
        <w:rPr>
          <w:rFonts w:ascii="宋体" w:hAnsi="宋体" w:cs="宋体"/>
          <w:color w:val="auto"/>
          <w:highlight w:val="none"/>
        </w:rPr>
      </w:pPr>
    </w:p>
    <w:p w14:paraId="3908056F">
      <w:pPr>
        <w:rPr>
          <w:rFonts w:ascii="宋体" w:hAnsi="宋体" w:cs="宋体"/>
          <w:color w:val="auto"/>
          <w:highlight w:val="none"/>
        </w:rPr>
      </w:pPr>
    </w:p>
    <w:p w14:paraId="3F3BFFDD">
      <w:pPr>
        <w:rPr>
          <w:rFonts w:ascii="宋体" w:hAnsi="宋体" w:cs="宋体"/>
          <w:color w:val="auto"/>
          <w:highlight w:val="none"/>
        </w:rPr>
      </w:pPr>
    </w:p>
    <w:p w14:paraId="2B012923">
      <w:pPr>
        <w:rPr>
          <w:rFonts w:ascii="宋体" w:hAnsi="宋体" w:cs="宋体"/>
          <w:color w:val="auto"/>
          <w:highlight w:val="none"/>
        </w:rPr>
      </w:pPr>
    </w:p>
    <w:p w14:paraId="0C7E57F9">
      <w:pPr>
        <w:rPr>
          <w:rFonts w:ascii="宋体" w:hAnsi="宋体" w:cs="宋体"/>
          <w:color w:val="auto"/>
          <w:highlight w:val="none"/>
        </w:rPr>
      </w:pPr>
    </w:p>
    <w:p w14:paraId="2703174C">
      <w:pPr>
        <w:rPr>
          <w:rFonts w:ascii="宋体" w:hAnsi="宋体" w:cs="宋体"/>
          <w:color w:val="auto"/>
          <w:highlight w:val="none"/>
        </w:rPr>
      </w:pPr>
    </w:p>
    <w:p w14:paraId="6659C83F">
      <w:pPr>
        <w:rPr>
          <w:rFonts w:ascii="宋体" w:hAnsi="宋体" w:cs="宋体"/>
          <w:color w:val="auto"/>
          <w:highlight w:val="none"/>
        </w:rPr>
      </w:pPr>
    </w:p>
    <w:p w14:paraId="5F667664">
      <w:pPr>
        <w:rPr>
          <w:rFonts w:ascii="宋体" w:hAnsi="宋体" w:cs="宋体"/>
          <w:color w:val="auto"/>
          <w:highlight w:val="none"/>
        </w:rPr>
      </w:pPr>
    </w:p>
    <w:p w14:paraId="56FED607">
      <w:pPr>
        <w:rPr>
          <w:rFonts w:ascii="宋体" w:hAnsi="宋体" w:cs="宋体"/>
          <w:color w:val="auto"/>
          <w:highlight w:val="none"/>
        </w:rPr>
      </w:pPr>
    </w:p>
    <w:p w14:paraId="6175A7EE">
      <w:pPr>
        <w:rPr>
          <w:rFonts w:ascii="宋体" w:hAnsi="宋体" w:cs="宋体"/>
          <w:color w:val="auto"/>
          <w:highlight w:val="none"/>
        </w:rPr>
      </w:pPr>
    </w:p>
    <w:p w14:paraId="51961C93">
      <w:pPr>
        <w:rPr>
          <w:rFonts w:ascii="宋体" w:hAnsi="宋体" w:cs="宋体"/>
          <w:color w:val="auto"/>
          <w:highlight w:val="none"/>
        </w:rPr>
        <w:sectPr>
          <w:footerReference r:id="rId5" w:type="default"/>
          <w:endnotePr>
            <w:numFmt w:val="decimal"/>
          </w:endnotePr>
          <w:pgSz w:w="11907" w:h="16840"/>
          <w:pgMar w:top="1134" w:right="1134" w:bottom="1134" w:left="1134" w:header="850" w:footer="850" w:gutter="0"/>
          <w:pgNumType w:start="1"/>
          <w:cols w:space="720" w:num="1"/>
          <w:docGrid w:type="lines" w:linePitch="272" w:charSpace="0"/>
        </w:sectPr>
      </w:pPr>
      <w:bookmarkStart w:id="0" w:name="_Hlt111690251"/>
    </w:p>
    <w:p w14:paraId="3F9E2DA9">
      <w:pPr>
        <w:spacing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目录</w:t>
      </w:r>
    </w:p>
    <w:p w14:paraId="60109ACC">
      <w:pPr>
        <w:pStyle w:val="13"/>
        <w:tabs>
          <w:tab w:val="right" w:leader="dot" w:pos="9639"/>
        </w:tabs>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"_Toc2820" </w:instrText>
      </w:r>
      <w:r>
        <w:rPr>
          <w:color w:val="auto"/>
          <w:highlight w:val="none"/>
        </w:rPr>
        <w:fldChar w:fldCharType="separate"/>
      </w:r>
      <w:r>
        <w:rPr>
          <w:rFonts w:hint="eastAsia" w:ascii="宋体" w:hAnsi="宋体" w:cs="宋体"/>
          <w:snapToGrid w:val="0"/>
          <w:color w:val="auto"/>
          <w:sz w:val="24"/>
          <w:szCs w:val="24"/>
          <w:highlight w:val="none"/>
        </w:rPr>
        <w:t>第一章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0B46E2F">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"_Toc15526" </w:instrText>
      </w:r>
      <w:r>
        <w:rPr>
          <w:color w:val="auto"/>
          <w:highlight w:val="none"/>
        </w:rPr>
        <w:fldChar w:fldCharType="separate"/>
      </w:r>
      <w:r>
        <w:rPr>
          <w:rFonts w:hint="eastAsia" w:ascii="宋体" w:hAnsi="宋体" w:cs="宋体"/>
          <w:snapToGrid w:val="0"/>
          <w:color w:val="auto"/>
          <w:sz w:val="24"/>
          <w:szCs w:val="24"/>
          <w:highlight w:val="none"/>
        </w:rPr>
        <w:t>第一节   投标人须知前附表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_Toc15526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9CFA76B">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"_Toc6717" </w:instrText>
      </w:r>
      <w:r>
        <w:rPr>
          <w:color w:val="auto"/>
          <w:highlight w:val="none"/>
        </w:rPr>
        <w:fldChar w:fldCharType="separate"/>
      </w:r>
      <w:r>
        <w:rPr>
          <w:rFonts w:hint="eastAsia" w:ascii="宋体" w:hAnsi="宋体" w:cs="宋体"/>
          <w:snapToGrid w:val="0"/>
          <w:color w:val="auto"/>
          <w:sz w:val="24"/>
          <w:szCs w:val="24"/>
          <w:highlight w:val="none"/>
        </w:rPr>
        <w:t>第二节   重要事项时间地点一览表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_Toc6717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0D38155">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"_Toc27437" </w:instrText>
      </w:r>
      <w:r>
        <w:rPr>
          <w:color w:val="auto"/>
          <w:highlight w:val="none"/>
        </w:rPr>
        <w:fldChar w:fldCharType="separate"/>
      </w:r>
      <w:r>
        <w:rPr>
          <w:rFonts w:hint="eastAsia" w:ascii="宋体" w:hAnsi="宋体" w:cs="宋体"/>
          <w:snapToGrid w:val="0"/>
          <w:color w:val="auto"/>
          <w:sz w:val="24"/>
          <w:szCs w:val="24"/>
          <w:highlight w:val="none"/>
        </w:rPr>
        <w:t>第三节   投标人须知正文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_Toc27437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0A626E3">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"_Toc14256" </w:instrText>
      </w:r>
      <w:r>
        <w:rPr>
          <w:color w:val="auto"/>
          <w:highlight w:val="none"/>
        </w:rPr>
        <w:fldChar w:fldCharType="separate"/>
      </w:r>
      <w:r>
        <w:rPr>
          <w:rFonts w:hint="eastAsia" w:ascii="宋体" w:hAnsi="宋体" w:cs="宋体"/>
          <w:snapToGrid w:val="0"/>
          <w:color w:val="auto"/>
          <w:sz w:val="24"/>
          <w:szCs w:val="24"/>
          <w:highlight w:val="none"/>
        </w:rPr>
        <w:t>1.工程概况综合说明</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_Toc14256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0F80C3A">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"_Toc24287" </w:instrText>
      </w:r>
      <w:r>
        <w:rPr>
          <w:color w:val="auto"/>
          <w:highlight w:val="none"/>
        </w:rPr>
        <w:fldChar w:fldCharType="separate"/>
      </w:r>
      <w:r>
        <w:rPr>
          <w:rFonts w:hint="eastAsia" w:ascii="宋体" w:hAnsi="宋体" w:cs="宋体"/>
          <w:snapToGrid w:val="0"/>
          <w:color w:val="auto"/>
          <w:sz w:val="24"/>
          <w:szCs w:val="24"/>
          <w:highlight w:val="none"/>
        </w:rPr>
        <w:t>2.招标范围</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_Toc24287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6A5E835">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"_Toc8990" </w:instrText>
      </w:r>
      <w:r>
        <w:rPr>
          <w:color w:val="auto"/>
          <w:highlight w:val="none"/>
        </w:rPr>
        <w:fldChar w:fldCharType="separate"/>
      </w:r>
      <w:r>
        <w:rPr>
          <w:rFonts w:hint="eastAsia" w:ascii="宋体" w:hAnsi="宋体" w:cs="宋体"/>
          <w:snapToGrid w:val="0"/>
          <w:color w:val="auto"/>
          <w:sz w:val="24"/>
          <w:szCs w:val="24"/>
          <w:highlight w:val="none"/>
        </w:rPr>
        <w:t>3.工期要求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_Toc8990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304841F">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"_Toc18738" </w:instrText>
      </w:r>
      <w:r>
        <w:rPr>
          <w:color w:val="auto"/>
          <w:highlight w:val="none"/>
        </w:rPr>
        <w:fldChar w:fldCharType="separate"/>
      </w:r>
      <w:r>
        <w:rPr>
          <w:rFonts w:hint="eastAsia" w:ascii="宋体" w:hAnsi="宋体" w:cs="宋体"/>
          <w:snapToGrid w:val="0"/>
          <w:color w:val="auto"/>
          <w:sz w:val="24"/>
          <w:szCs w:val="24"/>
          <w:highlight w:val="none"/>
        </w:rPr>
        <w:t>4.投标人资质等级及人员要求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_Toc18738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7A2C485">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"_Toc24049" </w:instrText>
      </w:r>
      <w:r>
        <w:rPr>
          <w:color w:val="auto"/>
          <w:highlight w:val="none"/>
        </w:rPr>
        <w:fldChar w:fldCharType="separate"/>
      </w:r>
      <w:r>
        <w:rPr>
          <w:rFonts w:hint="eastAsia" w:ascii="宋体" w:hAnsi="宋体" w:cs="宋体"/>
          <w:snapToGrid w:val="0"/>
          <w:color w:val="auto"/>
          <w:sz w:val="24"/>
          <w:szCs w:val="24"/>
          <w:highlight w:val="none"/>
        </w:rPr>
        <w:t>5.招标文件获取</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_Toc24049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6E30D15">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"_Toc11373" </w:instrText>
      </w:r>
      <w:r>
        <w:rPr>
          <w:color w:val="auto"/>
          <w:highlight w:val="none"/>
        </w:rPr>
        <w:fldChar w:fldCharType="separate"/>
      </w:r>
      <w:r>
        <w:rPr>
          <w:rFonts w:hint="eastAsia" w:ascii="宋体" w:hAnsi="宋体" w:cs="宋体"/>
          <w:snapToGrid w:val="0"/>
          <w:color w:val="auto"/>
          <w:sz w:val="24"/>
          <w:szCs w:val="24"/>
          <w:highlight w:val="none"/>
        </w:rPr>
        <w:t>6.设计工程内容和质量标准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_Toc11373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8807D93">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"_Toc30141" </w:instrText>
      </w:r>
      <w:r>
        <w:rPr>
          <w:color w:val="auto"/>
          <w:highlight w:val="none"/>
        </w:rPr>
        <w:fldChar w:fldCharType="separate"/>
      </w:r>
      <w:r>
        <w:rPr>
          <w:rFonts w:hint="eastAsia" w:ascii="宋体" w:hAnsi="宋体" w:cs="宋体"/>
          <w:snapToGrid w:val="0"/>
          <w:color w:val="auto"/>
          <w:sz w:val="24"/>
          <w:szCs w:val="24"/>
          <w:highlight w:val="none"/>
        </w:rPr>
        <w:t>7.现场踏勘</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_Toc30141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74FDCB4">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"_Toc10934" </w:instrText>
      </w:r>
      <w:r>
        <w:rPr>
          <w:color w:val="auto"/>
          <w:highlight w:val="none"/>
        </w:rPr>
        <w:fldChar w:fldCharType="separate"/>
      </w:r>
      <w:r>
        <w:rPr>
          <w:rFonts w:hint="eastAsia" w:ascii="宋体" w:hAnsi="宋体" w:cs="宋体"/>
          <w:snapToGrid w:val="0"/>
          <w:color w:val="auto"/>
          <w:sz w:val="24"/>
          <w:szCs w:val="24"/>
          <w:highlight w:val="none"/>
        </w:rPr>
        <w:t>8.招标答疑</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_Toc10934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E8B43FD">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"_Toc2940" </w:instrText>
      </w:r>
      <w:r>
        <w:rPr>
          <w:color w:val="auto"/>
          <w:highlight w:val="none"/>
        </w:rPr>
        <w:fldChar w:fldCharType="separate"/>
      </w:r>
      <w:r>
        <w:rPr>
          <w:rFonts w:hint="eastAsia" w:ascii="宋体" w:hAnsi="宋体" w:cs="宋体"/>
          <w:snapToGrid w:val="0"/>
          <w:color w:val="auto"/>
          <w:sz w:val="24"/>
          <w:szCs w:val="24"/>
          <w:highlight w:val="none"/>
        </w:rPr>
        <w:t>9.最高投标限价的确定及投标报价的约定</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_Toc2940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1394C89">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"_Toc4804" </w:instrText>
      </w:r>
      <w:r>
        <w:rPr>
          <w:color w:val="auto"/>
          <w:highlight w:val="none"/>
        </w:rPr>
        <w:fldChar w:fldCharType="separate"/>
      </w:r>
      <w:r>
        <w:rPr>
          <w:rFonts w:hint="eastAsia" w:ascii="宋体" w:hAnsi="宋体" w:cs="宋体"/>
          <w:snapToGrid w:val="0"/>
          <w:color w:val="auto"/>
          <w:sz w:val="24"/>
          <w:szCs w:val="24"/>
          <w:highlight w:val="none"/>
        </w:rPr>
        <w:t>10.投标文件的编制要求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_Toc4804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A8CC7DB">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"_Toc17939" </w:instrText>
      </w:r>
      <w:r>
        <w:rPr>
          <w:color w:val="auto"/>
          <w:highlight w:val="none"/>
        </w:rPr>
        <w:fldChar w:fldCharType="separate"/>
      </w:r>
      <w:r>
        <w:rPr>
          <w:rFonts w:hint="eastAsia" w:ascii="宋体" w:hAnsi="宋体" w:cs="宋体"/>
          <w:snapToGrid w:val="0"/>
          <w:color w:val="auto"/>
          <w:sz w:val="24"/>
          <w:szCs w:val="24"/>
          <w:highlight w:val="none"/>
        </w:rPr>
        <w:t>11.投标文件的编制依据</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_Toc17939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8B7C6F5">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"_Toc16100" </w:instrText>
      </w:r>
      <w:r>
        <w:rPr>
          <w:color w:val="auto"/>
          <w:highlight w:val="none"/>
        </w:rPr>
        <w:fldChar w:fldCharType="separate"/>
      </w:r>
      <w:r>
        <w:rPr>
          <w:rFonts w:hint="eastAsia" w:ascii="宋体" w:hAnsi="宋体" w:cs="宋体"/>
          <w:snapToGrid w:val="0"/>
          <w:color w:val="auto"/>
          <w:sz w:val="24"/>
          <w:szCs w:val="24"/>
          <w:highlight w:val="none"/>
        </w:rPr>
        <w:t>12.电子投标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_Toc16100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CAFE911">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"_Toc4516" </w:instrText>
      </w:r>
      <w:r>
        <w:rPr>
          <w:color w:val="auto"/>
          <w:highlight w:val="none"/>
        </w:rPr>
        <w:fldChar w:fldCharType="separate"/>
      </w:r>
      <w:r>
        <w:rPr>
          <w:rFonts w:hint="eastAsia" w:ascii="宋体" w:hAnsi="宋体" w:cs="宋体"/>
          <w:snapToGrid w:val="0"/>
          <w:color w:val="auto"/>
          <w:sz w:val="24"/>
          <w:szCs w:val="24"/>
          <w:highlight w:val="none"/>
        </w:rPr>
        <w:t>13.投标文件的提交</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_Toc4516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09A059B">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"_Toc16761" </w:instrText>
      </w:r>
      <w:r>
        <w:rPr>
          <w:color w:val="auto"/>
          <w:highlight w:val="none"/>
        </w:rPr>
        <w:fldChar w:fldCharType="separate"/>
      </w:r>
      <w:r>
        <w:rPr>
          <w:rFonts w:hint="eastAsia" w:ascii="宋体" w:hAnsi="宋体" w:cs="宋体"/>
          <w:snapToGrid w:val="0"/>
          <w:color w:val="auto"/>
          <w:sz w:val="24"/>
          <w:szCs w:val="24"/>
          <w:highlight w:val="none"/>
        </w:rPr>
        <w:t>14.投标有效期</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367A4C">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"_Toc23216" </w:instrText>
      </w:r>
      <w:r>
        <w:rPr>
          <w:color w:val="auto"/>
          <w:highlight w:val="none"/>
        </w:rPr>
        <w:fldChar w:fldCharType="separate"/>
      </w:r>
      <w:r>
        <w:rPr>
          <w:rFonts w:hint="eastAsia" w:ascii="宋体" w:hAnsi="宋体" w:cs="宋体"/>
          <w:snapToGrid w:val="0"/>
          <w:color w:val="auto"/>
          <w:sz w:val="24"/>
          <w:szCs w:val="24"/>
          <w:highlight w:val="none"/>
        </w:rPr>
        <w:t>15.开标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_Toc23216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94E7928">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"_Toc29209" </w:instrText>
      </w:r>
      <w:r>
        <w:rPr>
          <w:color w:val="auto"/>
          <w:highlight w:val="none"/>
        </w:rPr>
        <w:fldChar w:fldCharType="separate"/>
      </w:r>
      <w:r>
        <w:rPr>
          <w:rFonts w:hint="eastAsia" w:ascii="宋体" w:hAnsi="宋体" w:cs="宋体"/>
          <w:snapToGrid w:val="0"/>
          <w:color w:val="auto"/>
          <w:sz w:val="24"/>
          <w:szCs w:val="24"/>
          <w:highlight w:val="none"/>
        </w:rPr>
        <w:t>16.电子投标及评标时突发补救方案</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_Toc29209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182DBBC">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"_Toc11040" </w:instrText>
      </w:r>
      <w:r>
        <w:rPr>
          <w:color w:val="auto"/>
          <w:highlight w:val="none"/>
        </w:rPr>
        <w:fldChar w:fldCharType="separate"/>
      </w:r>
      <w:r>
        <w:rPr>
          <w:rFonts w:hint="eastAsia" w:ascii="宋体" w:hAnsi="宋体" w:cs="宋体"/>
          <w:snapToGrid w:val="0"/>
          <w:color w:val="auto"/>
          <w:sz w:val="24"/>
          <w:szCs w:val="24"/>
          <w:highlight w:val="none"/>
        </w:rPr>
        <w:t>17.评标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_Toc11040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622AD10">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"_Toc18679" </w:instrText>
      </w:r>
      <w:r>
        <w:rPr>
          <w:color w:val="auto"/>
          <w:highlight w:val="none"/>
        </w:rPr>
        <w:fldChar w:fldCharType="separate"/>
      </w:r>
      <w:r>
        <w:rPr>
          <w:rFonts w:hint="eastAsia" w:ascii="宋体" w:hAnsi="宋体" w:cs="宋体"/>
          <w:snapToGrid w:val="0"/>
          <w:color w:val="auto"/>
          <w:sz w:val="24"/>
          <w:szCs w:val="24"/>
          <w:highlight w:val="none"/>
        </w:rPr>
        <w:t>18.推荐中标候选人</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_Toc18679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ED9A246">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"_Toc163" </w:instrText>
      </w:r>
      <w:r>
        <w:rPr>
          <w:color w:val="auto"/>
          <w:highlight w:val="none"/>
        </w:rPr>
        <w:fldChar w:fldCharType="separate"/>
      </w:r>
      <w:r>
        <w:rPr>
          <w:rFonts w:hint="eastAsia" w:ascii="宋体" w:hAnsi="宋体" w:cs="宋体"/>
          <w:snapToGrid w:val="0"/>
          <w:color w:val="auto"/>
          <w:sz w:val="24"/>
          <w:szCs w:val="24"/>
          <w:highlight w:val="none"/>
        </w:rPr>
        <w:t>19.中标候选人公示</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48FF13E">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"_Toc8763" </w:instrText>
      </w:r>
      <w:r>
        <w:rPr>
          <w:color w:val="auto"/>
          <w:highlight w:val="none"/>
        </w:rPr>
        <w:fldChar w:fldCharType="separate"/>
      </w:r>
      <w:r>
        <w:rPr>
          <w:rFonts w:hint="eastAsia" w:ascii="宋体" w:hAnsi="宋体" w:cs="宋体"/>
          <w:snapToGrid w:val="0"/>
          <w:color w:val="auto"/>
          <w:sz w:val="24"/>
          <w:szCs w:val="24"/>
          <w:highlight w:val="none"/>
        </w:rPr>
        <w:t>第四节   否决投标条件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_Toc8763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7102DD2">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"_Toc12045" </w:instrText>
      </w:r>
      <w:r>
        <w:rPr>
          <w:color w:val="auto"/>
          <w:highlight w:val="none"/>
        </w:rPr>
        <w:fldChar w:fldCharType="separate"/>
      </w:r>
      <w:r>
        <w:rPr>
          <w:rFonts w:hint="eastAsia" w:ascii="宋体" w:hAnsi="宋体" w:cs="宋体"/>
          <w:snapToGrid w:val="0"/>
          <w:color w:val="auto"/>
          <w:sz w:val="24"/>
          <w:szCs w:val="24"/>
          <w:highlight w:val="none"/>
        </w:rPr>
        <w:t>1.资格评审环节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_Toc12045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064D554">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"_Toc4468" </w:instrText>
      </w:r>
      <w:r>
        <w:rPr>
          <w:color w:val="auto"/>
          <w:highlight w:val="none"/>
        </w:rPr>
        <w:fldChar w:fldCharType="separate"/>
      </w:r>
      <w:r>
        <w:rPr>
          <w:rFonts w:hint="eastAsia" w:ascii="宋体" w:hAnsi="宋体" w:cs="宋体"/>
          <w:snapToGrid w:val="0"/>
          <w:color w:val="auto"/>
          <w:sz w:val="24"/>
          <w:szCs w:val="24"/>
          <w:highlight w:val="none"/>
        </w:rPr>
        <w:t>2.形式评审环节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_Toc4468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D77F2E6">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"_Toc30362" </w:instrText>
      </w:r>
      <w:r>
        <w:rPr>
          <w:color w:val="auto"/>
          <w:highlight w:val="none"/>
        </w:rPr>
        <w:fldChar w:fldCharType="separate"/>
      </w:r>
      <w:r>
        <w:rPr>
          <w:rFonts w:hint="eastAsia" w:ascii="宋体" w:hAnsi="宋体" w:cs="宋体"/>
          <w:snapToGrid w:val="0"/>
          <w:color w:val="auto"/>
          <w:sz w:val="24"/>
          <w:szCs w:val="24"/>
          <w:highlight w:val="none"/>
        </w:rPr>
        <w:t>3.响应性评审环节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_Toc30362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1B9AFAB">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"_Toc27980" </w:instrText>
      </w:r>
      <w:r>
        <w:rPr>
          <w:color w:val="auto"/>
          <w:highlight w:val="none"/>
        </w:rPr>
        <w:fldChar w:fldCharType="separate"/>
      </w:r>
      <w:r>
        <w:rPr>
          <w:rFonts w:hint="eastAsia" w:ascii="宋体" w:hAnsi="宋体" w:cs="宋体"/>
          <w:snapToGrid w:val="0"/>
          <w:color w:val="auto"/>
          <w:sz w:val="24"/>
          <w:szCs w:val="24"/>
          <w:highlight w:val="none"/>
        </w:rPr>
        <w:t>4.其他</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_Toc27980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40EF6DC">
      <w:pPr>
        <w:pStyle w:val="13"/>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"_Toc30007" </w:instrText>
      </w:r>
      <w:r>
        <w:rPr>
          <w:color w:val="auto"/>
          <w:highlight w:val="none"/>
        </w:rPr>
        <w:fldChar w:fldCharType="separate"/>
      </w:r>
      <w:r>
        <w:rPr>
          <w:rFonts w:hint="eastAsia" w:ascii="宋体" w:hAnsi="宋体" w:cs="宋体"/>
          <w:snapToGrid w:val="0"/>
          <w:color w:val="auto"/>
          <w:sz w:val="24"/>
          <w:szCs w:val="24"/>
          <w:highlight w:val="none"/>
        </w:rPr>
        <w:t>第二章   拟签订合同的主要条款</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_Toc30007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EEE88D1">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"_Toc15907" </w:instrText>
      </w:r>
      <w:r>
        <w:rPr>
          <w:color w:val="auto"/>
          <w:highlight w:val="none"/>
        </w:rPr>
        <w:fldChar w:fldCharType="separate"/>
      </w:r>
      <w:r>
        <w:rPr>
          <w:rFonts w:hint="eastAsia" w:ascii="宋体" w:hAnsi="宋体" w:cs="宋体"/>
          <w:snapToGrid w:val="0"/>
          <w:color w:val="auto"/>
          <w:sz w:val="24"/>
          <w:szCs w:val="24"/>
          <w:highlight w:val="none"/>
        </w:rPr>
        <w:t>1.承包方式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_Toc15907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08C512B">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"_Toc4938" </w:instrText>
      </w:r>
      <w:r>
        <w:rPr>
          <w:color w:val="auto"/>
          <w:highlight w:val="none"/>
        </w:rPr>
        <w:fldChar w:fldCharType="separate"/>
      </w:r>
      <w:r>
        <w:rPr>
          <w:rFonts w:hint="eastAsia" w:ascii="宋体" w:hAnsi="宋体" w:cs="宋体"/>
          <w:snapToGrid w:val="0"/>
          <w:color w:val="auto"/>
          <w:sz w:val="24"/>
          <w:szCs w:val="24"/>
          <w:highlight w:val="none"/>
        </w:rPr>
        <w:t>2.合同价款支付办法及结算原则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_Toc4938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A852367">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"_Toc20031" </w:instrText>
      </w:r>
      <w:r>
        <w:rPr>
          <w:color w:val="auto"/>
          <w:highlight w:val="none"/>
        </w:rPr>
        <w:fldChar w:fldCharType="separate"/>
      </w:r>
      <w:r>
        <w:rPr>
          <w:rFonts w:hint="eastAsia" w:ascii="宋体" w:hAnsi="宋体" w:cs="宋体"/>
          <w:snapToGrid w:val="0"/>
          <w:color w:val="auto"/>
          <w:sz w:val="24"/>
          <w:szCs w:val="24"/>
          <w:highlight w:val="none"/>
        </w:rPr>
        <w:t>3.最终以合同签订为准（由招标人自行补充）</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_Toc20031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93E8998">
      <w:pPr>
        <w:pStyle w:val="13"/>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"_Toc20372" </w:instrText>
      </w:r>
      <w:r>
        <w:rPr>
          <w:color w:val="auto"/>
          <w:highlight w:val="none"/>
        </w:rPr>
        <w:fldChar w:fldCharType="separate"/>
      </w:r>
      <w:r>
        <w:rPr>
          <w:rFonts w:hint="eastAsia" w:ascii="宋体" w:hAnsi="宋体" w:cs="宋体"/>
          <w:snapToGrid w:val="0"/>
          <w:color w:val="auto"/>
          <w:sz w:val="24"/>
          <w:szCs w:val="24"/>
          <w:highlight w:val="none"/>
        </w:rPr>
        <w:t>第三章   中标人须知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_Toc20372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381B39E">
      <w:pPr>
        <w:pStyle w:val="13"/>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"_Toc3650" </w:instrText>
      </w:r>
      <w:r>
        <w:rPr>
          <w:color w:val="auto"/>
          <w:highlight w:val="none"/>
        </w:rPr>
        <w:fldChar w:fldCharType="separate"/>
      </w:r>
      <w:r>
        <w:rPr>
          <w:rFonts w:hint="eastAsia" w:ascii="宋体" w:hAnsi="宋体" w:cs="宋体"/>
          <w:snapToGrid w:val="0"/>
          <w:color w:val="auto"/>
          <w:kern w:val="0"/>
          <w:sz w:val="24"/>
          <w:szCs w:val="24"/>
          <w:highlight w:val="none"/>
        </w:rPr>
        <w:t>第四章   招标项目的设计要求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_Toc3650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9A7D5CE">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"_Toc12369" </w:instrText>
      </w:r>
      <w:r>
        <w:rPr>
          <w:color w:val="auto"/>
          <w:highlight w:val="none"/>
        </w:rPr>
        <w:fldChar w:fldCharType="separate"/>
      </w:r>
      <w:r>
        <w:rPr>
          <w:rFonts w:hint="eastAsia" w:ascii="宋体" w:hAnsi="宋体" w:cs="宋体"/>
          <w:snapToGrid w:val="0"/>
          <w:color w:val="auto"/>
          <w:sz w:val="24"/>
          <w:szCs w:val="24"/>
          <w:highlight w:val="none"/>
        </w:rPr>
        <w:t>1.工程的技术要求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_Toc12369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DA831A5">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"_Toc20275" </w:instrText>
      </w:r>
      <w:r>
        <w:rPr>
          <w:color w:val="auto"/>
          <w:highlight w:val="none"/>
        </w:rPr>
        <w:fldChar w:fldCharType="separate"/>
      </w:r>
      <w:r>
        <w:rPr>
          <w:rFonts w:hint="eastAsia" w:ascii="宋体" w:hAnsi="宋体" w:cs="宋体"/>
          <w:snapToGrid w:val="0"/>
          <w:color w:val="auto"/>
          <w:sz w:val="24"/>
          <w:szCs w:val="24"/>
          <w:highlight w:val="none"/>
        </w:rPr>
        <w:t>2.备查要求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_Toc20275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47355DF">
      <w:pPr>
        <w:pStyle w:val="13"/>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"_Toc1035" </w:instrText>
      </w:r>
      <w:r>
        <w:rPr>
          <w:color w:val="auto"/>
          <w:highlight w:val="none"/>
        </w:rPr>
        <w:fldChar w:fldCharType="separate"/>
      </w:r>
      <w:r>
        <w:rPr>
          <w:rFonts w:hint="eastAsia" w:ascii="宋体" w:hAnsi="宋体" w:cs="宋体"/>
          <w:snapToGrid w:val="0"/>
          <w:color w:val="auto"/>
          <w:kern w:val="0"/>
          <w:sz w:val="24"/>
          <w:szCs w:val="24"/>
          <w:highlight w:val="none"/>
        </w:rPr>
        <w:t>第五章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_Toc1035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9AC9FA0">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"_Toc3833" </w:instrText>
      </w:r>
      <w:r>
        <w:rPr>
          <w:color w:val="auto"/>
          <w:highlight w:val="none"/>
        </w:rPr>
        <w:fldChar w:fldCharType="separate"/>
      </w:r>
      <w:r>
        <w:rPr>
          <w:rFonts w:hint="eastAsia" w:ascii="宋体" w:hAnsi="宋体" w:cs="宋体"/>
          <w:snapToGrid w:val="0"/>
          <w:color w:val="auto"/>
          <w:sz w:val="24"/>
          <w:szCs w:val="24"/>
          <w:highlight w:val="none"/>
        </w:rPr>
        <w:t>格式一   封面</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_Toc3833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4392D71">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"_Toc6148" </w:instrText>
      </w:r>
      <w:r>
        <w:rPr>
          <w:color w:val="auto"/>
          <w:highlight w:val="none"/>
        </w:rPr>
        <w:fldChar w:fldCharType="separate"/>
      </w:r>
      <w:r>
        <w:rPr>
          <w:rFonts w:hint="eastAsia" w:ascii="宋体" w:hAnsi="宋体" w:cs="宋体"/>
          <w:snapToGrid w:val="0"/>
          <w:color w:val="auto"/>
          <w:sz w:val="24"/>
          <w:szCs w:val="24"/>
          <w:highlight w:val="none"/>
        </w:rPr>
        <w:t>格式二   投标函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_Toc6148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C2236C5">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"_Toc19668" </w:instrText>
      </w:r>
      <w:r>
        <w:rPr>
          <w:color w:val="auto"/>
          <w:highlight w:val="none"/>
        </w:rPr>
        <w:fldChar w:fldCharType="separate"/>
      </w:r>
      <w:r>
        <w:rPr>
          <w:rFonts w:hint="eastAsia" w:ascii="宋体" w:hAnsi="宋体" w:cs="宋体"/>
          <w:snapToGrid w:val="0"/>
          <w:color w:val="auto"/>
          <w:sz w:val="24"/>
          <w:szCs w:val="24"/>
          <w:highlight w:val="none"/>
        </w:rPr>
        <w:t>格式三   工程项目报价表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_Toc19668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F9FBDB">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"_Toc5692" </w:instrText>
      </w:r>
      <w:r>
        <w:rPr>
          <w:color w:val="auto"/>
          <w:highlight w:val="none"/>
        </w:rPr>
        <w:fldChar w:fldCharType="separate"/>
      </w:r>
      <w:r>
        <w:rPr>
          <w:rFonts w:hint="eastAsia" w:ascii="宋体" w:hAnsi="宋体" w:cs="宋体"/>
          <w:snapToGrid w:val="0"/>
          <w:color w:val="auto"/>
          <w:sz w:val="24"/>
          <w:szCs w:val="24"/>
          <w:highlight w:val="none"/>
        </w:rPr>
        <w:t>格式四   各项承诺一览表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_Toc5692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FE51C99">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"_Toc15210" </w:instrText>
      </w:r>
      <w:r>
        <w:rPr>
          <w:color w:val="auto"/>
          <w:highlight w:val="none"/>
        </w:rPr>
        <w:fldChar w:fldCharType="separate"/>
      </w:r>
      <w:r>
        <w:rPr>
          <w:rFonts w:hint="eastAsia" w:ascii="宋体" w:hAnsi="宋体" w:cs="宋体"/>
          <w:snapToGrid w:val="0"/>
          <w:color w:val="auto"/>
          <w:sz w:val="24"/>
          <w:szCs w:val="24"/>
          <w:highlight w:val="none"/>
        </w:rPr>
        <w:t>格式五   投标人基本情况表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_Toc15210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1A3DC54">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"_Toc23780" </w:instrText>
      </w:r>
      <w:r>
        <w:rPr>
          <w:color w:val="auto"/>
          <w:highlight w:val="none"/>
        </w:rPr>
        <w:fldChar w:fldCharType="separate"/>
      </w:r>
      <w:r>
        <w:rPr>
          <w:rFonts w:hint="eastAsia" w:ascii="宋体" w:hAnsi="宋体" w:cs="宋体"/>
          <w:snapToGrid w:val="0"/>
          <w:color w:val="auto"/>
          <w:sz w:val="24"/>
          <w:szCs w:val="24"/>
          <w:highlight w:val="none"/>
        </w:rPr>
        <w:t>格式六   设计负责人简历表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_Toc23780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5D33BF3">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"_Toc17878" </w:instrText>
      </w:r>
      <w:r>
        <w:rPr>
          <w:color w:val="auto"/>
          <w:highlight w:val="none"/>
        </w:rPr>
        <w:fldChar w:fldCharType="separate"/>
      </w:r>
      <w:r>
        <w:rPr>
          <w:rFonts w:hint="eastAsia" w:ascii="宋体" w:hAnsi="宋体" w:cs="宋体"/>
          <w:snapToGrid w:val="0"/>
          <w:color w:val="auto"/>
          <w:sz w:val="24"/>
          <w:szCs w:val="24"/>
          <w:highlight w:val="none"/>
        </w:rPr>
        <w:t>格式七   本项目拟投入的人员基本情况表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_Toc17878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DC31BDB">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"_Toc24977" </w:instrText>
      </w:r>
      <w:r>
        <w:rPr>
          <w:color w:val="auto"/>
          <w:highlight w:val="none"/>
        </w:rPr>
        <w:fldChar w:fldCharType="separate"/>
      </w:r>
      <w:r>
        <w:rPr>
          <w:rFonts w:hint="eastAsia" w:ascii="宋体" w:hAnsi="宋体" w:cs="宋体"/>
          <w:snapToGrid w:val="0"/>
          <w:color w:val="auto"/>
          <w:sz w:val="24"/>
          <w:szCs w:val="24"/>
          <w:highlight w:val="none"/>
        </w:rPr>
        <w:t>格式八   法定代表人身份证明书</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_Toc24977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B0386E9">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"_Toc3742" </w:instrText>
      </w:r>
      <w:r>
        <w:rPr>
          <w:color w:val="auto"/>
          <w:highlight w:val="none"/>
        </w:rPr>
        <w:fldChar w:fldCharType="separate"/>
      </w:r>
      <w:r>
        <w:rPr>
          <w:rFonts w:hint="eastAsia" w:ascii="宋体" w:hAnsi="宋体" w:cs="宋体"/>
          <w:snapToGrid w:val="0"/>
          <w:color w:val="auto"/>
          <w:sz w:val="24"/>
          <w:szCs w:val="24"/>
          <w:highlight w:val="none"/>
        </w:rPr>
        <w:t>格式九   法定代表人授权委托书</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_Toc3742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8B0ACE5">
      <w:pPr>
        <w:pStyle w:val="14"/>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"_Toc15082" </w:instrText>
      </w:r>
      <w:r>
        <w:rPr>
          <w:color w:val="auto"/>
          <w:highlight w:val="none"/>
        </w:rPr>
        <w:fldChar w:fldCharType="separate"/>
      </w:r>
      <w:r>
        <w:rPr>
          <w:rFonts w:hint="eastAsia" w:ascii="宋体" w:hAnsi="宋体" w:cs="宋体"/>
          <w:snapToGrid w:val="0"/>
          <w:color w:val="auto"/>
          <w:sz w:val="24"/>
          <w:szCs w:val="24"/>
          <w:highlight w:val="none"/>
        </w:rPr>
        <w:t>格式十   联合体协议书</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_Toc15082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1A9C4E1">
      <w:pPr>
        <w:pStyle w:val="13"/>
        <w:tabs>
          <w:tab w:val="right" w:leader="dot" w:pos="9639"/>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"_Toc16159" </w:instrText>
      </w:r>
      <w:r>
        <w:rPr>
          <w:color w:val="auto"/>
          <w:highlight w:val="none"/>
        </w:rPr>
        <w:fldChar w:fldCharType="separate"/>
      </w:r>
      <w:r>
        <w:rPr>
          <w:rFonts w:hint="eastAsia" w:ascii="宋体" w:hAnsi="宋体" w:cs="宋体"/>
          <w:snapToGrid w:val="0"/>
          <w:color w:val="auto"/>
          <w:kern w:val="0"/>
          <w:sz w:val="24"/>
          <w:szCs w:val="24"/>
          <w:highlight w:val="none"/>
        </w:rPr>
        <w:t>第六章   其他资料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_Toc16159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37637C8">
      <w:pPr>
        <w:spacing w:line="480" w:lineRule="auto"/>
        <w:rPr>
          <w:rFonts w:ascii="宋体" w:hAnsi="宋体" w:cs="宋体"/>
          <w:color w:val="auto"/>
          <w:highlight w:val="none"/>
        </w:rPr>
      </w:pPr>
      <w:r>
        <w:rPr>
          <w:rFonts w:hint="eastAsia" w:ascii="宋体" w:hAnsi="宋体" w:cs="宋体"/>
          <w:color w:val="auto"/>
          <w:sz w:val="24"/>
          <w:szCs w:val="24"/>
          <w:highlight w:val="none"/>
        </w:rPr>
        <w:fldChar w:fldCharType="end"/>
      </w:r>
    </w:p>
    <w:p w14:paraId="3F8B615D">
      <w:pPr>
        <w:pStyle w:val="2"/>
        <w:wordWrap w:val="0"/>
        <w:autoSpaceDE/>
        <w:autoSpaceDN/>
        <w:snapToGrid w:val="0"/>
        <w:spacing w:line="440" w:lineRule="exact"/>
        <w:jc w:val="center"/>
        <w:rPr>
          <w:rFonts w:hint="eastAsia" w:ascii="宋体" w:hAnsi="宋体" w:cs="宋体"/>
          <w:b/>
          <w:snapToGrid w:val="0"/>
          <w:color w:val="auto"/>
          <w:sz w:val="24"/>
          <w:highlight w:val="none"/>
        </w:rPr>
        <w:sectPr>
          <w:footerReference r:id="rId6" w:type="default"/>
          <w:endnotePr>
            <w:numFmt w:val="decimal"/>
          </w:endnotePr>
          <w:pgSz w:w="11907" w:h="16840"/>
          <w:pgMar w:top="1134" w:right="1134" w:bottom="1134" w:left="1134" w:header="850" w:footer="850" w:gutter="0"/>
          <w:pgNumType w:start="1"/>
          <w:cols w:space="720" w:num="1"/>
          <w:docGrid w:type="lines" w:linePitch="272" w:charSpace="0"/>
        </w:sectPr>
      </w:pPr>
      <w:bookmarkStart w:id="1" w:name="_Toc2820"/>
    </w:p>
    <w:p w14:paraId="3F1E1102">
      <w:pPr>
        <w:pStyle w:val="2"/>
        <w:wordWrap w:val="0"/>
        <w:autoSpaceDE/>
        <w:autoSpaceDN/>
        <w:snapToGrid w:val="0"/>
        <w:spacing w:line="440" w:lineRule="exact"/>
        <w:jc w:val="center"/>
        <w:rPr>
          <w:rFonts w:ascii="宋体" w:hAnsi="宋体" w:cs="宋体"/>
          <w:b/>
          <w:snapToGrid w:val="0"/>
          <w:color w:val="auto"/>
          <w:sz w:val="24"/>
          <w:highlight w:val="none"/>
        </w:rPr>
      </w:pPr>
      <w:r>
        <w:rPr>
          <w:rFonts w:hint="eastAsia" w:ascii="宋体" w:hAnsi="宋体" w:cs="宋体"/>
          <w:b/>
          <w:snapToGrid w:val="0"/>
          <w:color w:val="auto"/>
          <w:sz w:val="24"/>
          <w:highlight w:val="none"/>
        </w:rPr>
        <w:t>第一章   投标人须知</w:t>
      </w:r>
      <w:bookmarkEnd w:id="1"/>
    </w:p>
    <w:p w14:paraId="3F75DA61">
      <w:pPr>
        <w:pStyle w:val="3"/>
        <w:wordWrap w:val="0"/>
        <w:autoSpaceDE/>
        <w:autoSpaceDN/>
        <w:snapToGrid w:val="0"/>
        <w:spacing w:before="260" w:after="260"/>
        <w:jc w:val="both"/>
        <w:rPr>
          <w:rFonts w:ascii="宋体" w:hAnsi="宋体" w:cs="宋体"/>
          <w:b/>
          <w:snapToGrid w:val="0"/>
          <w:color w:val="auto"/>
          <w:sz w:val="24"/>
          <w:highlight w:val="none"/>
        </w:rPr>
      </w:pPr>
      <w:bookmarkStart w:id="2" w:name="_Hlt127175444"/>
      <w:bookmarkEnd w:id="2"/>
      <w:bookmarkStart w:id="3" w:name="_Toc2102"/>
      <w:bookmarkStart w:id="4" w:name="_Toc15526"/>
      <w:bookmarkStart w:id="5" w:name="_Toc7880"/>
      <w:bookmarkStart w:id="6" w:name="_Toc13792"/>
      <w:bookmarkStart w:id="7" w:name="_Toc12674"/>
      <w:bookmarkStart w:id="8" w:name="_Hlt120077520"/>
      <w:r>
        <w:rPr>
          <w:rFonts w:hint="eastAsia" w:ascii="宋体" w:hAnsi="宋体" w:cs="宋体"/>
          <w:b/>
          <w:snapToGrid w:val="0"/>
          <w:color w:val="auto"/>
          <w:sz w:val="24"/>
          <w:highlight w:val="none"/>
        </w:rPr>
        <w:t>第一节   投标人须知前附表</w:t>
      </w:r>
      <w:bookmarkEnd w:id="3"/>
      <w:bookmarkEnd w:id="4"/>
      <w:bookmarkEnd w:id="5"/>
      <w:bookmarkEnd w:id="6"/>
      <w:bookmarkEnd w:id="7"/>
    </w:p>
    <w:tbl>
      <w:tblPr>
        <w:tblStyle w:val="18"/>
        <w:tblW w:w="9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700"/>
        <w:gridCol w:w="7528"/>
      </w:tblGrid>
      <w:tr w14:paraId="4945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1ECCD87E">
            <w:pPr>
              <w:pStyle w:val="25"/>
              <w:jc w:val="center"/>
              <w:rPr>
                <w:rFonts w:hAnsi="宋体" w:cs="宋体"/>
                <w:b/>
                <w:bCs/>
                <w:color w:val="auto"/>
                <w:highlight w:val="none"/>
              </w:rPr>
            </w:pPr>
            <w:r>
              <w:rPr>
                <w:rFonts w:hint="eastAsia" w:hAnsi="宋体" w:cs="宋体"/>
                <w:b/>
                <w:bCs/>
                <w:color w:val="auto"/>
                <w:highlight w:val="none"/>
              </w:rPr>
              <w:t>序号</w:t>
            </w:r>
          </w:p>
        </w:tc>
        <w:tc>
          <w:tcPr>
            <w:tcW w:w="1700" w:type="dxa"/>
            <w:vAlign w:val="center"/>
          </w:tcPr>
          <w:p w14:paraId="206128B3">
            <w:pPr>
              <w:pStyle w:val="25"/>
              <w:jc w:val="center"/>
              <w:rPr>
                <w:rFonts w:hAnsi="宋体" w:cs="宋体"/>
                <w:b/>
                <w:bCs/>
                <w:color w:val="auto"/>
                <w:highlight w:val="none"/>
              </w:rPr>
            </w:pPr>
            <w:r>
              <w:rPr>
                <w:rFonts w:hint="eastAsia" w:hAnsi="宋体" w:cs="宋体"/>
                <w:b/>
                <w:bCs/>
                <w:color w:val="auto"/>
                <w:highlight w:val="none"/>
              </w:rPr>
              <w:t>内容</w:t>
            </w:r>
          </w:p>
        </w:tc>
        <w:tc>
          <w:tcPr>
            <w:tcW w:w="7528" w:type="dxa"/>
            <w:vAlign w:val="center"/>
          </w:tcPr>
          <w:p w14:paraId="2C7920B7">
            <w:pPr>
              <w:pStyle w:val="25"/>
              <w:tabs>
                <w:tab w:val="left" w:pos="1180"/>
              </w:tabs>
              <w:jc w:val="center"/>
              <w:rPr>
                <w:rFonts w:hAnsi="宋体" w:cs="宋体"/>
                <w:b/>
                <w:bCs/>
                <w:color w:val="auto"/>
                <w:highlight w:val="none"/>
              </w:rPr>
            </w:pPr>
            <w:r>
              <w:rPr>
                <w:rFonts w:hint="eastAsia" w:hAnsi="宋体" w:cs="宋体"/>
                <w:b/>
                <w:bCs/>
                <w:color w:val="auto"/>
                <w:highlight w:val="none"/>
              </w:rPr>
              <w:t>说明与要求</w:t>
            </w:r>
          </w:p>
        </w:tc>
      </w:tr>
      <w:tr w14:paraId="191D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8AA2D3D">
            <w:pPr>
              <w:widowControl/>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700" w:type="dxa"/>
            <w:vAlign w:val="center"/>
          </w:tcPr>
          <w:p w14:paraId="51F54571">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项目名称</w:t>
            </w:r>
          </w:p>
        </w:tc>
        <w:tc>
          <w:tcPr>
            <w:tcW w:w="7528" w:type="dxa"/>
            <w:vAlign w:val="center"/>
          </w:tcPr>
          <w:p w14:paraId="16988E8B">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新材料产业园氟有限北侧地块基础设施建设项目-设计</w:t>
            </w:r>
          </w:p>
        </w:tc>
      </w:tr>
      <w:tr w14:paraId="47B3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7716A7AD">
            <w:pPr>
              <w:widowControl/>
              <w:snapToGrid w:val="0"/>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w:t>
            </w:r>
          </w:p>
        </w:tc>
        <w:tc>
          <w:tcPr>
            <w:tcW w:w="1700" w:type="dxa"/>
            <w:vAlign w:val="center"/>
          </w:tcPr>
          <w:p w14:paraId="1DDC74BD">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项目业主</w:t>
            </w:r>
          </w:p>
        </w:tc>
        <w:tc>
          <w:tcPr>
            <w:tcW w:w="7528" w:type="dxa"/>
            <w:vAlign w:val="center"/>
          </w:tcPr>
          <w:p w14:paraId="31D4AF61">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韶关乳源高新技术产业开发区管理委员会</w:t>
            </w:r>
          </w:p>
        </w:tc>
      </w:tr>
      <w:tr w14:paraId="3005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AD1E61C">
            <w:pPr>
              <w:widowControl/>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700" w:type="dxa"/>
            <w:vAlign w:val="center"/>
          </w:tcPr>
          <w:p w14:paraId="61283CE0">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项目批准部门</w:t>
            </w:r>
          </w:p>
        </w:tc>
        <w:tc>
          <w:tcPr>
            <w:tcW w:w="7528" w:type="dxa"/>
            <w:vAlign w:val="center"/>
          </w:tcPr>
          <w:p w14:paraId="4E720F6A">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乳源瑶族自治县发展和改革局</w:t>
            </w:r>
          </w:p>
        </w:tc>
      </w:tr>
      <w:tr w14:paraId="4B0F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20C17C7">
            <w:pPr>
              <w:widowControl/>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700" w:type="dxa"/>
            <w:vAlign w:val="center"/>
          </w:tcPr>
          <w:p w14:paraId="486976CE">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项目批准文号</w:t>
            </w:r>
          </w:p>
        </w:tc>
        <w:tc>
          <w:tcPr>
            <w:tcW w:w="7528" w:type="dxa"/>
            <w:vAlign w:val="center"/>
          </w:tcPr>
          <w:p w14:paraId="74513E8E">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乳发改投审〔2025〕65号</w:t>
            </w:r>
          </w:p>
        </w:tc>
      </w:tr>
      <w:tr w14:paraId="2DAF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34DFEBD">
            <w:pPr>
              <w:widowControl/>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700" w:type="dxa"/>
            <w:vAlign w:val="center"/>
          </w:tcPr>
          <w:p w14:paraId="5FC1CADA">
            <w:pPr>
              <w:wordWrap w:val="0"/>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项目代码</w:t>
            </w:r>
          </w:p>
        </w:tc>
        <w:tc>
          <w:tcPr>
            <w:tcW w:w="7528" w:type="dxa"/>
            <w:vAlign w:val="center"/>
          </w:tcPr>
          <w:p w14:paraId="69E93941">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2503-440232-04-01-756995</w:t>
            </w:r>
          </w:p>
        </w:tc>
      </w:tr>
      <w:tr w14:paraId="651F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B501D22">
            <w:pPr>
              <w:widowControl/>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700" w:type="dxa"/>
            <w:vAlign w:val="center"/>
          </w:tcPr>
          <w:p w14:paraId="5E8FEAE7">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项目总投资</w:t>
            </w:r>
          </w:p>
        </w:tc>
        <w:tc>
          <w:tcPr>
            <w:tcW w:w="7528" w:type="dxa"/>
            <w:vAlign w:val="center"/>
          </w:tcPr>
          <w:p w14:paraId="2D8B35DD">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项目总投资</w:t>
            </w:r>
            <w:r>
              <w:rPr>
                <w:rFonts w:hint="eastAsia" w:ascii="宋体" w:hAnsi="宋体" w:cs="宋体"/>
                <w:snapToGrid w:val="0"/>
                <w:color w:val="auto"/>
                <w:kern w:val="0"/>
                <w:sz w:val="24"/>
                <w:szCs w:val="24"/>
                <w:highlight w:val="none"/>
                <w:lang w:val="en-US" w:eastAsia="zh-CN"/>
              </w:rPr>
              <w:t>14417.27</w:t>
            </w:r>
            <w:r>
              <w:rPr>
                <w:rFonts w:hint="eastAsia" w:ascii="宋体" w:hAnsi="宋体" w:cs="宋体"/>
                <w:snapToGrid w:val="0"/>
                <w:color w:val="auto"/>
                <w:kern w:val="0"/>
                <w:sz w:val="24"/>
                <w:szCs w:val="24"/>
                <w:highlight w:val="none"/>
              </w:rPr>
              <w:t>万元，其中</w:t>
            </w:r>
            <w:r>
              <w:rPr>
                <w:rFonts w:hint="eastAsia" w:ascii="宋体" w:hAnsi="宋体" w:cs="宋体"/>
                <w:snapToGrid w:val="0"/>
                <w:color w:val="auto"/>
                <w:kern w:val="0"/>
                <w:sz w:val="24"/>
                <w:szCs w:val="24"/>
                <w:highlight w:val="none"/>
                <w:lang w:val="en-US" w:eastAsia="zh-CN"/>
              </w:rPr>
              <w:t>本次</w:t>
            </w:r>
            <w:r>
              <w:rPr>
                <w:rFonts w:hint="eastAsia" w:ascii="宋体" w:hAnsi="宋体" w:cs="宋体"/>
                <w:snapToGrid w:val="0"/>
                <w:color w:val="auto"/>
                <w:kern w:val="0"/>
                <w:sz w:val="24"/>
                <w:szCs w:val="24"/>
                <w:highlight w:val="none"/>
              </w:rPr>
              <w:t>设计费</w:t>
            </w:r>
            <w:r>
              <w:rPr>
                <w:rFonts w:hint="eastAsia" w:ascii="宋体" w:hAnsi="宋体" w:cs="宋体"/>
                <w:snapToGrid w:val="0"/>
                <w:color w:val="auto"/>
                <w:kern w:val="0"/>
                <w:sz w:val="24"/>
                <w:szCs w:val="24"/>
                <w:highlight w:val="none"/>
                <w:lang w:val="en-US" w:eastAsia="zh-CN"/>
              </w:rPr>
              <w:t>约为210.00</w:t>
            </w:r>
            <w:r>
              <w:rPr>
                <w:rFonts w:hint="eastAsia" w:ascii="宋体" w:hAnsi="宋体" w:cs="宋体"/>
                <w:snapToGrid w:val="0"/>
                <w:color w:val="auto"/>
                <w:kern w:val="0"/>
                <w:sz w:val="24"/>
                <w:szCs w:val="24"/>
                <w:highlight w:val="none"/>
              </w:rPr>
              <w:t>万元</w:t>
            </w:r>
          </w:p>
        </w:tc>
      </w:tr>
      <w:tr w14:paraId="67AD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E2D94C6">
            <w:pPr>
              <w:widowControl/>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w:t>
            </w:r>
          </w:p>
        </w:tc>
        <w:tc>
          <w:tcPr>
            <w:tcW w:w="1700" w:type="dxa"/>
            <w:vAlign w:val="center"/>
          </w:tcPr>
          <w:p w14:paraId="5DAA0013">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资金来源</w:t>
            </w:r>
          </w:p>
          <w:p w14:paraId="0E06E024">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及出资比例</w:t>
            </w:r>
          </w:p>
        </w:tc>
        <w:tc>
          <w:tcPr>
            <w:tcW w:w="7528" w:type="dxa"/>
            <w:vAlign w:val="center"/>
          </w:tcPr>
          <w:p w14:paraId="2690EFEE">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地方专项债券资金，100%</w:t>
            </w:r>
          </w:p>
        </w:tc>
      </w:tr>
      <w:tr w14:paraId="1683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9C24A29">
            <w:pPr>
              <w:widowControl/>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w:t>
            </w:r>
          </w:p>
        </w:tc>
        <w:tc>
          <w:tcPr>
            <w:tcW w:w="1700" w:type="dxa"/>
            <w:vAlign w:val="center"/>
          </w:tcPr>
          <w:p w14:paraId="626A31DE">
            <w:pPr>
              <w:wordWrap w:val="0"/>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招标人</w:t>
            </w:r>
          </w:p>
        </w:tc>
        <w:tc>
          <w:tcPr>
            <w:tcW w:w="7528" w:type="dxa"/>
            <w:vAlign w:val="center"/>
          </w:tcPr>
          <w:p w14:paraId="2D2DE2D5">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乳源瑶族自治县政府投资建设项目代建中心</w:t>
            </w:r>
          </w:p>
        </w:tc>
      </w:tr>
      <w:tr w14:paraId="657D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508CA1E">
            <w:pPr>
              <w:widowControl/>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w:t>
            </w:r>
          </w:p>
        </w:tc>
        <w:tc>
          <w:tcPr>
            <w:tcW w:w="1700" w:type="dxa"/>
            <w:vAlign w:val="center"/>
          </w:tcPr>
          <w:p w14:paraId="15ECA8C2">
            <w:pPr>
              <w:wordWrap w:val="0"/>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招标代理机构</w:t>
            </w:r>
          </w:p>
        </w:tc>
        <w:tc>
          <w:tcPr>
            <w:tcW w:w="7528" w:type="dxa"/>
            <w:vAlign w:val="center"/>
          </w:tcPr>
          <w:p w14:paraId="6C23A3E5">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广东宇成项目管理有限公司</w:t>
            </w:r>
          </w:p>
        </w:tc>
      </w:tr>
      <w:tr w14:paraId="0B15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90C503A">
            <w:pPr>
              <w:widowControl/>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w:t>
            </w:r>
          </w:p>
        </w:tc>
        <w:tc>
          <w:tcPr>
            <w:tcW w:w="1700" w:type="dxa"/>
            <w:vAlign w:val="center"/>
          </w:tcPr>
          <w:p w14:paraId="5CF3CD53">
            <w:pPr>
              <w:wordWrap w:val="0"/>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建设地点</w:t>
            </w:r>
          </w:p>
        </w:tc>
        <w:tc>
          <w:tcPr>
            <w:tcW w:w="7528" w:type="dxa"/>
            <w:vAlign w:val="center"/>
          </w:tcPr>
          <w:p w14:paraId="1CCC05FB">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新材料产业园氟有限北侧</w:t>
            </w:r>
          </w:p>
        </w:tc>
      </w:tr>
      <w:tr w14:paraId="7C02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13A4E60">
            <w:pPr>
              <w:widowControl/>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w:t>
            </w:r>
          </w:p>
        </w:tc>
        <w:tc>
          <w:tcPr>
            <w:tcW w:w="1700" w:type="dxa"/>
            <w:vAlign w:val="center"/>
          </w:tcPr>
          <w:p w14:paraId="32BAF9E1">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标段划分</w:t>
            </w:r>
          </w:p>
        </w:tc>
        <w:tc>
          <w:tcPr>
            <w:tcW w:w="7528" w:type="dxa"/>
            <w:vAlign w:val="center"/>
          </w:tcPr>
          <w:p w14:paraId="579737F7">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本项目不划分标段</w:t>
            </w:r>
          </w:p>
        </w:tc>
      </w:tr>
      <w:tr w14:paraId="6B8F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76506E4">
            <w:pPr>
              <w:pStyle w:val="25"/>
              <w:jc w:val="center"/>
              <w:rPr>
                <w:rFonts w:hAnsi="宋体" w:cs="宋体"/>
                <w:color w:val="auto"/>
                <w:szCs w:val="24"/>
                <w:highlight w:val="none"/>
              </w:rPr>
            </w:pPr>
            <w:r>
              <w:rPr>
                <w:rFonts w:hint="eastAsia" w:hAnsi="宋体" w:cs="宋体"/>
                <w:color w:val="auto"/>
                <w:highlight w:val="none"/>
              </w:rPr>
              <w:t>12</w:t>
            </w:r>
          </w:p>
        </w:tc>
        <w:tc>
          <w:tcPr>
            <w:tcW w:w="1700" w:type="dxa"/>
            <w:vAlign w:val="center"/>
          </w:tcPr>
          <w:p w14:paraId="5D38A5B5">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建设内容和规模</w:t>
            </w:r>
          </w:p>
        </w:tc>
        <w:tc>
          <w:tcPr>
            <w:tcW w:w="7528" w:type="dxa"/>
            <w:vAlign w:val="center"/>
          </w:tcPr>
          <w:p w14:paraId="5FA883BF">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对新材料产业园氟有限北侧地块约102564㎡土地进行土方平整及边坡修缮，建设内容包括土方开挖约89.8万方，回填约1.2万方；边坡锚杆骨架防护约10615㎡，挡土墙约80m，抗滑桩约4200m，桩板墙约447m，路面工程约9372m³，边坡三维网植草约13500㎡；修建截水沟1100m、排水沟1470m，修建涵管约1240m，管线约1310m，防撞栏约735m，钢板桩支护约1660m。</w:t>
            </w:r>
          </w:p>
        </w:tc>
      </w:tr>
      <w:tr w14:paraId="7A52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5AA90C7E">
            <w:pPr>
              <w:pStyle w:val="25"/>
              <w:jc w:val="center"/>
              <w:rPr>
                <w:rFonts w:hAnsi="宋体" w:cs="宋体"/>
                <w:color w:val="auto"/>
                <w:highlight w:val="none"/>
              </w:rPr>
            </w:pPr>
            <w:r>
              <w:rPr>
                <w:rFonts w:hint="eastAsia" w:hAnsi="宋体" w:cs="宋体"/>
                <w:color w:val="auto"/>
                <w:highlight w:val="none"/>
              </w:rPr>
              <w:t>13</w:t>
            </w:r>
          </w:p>
        </w:tc>
        <w:tc>
          <w:tcPr>
            <w:tcW w:w="1700" w:type="dxa"/>
            <w:vAlign w:val="center"/>
          </w:tcPr>
          <w:p w14:paraId="3F262427">
            <w:pPr>
              <w:pStyle w:val="25"/>
              <w:jc w:val="center"/>
              <w:rPr>
                <w:rFonts w:hAnsi="宋体" w:cs="宋体"/>
                <w:strike/>
                <w:color w:val="auto"/>
                <w:szCs w:val="24"/>
                <w:highlight w:val="none"/>
              </w:rPr>
            </w:pPr>
            <w:r>
              <w:rPr>
                <w:rFonts w:hint="eastAsia" w:hAnsi="宋体" w:cs="宋体"/>
                <w:color w:val="auto"/>
                <w:szCs w:val="24"/>
                <w:highlight w:val="none"/>
              </w:rPr>
              <w:t>招标范围</w:t>
            </w:r>
          </w:p>
        </w:tc>
        <w:tc>
          <w:tcPr>
            <w:tcW w:w="7528" w:type="dxa"/>
            <w:vAlign w:val="center"/>
          </w:tcPr>
          <w:p w14:paraId="45FC246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为确保项目顺利实施的报建、施工等所需的设计文件，本工程设计服务所涉及的内容包括但不限于以下：</w:t>
            </w:r>
          </w:p>
          <w:p w14:paraId="71867CE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①设计方案、初步设计（含概算）；</w:t>
            </w:r>
          </w:p>
          <w:p w14:paraId="365B313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②施工图设计（施工图设计范围为本次招标设计范围的所有内容，施工图送审并确保审查合格）；</w:t>
            </w:r>
          </w:p>
          <w:p w14:paraId="000B109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③调整并优化设计和在工程施工期间指导和解决施工难题；</w:t>
            </w:r>
          </w:p>
          <w:p w14:paraId="0E99A87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④完成招标人提出的与项目相关并确保项目顺利实施的其他要求。</w:t>
            </w:r>
          </w:p>
        </w:tc>
      </w:tr>
      <w:tr w14:paraId="3F58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07DEAC8">
            <w:pPr>
              <w:pStyle w:val="25"/>
              <w:jc w:val="center"/>
              <w:rPr>
                <w:rFonts w:hAnsi="宋体" w:cs="宋体"/>
                <w:color w:val="auto"/>
                <w:highlight w:val="none"/>
              </w:rPr>
            </w:pPr>
            <w:r>
              <w:rPr>
                <w:rFonts w:hint="eastAsia" w:hAnsi="宋体" w:cs="宋体"/>
                <w:color w:val="auto"/>
                <w:highlight w:val="none"/>
              </w:rPr>
              <w:t>14</w:t>
            </w:r>
          </w:p>
        </w:tc>
        <w:tc>
          <w:tcPr>
            <w:tcW w:w="1700" w:type="dxa"/>
            <w:vAlign w:val="center"/>
          </w:tcPr>
          <w:p w14:paraId="077D716B">
            <w:pPr>
              <w:pStyle w:val="25"/>
              <w:jc w:val="center"/>
              <w:rPr>
                <w:rFonts w:hAnsi="宋体" w:cs="宋体"/>
                <w:color w:val="auto"/>
                <w:szCs w:val="24"/>
                <w:highlight w:val="none"/>
              </w:rPr>
            </w:pPr>
            <w:r>
              <w:rPr>
                <w:rFonts w:hint="eastAsia" w:hAnsi="宋体" w:cs="宋体"/>
                <w:color w:val="auto"/>
                <w:szCs w:val="24"/>
                <w:highlight w:val="none"/>
              </w:rPr>
              <w:t>工期要求</w:t>
            </w:r>
          </w:p>
        </w:tc>
        <w:tc>
          <w:tcPr>
            <w:tcW w:w="7528" w:type="dxa"/>
            <w:vAlign w:val="center"/>
          </w:tcPr>
          <w:p w14:paraId="70B4F668">
            <w:pPr>
              <w:pStyle w:val="26"/>
              <w:wordWrap w:val="0"/>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本招标项目设计工期：</w:t>
            </w:r>
            <w:r>
              <w:rPr>
                <w:rFonts w:hint="eastAsia" w:ascii="宋体" w:hAnsi="宋体" w:cs="宋体"/>
                <w:color w:val="auto"/>
                <w:sz w:val="24"/>
                <w:highlight w:val="none"/>
                <w:lang w:val="en-US" w:eastAsia="zh-CN"/>
              </w:rPr>
              <w:t>45</w:t>
            </w:r>
            <w:r>
              <w:rPr>
                <w:rFonts w:hint="eastAsia" w:ascii="宋体" w:hAnsi="宋体" w:cs="宋体"/>
                <w:color w:val="auto"/>
                <w:sz w:val="24"/>
                <w:highlight w:val="none"/>
              </w:rPr>
              <w:t>个日历天。</w:t>
            </w:r>
          </w:p>
          <w:p w14:paraId="49ACA376">
            <w:pPr>
              <w:pStyle w:val="26"/>
              <w:wordWrap w:val="0"/>
              <w:adjustRightInd w:val="0"/>
              <w:snapToGrid w:val="0"/>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（1）初步设计阶段：中标通知书发出之日起</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lang w:val="en-US" w:eastAsia="zh-CN"/>
              </w:rPr>
              <w:t>个日历天内完成初步设计及概算；</w:t>
            </w:r>
          </w:p>
          <w:p w14:paraId="28332D16">
            <w:pPr>
              <w:pStyle w:val="26"/>
              <w:wordWrap w:val="0"/>
              <w:adjustRightInd w:val="0"/>
              <w:snapToGrid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（2）施工图设计阶段：出具初步设计图及概算并审查通过后</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val="en-US" w:eastAsia="zh-CN"/>
              </w:rPr>
              <w:t>个日历天内完成并提交施工图设计；</w:t>
            </w:r>
          </w:p>
          <w:p w14:paraId="2CB6E181">
            <w:pPr>
              <w:pStyle w:val="26"/>
              <w:wordWrap w:val="0"/>
              <w:adjustRightInd w:val="0"/>
              <w:snapToGrid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（2）施工图修编：出具施工图审查初步意见后10个日历天内完成施工图修编；</w:t>
            </w:r>
          </w:p>
          <w:p w14:paraId="4D3A4A3B">
            <w:pPr>
              <w:pStyle w:val="26"/>
              <w:wordWrap w:val="0"/>
              <w:adjustRightInd w:val="0"/>
              <w:snapToGrid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（3）施工现场配合服务：项目施工及保修期内。</w:t>
            </w:r>
          </w:p>
          <w:p w14:paraId="0E8ADF2B">
            <w:pPr>
              <w:pStyle w:val="26"/>
              <w:wordWrap w:val="0"/>
              <w:adjustRightInd w:val="0"/>
              <w:snapToGrid w:val="0"/>
              <w:spacing w:line="360" w:lineRule="auto"/>
              <w:jc w:val="lef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备注：设计总工期不包含沟通汇报及相关审查、审批时间。</w:t>
            </w:r>
          </w:p>
        </w:tc>
      </w:tr>
      <w:tr w14:paraId="2A43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1BB13C6F">
            <w:pPr>
              <w:pStyle w:val="25"/>
              <w:jc w:val="center"/>
              <w:rPr>
                <w:rFonts w:hAnsi="宋体" w:cs="宋体"/>
                <w:color w:val="auto"/>
                <w:highlight w:val="none"/>
              </w:rPr>
            </w:pPr>
            <w:r>
              <w:rPr>
                <w:rFonts w:hint="eastAsia" w:hAnsi="宋体" w:cs="宋体"/>
                <w:color w:val="auto"/>
                <w:highlight w:val="none"/>
              </w:rPr>
              <w:t>15</w:t>
            </w:r>
          </w:p>
        </w:tc>
        <w:tc>
          <w:tcPr>
            <w:tcW w:w="1700" w:type="dxa"/>
            <w:vAlign w:val="center"/>
          </w:tcPr>
          <w:p w14:paraId="43B58E21">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房屋建筑工程</w:t>
            </w:r>
          </w:p>
          <w:p w14:paraId="7FE847CA">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绿色建筑标准</w:t>
            </w:r>
          </w:p>
        </w:tc>
        <w:tc>
          <w:tcPr>
            <w:tcW w:w="7528" w:type="dxa"/>
            <w:vAlign w:val="center"/>
          </w:tcPr>
          <w:p w14:paraId="0634A108">
            <w:pPr>
              <w:wordWrap w:val="0"/>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eastAsia="宋体" w:cs="宋体"/>
                <w:color w:val="auto"/>
                <w:kern w:val="2"/>
                <w:sz w:val="24"/>
                <w:szCs w:val="24"/>
                <w:highlight w:val="none"/>
                <w:lang w:val="en-US" w:eastAsia="zh-CN" w:bidi="ar-SA"/>
              </w:rPr>
              <w:t>不纳入绿色</w:t>
            </w:r>
            <w:r>
              <w:rPr>
                <w:rFonts w:hint="eastAsia" w:ascii="宋体" w:hAnsi="宋体" w:cs="宋体"/>
                <w:color w:val="auto"/>
                <w:sz w:val="24"/>
                <w:szCs w:val="24"/>
                <w:highlight w:val="none"/>
              </w:rPr>
              <w:t>建筑实施范围。</w:t>
            </w:r>
          </w:p>
        </w:tc>
      </w:tr>
      <w:tr w14:paraId="77ED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512823B6">
            <w:pPr>
              <w:pStyle w:val="25"/>
              <w:jc w:val="center"/>
              <w:rPr>
                <w:rFonts w:hAnsi="宋体" w:cs="宋体"/>
                <w:color w:val="auto"/>
                <w:highlight w:val="none"/>
              </w:rPr>
            </w:pPr>
            <w:r>
              <w:rPr>
                <w:rFonts w:hint="eastAsia" w:hAnsi="宋体" w:cs="宋体"/>
                <w:color w:val="auto"/>
                <w:highlight w:val="none"/>
              </w:rPr>
              <w:t>16</w:t>
            </w:r>
          </w:p>
        </w:tc>
        <w:tc>
          <w:tcPr>
            <w:tcW w:w="1700" w:type="dxa"/>
            <w:vAlign w:val="center"/>
          </w:tcPr>
          <w:p w14:paraId="01E55AE4">
            <w:pPr>
              <w:wordWrap w:val="0"/>
              <w:adjustRightInd w:val="0"/>
              <w:snapToGrid w:val="0"/>
              <w:spacing w:line="360" w:lineRule="auto"/>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装配式建筑</w:t>
            </w:r>
          </w:p>
          <w:p w14:paraId="546595D1">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bCs/>
                <w:color w:val="auto"/>
                <w:kern w:val="0"/>
                <w:sz w:val="24"/>
                <w:szCs w:val="24"/>
                <w:highlight w:val="none"/>
              </w:rPr>
              <w:t>标准</w:t>
            </w:r>
          </w:p>
        </w:tc>
        <w:tc>
          <w:tcPr>
            <w:tcW w:w="7528" w:type="dxa"/>
            <w:vAlign w:val="center"/>
          </w:tcPr>
          <w:p w14:paraId="44B25166">
            <w:pPr>
              <w:wordWrap w:val="0"/>
              <w:adjustRightInd w:val="0"/>
              <w:snapToGrid w:val="0"/>
              <w:spacing w:line="360" w:lineRule="auto"/>
              <w:rPr>
                <w:rFonts w:ascii="宋体" w:hAnsi="宋体" w:cs="宋体"/>
                <w:color w:val="auto"/>
                <w:sz w:val="24"/>
                <w:szCs w:val="24"/>
                <w:highlight w:val="none"/>
              </w:rPr>
            </w:pPr>
            <w:r>
              <w:rPr>
                <w:rFonts w:hint="eastAsia" w:ascii="宋体" w:hAnsi="宋体" w:cs="宋体"/>
                <w:bCs/>
                <w:color w:val="auto"/>
                <w:sz w:val="24"/>
                <w:szCs w:val="40"/>
                <w:highlight w:val="none"/>
              </w:rPr>
              <w:t>本招标项目不纳入装配式建造建设实施范围。</w:t>
            </w:r>
          </w:p>
        </w:tc>
      </w:tr>
      <w:tr w14:paraId="4DD6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5B1518D">
            <w:pPr>
              <w:pStyle w:val="25"/>
              <w:jc w:val="center"/>
              <w:rPr>
                <w:rFonts w:hAnsi="宋体" w:cs="宋体"/>
                <w:color w:val="auto"/>
                <w:highlight w:val="none"/>
              </w:rPr>
            </w:pPr>
            <w:r>
              <w:rPr>
                <w:rFonts w:hint="eastAsia" w:hAnsi="宋体" w:cs="宋体"/>
                <w:color w:val="auto"/>
                <w:highlight w:val="none"/>
              </w:rPr>
              <w:t>17</w:t>
            </w:r>
          </w:p>
        </w:tc>
        <w:tc>
          <w:tcPr>
            <w:tcW w:w="1700" w:type="dxa"/>
            <w:vAlign w:val="center"/>
          </w:tcPr>
          <w:p w14:paraId="37CFC20C">
            <w:pPr>
              <w:pStyle w:val="25"/>
              <w:jc w:val="center"/>
              <w:rPr>
                <w:rFonts w:hAnsi="宋体" w:cs="宋体"/>
                <w:color w:val="auto"/>
                <w:szCs w:val="24"/>
                <w:highlight w:val="none"/>
              </w:rPr>
            </w:pPr>
            <w:r>
              <w:rPr>
                <w:rFonts w:hint="eastAsia" w:hAnsi="宋体" w:cs="宋体"/>
                <w:color w:val="auto"/>
                <w:szCs w:val="24"/>
                <w:highlight w:val="none"/>
              </w:rPr>
              <w:t>最高投标限价</w:t>
            </w:r>
          </w:p>
        </w:tc>
        <w:tc>
          <w:tcPr>
            <w:tcW w:w="7528" w:type="dxa"/>
            <w:vAlign w:val="center"/>
          </w:tcPr>
          <w:p w14:paraId="26551058">
            <w:pPr>
              <w:pStyle w:val="25"/>
              <w:rPr>
                <w:rFonts w:hAnsi="宋体" w:cs="宋体"/>
                <w:color w:val="auto"/>
                <w:highlight w:val="none"/>
              </w:rPr>
            </w:pPr>
            <w:r>
              <w:rPr>
                <w:rFonts w:hint="eastAsia" w:hAnsi="宋体" w:cs="宋体"/>
                <w:color w:val="auto"/>
                <w:szCs w:val="24"/>
                <w:highlight w:val="none"/>
              </w:rPr>
              <w:t>本项目设计招标最高投标限价为：大写：</w:t>
            </w:r>
            <w:r>
              <w:rPr>
                <w:rFonts w:hint="eastAsia" w:hAnsi="宋体" w:cs="宋体"/>
                <w:color w:val="auto"/>
                <w:szCs w:val="24"/>
                <w:highlight w:val="none"/>
                <w:lang w:val="en-US" w:eastAsia="zh-CN"/>
              </w:rPr>
              <w:t>贰佰壹拾万元整</w:t>
            </w:r>
            <w:r>
              <w:rPr>
                <w:rFonts w:hint="eastAsia" w:hAnsi="宋体" w:cs="宋体"/>
                <w:color w:val="auto"/>
                <w:szCs w:val="24"/>
                <w:highlight w:val="none"/>
              </w:rPr>
              <w:t>（¥</w:t>
            </w:r>
            <w:r>
              <w:rPr>
                <w:rFonts w:hint="eastAsia" w:hAnsi="宋体" w:cs="宋体"/>
                <w:color w:val="auto"/>
                <w:szCs w:val="24"/>
                <w:highlight w:val="none"/>
                <w:lang w:val="en-US" w:eastAsia="zh-CN"/>
              </w:rPr>
              <w:t>2100000.00</w:t>
            </w:r>
            <w:r>
              <w:rPr>
                <w:rFonts w:hint="eastAsia" w:hAnsi="宋体" w:cs="宋体"/>
                <w:color w:val="auto"/>
                <w:szCs w:val="24"/>
                <w:highlight w:val="none"/>
              </w:rPr>
              <w:t>元）</w:t>
            </w:r>
          </w:p>
        </w:tc>
      </w:tr>
      <w:tr w14:paraId="1956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3183482">
            <w:pPr>
              <w:pStyle w:val="25"/>
              <w:jc w:val="center"/>
              <w:rPr>
                <w:rFonts w:hAnsi="宋体" w:cs="宋体"/>
                <w:color w:val="auto"/>
                <w:highlight w:val="none"/>
              </w:rPr>
            </w:pPr>
            <w:r>
              <w:rPr>
                <w:rFonts w:hint="eastAsia" w:hAnsi="宋体" w:cs="宋体"/>
                <w:color w:val="auto"/>
                <w:highlight w:val="none"/>
              </w:rPr>
              <w:t>18</w:t>
            </w:r>
          </w:p>
        </w:tc>
        <w:tc>
          <w:tcPr>
            <w:tcW w:w="1700" w:type="dxa"/>
            <w:vAlign w:val="center"/>
          </w:tcPr>
          <w:p w14:paraId="41CAFCD1">
            <w:pPr>
              <w:pStyle w:val="25"/>
              <w:jc w:val="center"/>
              <w:rPr>
                <w:rFonts w:hAnsi="宋体" w:cs="宋体"/>
                <w:color w:val="auto"/>
                <w:highlight w:val="none"/>
              </w:rPr>
            </w:pPr>
            <w:r>
              <w:rPr>
                <w:rFonts w:hint="eastAsia" w:hAnsi="宋体" w:cs="宋体"/>
                <w:color w:val="auto"/>
                <w:highlight w:val="none"/>
              </w:rPr>
              <w:t>质量标准</w:t>
            </w:r>
          </w:p>
        </w:tc>
        <w:tc>
          <w:tcPr>
            <w:tcW w:w="7528" w:type="dxa"/>
            <w:vAlign w:val="center"/>
          </w:tcPr>
          <w:p w14:paraId="1213BE21">
            <w:pPr>
              <w:pStyle w:val="25"/>
              <w:rPr>
                <w:rFonts w:hAnsi="宋体" w:cs="宋体"/>
                <w:color w:val="auto"/>
                <w:highlight w:val="none"/>
              </w:rPr>
            </w:pPr>
            <w:r>
              <w:rPr>
                <w:rFonts w:hint="eastAsia" w:hAnsi="宋体" w:cs="宋体"/>
                <w:color w:val="auto"/>
                <w:kern w:val="0"/>
                <w:szCs w:val="24"/>
                <w:highlight w:val="none"/>
              </w:rPr>
              <w:t>符合现行的国家及地方的有关规划、设计的规范要求，并通过有关部门的审查，若需进行审图则必须经有资质的审图公司审图合格。</w:t>
            </w:r>
          </w:p>
        </w:tc>
      </w:tr>
      <w:tr w14:paraId="175A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1555AA8">
            <w:pPr>
              <w:pStyle w:val="25"/>
              <w:spacing w:line="400" w:lineRule="exact"/>
              <w:jc w:val="center"/>
              <w:rPr>
                <w:rFonts w:hAnsi="宋体" w:cs="宋体"/>
                <w:color w:val="auto"/>
                <w:highlight w:val="none"/>
              </w:rPr>
            </w:pPr>
            <w:r>
              <w:rPr>
                <w:rFonts w:hint="eastAsia" w:hAnsi="宋体" w:cs="宋体"/>
                <w:color w:val="auto"/>
                <w:highlight w:val="none"/>
              </w:rPr>
              <w:t>19</w:t>
            </w:r>
          </w:p>
        </w:tc>
        <w:tc>
          <w:tcPr>
            <w:tcW w:w="1700" w:type="dxa"/>
            <w:vAlign w:val="center"/>
          </w:tcPr>
          <w:p w14:paraId="560E4D53">
            <w:pPr>
              <w:snapToGrid w:val="0"/>
              <w:spacing w:line="400" w:lineRule="exact"/>
              <w:jc w:val="center"/>
              <w:rPr>
                <w:rFonts w:ascii="宋体" w:hAnsi="宋体" w:cs="宋体"/>
                <w:color w:val="auto"/>
                <w:sz w:val="24"/>
                <w:szCs w:val="22"/>
                <w:highlight w:val="none"/>
              </w:rPr>
            </w:pPr>
            <w:r>
              <w:rPr>
                <w:rFonts w:hint="eastAsia" w:ascii="宋体" w:hAnsi="宋体" w:cs="宋体"/>
                <w:color w:val="auto"/>
                <w:sz w:val="24"/>
                <w:szCs w:val="22"/>
                <w:highlight w:val="none"/>
              </w:rPr>
              <w:t>投标人资质</w:t>
            </w:r>
          </w:p>
          <w:p w14:paraId="2AEE7AC8">
            <w:pPr>
              <w:pStyle w:val="25"/>
              <w:spacing w:line="400" w:lineRule="exact"/>
              <w:jc w:val="center"/>
              <w:rPr>
                <w:rFonts w:hAnsi="宋体" w:cs="宋体"/>
                <w:color w:val="auto"/>
                <w:highlight w:val="none"/>
              </w:rPr>
            </w:pPr>
            <w:r>
              <w:rPr>
                <w:rFonts w:hint="eastAsia" w:hAnsi="宋体" w:cs="宋体"/>
                <w:color w:val="auto"/>
                <w:szCs w:val="22"/>
                <w:highlight w:val="none"/>
              </w:rPr>
              <w:t>及条件要求</w:t>
            </w:r>
          </w:p>
        </w:tc>
        <w:tc>
          <w:tcPr>
            <w:tcW w:w="7528" w:type="dxa"/>
            <w:vAlign w:val="center"/>
          </w:tcPr>
          <w:p w14:paraId="48722679">
            <w:pPr>
              <w:pStyle w:val="26"/>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1.本工程不接受联合体投标。</w:t>
            </w:r>
          </w:p>
          <w:p w14:paraId="1B572384">
            <w:pPr>
              <w:pStyle w:val="26"/>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资质要求</w:t>
            </w:r>
          </w:p>
          <w:p w14:paraId="78FA50C6">
            <w:pPr>
              <w:pStyle w:val="26"/>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2.1投标人须持有效的营业执照，按国家法律经营。</w:t>
            </w:r>
          </w:p>
          <w:p w14:paraId="5A7F388B">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2.2工程设计单位须持有建设行政主管部门核发的资质证书。</w:t>
            </w:r>
          </w:p>
          <w:p w14:paraId="6C517A04">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2.3参加投标的投标人必须具备以下资质之一：</w:t>
            </w:r>
          </w:p>
          <w:p w14:paraId="7898C744">
            <w:pPr>
              <w:pStyle w:val="26"/>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1）工程设计综合甲级资质；</w:t>
            </w:r>
          </w:p>
          <w:p w14:paraId="781A149C">
            <w:pPr>
              <w:pStyle w:val="26"/>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2）工程设计市政行业</w:t>
            </w:r>
            <w:r>
              <w:rPr>
                <w:rFonts w:hint="eastAsia" w:ascii="宋体" w:hAnsi="宋体" w:cs="宋体"/>
                <w:color w:val="auto"/>
                <w:sz w:val="24"/>
                <w:highlight w:val="none"/>
                <w:lang w:val="en-US" w:eastAsia="zh-CN"/>
              </w:rPr>
              <w:t>甲</w:t>
            </w:r>
            <w:r>
              <w:rPr>
                <w:rFonts w:hint="eastAsia" w:ascii="宋体" w:hAnsi="宋体" w:eastAsia="宋体" w:cs="宋体"/>
                <w:color w:val="auto"/>
                <w:sz w:val="24"/>
                <w:highlight w:val="none"/>
              </w:rPr>
              <w:t>级资质；</w:t>
            </w:r>
          </w:p>
          <w:p w14:paraId="25633421">
            <w:pPr>
              <w:pStyle w:val="26"/>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3）工程设计市政行业（燃气工程、轨道交通工程除外）</w:t>
            </w:r>
            <w:r>
              <w:rPr>
                <w:rFonts w:hint="eastAsia" w:ascii="宋体" w:hAnsi="宋体" w:cs="宋体"/>
                <w:color w:val="auto"/>
                <w:sz w:val="24"/>
                <w:highlight w:val="none"/>
                <w:lang w:val="en-US" w:eastAsia="zh-CN"/>
              </w:rPr>
              <w:t>甲</w:t>
            </w:r>
            <w:r>
              <w:rPr>
                <w:rFonts w:hint="eastAsia" w:ascii="宋体" w:hAnsi="宋体" w:eastAsia="宋体" w:cs="宋体"/>
                <w:color w:val="auto"/>
                <w:sz w:val="24"/>
                <w:highlight w:val="none"/>
              </w:rPr>
              <w:t>级资质；</w:t>
            </w:r>
          </w:p>
          <w:p w14:paraId="2E5E626F">
            <w:pPr>
              <w:pStyle w:val="26"/>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4）工程设计市政行业（道路工程）专业</w:t>
            </w:r>
            <w:r>
              <w:rPr>
                <w:rFonts w:hint="eastAsia" w:ascii="宋体" w:hAnsi="宋体" w:cs="宋体"/>
                <w:color w:val="auto"/>
                <w:sz w:val="24"/>
                <w:highlight w:val="none"/>
                <w:lang w:val="en-US" w:eastAsia="zh-CN"/>
              </w:rPr>
              <w:t>甲</w:t>
            </w:r>
            <w:r>
              <w:rPr>
                <w:rFonts w:hint="eastAsia" w:ascii="宋体" w:hAnsi="宋体" w:eastAsia="宋体" w:cs="宋体"/>
                <w:color w:val="auto"/>
                <w:sz w:val="24"/>
                <w:highlight w:val="none"/>
              </w:rPr>
              <w:t>级</w:t>
            </w:r>
            <w:r>
              <w:rPr>
                <w:rFonts w:hint="eastAsia" w:ascii="宋体" w:hAnsi="宋体" w:eastAsia="宋体" w:cs="宋体"/>
                <w:color w:val="auto"/>
                <w:sz w:val="24"/>
                <w:highlight w:val="none"/>
                <w:lang w:val="en-US" w:eastAsia="zh-CN"/>
              </w:rPr>
              <w:t>资质。</w:t>
            </w:r>
          </w:p>
          <w:p w14:paraId="4C7B24AC">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2.4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599400E0">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3.相关人员要求</w:t>
            </w:r>
          </w:p>
          <w:p w14:paraId="061E2EF4">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3.1拟委派担任本招标项目的项目负责人（即设计负责人）须具备一级注册建筑师执业资格。</w:t>
            </w:r>
          </w:p>
          <w:p w14:paraId="636C3CE9">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3.2投标人与其拟派往本项目所有人员之间必须具备合法、唯一的劳动聘用关系（非退休返聘人员提供在本单位缴纳的社保证明即可）。拟派人员中具备注册执业资格的，其注册单位须与投标人保持一致。</w:t>
            </w:r>
          </w:p>
          <w:p w14:paraId="2072A063">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4.禁止投标条款</w:t>
            </w:r>
          </w:p>
          <w:p w14:paraId="5E53ADD1">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4.1投标人不得存在下列情形之一：</w:t>
            </w:r>
          </w:p>
          <w:p w14:paraId="4E330558">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（1）为招标人不具有独立法人资格的附属机构（单位）；</w:t>
            </w:r>
          </w:p>
          <w:p w14:paraId="0FDBD92F">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（2）与招标人存在利害关系且可能影响招标公正性；</w:t>
            </w:r>
          </w:p>
          <w:p w14:paraId="496C9E12">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（3）与本招标项目的其他投标人为同一个单位负责人；</w:t>
            </w:r>
          </w:p>
          <w:p w14:paraId="5D85136F">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（4）与本招标项目的其他投标人存在控股、管理关系；</w:t>
            </w:r>
          </w:p>
          <w:p w14:paraId="4D12C4B9">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（5）为本招标项目的代建人；</w:t>
            </w:r>
          </w:p>
          <w:p w14:paraId="76703295">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（6）为本招标项目的招标代理机构；</w:t>
            </w:r>
          </w:p>
          <w:p w14:paraId="353B790A">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（7）与本招标项目的代建人或招标代理机构同为一个法定代表人；</w:t>
            </w:r>
          </w:p>
          <w:p w14:paraId="5465A786">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（8）与本招标项目的代建人或招标代理机构存在控股或参股关系；</w:t>
            </w:r>
          </w:p>
          <w:p w14:paraId="7EF3A9AE">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（9）被依法暂停或者取消投标资格；</w:t>
            </w:r>
          </w:p>
          <w:p w14:paraId="2919EF00">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（10）被责令停产停业、暂扣或者吊销许可证、暂扣或者吊销执照；</w:t>
            </w:r>
          </w:p>
          <w:p w14:paraId="221A6F4A">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（11）进入清算程序，或被宣告破产，或其他丧失履约能力的情形；</w:t>
            </w:r>
          </w:p>
          <w:p w14:paraId="76D0E9A9">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（12）在最近三年内发生重大质量问题（以相关行业主管部门的行政处罚决定或司法机关出具的有关法律文书为准）；</w:t>
            </w:r>
          </w:p>
          <w:p w14:paraId="13D02643">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（13）被“信用中国”网站（https://www.creditchina.gov.cn）发布的《法人和非法人组织公共信用信息报告》列为严重失信主体名单的。</w:t>
            </w:r>
          </w:p>
          <w:p w14:paraId="7DFE1F9E">
            <w:pPr>
              <w:pStyle w:val="26"/>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4.2招标人拒绝以下名单中的单位参加本次投标：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3537"/>
              <w:gridCol w:w="3048"/>
            </w:tblGrid>
            <w:tr w14:paraId="53F5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7" w:type="dxa"/>
                  <w:vAlign w:val="center"/>
                </w:tcPr>
                <w:p w14:paraId="7028D707">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序号</w:t>
                  </w:r>
                </w:p>
              </w:tc>
              <w:tc>
                <w:tcPr>
                  <w:tcW w:w="3537" w:type="dxa"/>
                  <w:vAlign w:val="center"/>
                </w:tcPr>
                <w:p w14:paraId="542D7650">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w:t>
                  </w:r>
                </w:p>
              </w:tc>
              <w:tc>
                <w:tcPr>
                  <w:tcW w:w="3048" w:type="dxa"/>
                  <w:vAlign w:val="center"/>
                </w:tcPr>
                <w:p w14:paraId="54CFFD0F">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拒绝原因</w:t>
                  </w:r>
                </w:p>
              </w:tc>
            </w:tr>
            <w:tr w14:paraId="7B63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17" w:type="dxa"/>
                  <w:vAlign w:val="center"/>
                </w:tcPr>
                <w:p w14:paraId="541C29CF">
                  <w:pPr>
                    <w:pStyle w:val="26"/>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3537" w:type="dxa"/>
                  <w:vAlign w:val="center"/>
                </w:tcPr>
                <w:p w14:paraId="23DACE7D">
                  <w:pPr>
                    <w:pStyle w:val="26"/>
                    <w:wordWrap w:val="0"/>
                    <w:adjustRightInd w:val="0"/>
                    <w:snapToGrid w:val="0"/>
                    <w:spacing w:line="360" w:lineRule="auto"/>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乳源瑶族自治县政府投资建设项目代建中心</w:t>
                  </w:r>
                </w:p>
              </w:tc>
              <w:tc>
                <w:tcPr>
                  <w:tcW w:w="3048" w:type="dxa"/>
                  <w:vAlign w:val="center"/>
                </w:tcPr>
                <w:p w14:paraId="64A53058">
                  <w:pPr>
                    <w:pStyle w:val="26"/>
                    <w:wordWrap w:val="0"/>
                    <w:adjustRightInd w:val="0"/>
                    <w:snapToGrid w:val="0"/>
                    <w:spacing w:line="360" w:lineRule="auto"/>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为本招标项目的招标人和代建单位</w:t>
                  </w:r>
                </w:p>
              </w:tc>
            </w:tr>
            <w:tr w14:paraId="65FC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17" w:type="dxa"/>
                  <w:vAlign w:val="center"/>
                </w:tcPr>
                <w:p w14:paraId="1FF6D5E0">
                  <w:pPr>
                    <w:pStyle w:val="26"/>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3537" w:type="dxa"/>
                  <w:vAlign w:val="center"/>
                </w:tcPr>
                <w:p w14:paraId="61C9A7F1">
                  <w:pPr>
                    <w:pStyle w:val="26"/>
                    <w:wordWrap w:val="0"/>
                    <w:adjustRightInd w:val="0"/>
                    <w:snapToGrid w:val="0"/>
                    <w:spacing w:line="360" w:lineRule="auto"/>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韶关乳源高新技术产业开发区管理委员会</w:t>
                  </w:r>
                </w:p>
              </w:tc>
              <w:tc>
                <w:tcPr>
                  <w:tcW w:w="3048" w:type="dxa"/>
                  <w:vAlign w:val="center"/>
                </w:tcPr>
                <w:p w14:paraId="01BBB483">
                  <w:pPr>
                    <w:pStyle w:val="26"/>
                    <w:wordWrap w:val="0"/>
                    <w:adjustRightInd w:val="0"/>
                    <w:snapToGrid w:val="0"/>
                    <w:spacing w:line="360" w:lineRule="auto"/>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为本招标项目的项目业主</w:t>
                  </w:r>
                </w:p>
              </w:tc>
            </w:tr>
            <w:tr w14:paraId="0249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17" w:type="dxa"/>
                  <w:vAlign w:val="center"/>
                </w:tcPr>
                <w:p w14:paraId="76CCF45C">
                  <w:pPr>
                    <w:pStyle w:val="26"/>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3537" w:type="dxa"/>
                  <w:vAlign w:val="center"/>
                </w:tcPr>
                <w:p w14:paraId="57D0E7E2">
                  <w:pPr>
                    <w:pStyle w:val="26"/>
                    <w:wordWrap w:val="0"/>
                    <w:adjustRightInd w:val="0"/>
                    <w:snapToGrid w:val="0"/>
                    <w:spacing w:line="360" w:lineRule="auto"/>
                    <w:jc w:val="left"/>
                    <w:rPr>
                      <w:rFonts w:ascii="宋体" w:hAnsi="宋体" w:cs="宋体"/>
                      <w:snapToGrid w:val="0"/>
                      <w:color w:val="auto"/>
                      <w:kern w:val="0"/>
                      <w:sz w:val="24"/>
                      <w:highlight w:val="none"/>
                    </w:rPr>
                  </w:pPr>
                  <w:r>
                    <w:rPr>
                      <w:rFonts w:hint="eastAsia" w:ascii="宋体" w:hAnsi="宋体" w:cs="宋体"/>
                      <w:snapToGrid w:val="0"/>
                      <w:color w:val="auto"/>
                      <w:kern w:val="0"/>
                      <w:sz w:val="24"/>
                      <w:szCs w:val="24"/>
                      <w:highlight w:val="none"/>
                    </w:rPr>
                    <w:t>广东宇成项目管理有限公司</w:t>
                  </w:r>
                </w:p>
              </w:tc>
              <w:tc>
                <w:tcPr>
                  <w:tcW w:w="3048" w:type="dxa"/>
                  <w:vAlign w:val="center"/>
                </w:tcPr>
                <w:p w14:paraId="6C4BDA0E">
                  <w:pPr>
                    <w:pStyle w:val="26"/>
                    <w:wordWrap w:val="0"/>
                    <w:adjustRightInd w:val="0"/>
                    <w:snapToGrid w:val="0"/>
                    <w:spacing w:line="360" w:lineRule="auto"/>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为本招标项目的招标代理机构</w:t>
                  </w:r>
                </w:p>
              </w:tc>
            </w:tr>
          </w:tbl>
          <w:p w14:paraId="6C2C1638">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5.其他要求</w:t>
            </w:r>
          </w:p>
          <w:p w14:paraId="20071BE5">
            <w:pPr>
              <w:pStyle w:val="26"/>
              <w:widowControl/>
              <w:spacing w:line="360" w:lineRule="auto"/>
              <w:ind w:firstLine="480" w:firstLineChars="200"/>
              <w:jc w:val="left"/>
              <w:rPr>
                <w:rFonts w:ascii="宋体" w:hAnsi="宋体" w:cs="宋体"/>
                <w:color w:val="auto"/>
                <w:kern w:val="0"/>
                <w:highlight w:val="none"/>
              </w:rPr>
            </w:pPr>
            <w:r>
              <w:rPr>
                <w:rFonts w:hint="eastAsia" w:ascii="宋体" w:hAnsi="宋体" w:cs="宋体"/>
                <w:color w:val="auto"/>
                <w:sz w:val="24"/>
                <w:highlight w:val="none"/>
              </w:rPr>
              <w:t>省外企业及其拟派往本项目管理机构的所有人员须按照《广东省住房和城乡建设厅关于取消省外建筑企业和人员进粤信息备案有关工作的通知》（粤建市﹝2015﹞52号）规定在“进粤企业和人员诚信信息登记平台”录入相关信息并通过数据规范检查。</w:t>
            </w:r>
          </w:p>
        </w:tc>
      </w:tr>
      <w:tr w14:paraId="65C6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8A9879A">
            <w:pPr>
              <w:pStyle w:val="25"/>
              <w:spacing w:line="400" w:lineRule="exact"/>
              <w:jc w:val="center"/>
              <w:rPr>
                <w:rFonts w:hAnsi="宋体" w:cs="宋体"/>
                <w:color w:val="auto"/>
                <w:highlight w:val="none"/>
              </w:rPr>
            </w:pPr>
            <w:r>
              <w:rPr>
                <w:rFonts w:hint="eastAsia" w:hAnsi="宋体" w:cs="宋体"/>
                <w:color w:val="auto"/>
                <w:highlight w:val="none"/>
              </w:rPr>
              <w:t>20</w:t>
            </w:r>
          </w:p>
        </w:tc>
        <w:tc>
          <w:tcPr>
            <w:tcW w:w="1700" w:type="dxa"/>
            <w:vAlign w:val="center"/>
          </w:tcPr>
          <w:p w14:paraId="526361B4">
            <w:pPr>
              <w:pStyle w:val="25"/>
              <w:jc w:val="center"/>
              <w:rPr>
                <w:rFonts w:hAnsi="宋体" w:cs="宋体"/>
                <w:color w:val="auto"/>
                <w:highlight w:val="none"/>
              </w:rPr>
            </w:pPr>
            <w:r>
              <w:rPr>
                <w:rFonts w:hint="eastAsia" w:hAnsi="宋体" w:cs="宋体"/>
                <w:color w:val="auto"/>
                <w:highlight w:val="none"/>
              </w:rPr>
              <w:t>评标定标方法</w:t>
            </w:r>
          </w:p>
        </w:tc>
        <w:tc>
          <w:tcPr>
            <w:tcW w:w="7528" w:type="dxa"/>
            <w:vAlign w:val="center"/>
          </w:tcPr>
          <w:p w14:paraId="697E9500">
            <w:pPr>
              <w:pStyle w:val="25"/>
              <w:ind w:firstLine="240" w:firstLineChars="100"/>
              <w:rPr>
                <w:rFonts w:hAnsi="宋体" w:cs="宋体"/>
                <w:color w:val="auto"/>
                <w:highlight w:val="none"/>
              </w:rPr>
            </w:pPr>
            <w:r>
              <w:rPr>
                <w:rFonts w:hint="eastAsia" w:hAnsi="宋体" w:cs="宋体"/>
                <w:color w:val="auto"/>
                <w:highlight w:val="none"/>
              </w:rPr>
              <w:t>综合评估法</w:t>
            </w:r>
          </w:p>
        </w:tc>
      </w:tr>
      <w:tr w14:paraId="49C5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19F3A862">
            <w:pPr>
              <w:pStyle w:val="25"/>
              <w:spacing w:line="400" w:lineRule="exact"/>
              <w:jc w:val="center"/>
              <w:rPr>
                <w:rFonts w:hAnsi="宋体" w:cs="宋体"/>
                <w:color w:val="auto"/>
                <w:highlight w:val="none"/>
              </w:rPr>
            </w:pPr>
            <w:r>
              <w:rPr>
                <w:rFonts w:hint="eastAsia" w:hAnsi="宋体" w:cs="宋体"/>
                <w:color w:val="auto"/>
                <w:highlight w:val="none"/>
              </w:rPr>
              <w:t>21</w:t>
            </w:r>
          </w:p>
        </w:tc>
        <w:tc>
          <w:tcPr>
            <w:tcW w:w="1700" w:type="dxa"/>
            <w:vAlign w:val="center"/>
          </w:tcPr>
          <w:p w14:paraId="0E146226">
            <w:pPr>
              <w:pStyle w:val="25"/>
              <w:jc w:val="center"/>
              <w:rPr>
                <w:rFonts w:hAnsi="宋体" w:cs="宋体"/>
                <w:color w:val="auto"/>
                <w:highlight w:val="none"/>
              </w:rPr>
            </w:pPr>
            <w:r>
              <w:rPr>
                <w:rFonts w:hint="eastAsia" w:hAnsi="宋体" w:cs="宋体"/>
                <w:color w:val="auto"/>
                <w:highlight w:val="none"/>
              </w:rPr>
              <w:t>评标委员会组成</w:t>
            </w:r>
          </w:p>
        </w:tc>
        <w:tc>
          <w:tcPr>
            <w:tcW w:w="7528" w:type="dxa"/>
            <w:vAlign w:val="center"/>
          </w:tcPr>
          <w:p w14:paraId="5F29E787">
            <w:pPr>
              <w:pStyle w:val="25"/>
              <w:ind w:firstLine="480" w:firstLineChars="200"/>
              <w:rPr>
                <w:rFonts w:hAnsi="宋体" w:cs="宋体"/>
                <w:bCs/>
                <w:color w:val="auto"/>
                <w:highlight w:val="none"/>
              </w:rPr>
            </w:pPr>
            <w:r>
              <w:rPr>
                <w:rFonts w:hint="eastAsia" w:hAnsi="宋体" w:cs="宋体"/>
                <w:color w:val="auto"/>
                <w:kern w:val="0"/>
                <w:szCs w:val="24"/>
                <w:highlight w:val="none"/>
              </w:rPr>
              <w:t>评标委员会由</w:t>
            </w:r>
            <w:r>
              <w:rPr>
                <w:rFonts w:hint="eastAsia" w:hAnsi="宋体" w:cs="宋体"/>
                <w:color w:val="auto"/>
                <w:kern w:val="0"/>
                <w:szCs w:val="24"/>
                <w:highlight w:val="none"/>
                <w:u w:val="single"/>
              </w:rPr>
              <w:t>5</w:t>
            </w:r>
            <w:r>
              <w:rPr>
                <w:rFonts w:hint="eastAsia" w:hAnsi="宋体" w:cs="宋体"/>
                <w:color w:val="auto"/>
                <w:kern w:val="0"/>
                <w:szCs w:val="24"/>
                <w:highlight w:val="none"/>
              </w:rPr>
              <w:t>人组成，其中招标人代表</w:t>
            </w:r>
            <w:r>
              <w:rPr>
                <w:rFonts w:hint="eastAsia" w:hAnsi="宋体" w:cs="宋体"/>
                <w:color w:val="auto"/>
                <w:kern w:val="0"/>
                <w:szCs w:val="24"/>
                <w:highlight w:val="none"/>
                <w:u w:val="single"/>
              </w:rPr>
              <w:t>0</w:t>
            </w:r>
            <w:r>
              <w:rPr>
                <w:rFonts w:hint="eastAsia" w:hAnsi="宋体" w:cs="宋体"/>
                <w:color w:val="auto"/>
                <w:kern w:val="0"/>
                <w:szCs w:val="24"/>
                <w:highlight w:val="none"/>
              </w:rPr>
              <w:t>人，专家</w:t>
            </w:r>
            <w:r>
              <w:rPr>
                <w:rFonts w:hint="eastAsia" w:hAnsi="宋体" w:cs="宋体"/>
                <w:color w:val="auto"/>
                <w:kern w:val="0"/>
                <w:szCs w:val="24"/>
                <w:highlight w:val="none"/>
                <w:u w:val="single"/>
              </w:rPr>
              <w:t>5</w:t>
            </w:r>
            <w:r>
              <w:rPr>
                <w:rFonts w:hint="eastAsia" w:hAnsi="宋体" w:cs="宋体"/>
                <w:color w:val="auto"/>
                <w:kern w:val="0"/>
                <w:szCs w:val="24"/>
                <w:highlight w:val="none"/>
              </w:rPr>
              <w:t>人。专家从</w:t>
            </w:r>
            <w:r>
              <w:rPr>
                <w:rFonts w:hint="eastAsia" w:hAnsi="宋体" w:cs="宋体"/>
                <w:color w:val="auto"/>
                <w:kern w:val="0"/>
                <w:szCs w:val="24"/>
                <w:highlight w:val="none"/>
                <w:u w:val="single"/>
              </w:rPr>
              <w:t>广东省综合评标评审专家库</w:t>
            </w:r>
            <w:r>
              <w:rPr>
                <w:rFonts w:hint="eastAsia" w:hAnsi="宋体" w:cs="宋体"/>
                <w:snapToGrid w:val="0"/>
                <w:color w:val="auto"/>
                <w:kern w:val="0"/>
                <w:szCs w:val="24"/>
                <w:highlight w:val="none"/>
                <w:u w:val="single"/>
              </w:rPr>
              <w:t>-韶关市区域</w:t>
            </w:r>
            <w:r>
              <w:rPr>
                <w:rFonts w:hint="eastAsia" w:hAnsi="宋体" w:cs="宋体"/>
                <w:color w:val="auto"/>
                <w:kern w:val="0"/>
                <w:szCs w:val="24"/>
                <w:highlight w:val="none"/>
              </w:rPr>
              <w:t>中随机抽取，其中技术类专家</w:t>
            </w:r>
            <w:r>
              <w:rPr>
                <w:rFonts w:hint="eastAsia" w:hAnsi="宋体" w:cs="宋体"/>
                <w:color w:val="auto"/>
                <w:kern w:val="0"/>
                <w:szCs w:val="24"/>
                <w:highlight w:val="none"/>
                <w:u w:val="single"/>
              </w:rPr>
              <w:t>3</w:t>
            </w:r>
            <w:r>
              <w:rPr>
                <w:rFonts w:hint="eastAsia" w:hAnsi="宋体" w:cs="宋体"/>
                <w:color w:val="auto"/>
                <w:kern w:val="0"/>
                <w:szCs w:val="24"/>
                <w:highlight w:val="none"/>
              </w:rPr>
              <w:t>人，经济类专家</w:t>
            </w:r>
            <w:r>
              <w:rPr>
                <w:rFonts w:hint="eastAsia" w:hAnsi="宋体" w:cs="宋体"/>
                <w:color w:val="auto"/>
                <w:kern w:val="0"/>
                <w:szCs w:val="24"/>
                <w:highlight w:val="none"/>
                <w:u w:val="single"/>
              </w:rPr>
              <w:t>2</w:t>
            </w:r>
            <w:r>
              <w:rPr>
                <w:rFonts w:hint="eastAsia" w:hAnsi="宋体" w:cs="宋体"/>
                <w:color w:val="auto"/>
                <w:kern w:val="0"/>
                <w:szCs w:val="24"/>
                <w:highlight w:val="none"/>
              </w:rPr>
              <w:t>人。</w:t>
            </w:r>
          </w:p>
        </w:tc>
      </w:tr>
      <w:tr w14:paraId="05DD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4550351">
            <w:pPr>
              <w:pStyle w:val="25"/>
              <w:spacing w:line="400" w:lineRule="exact"/>
              <w:jc w:val="center"/>
              <w:rPr>
                <w:rFonts w:hAnsi="宋体" w:cs="宋体"/>
                <w:color w:val="auto"/>
                <w:highlight w:val="none"/>
              </w:rPr>
            </w:pPr>
            <w:r>
              <w:rPr>
                <w:rFonts w:hint="eastAsia" w:hAnsi="宋体" w:cs="宋体"/>
                <w:color w:val="auto"/>
                <w:highlight w:val="none"/>
              </w:rPr>
              <w:t>22</w:t>
            </w:r>
          </w:p>
        </w:tc>
        <w:tc>
          <w:tcPr>
            <w:tcW w:w="1700" w:type="dxa"/>
            <w:vAlign w:val="center"/>
          </w:tcPr>
          <w:p w14:paraId="67A47CA8">
            <w:pPr>
              <w:pStyle w:val="25"/>
              <w:jc w:val="center"/>
              <w:rPr>
                <w:rFonts w:hAnsi="宋体" w:cs="宋体"/>
                <w:color w:val="auto"/>
                <w:highlight w:val="none"/>
              </w:rPr>
            </w:pPr>
            <w:r>
              <w:rPr>
                <w:rFonts w:hint="eastAsia" w:hAnsi="宋体" w:cs="宋体"/>
                <w:color w:val="auto"/>
                <w:highlight w:val="none"/>
              </w:rPr>
              <w:t>投标文件组成</w:t>
            </w:r>
          </w:p>
        </w:tc>
        <w:tc>
          <w:tcPr>
            <w:tcW w:w="7528" w:type="dxa"/>
            <w:vAlign w:val="center"/>
          </w:tcPr>
          <w:p w14:paraId="440A14E3">
            <w:pPr>
              <w:pStyle w:val="25"/>
              <w:ind w:firstLine="240" w:firstLineChars="100"/>
              <w:rPr>
                <w:rFonts w:hAnsi="宋体" w:cs="宋体"/>
                <w:color w:val="auto"/>
                <w:highlight w:val="none"/>
              </w:rPr>
            </w:pPr>
            <w:r>
              <w:rPr>
                <w:rFonts w:hint="eastAsia" w:hAnsi="宋体" w:cs="宋体"/>
                <w:color w:val="auto"/>
                <w:highlight w:val="none"/>
              </w:rPr>
              <w:t>投标文件包括商务经济标书、技术标书</w:t>
            </w:r>
            <w:r>
              <w:rPr>
                <w:rFonts w:hint="eastAsia" w:hAnsi="宋体" w:cs="宋体"/>
                <w:snapToGrid w:val="0"/>
                <w:color w:val="auto"/>
                <w:kern w:val="0"/>
                <w:szCs w:val="24"/>
                <w:highlight w:val="none"/>
              </w:rPr>
              <w:t>两个分册</w:t>
            </w:r>
            <w:r>
              <w:rPr>
                <w:rFonts w:hint="eastAsia" w:hAnsi="宋体" w:cs="宋体"/>
                <w:color w:val="auto"/>
                <w:highlight w:val="none"/>
              </w:rPr>
              <w:t>。</w:t>
            </w:r>
          </w:p>
        </w:tc>
      </w:tr>
      <w:tr w14:paraId="49A7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3B69392A">
            <w:pPr>
              <w:pStyle w:val="25"/>
              <w:spacing w:line="400" w:lineRule="exact"/>
              <w:jc w:val="center"/>
              <w:rPr>
                <w:rFonts w:hAnsi="宋体" w:cs="宋体"/>
                <w:color w:val="auto"/>
                <w:highlight w:val="none"/>
              </w:rPr>
            </w:pPr>
            <w:r>
              <w:rPr>
                <w:rFonts w:hint="eastAsia" w:hAnsi="宋体" w:cs="宋体"/>
                <w:color w:val="auto"/>
                <w:highlight w:val="none"/>
              </w:rPr>
              <w:t>23</w:t>
            </w:r>
          </w:p>
        </w:tc>
        <w:tc>
          <w:tcPr>
            <w:tcW w:w="1700" w:type="dxa"/>
            <w:vAlign w:val="center"/>
          </w:tcPr>
          <w:p w14:paraId="5B5708BA">
            <w:pPr>
              <w:pStyle w:val="25"/>
              <w:jc w:val="center"/>
              <w:rPr>
                <w:rFonts w:hAnsi="宋体" w:cs="宋体"/>
                <w:color w:val="auto"/>
                <w:highlight w:val="none"/>
              </w:rPr>
            </w:pPr>
            <w:r>
              <w:rPr>
                <w:rFonts w:hint="eastAsia" w:hAnsi="宋体" w:cs="宋体"/>
                <w:color w:val="auto"/>
                <w:highlight w:val="none"/>
              </w:rPr>
              <w:t>技术标书</w:t>
            </w:r>
          </w:p>
          <w:p w14:paraId="3B5963C1">
            <w:pPr>
              <w:pStyle w:val="25"/>
              <w:jc w:val="center"/>
              <w:rPr>
                <w:rFonts w:hAnsi="宋体" w:cs="宋体"/>
                <w:color w:val="auto"/>
                <w:highlight w:val="none"/>
              </w:rPr>
            </w:pPr>
            <w:r>
              <w:rPr>
                <w:rFonts w:hint="eastAsia" w:hAnsi="宋体" w:cs="宋体"/>
                <w:color w:val="auto"/>
                <w:highlight w:val="none"/>
              </w:rPr>
              <w:t>评审方式</w:t>
            </w:r>
          </w:p>
        </w:tc>
        <w:tc>
          <w:tcPr>
            <w:tcW w:w="7528" w:type="dxa"/>
            <w:vAlign w:val="center"/>
          </w:tcPr>
          <w:p w14:paraId="21E8B6D0">
            <w:pPr>
              <w:pStyle w:val="25"/>
              <w:ind w:firstLine="240" w:firstLineChars="100"/>
              <w:rPr>
                <w:rFonts w:hAnsi="宋体" w:cs="宋体"/>
                <w:color w:val="auto"/>
                <w:highlight w:val="none"/>
              </w:rPr>
            </w:pPr>
            <w:r>
              <w:rPr>
                <w:rFonts w:hint="eastAsia" w:hAnsi="宋体" w:cs="宋体"/>
                <w:color w:val="auto"/>
                <w:highlight w:val="none"/>
              </w:rPr>
              <w:t>本次招标技术标书</w:t>
            </w:r>
            <w:r>
              <w:rPr>
                <w:rFonts w:hint="eastAsia" w:hAnsi="宋体" w:cs="宋体"/>
                <w:color w:val="auto"/>
                <w:highlight w:val="none"/>
                <w:u w:val="single"/>
              </w:rPr>
              <w:t>不采用</w:t>
            </w:r>
            <w:r>
              <w:rPr>
                <w:rFonts w:hint="eastAsia" w:hAnsi="宋体" w:cs="宋体"/>
                <w:color w:val="auto"/>
                <w:highlight w:val="none"/>
              </w:rPr>
              <w:t>“暗标”方式进行评审。</w:t>
            </w:r>
          </w:p>
        </w:tc>
      </w:tr>
      <w:tr w14:paraId="6263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8722034">
            <w:pPr>
              <w:pStyle w:val="25"/>
              <w:spacing w:line="400" w:lineRule="exact"/>
              <w:jc w:val="center"/>
              <w:rPr>
                <w:rFonts w:hAnsi="宋体" w:cs="宋体"/>
                <w:color w:val="auto"/>
                <w:highlight w:val="none"/>
              </w:rPr>
            </w:pPr>
            <w:r>
              <w:rPr>
                <w:rFonts w:hint="eastAsia" w:hAnsi="宋体" w:cs="宋体"/>
                <w:color w:val="auto"/>
                <w:highlight w:val="none"/>
              </w:rPr>
              <w:t>24</w:t>
            </w:r>
          </w:p>
        </w:tc>
        <w:tc>
          <w:tcPr>
            <w:tcW w:w="1700" w:type="dxa"/>
            <w:vAlign w:val="center"/>
          </w:tcPr>
          <w:p w14:paraId="3AD0E8B5">
            <w:pPr>
              <w:pStyle w:val="25"/>
              <w:jc w:val="center"/>
              <w:rPr>
                <w:rFonts w:hAnsi="宋体" w:cs="宋体"/>
                <w:color w:val="auto"/>
                <w:highlight w:val="none"/>
              </w:rPr>
            </w:pPr>
            <w:r>
              <w:rPr>
                <w:rFonts w:hint="eastAsia" w:hAnsi="宋体" w:cs="宋体"/>
                <w:color w:val="auto"/>
                <w:highlight w:val="none"/>
              </w:rPr>
              <w:t>投标保证金</w:t>
            </w:r>
          </w:p>
        </w:tc>
        <w:tc>
          <w:tcPr>
            <w:tcW w:w="7528" w:type="dxa"/>
            <w:vAlign w:val="center"/>
          </w:tcPr>
          <w:p w14:paraId="365C0498">
            <w:pPr>
              <w:snapToGrid w:val="0"/>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1.投标人须缴纳金额为人民币</w:t>
            </w:r>
            <w:r>
              <w:rPr>
                <w:rFonts w:hint="eastAsia" w:ascii="宋体" w:hAnsi="宋体" w:cs="宋体"/>
                <w:color w:val="auto"/>
                <w:kern w:val="0"/>
                <w:sz w:val="24"/>
                <w:highlight w:val="none"/>
                <w:u w:val="single"/>
                <w:lang w:val="en-US" w:eastAsia="zh-CN"/>
              </w:rPr>
              <w:t>肆万元整</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4</w:t>
            </w:r>
            <w:r>
              <w:rPr>
                <w:rFonts w:hint="eastAsia" w:ascii="宋体" w:hAnsi="宋体" w:cs="宋体"/>
                <w:color w:val="auto"/>
                <w:kern w:val="0"/>
                <w:sz w:val="24"/>
                <w:highlight w:val="none"/>
                <w:u w:val="single"/>
              </w:rPr>
              <w:t>0000.00元）</w:t>
            </w:r>
            <w:r>
              <w:rPr>
                <w:rFonts w:hint="eastAsia" w:ascii="宋体" w:hAnsi="宋体" w:cs="宋体"/>
                <w:color w:val="auto"/>
                <w:kern w:val="0"/>
                <w:sz w:val="24"/>
                <w:highlight w:val="none"/>
              </w:rPr>
              <w:t>的投标保证。</w:t>
            </w:r>
          </w:p>
          <w:p w14:paraId="33779374">
            <w:pPr>
              <w:snapToGrid w:val="0"/>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2.投标保证的形式包括投标保证金、投标保证担保、投标保证保险三种，由投标人自主选择。</w:t>
            </w:r>
          </w:p>
          <w:p w14:paraId="70065951">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用投标保证金的，投标人在交易平台获取招标文件后，即可在交易平台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7DEDB34A">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采用投标保证担保的，投标人应提交有效的银行保函，银行保函的有效期不得短于投标有效期。投标人必须在投标保证担保截止时间（见本章第二节“重要事项时间地点一览表”）前，在交易平台完成网上办理电子保函。</w:t>
            </w:r>
          </w:p>
          <w:p w14:paraId="31D874F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snapToGrid w:val="0"/>
                <w:color w:val="auto"/>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引】栏目中下载《建设工程网上交易系统保险保证金缴纳操作指南》，了解网上投保具体操作流程。逾期投保的，其投标无效。</w:t>
            </w:r>
          </w:p>
          <w:p w14:paraId="6D459E9B">
            <w:pPr>
              <w:snapToGrid w:val="0"/>
              <w:spacing w:line="360" w:lineRule="auto"/>
              <w:ind w:firstLine="480" w:firstLineChars="200"/>
              <w:rPr>
                <w:rFonts w:ascii="宋体" w:hAnsi="宋体" w:cs="宋体"/>
                <w:color w:val="auto"/>
                <w:kern w:val="0"/>
                <w:sz w:val="24"/>
                <w:highlight w:val="none"/>
              </w:rPr>
            </w:pPr>
            <w:r>
              <w:rPr>
                <w:rFonts w:hint="eastAsia" w:ascii="宋体" w:hAnsi="宋体" w:eastAsia="宋体" w:cs="宋体"/>
                <w:color w:val="auto"/>
                <w:kern w:val="0"/>
                <w:sz w:val="24"/>
                <w:highlight w:val="none"/>
              </w:rPr>
              <w:t>温馨提醒：投标人采用投标保证</w:t>
            </w:r>
            <w:r>
              <w:rPr>
                <w:rFonts w:hint="eastAsia" w:ascii="宋体" w:hAnsi="宋体" w:cs="宋体"/>
                <w:color w:val="auto"/>
                <w:kern w:val="0"/>
                <w:sz w:val="24"/>
                <w:highlight w:val="none"/>
              </w:rPr>
              <w:t>担保或投标保证保险的，为避免在评标过程中因有效期发生争议，建议投标人将银行保函或电子保单有效期设置为较招标文件规定的投标有效期延长不少于20个日历天。</w:t>
            </w:r>
          </w:p>
        </w:tc>
      </w:tr>
      <w:tr w14:paraId="1D01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FC5C2F3">
            <w:pPr>
              <w:pStyle w:val="25"/>
              <w:spacing w:line="400" w:lineRule="exact"/>
              <w:jc w:val="center"/>
              <w:rPr>
                <w:rFonts w:hAnsi="宋体" w:cs="宋体"/>
                <w:color w:val="auto"/>
                <w:highlight w:val="none"/>
              </w:rPr>
            </w:pPr>
            <w:r>
              <w:rPr>
                <w:rFonts w:hint="eastAsia" w:hAnsi="宋体" w:cs="宋体"/>
                <w:color w:val="auto"/>
                <w:highlight w:val="none"/>
              </w:rPr>
              <w:t>25</w:t>
            </w:r>
          </w:p>
        </w:tc>
        <w:tc>
          <w:tcPr>
            <w:tcW w:w="1700" w:type="dxa"/>
            <w:vAlign w:val="center"/>
          </w:tcPr>
          <w:p w14:paraId="252A4F6D">
            <w:pPr>
              <w:pStyle w:val="25"/>
              <w:jc w:val="center"/>
              <w:rPr>
                <w:rFonts w:hAnsi="宋体" w:cs="宋体"/>
                <w:color w:val="auto"/>
                <w:highlight w:val="none"/>
              </w:rPr>
            </w:pPr>
            <w:r>
              <w:rPr>
                <w:rFonts w:hint="eastAsia" w:hAnsi="宋体" w:cs="宋体"/>
                <w:color w:val="auto"/>
                <w:highlight w:val="none"/>
              </w:rPr>
              <w:t>合同价款支付</w:t>
            </w:r>
          </w:p>
        </w:tc>
        <w:tc>
          <w:tcPr>
            <w:tcW w:w="7528" w:type="dxa"/>
            <w:vAlign w:val="center"/>
          </w:tcPr>
          <w:p w14:paraId="0D5AD2F8">
            <w:pPr>
              <w:pStyle w:val="25"/>
              <w:ind w:firstLine="240" w:firstLineChars="100"/>
              <w:rPr>
                <w:rFonts w:hAnsi="宋体" w:cs="宋体"/>
                <w:color w:val="auto"/>
                <w:szCs w:val="24"/>
                <w:highlight w:val="none"/>
              </w:rPr>
            </w:pPr>
            <w:r>
              <w:rPr>
                <w:rFonts w:hint="eastAsia" w:hAnsi="宋体" w:cs="宋体"/>
                <w:color w:val="auto"/>
                <w:highlight w:val="none"/>
              </w:rPr>
              <w:t>详见本招标文件第二章 拟签订合同的主要条款。</w:t>
            </w:r>
          </w:p>
        </w:tc>
      </w:tr>
      <w:tr w14:paraId="0E78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C6195D1">
            <w:pPr>
              <w:pStyle w:val="25"/>
              <w:spacing w:line="400" w:lineRule="exact"/>
              <w:jc w:val="center"/>
              <w:rPr>
                <w:rFonts w:hAnsi="宋体" w:cs="宋体"/>
                <w:color w:val="auto"/>
                <w:highlight w:val="none"/>
              </w:rPr>
            </w:pPr>
            <w:r>
              <w:rPr>
                <w:rFonts w:hint="eastAsia" w:hAnsi="宋体" w:cs="宋体"/>
                <w:color w:val="auto"/>
                <w:highlight w:val="none"/>
              </w:rPr>
              <w:t>26</w:t>
            </w:r>
          </w:p>
        </w:tc>
        <w:tc>
          <w:tcPr>
            <w:tcW w:w="1700" w:type="dxa"/>
            <w:vAlign w:val="center"/>
          </w:tcPr>
          <w:p w14:paraId="5839C950">
            <w:pPr>
              <w:pStyle w:val="25"/>
              <w:jc w:val="center"/>
              <w:rPr>
                <w:rFonts w:hAnsi="宋体" w:cs="宋体"/>
                <w:color w:val="auto"/>
                <w:szCs w:val="24"/>
                <w:highlight w:val="none"/>
              </w:rPr>
            </w:pPr>
            <w:r>
              <w:rPr>
                <w:rFonts w:hint="eastAsia" w:hAnsi="宋体" w:cs="宋体"/>
                <w:color w:val="auto"/>
                <w:szCs w:val="24"/>
                <w:highlight w:val="none"/>
              </w:rPr>
              <w:t>招标代理服务费及评标专家酬劳</w:t>
            </w:r>
          </w:p>
        </w:tc>
        <w:tc>
          <w:tcPr>
            <w:tcW w:w="7528" w:type="dxa"/>
            <w:vAlign w:val="center"/>
          </w:tcPr>
          <w:p w14:paraId="510C6C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本项目的招标代理服务费由项目业主支付。</w:t>
            </w:r>
          </w:p>
          <w:p w14:paraId="2907037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的评标专家酬劳（包括食宿费用、交通费、专家评审劳务费等）由中标人支付。评标专家酬劳由招标代理机构先行垫付，中标人须在中标候选人公示结束后,领取中标通知书前须向招标代理机构一次性付清评标专家酬劳，方可领取中标通知书。</w:t>
            </w:r>
          </w:p>
        </w:tc>
      </w:tr>
      <w:tr w14:paraId="067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603149C">
            <w:pPr>
              <w:pStyle w:val="25"/>
              <w:spacing w:line="400" w:lineRule="exact"/>
              <w:jc w:val="center"/>
              <w:rPr>
                <w:rFonts w:hAnsi="宋体" w:cs="宋体"/>
                <w:color w:val="auto"/>
                <w:highlight w:val="none"/>
              </w:rPr>
            </w:pPr>
            <w:r>
              <w:rPr>
                <w:rFonts w:hint="eastAsia" w:hAnsi="宋体" w:cs="宋体"/>
                <w:color w:val="auto"/>
                <w:highlight w:val="none"/>
              </w:rPr>
              <w:t>27</w:t>
            </w:r>
          </w:p>
        </w:tc>
        <w:tc>
          <w:tcPr>
            <w:tcW w:w="1700" w:type="dxa"/>
            <w:vAlign w:val="center"/>
          </w:tcPr>
          <w:p w14:paraId="28E1BB47">
            <w:pPr>
              <w:pStyle w:val="25"/>
              <w:ind w:firstLine="240" w:firstLineChars="100"/>
              <w:jc w:val="center"/>
              <w:rPr>
                <w:rFonts w:hAnsi="宋体" w:cs="宋体"/>
                <w:color w:val="auto"/>
                <w:szCs w:val="24"/>
                <w:highlight w:val="none"/>
              </w:rPr>
            </w:pPr>
            <w:r>
              <w:rPr>
                <w:rFonts w:hint="eastAsia" w:hAnsi="宋体" w:cs="宋体"/>
                <w:color w:val="auto"/>
                <w:szCs w:val="24"/>
                <w:highlight w:val="none"/>
              </w:rPr>
              <w:t>招标人</w:t>
            </w:r>
          </w:p>
          <w:p w14:paraId="12291E9D">
            <w:pPr>
              <w:pStyle w:val="25"/>
              <w:ind w:firstLine="240" w:firstLineChars="100"/>
              <w:jc w:val="center"/>
              <w:rPr>
                <w:rFonts w:hAnsi="宋体" w:cs="宋体"/>
                <w:color w:val="auto"/>
                <w:szCs w:val="22"/>
                <w:highlight w:val="none"/>
              </w:rPr>
            </w:pPr>
            <w:r>
              <w:rPr>
                <w:rFonts w:hint="eastAsia" w:hAnsi="宋体" w:cs="宋体"/>
                <w:color w:val="auto"/>
                <w:szCs w:val="24"/>
                <w:highlight w:val="none"/>
              </w:rPr>
              <w:t>联系方法</w:t>
            </w:r>
          </w:p>
        </w:tc>
        <w:tc>
          <w:tcPr>
            <w:tcW w:w="7528" w:type="dxa"/>
            <w:vAlign w:val="center"/>
          </w:tcPr>
          <w:p w14:paraId="411CF0D4">
            <w:pPr>
              <w:wordWrap w:val="0"/>
              <w:adjustRightInd w:val="0"/>
              <w:snapToGrid w:val="0"/>
              <w:spacing w:line="360" w:lineRule="auto"/>
              <w:ind w:firstLine="480" w:firstLineChars="2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单位名称：乳源瑶族自治县政府投资建设项目代建中心</w:t>
            </w:r>
          </w:p>
          <w:p w14:paraId="24DBE25C">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rPr>
              <w:t>办公地址：广东省韶关市乳源瑶族自治县滨江中路4号</w:t>
            </w:r>
            <w:r>
              <w:rPr>
                <w:rFonts w:hint="eastAsia" w:ascii="宋体" w:hAnsi="宋体" w:cs="宋体"/>
                <w:snapToGrid w:val="0"/>
                <w:color w:val="auto"/>
                <w:kern w:val="0"/>
                <w:sz w:val="24"/>
                <w:szCs w:val="24"/>
                <w:highlight w:val="none"/>
                <w:lang w:val="en-US" w:eastAsia="zh-CN"/>
              </w:rPr>
              <w:t>二楼</w:t>
            </w:r>
          </w:p>
          <w:p w14:paraId="4E5CC442">
            <w:pPr>
              <w:wordWrap w:val="0"/>
              <w:adjustRightInd w:val="0"/>
              <w:snapToGrid w:val="0"/>
              <w:spacing w:line="360" w:lineRule="auto"/>
              <w:ind w:firstLine="480" w:firstLineChars="2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联系人（部门）：</w:t>
            </w:r>
            <w:r>
              <w:rPr>
                <w:rFonts w:hint="eastAsia" w:ascii="宋体" w:hAnsi="宋体" w:cs="宋体"/>
                <w:snapToGrid w:val="0"/>
                <w:color w:val="auto"/>
                <w:kern w:val="0"/>
                <w:sz w:val="24"/>
                <w:szCs w:val="24"/>
                <w:highlight w:val="none"/>
                <w:lang w:val="en-US" w:eastAsia="zh-CN"/>
              </w:rPr>
              <w:t>陈</w:t>
            </w:r>
            <w:r>
              <w:rPr>
                <w:rFonts w:hint="eastAsia" w:ascii="宋体" w:hAnsi="宋体" w:eastAsia="宋体" w:cs="宋体"/>
                <w:snapToGrid w:val="0"/>
                <w:color w:val="auto"/>
                <w:kern w:val="0"/>
                <w:sz w:val="24"/>
                <w:szCs w:val="24"/>
                <w:highlight w:val="none"/>
                <w:lang w:val="en-US" w:eastAsia="zh-CN"/>
              </w:rPr>
              <w:t>工</w:t>
            </w:r>
          </w:p>
          <w:p w14:paraId="29710A88">
            <w:pPr>
              <w:wordWrap w:val="0"/>
              <w:adjustRightInd w:val="0"/>
              <w:snapToGrid w:val="0"/>
              <w:spacing w:line="360" w:lineRule="auto"/>
              <w:ind w:firstLine="480" w:firstLineChars="2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联系电话：</w:t>
            </w:r>
            <w:r>
              <w:rPr>
                <w:rFonts w:hint="eastAsia" w:ascii="宋体" w:hAnsi="宋体" w:eastAsia="宋体" w:cs="宋体"/>
                <w:snapToGrid w:val="0"/>
                <w:color w:val="auto"/>
                <w:kern w:val="0"/>
                <w:sz w:val="24"/>
                <w:szCs w:val="24"/>
                <w:highlight w:val="none"/>
                <w:lang w:eastAsia="zh-CN"/>
              </w:rPr>
              <w:t>0751-5388815</w:t>
            </w:r>
          </w:p>
        </w:tc>
      </w:tr>
      <w:tr w14:paraId="0BE8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5F16EEEE">
            <w:pPr>
              <w:pStyle w:val="25"/>
              <w:spacing w:line="400" w:lineRule="exact"/>
              <w:jc w:val="center"/>
              <w:rPr>
                <w:rFonts w:hAnsi="宋体" w:cs="宋体"/>
                <w:color w:val="auto"/>
                <w:highlight w:val="none"/>
              </w:rPr>
            </w:pPr>
            <w:r>
              <w:rPr>
                <w:rFonts w:hint="eastAsia" w:hAnsi="宋体" w:cs="宋体"/>
                <w:color w:val="auto"/>
                <w:highlight w:val="none"/>
              </w:rPr>
              <w:t>28</w:t>
            </w:r>
          </w:p>
        </w:tc>
        <w:tc>
          <w:tcPr>
            <w:tcW w:w="1700" w:type="dxa"/>
            <w:vAlign w:val="center"/>
          </w:tcPr>
          <w:p w14:paraId="5B80232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招标代理机构</w:t>
            </w:r>
          </w:p>
          <w:p w14:paraId="69A5246E">
            <w:pPr>
              <w:spacing w:line="360" w:lineRule="auto"/>
              <w:jc w:val="center"/>
              <w:rPr>
                <w:rFonts w:ascii="宋体" w:hAnsi="宋体" w:cs="宋体"/>
                <w:color w:val="auto"/>
                <w:szCs w:val="24"/>
                <w:highlight w:val="none"/>
              </w:rPr>
            </w:pPr>
            <w:r>
              <w:rPr>
                <w:rFonts w:hint="eastAsia" w:ascii="宋体" w:hAnsi="宋体" w:cs="宋体"/>
                <w:color w:val="auto"/>
                <w:sz w:val="24"/>
                <w:szCs w:val="24"/>
                <w:highlight w:val="none"/>
              </w:rPr>
              <w:t>联系方法</w:t>
            </w:r>
          </w:p>
        </w:tc>
        <w:tc>
          <w:tcPr>
            <w:tcW w:w="7528" w:type="dxa"/>
            <w:vAlign w:val="center"/>
          </w:tcPr>
          <w:p w14:paraId="186E6851">
            <w:pPr>
              <w:wordWrap w:val="0"/>
              <w:adjustRightInd w:val="0"/>
              <w:snapToGrid w:val="0"/>
              <w:spacing w:line="360" w:lineRule="auto"/>
              <w:ind w:firstLine="480" w:firstLineChars="2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单位名称：广东宇成项目管理有限公司</w:t>
            </w:r>
          </w:p>
          <w:p w14:paraId="1ED6B9BD">
            <w:pPr>
              <w:wordWrap w:val="0"/>
              <w:adjustRightInd w:val="0"/>
              <w:snapToGrid w:val="0"/>
              <w:spacing w:line="360" w:lineRule="auto"/>
              <w:ind w:firstLine="480" w:firstLineChars="2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办公地址：</w:t>
            </w:r>
            <w:r>
              <w:rPr>
                <w:rFonts w:hint="eastAsia" w:ascii="宋体" w:hAnsi="宋体" w:cs="宋体"/>
                <w:color w:val="auto"/>
                <w:sz w:val="24"/>
                <w:highlight w:val="none"/>
                <w:lang w:val="hr-HR"/>
              </w:rPr>
              <w:t>始兴县顿岗镇石坪村大房组038号</w:t>
            </w:r>
          </w:p>
          <w:p w14:paraId="621B3A68">
            <w:pPr>
              <w:wordWrap w:val="0"/>
              <w:adjustRightInd w:val="0"/>
              <w:snapToGrid w:val="0"/>
              <w:spacing w:line="360" w:lineRule="auto"/>
              <w:ind w:firstLine="480" w:firstLineChars="2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联系人(部门)：赵工</w:t>
            </w:r>
          </w:p>
          <w:p w14:paraId="7BB3E848">
            <w:pPr>
              <w:wordWrap w:val="0"/>
              <w:adjustRightInd w:val="0"/>
              <w:snapToGrid w:val="0"/>
              <w:spacing w:line="360" w:lineRule="auto"/>
              <w:ind w:firstLine="480" w:firstLineChars="2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联系电话：</w:t>
            </w:r>
            <w:r>
              <w:rPr>
                <w:rFonts w:hint="eastAsia" w:ascii="宋体" w:hAnsi="宋体" w:cs="宋体"/>
                <w:color w:val="auto"/>
                <w:sz w:val="24"/>
                <w:highlight w:val="none"/>
              </w:rPr>
              <w:t>13076233435</w:t>
            </w:r>
          </w:p>
        </w:tc>
      </w:tr>
      <w:tr w14:paraId="093C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990278D">
            <w:pPr>
              <w:pStyle w:val="25"/>
              <w:spacing w:line="400" w:lineRule="exact"/>
              <w:jc w:val="center"/>
              <w:rPr>
                <w:rFonts w:hAnsi="宋体" w:cs="宋体"/>
                <w:color w:val="auto"/>
                <w:highlight w:val="none"/>
              </w:rPr>
            </w:pPr>
            <w:r>
              <w:rPr>
                <w:rFonts w:hint="eastAsia" w:hAnsi="宋体" w:cs="宋体"/>
                <w:color w:val="auto"/>
                <w:highlight w:val="none"/>
              </w:rPr>
              <w:t>29</w:t>
            </w:r>
          </w:p>
        </w:tc>
        <w:tc>
          <w:tcPr>
            <w:tcW w:w="1700" w:type="dxa"/>
            <w:vAlign w:val="center"/>
          </w:tcPr>
          <w:p w14:paraId="4F62067B">
            <w:pPr>
              <w:widowControl/>
              <w:spacing w:line="360" w:lineRule="auto"/>
              <w:jc w:val="center"/>
              <w:rPr>
                <w:rFonts w:ascii="宋体" w:hAnsi="宋体" w:cs="宋体"/>
                <w:bCs/>
                <w:color w:val="auto"/>
                <w:kern w:val="0"/>
                <w:sz w:val="24"/>
                <w:szCs w:val="24"/>
                <w:highlight w:val="none"/>
                <w:lang w:bidi="ar"/>
              </w:rPr>
            </w:pPr>
            <w:r>
              <w:rPr>
                <w:rFonts w:hint="eastAsia" w:ascii="宋体" w:hAnsi="宋体" w:cs="宋体"/>
                <w:bCs/>
                <w:color w:val="auto"/>
                <w:kern w:val="0"/>
                <w:sz w:val="24"/>
                <w:szCs w:val="24"/>
                <w:highlight w:val="none"/>
                <w:lang w:bidi="ar"/>
              </w:rPr>
              <w:t>交易场所</w:t>
            </w:r>
          </w:p>
          <w:p w14:paraId="43248C90">
            <w:pPr>
              <w:widowControl/>
              <w:spacing w:line="360" w:lineRule="auto"/>
              <w:jc w:val="center"/>
              <w:rPr>
                <w:rFonts w:ascii="宋体" w:hAnsi="宋体" w:cs="宋体"/>
                <w:color w:val="auto"/>
                <w:sz w:val="24"/>
                <w:szCs w:val="24"/>
                <w:highlight w:val="none"/>
              </w:rPr>
            </w:pPr>
            <w:r>
              <w:rPr>
                <w:rFonts w:hint="eastAsia" w:ascii="宋体" w:hAnsi="宋体" w:cs="宋体"/>
                <w:bCs/>
                <w:color w:val="auto"/>
                <w:kern w:val="0"/>
                <w:sz w:val="24"/>
                <w:szCs w:val="24"/>
                <w:highlight w:val="none"/>
                <w:lang w:bidi="ar"/>
              </w:rPr>
              <w:t>联系方法</w:t>
            </w:r>
          </w:p>
        </w:tc>
        <w:tc>
          <w:tcPr>
            <w:tcW w:w="7528" w:type="dxa"/>
            <w:vAlign w:val="center"/>
          </w:tcPr>
          <w:p w14:paraId="7FDB8CA7">
            <w:pPr>
              <w:wordWrap w:val="0"/>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单位名称：韶关市公共资源交易中心</w:t>
            </w:r>
          </w:p>
          <w:p w14:paraId="27D1EC48">
            <w:pPr>
              <w:wordWrap w:val="0"/>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办公地址：韶关市公共资源交易中心乳源分中心(韶关市乳源瑶族自治县乳城镇北环中路乳源农旅特色小镇政务服务大厅4号楼3楼(京港澳高速乳源收费站路口旁)</w:t>
            </w:r>
          </w:p>
          <w:p w14:paraId="0F0F8089">
            <w:pPr>
              <w:wordWrap w:val="0"/>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联系人（部门）：工程交易部</w:t>
            </w:r>
          </w:p>
          <w:p w14:paraId="5B44EEAD">
            <w:pPr>
              <w:wordWrap w:val="0"/>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联系电话：0751-5378231</w:t>
            </w:r>
          </w:p>
        </w:tc>
      </w:tr>
      <w:tr w14:paraId="0583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6785CAA">
            <w:pPr>
              <w:pStyle w:val="25"/>
              <w:spacing w:line="400" w:lineRule="exact"/>
              <w:jc w:val="center"/>
              <w:rPr>
                <w:rFonts w:hAnsi="宋体" w:cs="宋体"/>
                <w:color w:val="auto"/>
                <w:highlight w:val="none"/>
              </w:rPr>
            </w:pPr>
            <w:r>
              <w:rPr>
                <w:rFonts w:hint="eastAsia" w:hAnsi="宋体" w:cs="宋体"/>
                <w:color w:val="auto"/>
                <w:highlight w:val="none"/>
              </w:rPr>
              <w:t>30</w:t>
            </w:r>
          </w:p>
        </w:tc>
        <w:tc>
          <w:tcPr>
            <w:tcW w:w="1700" w:type="dxa"/>
            <w:vAlign w:val="center"/>
          </w:tcPr>
          <w:p w14:paraId="46C04F9F">
            <w:pPr>
              <w:widowControl/>
              <w:spacing w:line="360" w:lineRule="auto"/>
              <w:jc w:val="center"/>
              <w:rPr>
                <w:rFonts w:ascii="宋体" w:hAnsi="宋体" w:cs="宋体"/>
                <w:bCs/>
                <w:color w:val="auto"/>
                <w:kern w:val="0"/>
                <w:sz w:val="24"/>
                <w:szCs w:val="24"/>
                <w:highlight w:val="none"/>
                <w:lang w:bidi="ar"/>
              </w:rPr>
            </w:pPr>
            <w:r>
              <w:rPr>
                <w:rFonts w:hint="eastAsia" w:ascii="宋体" w:hAnsi="宋体" w:cs="宋体"/>
                <w:bCs/>
                <w:color w:val="auto"/>
                <w:kern w:val="0"/>
                <w:sz w:val="24"/>
                <w:szCs w:val="24"/>
                <w:highlight w:val="none"/>
                <w:lang w:bidi="ar"/>
              </w:rPr>
              <w:t>行政监督部门</w:t>
            </w:r>
          </w:p>
          <w:p w14:paraId="400AE0AA">
            <w:pPr>
              <w:widowControl/>
              <w:spacing w:line="360" w:lineRule="auto"/>
              <w:jc w:val="center"/>
              <w:rPr>
                <w:rFonts w:ascii="宋体" w:hAnsi="宋体" w:cs="宋体"/>
                <w:color w:val="auto"/>
                <w:highlight w:val="none"/>
              </w:rPr>
            </w:pPr>
            <w:r>
              <w:rPr>
                <w:rFonts w:hint="eastAsia" w:ascii="宋体" w:hAnsi="宋体" w:cs="宋体"/>
                <w:bCs/>
                <w:color w:val="auto"/>
                <w:kern w:val="0"/>
                <w:sz w:val="24"/>
                <w:szCs w:val="24"/>
                <w:highlight w:val="none"/>
                <w:lang w:bidi="ar"/>
              </w:rPr>
              <w:t>联系方式</w:t>
            </w:r>
          </w:p>
        </w:tc>
        <w:tc>
          <w:tcPr>
            <w:tcW w:w="7528" w:type="dxa"/>
            <w:vAlign w:val="center"/>
          </w:tcPr>
          <w:p w14:paraId="79FEB779">
            <w:pPr>
              <w:wordWrap w:val="0"/>
              <w:adjustRightInd w:val="0"/>
              <w:snapToGrid w:val="0"/>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单位名称：乳源瑶族自治县住房和城乡建设管理局</w:t>
            </w:r>
          </w:p>
          <w:p w14:paraId="4259CB81">
            <w:pPr>
              <w:wordWrap w:val="0"/>
              <w:adjustRightInd w:val="0"/>
              <w:snapToGrid w:val="0"/>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办公地址：乳源瑶族自治县乳城镇鹰峰东路205号</w:t>
            </w:r>
          </w:p>
          <w:p w14:paraId="6B70836D">
            <w:pPr>
              <w:wordWrap w:val="0"/>
              <w:adjustRightInd w:val="0"/>
              <w:snapToGrid w:val="0"/>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联系人（部门）：建管股</w:t>
            </w:r>
          </w:p>
          <w:p w14:paraId="533820C4">
            <w:pPr>
              <w:wordWrap w:val="0"/>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zh-CN"/>
              </w:rPr>
              <w:t>联系电话：0751-5360992</w:t>
            </w:r>
          </w:p>
        </w:tc>
      </w:tr>
    </w:tbl>
    <w:p w14:paraId="4A9804F0">
      <w:pPr>
        <w:rPr>
          <w:rFonts w:ascii="宋体" w:hAnsi="宋体" w:cs="宋体"/>
          <w:color w:val="auto"/>
          <w:highlight w:val="none"/>
        </w:rPr>
      </w:pPr>
    </w:p>
    <w:p w14:paraId="1FA63E9D">
      <w:pPr>
        <w:rPr>
          <w:rFonts w:ascii="宋体" w:hAnsi="宋体" w:cs="宋体"/>
          <w:color w:val="auto"/>
          <w:highlight w:val="none"/>
        </w:rPr>
      </w:pPr>
    </w:p>
    <w:p w14:paraId="01D93220">
      <w:pPr>
        <w:rPr>
          <w:rFonts w:ascii="宋体" w:hAnsi="宋体" w:cs="宋体"/>
          <w:color w:val="auto"/>
          <w:highlight w:val="none"/>
        </w:rPr>
      </w:pPr>
    </w:p>
    <w:p w14:paraId="016AD2C5">
      <w:pPr>
        <w:rPr>
          <w:rFonts w:ascii="宋体" w:hAnsi="宋体" w:cs="宋体"/>
          <w:color w:val="auto"/>
          <w:highlight w:val="none"/>
        </w:rPr>
      </w:pPr>
    </w:p>
    <w:p w14:paraId="48717CEB">
      <w:pPr>
        <w:rPr>
          <w:rFonts w:ascii="宋体" w:hAnsi="宋体" w:cs="宋体"/>
          <w:color w:val="auto"/>
          <w:highlight w:val="none"/>
        </w:rPr>
      </w:pPr>
    </w:p>
    <w:p w14:paraId="738B7992">
      <w:pPr>
        <w:rPr>
          <w:rFonts w:ascii="宋体" w:hAnsi="宋体" w:cs="宋体"/>
          <w:color w:val="auto"/>
          <w:highlight w:val="none"/>
        </w:rPr>
      </w:pPr>
    </w:p>
    <w:p w14:paraId="3B91850C">
      <w:pPr>
        <w:rPr>
          <w:rFonts w:ascii="宋体" w:hAnsi="宋体" w:cs="宋体"/>
          <w:color w:val="auto"/>
          <w:highlight w:val="none"/>
        </w:rPr>
      </w:pPr>
    </w:p>
    <w:p w14:paraId="597038C7">
      <w:pPr>
        <w:rPr>
          <w:rFonts w:ascii="宋体" w:hAnsi="宋体" w:cs="宋体"/>
          <w:color w:val="auto"/>
          <w:highlight w:val="none"/>
        </w:rPr>
      </w:pPr>
    </w:p>
    <w:p w14:paraId="6948C626">
      <w:pPr>
        <w:rPr>
          <w:rFonts w:ascii="宋体" w:hAnsi="宋体" w:cs="宋体"/>
          <w:color w:val="auto"/>
          <w:highlight w:val="none"/>
        </w:rPr>
      </w:pPr>
    </w:p>
    <w:p w14:paraId="4B857BBB">
      <w:pPr>
        <w:rPr>
          <w:rFonts w:ascii="宋体" w:hAnsi="宋体" w:cs="宋体"/>
          <w:color w:val="auto"/>
          <w:highlight w:val="none"/>
        </w:rPr>
      </w:pPr>
    </w:p>
    <w:bookmarkEnd w:id="8"/>
    <w:p w14:paraId="71519FFF">
      <w:pPr>
        <w:rPr>
          <w:rFonts w:hint="eastAsia" w:ascii="宋体" w:hAnsi="宋体" w:cs="宋体"/>
          <w:b/>
          <w:snapToGrid w:val="0"/>
          <w:color w:val="auto"/>
          <w:sz w:val="24"/>
          <w:highlight w:val="none"/>
        </w:rPr>
      </w:pPr>
      <w:bookmarkStart w:id="9" w:name="_Toc15635"/>
      <w:bookmarkStart w:id="10" w:name="_Toc6717"/>
      <w:bookmarkStart w:id="11" w:name="_Toc3715"/>
      <w:r>
        <w:rPr>
          <w:rFonts w:hint="eastAsia" w:ascii="宋体" w:hAnsi="宋体" w:cs="宋体"/>
          <w:b/>
          <w:snapToGrid w:val="0"/>
          <w:color w:val="auto"/>
          <w:sz w:val="24"/>
          <w:highlight w:val="none"/>
        </w:rPr>
        <w:br w:type="page"/>
      </w:r>
    </w:p>
    <w:p w14:paraId="408EC9F1">
      <w:pPr>
        <w:pStyle w:val="3"/>
        <w:wordWrap w:val="0"/>
        <w:autoSpaceDE/>
        <w:autoSpaceDN/>
        <w:snapToGrid w:val="0"/>
        <w:spacing w:before="260" w:after="260"/>
        <w:jc w:val="both"/>
        <w:rPr>
          <w:rFonts w:ascii="宋体" w:hAnsi="宋体" w:cs="宋体"/>
          <w:b/>
          <w:snapToGrid w:val="0"/>
          <w:color w:val="auto"/>
          <w:sz w:val="24"/>
          <w:highlight w:val="none"/>
        </w:rPr>
      </w:pPr>
      <w:r>
        <w:rPr>
          <w:rFonts w:hint="eastAsia" w:ascii="宋体" w:hAnsi="宋体" w:cs="宋体"/>
          <w:b/>
          <w:snapToGrid w:val="0"/>
          <w:color w:val="auto"/>
          <w:sz w:val="24"/>
          <w:highlight w:val="none"/>
        </w:rPr>
        <w:t>第二节   重要事项时间地点一览表</w:t>
      </w:r>
      <w:bookmarkEnd w:id="9"/>
      <w:bookmarkEnd w:id="10"/>
      <w:bookmarkEnd w:id="11"/>
    </w:p>
    <w:tbl>
      <w:tblPr>
        <w:tblStyle w:val="17"/>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950"/>
        <w:gridCol w:w="7217"/>
      </w:tblGrid>
      <w:tr w14:paraId="3A20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78" w:type="dxa"/>
            <w:vAlign w:val="center"/>
          </w:tcPr>
          <w:p w14:paraId="337A87A6">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1950" w:type="dxa"/>
            <w:vAlign w:val="center"/>
          </w:tcPr>
          <w:p w14:paraId="2A707AF0">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招标公告</w:t>
            </w:r>
          </w:p>
          <w:p w14:paraId="5766D2E8">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发布时间</w:t>
            </w:r>
          </w:p>
        </w:tc>
        <w:tc>
          <w:tcPr>
            <w:tcW w:w="7217" w:type="dxa"/>
            <w:vAlign w:val="center"/>
          </w:tcPr>
          <w:p w14:paraId="7B3F483B">
            <w:pPr>
              <w:wordWrap w:val="0"/>
              <w:spacing w:line="400" w:lineRule="exact"/>
              <w:ind w:firstLine="240" w:firstLineChars="100"/>
              <w:jc w:val="left"/>
              <w:rPr>
                <w:rFonts w:ascii="宋体" w:hAnsi="宋体" w:cs="宋体"/>
                <w:snapToGrid w:val="0"/>
                <w:color w:val="auto"/>
                <w:kern w:val="0"/>
                <w:sz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17</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30 </w:t>
            </w:r>
            <w:r>
              <w:rPr>
                <w:rFonts w:hint="eastAsia" w:ascii="宋体" w:hAnsi="宋体" w:cs="宋体"/>
                <w:color w:val="auto"/>
                <w:sz w:val="24"/>
                <w:szCs w:val="24"/>
                <w:highlight w:val="none"/>
              </w:rPr>
              <w:t>分</w:t>
            </w:r>
          </w:p>
        </w:tc>
      </w:tr>
      <w:tr w14:paraId="7132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78" w:type="dxa"/>
            <w:vAlign w:val="center"/>
          </w:tcPr>
          <w:p w14:paraId="3FBDD6A1">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1950" w:type="dxa"/>
            <w:vAlign w:val="center"/>
          </w:tcPr>
          <w:p w14:paraId="405AF76B">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获取招标文</w:t>
            </w:r>
          </w:p>
          <w:p w14:paraId="757BA7FA">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件截止时间</w:t>
            </w:r>
          </w:p>
        </w:tc>
        <w:tc>
          <w:tcPr>
            <w:tcW w:w="7217" w:type="dxa"/>
            <w:vAlign w:val="center"/>
          </w:tcPr>
          <w:p w14:paraId="01BEDAD4">
            <w:pPr>
              <w:wordWrap w:val="0"/>
              <w:spacing w:line="400" w:lineRule="exact"/>
              <w:ind w:firstLine="240" w:firstLineChars="100"/>
              <w:jc w:val="left"/>
              <w:rPr>
                <w:rFonts w:ascii="宋体" w:hAnsi="宋体" w:cs="宋体"/>
                <w:snapToGrid w:val="0"/>
                <w:color w:val="auto"/>
                <w:kern w:val="0"/>
                <w:sz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30 </w:t>
            </w:r>
            <w:r>
              <w:rPr>
                <w:rFonts w:hint="eastAsia" w:ascii="宋体" w:hAnsi="宋体" w:cs="宋体"/>
                <w:color w:val="auto"/>
                <w:sz w:val="24"/>
                <w:szCs w:val="24"/>
                <w:highlight w:val="none"/>
              </w:rPr>
              <w:t>分</w:t>
            </w:r>
          </w:p>
        </w:tc>
      </w:tr>
      <w:tr w14:paraId="1C49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578" w:type="dxa"/>
            <w:vAlign w:val="center"/>
          </w:tcPr>
          <w:p w14:paraId="38F30E56">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1950" w:type="dxa"/>
            <w:vAlign w:val="center"/>
          </w:tcPr>
          <w:p w14:paraId="0B913210">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网上提问</w:t>
            </w:r>
          </w:p>
          <w:p w14:paraId="4FB1EF6F">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截止时间</w:t>
            </w:r>
          </w:p>
        </w:tc>
        <w:tc>
          <w:tcPr>
            <w:tcW w:w="7217" w:type="dxa"/>
            <w:vAlign w:val="center"/>
          </w:tcPr>
          <w:p w14:paraId="6E208942">
            <w:pPr>
              <w:wordWrap w:val="0"/>
              <w:spacing w:line="400" w:lineRule="exact"/>
              <w:ind w:firstLine="240" w:firstLineChars="100"/>
              <w:jc w:val="left"/>
              <w:rPr>
                <w:rFonts w:ascii="宋体" w:hAnsi="宋体" w:cs="宋体"/>
                <w:snapToGrid w:val="0"/>
                <w:color w:val="auto"/>
                <w:kern w:val="0"/>
                <w:sz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16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w:t>
            </w:r>
          </w:p>
        </w:tc>
      </w:tr>
      <w:tr w14:paraId="4BE9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78" w:type="dxa"/>
            <w:vAlign w:val="center"/>
          </w:tcPr>
          <w:p w14:paraId="2E18E6BD">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w:t>
            </w:r>
          </w:p>
        </w:tc>
        <w:tc>
          <w:tcPr>
            <w:tcW w:w="1950" w:type="dxa"/>
            <w:vAlign w:val="center"/>
          </w:tcPr>
          <w:p w14:paraId="7A3DCA55">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网上答疑</w:t>
            </w:r>
          </w:p>
          <w:p w14:paraId="53DC06F4">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时间</w:t>
            </w:r>
          </w:p>
        </w:tc>
        <w:tc>
          <w:tcPr>
            <w:tcW w:w="7217" w:type="dxa"/>
            <w:vAlign w:val="center"/>
          </w:tcPr>
          <w:p w14:paraId="176B9AC3">
            <w:pPr>
              <w:wordWrap w:val="0"/>
              <w:spacing w:line="400" w:lineRule="exact"/>
              <w:ind w:firstLine="240" w:firstLineChars="100"/>
              <w:jc w:val="left"/>
              <w:rPr>
                <w:rFonts w:ascii="宋体" w:hAnsi="宋体" w:cs="宋体"/>
                <w:snapToGrid w:val="0"/>
                <w:color w:val="auto"/>
                <w:kern w:val="0"/>
                <w:sz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16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30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12</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16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w:t>
            </w:r>
          </w:p>
        </w:tc>
      </w:tr>
      <w:tr w14:paraId="23F8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78" w:type="dxa"/>
            <w:vAlign w:val="center"/>
          </w:tcPr>
          <w:p w14:paraId="05F54025">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w:t>
            </w:r>
          </w:p>
        </w:tc>
        <w:tc>
          <w:tcPr>
            <w:tcW w:w="1950" w:type="dxa"/>
            <w:vAlign w:val="center"/>
          </w:tcPr>
          <w:p w14:paraId="67B3C4CF">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投标保证缴</w:t>
            </w:r>
          </w:p>
          <w:p w14:paraId="2F7DE2D4">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纳截止时间</w:t>
            </w:r>
          </w:p>
        </w:tc>
        <w:tc>
          <w:tcPr>
            <w:tcW w:w="7217" w:type="dxa"/>
            <w:vAlign w:val="center"/>
          </w:tcPr>
          <w:p w14:paraId="132499BD">
            <w:pPr>
              <w:wordWrap w:val="0"/>
              <w:spacing w:line="400" w:lineRule="exact"/>
              <w:ind w:firstLine="240" w:firstLineChars="1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投标保证金到账截止时间：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30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24661D9E">
            <w:pPr>
              <w:wordWrap w:val="0"/>
              <w:spacing w:line="400" w:lineRule="exact"/>
              <w:ind w:firstLine="240" w:firstLineChars="1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投标保证担保上传截止时间：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30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54F519DA">
            <w:pPr>
              <w:wordWrap w:val="0"/>
              <w:spacing w:line="400" w:lineRule="exact"/>
              <w:ind w:firstLine="240" w:firstLineChars="100"/>
              <w:rPr>
                <w:rFonts w:hAnsi="宋体" w:cs="宋体"/>
                <w:snapToGrid w:val="0"/>
                <w:color w:val="auto"/>
                <w:kern w:val="0"/>
                <w:szCs w:val="24"/>
                <w:highlight w:val="none"/>
              </w:rPr>
            </w:pPr>
            <w:r>
              <w:rPr>
                <w:rFonts w:hint="eastAsia" w:ascii="宋体" w:hAnsi="宋体" w:cs="宋体"/>
                <w:snapToGrid w:val="0"/>
                <w:color w:val="auto"/>
                <w:kern w:val="0"/>
                <w:sz w:val="24"/>
                <w:szCs w:val="24"/>
                <w:highlight w:val="none"/>
              </w:rPr>
              <w:t>投标保证保险投保截止时间：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18</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30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tc>
      </w:tr>
      <w:tr w14:paraId="44D5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578" w:type="dxa"/>
            <w:vAlign w:val="center"/>
          </w:tcPr>
          <w:p w14:paraId="338E0337">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w:t>
            </w:r>
          </w:p>
        </w:tc>
        <w:tc>
          <w:tcPr>
            <w:tcW w:w="1950" w:type="dxa"/>
            <w:vAlign w:val="center"/>
          </w:tcPr>
          <w:p w14:paraId="3C13268E">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电子投标</w:t>
            </w:r>
          </w:p>
          <w:p w14:paraId="75BCA938">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截止时间</w:t>
            </w:r>
          </w:p>
        </w:tc>
        <w:tc>
          <w:tcPr>
            <w:tcW w:w="7217" w:type="dxa"/>
            <w:vAlign w:val="center"/>
          </w:tcPr>
          <w:p w14:paraId="34D018FA">
            <w:pPr>
              <w:wordWrap w:val="0"/>
              <w:spacing w:line="400" w:lineRule="exact"/>
              <w:ind w:firstLine="240" w:firstLineChars="100"/>
              <w:jc w:val="left"/>
              <w:rPr>
                <w:rFonts w:hAnsi="宋体" w:cs="宋体"/>
                <w:snapToGrid w:val="0"/>
                <w:color w:val="auto"/>
                <w:kern w:val="0"/>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30 </w:t>
            </w:r>
            <w:r>
              <w:rPr>
                <w:rFonts w:hint="eastAsia" w:ascii="宋体" w:hAnsi="宋体" w:cs="宋体"/>
                <w:color w:val="auto"/>
                <w:sz w:val="24"/>
                <w:szCs w:val="24"/>
                <w:highlight w:val="none"/>
              </w:rPr>
              <w:t>分</w:t>
            </w:r>
          </w:p>
        </w:tc>
      </w:tr>
      <w:tr w14:paraId="62C0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78" w:type="dxa"/>
            <w:vAlign w:val="center"/>
          </w:tcPr>
          <w:p w14:paraId="697661BE">
            <w:pPr>
              <w:wordWrap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w:t>
            </w:r>
          </w:p>
        </w:tc>
        <w:tc>
          <w:tcPr>
            <w:tcW w:w="1950" w:type="dxa"/>
            <w:vAlign w:val="center"/>
          </w:tcPr>
          <w:p w14:paraId="6C72BED2">
            <w:pPr>
              <w:wordWrap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投标评审原件(如有)递交时间</w:t>
            </w:r>
          </w:p>
        </w:tc>
        <w:tc>
          <w:tcPr>
            <w:tcW w:w="7217" w:type="dxa"/>
            <w:vAlign w:val="center"/>
          </w:tcPr>
          <w:p w14:paraId="01E0017F">
            <w:pPr>
              <w:wordWrap w:val="0"/>
              <w:ind w:firstLine="240" w:firstLineChars="100"/>
              <w:jc w:val="left"/>
              <w:rPr>
                <w:rFonts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00 </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30 </w:t>
            </w:r>
            <w:r>
              <w:rPr>
                <w:rFonts w:hint="eastAsia" w:ascii="宋体" w:hAnsi="宋体" w:cs="宋体"/>
                <w:color w:val="auto"/>
                <w:sz w:val="24"/>
                <w:szCs w:val="24"/>
                <w:highlight w:val="none"/>
              </w:rPr>
              <w:t>分</w:t>
            </w:r>
          </w:p>
        </w:tc>
      </w:tr>
      <w:tr w14:paraId="5E2F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78" w:type="dxa"/>
            <w:vAlign w:val="center"/>
          </w:tcPr>
          <w:p w14:paraId="6D63BDE3">
            <w:pPr>
              <w:wordWrap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w:t>
            </w:r>
          </w:p>
        </w:tc>
        <w:tc>
          <w:tcPr>
            <w:tcW w:w="1950" w:type="dxa"/>
            <w:vAlign w:val="center"/>
          </w:tcPr>
          <w:p w14:paraId="034A31C8">
            <w:pPr>
              <w:wordWrap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投标评审原件(如有)递交地点</w:t>
            </w:r>
          </w:p>
        </w:tc>
        <w:tc>
          <w:tcPr>
            <w:tcW w:w="7217" w:type="dxa"/>
            <w:vAlign w:val="center"/>
          </w:tcPr>
          <w:p w14:paraId="620E01DA">
            <w:pPr>
              <w:pStyle w:val="15"/>
              <w:wordWrap w:val="0"/>
              <w:adjustRightInd w:val="0"/>
              <w:snapToGrid w:val="0"/>
              <w:spacing w:line="356"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开标场所：韶关市公共资源交易中心，</w:t>
            </w:r>
          </w:p>
          <w:p w14:paraId="2570EB7C">
            <w:pPr>
              <w:pStyle w:val="15"/>
              <w:wordWrap w:val="0"/>
              <w:adjustRightInd w:val="0"/>
              <w:snapToGrid w:val="0"/>
              <w:spacing w:line="400" w:lineRule="exact"/>
              <w:jc w:val="left"/>
              <w:rPr>
                <w:rFonts w:hAnsi="宋体" w:cs="宋体"/>
                <w:snapToGrid w:val="0"/>
                <w:color w:val="auto"/>
                <w:kern w:val="0"/>
                <w:szCs w:val="24"/>
                <w:highlight w:val="none"/>
                <w:u w:val="single"/>
              </w:rPr>
            </w:pPr>
            <w:r>
              <w:rPr>
                <w:rFonts w:hint="eastAsia" w:hAnsi="宋体" w:cs="宋体"/>
                <w:snapToGrid w:val="0"/>
                <w:color w:val="auto"/>
                <w:kern w:val="0"/>
                <w:szCs w:val="24"/>
                <w:highlight w:val="none"/>
              </w:rPr>
              <w:t>地址：韶关市公共资源交易中心乳源分中心(韶关市乳源瑶族自治县乳城镇北环中路乳源农旅特色小镇政务服务大厅4号楼3楼(京港澳高速乳源收费站路口旁),具体房间号以当日现场通知为准。</w:t>
            </w:r>
          </w:p>
        </w:tc>
      </w:tr>
      <w:tr w14:paraId="07E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78" w:type="dxa"/>
            <w:vAlign w:val="center"/>
          </w:tcPr>
          <w:p w14:paraId="3F09FCB1">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w:t>
            </w:r>
          </w:p>
        </w:tc>
        <w:tc>
          <w:tcPr>
            <w:tcW w:w="1950" w:type="dxa"/>
            <w:vAlign w:val="center"/>
          </w:tcPr>
          <w:p w14:paraId="7F023A58">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开标时间</w:t>
            </w:r>
          </w:p>
        </w:tc>
        <w:tc>
          <w:tcPr>
            <w:tcW w:w="7217" w:type="dxa"/>
            <w:vAlign w:val="center"/>
          </w:tcPr>
          <w:p w14:paraId="6D5E4E24">
            <w:pPr>
              <w:pStyle w:val="15"/>
              <w:wordWrap w:val="0"/>
              <w:adjustRightInd w:val="0"/>
              <w:snapToGrid w:val="0"/>
              <w:spacing w:line="356" w:lineRule="exact"/>
              <w:ind w:firstLine="240" w:firstLineChars="100"/>
              <w:rPr>
                <w:rFonts w:hAnsi="宋体" w:cs="宋体"/>
                <w:snapToGrid w:val="0"/>
                <w:color w:val="auto"/>
                <w:kern w:val="0"/>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19</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30 </w:t>
            </w:r>
            <w:r>
              <w:rPr>
                <w:rFonts w:hint="eastAsia" w:ascii="宋体" w:hAnsi="宋体" w:cs="宋体"/>
                <w:color w:val="auto"/>
                <w:sz w:val="24"/>
                <w:szCs w:val="24"/>
                <w:highlight w:val="none"/>
              </w:rPr>
              <w:t>分</w:t>
            </w:r>
          </w:p>
        </w:tc>
      </w:tr>
      <w:tr w14:paraId="3CBC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578" w:type="dxa"/>
            <w:vAlign w:val="center"/>
          </w:tcPr>
          <w:p w14:paraId="7121B2B6">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w:t>
            </w:r>
          </w:p>
        </w:tc>
        <w:tc>
          <w:tcPr>
            <w:tcW w:w="1950" w:type="dxa"/>
            <w:vAlign w:val="center"/>
          </w:tcPr>
          <w:p w14:paraId="70DAC015">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开标地点</w:t>
            </w:r>
          </w:p>
        </w:tc>
        <w:tc>
          <w:tcPr>
            <w:tcW w:w="7217" w:type="dxa"/>
            <w:vAlign w:val="center"/>
          </w:tcPr>
          <w:p w14:paraId="2435FAE3">
            <w:pPr>
              <w:pStyle w:val="15"/>
              <w:wordWrap w:val="0"/>
              <w:adjustRightInd w:val="0"/>
              <w:snapToGrid w:val="0"/>
              <w:spacing w:line="360" w:lineRule="auto"/>
              <w:rPr>
                <w:rFonts w:hAnsi="宋体" w:cs="宋体"/>
                <w:snapToGrid w:val="0"/>
                <w:color w:val="auto"/>
                <w:kern w:val="0"/>
                <w:szCs w:val="24"/>
                <w:highlight w:val="none"/>
              </w:rPr>
            </w:pPr>
            <w:r>
              <w:rPr>
                <w:rFonts w:hint="eastAsia" w:hAnsi="宋体" w:cs="宋体"/>
                <w:snapToGrid w:val="0"/>
                <w:color w:val="auto"/>
                <w:kern w:val="0"/>
                <w:szCs w:val="24"/>
                <w:highlight w:val="none"/>
              </w:rPr>
              <w:t>开标场所：韶关市公共资源交易中心，</w:t>
            </w:r>
          </w:p>
          <w:p w14:paraId="1323A034">
            <w:pPr>
              <w:pStyle w:val="15"/>
              <w:wordWrap w:val="0"/>
              <w:adjustRightInd w:val="0"/>
              <w:snapToGrid w:val="0"/>
              <w:spacing w:line="360" w:lineRule="auto"/>
              <w:rPr>
                <w:rFonts w:hAnsi="宋体" w:cs="宋体"/>
                <w:snapToGrid w:val="0"/>
                <w:color w:val="auto"/>
                <w:kern w:val="0"/>
                <w:szCs w:val="24"/>
                <w:highlight w:val="none"/>
              </w:rPr>
            </w:pPr>
            <w:r>
              <w:rPr>
                <w:rFonts w:hint="eastAsia" w:hAnsi="宋体" w:cs="宋体"/>
                <w:snapToGrid w:val="0"/>
                <w:color w:val="auto"/>
                <w:kern w:val="0"/>
                <w:szCs w:val="24"/>
                <w:highlight w:val="none"/>
              </w:rPr>
              <w:t>地址：韶关市公共资源交易中心乳源分中心(韶关市乳源瑶族自治县乳城镇北环中路乳源农旅特色小镇政务服务大厅4号楼3楼(京港澳高速乳源收费站路口旁)，具体房间号以当日现场通知为准。</w:t>
            </w:r>
          </w:p>
        </w:tc>
      </w:tr>
      <w:tr w14:paraId="2869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78" w:type="dxa"/>
            <w:vAlign w:val="center"/>
          </w:tcPr>
          <w:p w14:paraId="772259EB">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w:t>
            </w:r>
          </w:p>
        </w:tc>
        <w:tc>
          <w:tcPr>
            <w:tcW w:w="1950" w:type="dxa"/>
            <w:vAlign w:val="center"/>
          </w:tcPr>
          <w:p w14:paraId="2C91B13C">
            <w:pPr>
              <w:pStyle w:val="26"/>
              <w:wordWrap w:val="0"/>
              <w:adjustRightInd w:val="0"/>
              <w:snapToGrid w:val="0"/>
              <w:spacing w:line="356"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备注</w:t>
            </w:r>
          </w:p>
        </w:tc>
        <w:tc>
          <w:tcPr>
            <w:tcW w:w="7217" w:type="dxa"/>
            <w:vAlign w:val="center"/>
          </w:tcPr>
          <w:p w14:paraId="46BFA8E4">
            <w:pPr>
              <w:pStyle w:val="26"/>
              <w:wordWrap w:val="0"/>
              <w:adjustRightInd w:val="0"/>
              <w:snapToGrid w:val="0"/>
              <w:spacing w:line="360" w:lineRule="auto"/>
              <w:rPr>
                <w:rFonts w:ascii="宋体" w:hAnsi="宋体" w:cs="宋体"/>
                <w:snapToGrid w:val="0"/>
                <w:color w:val="auto"/>
                <w:kern w:val="0"/>
                <w:sz w:val="24"/>
                <w:highlight w:val="none"/>
              </w:rPr>
            </w:pPr>
            <w:r>
              <w:rPr>
                <w:rFonts w:hint="eastAsia" w:ascii="宋体" w:hAnsi="宋体" w:cs="宋体"/>
                <w:color w:val="auto"/>
                <w:kern w:val="0"/>
                <w:sz w:val="24"/>
                <w:highlight w:val="none"/>
              </w:rPr>
              <w:t>自行下载招标文件、资料文件及招标答疑书等。若由于投标人自身原因未能及时取得上述资料的，由此发生的任何责任由投标人自负。</w:t>
            </w:r>
          </w:p>
        </w:tc>
      </w:tr>
    </w:tbl>
    <w:p w14:paraId="7AAB831F">
      <w:pPr>
        <w:rPr>
          <w:rFonts w:ascii="宋体" w:hAnsi="宋体" w:cs="宋体"/>
          <w:color w:val="auto"/>
          <w:sz w:val="24"/>
          <w:highlight w:val="none"/>
        </w:rPr>
      </w:pPr>
    </w:p>
    <w:p w14:paraId="32A5F0C7">
      <w:pPr>
        <w:pStyle w:val="3"/>
        <w:wordWrap w:val="0"/>
        <w:autoSpaceDE/>
        <w:autoSpaceDN/>
        <w:snapToGrid w:val="0"/>
        <w:spacing w:before="260" w:after="260"/>
        <w:jc w:val="both"/>
        <w:rPr>
          <w:rFonts w:ascii="宋体" w:hAnsi="宋体" w:cs="宋体"/>
          <w:b/>
          <w:snapToGrid w:val="0"/>
          <w:color w:val="auto"/>
          <w:sz w:val="24"/>
          <w:highlight w:val="none"/>
        </w:rPr>
      </w:pPr>
      <w:bookmarkStart w:id="12" w:name="_Hlt69669159"/>
      <w:bookmarkEnd w:id="12"/>
      <w:bookmarkStart w:id="13" w:name="_Toc27437"/>
      <w:bookmarkStart w:id="14" w:name="_Toc568"/>
      <w:bookmarkStart w:id="15" w:name="_Hlt69698754"/>
      <w:bookmarkStart w:id="16" w:name="_Hlt69698705"/>
      <w:r>
        <w:rPr>
          <w:rFonts w:hint="eastAsia" w:ascii="宋体" w:hAnsi="宋体" w:cs="宋体"/>
          <w:b/>
          <w:snapToGrid w:val="0"/>
          <w:color w:val="auto"/>
          <w:sz w:val="24"/>
          <w:highlight w:val="none"/>
        </w:rPr>
        <w:t>第三节   投标人须知正文</w:t>
      </w:r>
      <w:bookmarkEnd w:id="13"/>
    </w:p>
    <w:bookmarkEnd w:id="14"/>
    <w:bookmarkEnd w:id="15"/>
    <w:bookmarkEnd w:id="16"/>
    <w:p w14:paraId="239BEF26">
      <w:pPr>
        <w:pStyle w:val="7"/>
        <w:kinsoku w:val="0"/>
        <w:wordWrap w:val="0"/>
        <w:overflowPunct w:val="0"/>
        <w:autoSpaceDE w:val="0"/>
        <w:autoSpaceDN w:val="0"/>
        <w:spacing w:line="360" w:lineRule="auto"/>
        <w:ind w:firstLine="420" w:firstLineChars="175"/>
        <w:jc w:val="both"/>
        <w:rPr>
          <w:rFonts w:ascii="宋体" w:hAnsi="宋体" w:cs="宋体"/>
          <w:color w:val="auto"/>
          <w:sz w:val="24"/>
          <w:highlight w:val="none"/>
        </w:rPr>
      </w:pPr>
      <w:r>
        <w:rPr>
          <w:rFonts w:hint="eastAsia" w:ascii="宋体" w:hAnsi="宋体" w:eastAsia="宋体" w:cs="宋体"/>
          <w:color w:val="auto"/>
          <w:kern w:val="0"/>
          <w:sz w:val="24"/>
          <w:szCs w:val="22"/>
          <w:highlight w:val="none"/>
          <w:u w:val="single"/>
          <w:lang w:val="en-US" w:eastAsia="zh-CN"/>
        </w:rPr>
        <w:t>新材料产业园氟有限北侧地块基础设施建设项目</w:t>
      </w:r>
      <w:r>
        <w:rPr>
          <w:rFonts w:hint="eastAsia" w:ascii="宋体" w:hAnsi="宋体" w:cs="宋体"/>
          <w:color w:val="auto"/>
          <w:kern w:val="0"/>
          <w:sz w:val="24"/>
          <w:szCs w:val="22"/>
          <w:highlight w:val="none"/>
        </w:rPr>
        <w:t>经</w:t>
      </w:r>
      <w:r>
        <w:rPr>
          <w:rFonts w:hint="eastAsia" w:ascii="宋体" w:hAnsi="宋体" w:cs="宋体"/>
          <w:color w:val="auto"/>
          <w:kern w:val="0"/>
          <w:sz w:val="24"/>
          <w:szCs w:val="22"/>
          <w:highlight w:val="none"/>
          <w:u w:val="single"/>
        </w:rPr>
        <w:t>乳源瑶族自治县发展和改革局</w:t>
      </w:r>
      <w:r>
        <w:rPr>
          <w:rFonts w:hint="eastAsia" w:ascii="宋体" w:hAnsi="宋体" w:cs="宋体"/>
          <w:color w:val="auto"/>
          <w:kern w:val="0"/>
          <w:sz w:val="24"/>
          <w:szCs w:val="22"/>
          <w:highlight w:val="none"/>
        </w:rPr>
        <w:t>以</w:t>
      </w:r>
      <w:r>
        <w:rPr>
          <w:rFonts w:hint="eastAsia" w:ascii="宋体" w:hAnsi="宋体" w:cs="宋体"/>
          <w:color w:val="auto"/>
          <w:kern w:val="0"/>
          <w:sz w:val="24"/>
          <w:szCs w:val="22"/>
          <w:highlight w:val="none"/>
          <w:u w:val="single"/>
        </w:rPr>
        <w:t>《</w:t>
      </w:r>
      <w:r>
        <w:rPr>
          <w:rFonts w:hint="eastAsia" w:ascii="宋体" w:hAnsi="宋体" w:cs="宋体"/>
          <w:color w:val="auto"/>
          <w:kern w:val="0"/>
          <w:sz w:val="24"/>
          <w:szCs w:val="22"/>
          <w:highlight w:val="none"/>
          <w:u w:val="single"/>
          <w:lang w:eastAsia="zh-CN"/>
        </w:rPr>
        <w:t>关于新材料产业园氟有限北侧地块基础设施建设项目可行性研究报告的批复</w:t>
      </w:r>
      <w:r>
        <w:rPr>
          <w:rFonts w:hint="eastAsia" w:ascii="宋体" w:hAnsi="宋体" w:cs="宋体"/>
          <w:color w:val="auto"/>
          <w:kern w:val="0"/>
          <w:sz w:val="24"/>
          <w:szCs w:val="22"/>
          <w:highlight w:val="none"/>
          <w:u w:val="single"/>
        </w:rPr>
        <w:t>》乳发改投审〔2025〕65号</w:t>
      </w:r>
      <w:r>
        <w:rPr>
          <w:rFonts w:hint="eastAsia" w:ascii="宋体" w:hAnsi="宋体" w:cs="宋体"/>
          <w:color w:val="auto"/>
          <w:kern w:val="0"/>
          <w:sz w:val="24"/>
          <w:szCs w:val="22"/>
          <w:highlight w:val="none"/>
        </w:rPr>
        <w:t>批准建设，项目代码</w:t>
      </w:r>
      <w:r>
        <w:rPr>
          <w:rFonts w:hint="eastAsia" w:ascii="宋体" w:hAnsi="宋体" w:cs="宋体"/>
          <w:color w:val="auto"/>
          <w:kern w:val="0"/>
          <w:sz w:val="24"/>
          <w:szCs w:val="22"/>
          <w:highlight w:val="none"/>
          <w:u w:val="single"/>
          <w:lang w:eastAsia="zh-CN"/>
        </w:rPr>
        <w:t>2503-440232-04-01-756995</w:t>
      </w:r>
      <w:r>
        <w:rPr>
          <w:rFonts w:hint="eastAsia" w:ascii="宋体" w:hAnsi="宋体" w:cs="宋体"/>
          <w:color w:val="auto"/>
          <w:kern w:val="0"/>
          <w:sz w:val="24"/>
          <w:szCs w:val="22"/>
          <w:highlight w:val="none"/>
        </w:rPr>
        <w:t>。本项目业主为</w:t>
      </w:r>
      <w:r>
        <w:rPr>
          <w:rFonts w:hint="eastAsia" w:ascii="宋体" w:hAnsi="宋体" w:eastAsia="宋体" w:cs="宋体"/>
          <w:color w:val="auto"/>
          <w:kern w:val="0"/>
          <w:sz w:val="24"/>
          <w:szCs w:val="22"/>
          <w:highlight w:val="none"/>
          <w:u w:val="single"/>
          <w:lang w:val="en-US" w:eastAsia="zh-CN"/>
        </w:rPr>
        <w:t>韶关乳源高新技术产业开发区管理委员会</w:t>
      </w:r>
      <w:r>
        <w:rPr>
          <w:rFonts w:hint="eastAsia" w:ascii="宋体" w:hAnsi="宋体" w:cs="宋体"/>
          <w:color w:val="auto"/>
          <w:kern w:val="0"/>
          <w:sz w:val="24"/>
          <w:szCs w:val="22"/>
          <w:highlight w:val="none"/>
        </w:rPr>
        <w:t>，建设资金来自</w:t>
      </w:r>
      <w:r>
        <w:rPr>
          <w:rFonts w:hint="eastAsia" w:ascii="宋体" w:hAnsi="宋体" w:eastAsia="宋体" w:cs="宋体"/>
          <w:color w:val="auto"/>
          <w:kern w:val="0"/>
          <w:sz w:val="24"/>
          <w:szCs w:val="22"/>
          <w:highlight w:val="none"/>
          <w:u w:val="single"/>
          <w:lang w:val="en-US" w:eastAsia="zh-CN"/>
        </w:rPr>
        <w:t>地方专项债券资金</w:t>
      </w:r>
      <w:r>
        <w:rPr>
          <w:rFonts w:hint="eastAsia" w:ascii="宋体" w:hAnsi="宋体" w:cs="宋体"/>
          <w:color w:val="auto"/>
          <w:kern w:val="0"/>
          <w:sz w:val="24"/>
          <w:szCs w:val="22"/>
          <w:highlight w:val="none"/>
        </w:rPr>
        <w:t>，出资比例</w:t>
      </w:r>
      <w:r>
        <w:rPr>
          <w:rFonts w:hint="eastAsia" w:ascii="宋体" w:hAnsi="宋体" w:cs="宋体"/>
          <w:color w:val="auto"/>
          <w:kern w:val="0"/>
          <w:sz w:val="24"/>
          <w:szCs w:val="22"/>
          <w:highlight w:val="none"/>
          <w:u w:val="single"/>
        </w:rPr>
        <w:t>100%</w:t>
      </w:r>
      <w:r>
        <w:rPr>
          <w:rFonts w:hint="eastAsia" w:ascii="宋体" w:hAnsi="宋体" w:cs="宋体"/>
          <w:color w:val="auto"/>
          <w:kern w:val="0"/>
          <w:sz w:val="24"/>
          <w:szCs w:val="22"/>
          <w:highlight w:val="none"/>
        </w:rPr>
        <w:t>，招标人为</w:t>
      </w:r>
      <w:r>
        <w:rPr>
          <w:rFonts w:hint="eastAsia" w:ascii="宋体" w:hAnsi="宋体" w:cs="宋体"/>
          <w:color w:val="auto"/>
          <w:kern w:val="0"/>
          <w:sz w:val="24"/>
          <w:szCs w:val="22"/>
          <w:highlight w:val="none"/>
          <w:u w:val="single"/>
        </w:rPr>
        <w:t>乳源瑶族自治县政府投资建设项目代建中心</w:t>
      </w:r>
      <w:r>
        <w:rPr>
          <w:rFonts w:hint="eastAsia" w:ascii="宋体" w:hAnsi="宋体" w:cs="宋体"/>
          <w:color w:val="auto"/>
          <w:kern w:val="0"/>
          <w:sz w:val="24"/>
          <w:szCs w:val="22"/>
          <w:highlight w:val="none"/>
        </w:rPr>
        <w:t>，招标代理机构为</w:t>
      </w:r>
      <w:r>
        <w:rPr>
          <w:rFonts w:hint="eastAsia" w:ascii="宋体" w:hAnsi="宋体" w:eastAsia="宋体" w:cs="宋体"/>
          <w:color w:val="auto"/>
          <w:kern w:val="0"/>
          <w:sz w:val="24"/>
          <w:szCs w:val="22"/>
          <w:highlight w:val="none"/>
          <w:u w:val="single"/>
        </w:rPr>
        <w:t>广东宇成项目管理有限公司</w:t>
      </w:r>
      <w:r>
        <w:rPr>
          <w:rFonts w:hint="eastAsia" w:ascii="宋体" w:hAnsi="宋体" w:cs="宋体"/>
          <w:color w:val="auto"/>
          <w:kern w:val="0"/>
          <w:sz w:val="24"/>
          <w:szCs w:val="22"/>
          <w:highlight w:val="none"/>
        </w:rPr>
        <w:t>。项目已具备招标条件，现对该项目的</w:t>
      </w:r>
      <w:r>
        <w:rPr>
          <w:rFonts w:hint="eastAsia" w:ascii="宋体" w:hAnsi="宋体" w:cs="宋体"/>
          <w:color w:val="auto"/>
          <w:kern w:val="0"/>
          <w:sz w:val="24"/>
          <w:szCs w:val="22"/>
          <w:highlight w:val="none"/>
          <w:u w:val="single"/>
        </w:rPr>
        <w:t>设计</w:t>
      </w:r>
      <w:r>
        <w:rPr>
          <w:rFonts w:hint="eastAsia" w:ascii="宋体" w:hAnsi="宋体" w:cs="宋体"/>
          <w:color w:val="auto"/>
          <w:kern w:val="0"/>
          <w:sz w:val="24"/>
          <w:szCs w:val="22"/>
          <w:highlight w:val="none"/>
        </w:rPr>
        <w:t>进行公开招标。</w:t>
      </w:r>
    </w:p>
    <w:p w14:paraId="2E5BFC17">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7" w:name="_Hlt119991399"/>
      <w:bookmarkEnd w:id="17"/>
      <w:bookmarkStart w:id="18" w:name="_Hlt74474735"/>
      <w:bookmarkEnd w:id="18"/>
      <w:bookmarkStart w:id="19" w:name="_Hlt87948285"/>
      <w:bookmarkEnd w:id="19"/>
      <w:bookmarkStart w:id="20" w:name="_Hlt78795222"/>
      <w:bookmarkEnd w:id="20"/>
      <w:bookmarkStart w:id="21" w:name="_Hlt109358474"/>
      <w:bookmarkEnd w:id="21"/>
      <w:bookmarkStart w:id="22" w:name="_Toc7147"/>
      <w:bookmarkStart w:id="23" w:name="_Toc14256"/>
      <w:bookmarkStart w:id="24" w:name="_Toc10343"/>
      <w:r>
        <w:rPr>
          <w:rFonts w:hint="eastAsia" w:ascii="宋体" w:hAnsi="宋体" w:cs="宋体"/>
          <w:b/>
          <w:snapToGrid w:val="0"/>
          <w:color w:val="auto"/>
          <w:sz w:val="24"/>
          <w:highlight w:val="none"/>
        </w:rPr>
        <w:t>1.工程概况综合说明</w:t>
      </w:r>
      <w:bookmarkEnd w:id="22"/>
      <w:bookmarkEnd w:id="23"/>
      <w:bookmarkEnd w:id="24"/>
    </w:p>
    <w:p w14:paraId="72854940">
      <w:pPr>
        <w:pStyle w:val="25"/>
        <w:tabs>
          <w:tab w:val="left" w:pos="7020"/>
        </w:tabs>
        <w:ind w:firstLine="530" w:firstLineChars="221"/>
        <w:rPr>
          <w:rFonts w:hAnsi="宋体" w:cs="宋体"/>
          <w:color w:val="auto"/>
          <w:szCs w:val="18"/>
          <w:highlight w:val="none"/>
          <w:u w:val="single"/>
        </w:rPr>
      </w:pPr>
      <w:r>
        <w:rPr>
          <w:rFonts w:hint="eastAsia" w:hAnsi="宋体" w:cs="宋体"/>
          <w:color w:val="auto"/>
          <w:szCs w:val="24"/>
          <w:highlight w:val="none"/>
        </w:rPr>
        <w:t>1.1招标人：</w:t>
      </w:r>
      <w:r>
        <w:rPr>
          <w:rFonts w:hint="eastAsia" w:hAnsi="宋体" w:cs="宋体"/>
          <w:snapToGrid w:val="0"/>
          <w:color w:val="auto"/>
          <w:kern w:val="0"/>
          <w:szCs w:val="24"/>
          <w:highlight w:val="none"/>
          <w:u w:val="single"/>
        </w:rPr>
        <w:t>乳源瑶族自治县政府投资建设项目代建中心。</w:t>
      </w:r>
    </w:p>
    <w:p w14:paraId="7A2D297C">
      <w:pPr>
        <w:pStyle w:val="25"/>
        <w:tabs>
          <w:tab w:val="left" w:pos="7020"/>
        </w:tabs>
        <w:ind w:firstLine="530" w:firstLineChars="221"/>
        <w:rPr>
          <w:rFonts w:hAnsi="宋体" w:cs="宋体"/>
          <w:color w:val="auto"/>
          <w:szCs w:val="22"/>
          <w:highlight w:val="none"/>
          <w:u w:val="single"/>
        </w:rPr>
      </w:pPr>
      <w:r>
        <w:rPr>
          <w:rFonts w:hint="eastAsia" w:hAnsi="宋体" w:cs="宋体"/>
          <w:color w:val="auto"/>
          <w:szCs w:val="24"/>
          <w:highlight w:val="none"/>
        </w:rPr>
        <w:t>1.2</w:t>
      </w:r>
      <w:r>
        <w:rPr>
          <w:rFonts w:hint="eastAsia" w:hAnsi="宋体" w:cs="宋体"/>
          <w:color w:val="auto"/>
          <w:kern w:val="0"/>
          <w:szCs w:val="24"/>
          <w:highlight w:val="none"/>
        </w:rPr>
        <w:t>工程地点：</w:t>
      </w:r>
      <w:r>
        <w:rPr>
          <w:rFonts w:hint="eastAsia" w:ascii="宋体" w:hAnsi="宋体" w:eastAsia="宋体" w:cs="宋体"/>
          <w:snapToGrid w:val="0"/>
          <w:color w:val="auto"/>
          <w:kern w:val="0"/>
          <w:szCs w:val="24"/>
          <w:highlight w:val="none"/>
          <w:u w:val="single"/>
          <w:lang w:val="en-US" w:eastAsia="zh-CN"/>
        </w:rPr>
        <w:t>新材料产业园氟有限北侧</w:t>
      </w:r>
      <w:r>
        <w:rPr>
          <w:rFonts w:hint="eastAsia" w:hAnsi="宋体" w:cs="宋体"/>
          <w:snapToGrid w:val="0"/>
          <w:color w:val="auto"/>
          <w:kern w:val="0"/>
          <w:szCs w:val="24"/>
          <w:highlight w:val="none"/>
          <w:u w:val="single"/>
        </w:rPr>
        <w:t>。</w:t>
      </w:r>
    </w:p>
    <w:p w14:paraId="3A89563C">
      <w:pPr>
        <w:pStyle w:val="25"/>
        <w:tabs>
          <w:tab w:val="left" w:pos="7020"/>
        </w:tabs>
        <w:ind w:firstLine="530" w:firstLineChars="221"/>
        <w:rPr>
          <w:rFonts w:hAnsi="宋体" w:cs="宋体"/>
          <w:strike/>
          <w:dstrike w:val="0"/>
          <w:snapToGrid w:val="0"/>
          <w:color w:val="auto"/>
          <w:kern w:val="0"/>
          <w:szCs w:val="24"/>
          <w:highlight w:val="none"/>
          <w:u w:val="single"/>
        </w:rPr>
      </w:pPr>
      <w:r>
        <w:rPr>
          <w:rFonts w:hint="eastAsia" w:hAnsi="宋体" w:cs="宋体"/>
          <w:color w:val="auto"/>
          <w:szCs w:val="24"/>
          <w:highlight w:val="none"/>
        </w:rPr>
        <w:t>1.3</w:t>
      </w:r>
      <w:r>
        <w:rPr>
          <w:rFonts w:hint="eastAsia" w:hAnsi="宋体" w:cs="宋体"/>
          <w:color w:val="auto"/>
          <w:kern w:val="0"/>
          <w:szCs w:val="24"/>
          <w:highlight w:val="none"/>
        </w:rPr>
        <w:t>工程主要建设规模</w:t>
      </w:r>
      <w:r>
        <w:rPr>
          <w:rFonts w:hint="eastAsia" w:hAnsi="宋体" w:cs="宋体"/>
          <w:color w:val="auto"/>
          <w:szCs w:val="22"/>
          <w:highlight w:val="none"/>
        </w:rPr>
        <w:t>及建设内容：</w:t>
      </w:r>
      <w:r>
        <w:rPr>
          <w:rFonts w:hint="eastAsia" w:ascii="宋体" w:hAnsi="宋体" w:eastAsia="宋体" w:cs="宋体"/>
          <w:snapToGrid w:val="0"/>
          <w:color w:val="auto"/>
          <w:kern w:val="0"/>
          <w:szCs w:val="24"/>
          <w:highlight w:val="none"/>
          <w:u w:val="single"/>
          <w:lang w:val="en-US" w:eastAsia="zh-CN"/>
        </w:rPr>
        <w:t>对新材料产业园氟有限北侧地块约102564㎡土地进行土方平整及边坡修缮，建设内容包括土方开挖约89.8万方，回填约1.2万方；边坡锚杆骨架防护约10615㎡，挡土墙约80m，抗滑桩约4200m，桩板墙约447m，路面工程约9372m³，边坡三维网植草约13500㎡；修建截水沟1100m、排水沟1470m，修建涵管约1240m，管线约1310m，防撞栏约735m，钢板桩支护约1660m</w:t>
      </w:r>
      <w:r>
        <w:rPr>
          <w:rFonts w:hint="eastAsia" w:ascii="宋体" w:hAnsi="宋体" w:cs="宋体"/>
          <w:color w:val="auto"/>
          <w:sz w:val="24"/>
          <w:szCs w:val="24"/>
          <w:highlight w:val="none"/>
          <w:u w:val="single"/>
          <w:lang w:val="en-US" w:eastAsia="zh-CN"/>
        </w:rPr>
        <w:t>。</w:t>
      </w:r>
    </w:p>
    <w:p w14:paraId="585F850B">
      <w:pPr>
        <w:pStyle w:val="25"/>
        <w:tabs>
          <w:tab w:val="left" w:pos="7020"/>
        </w:tabs>
        <w:ind w:firstLine="530" w:firstLineChars="221"/>
        <w:rPr>
          <w:rFonts w:hint="eastAsia" w:hAnsi="宋体" w:eastAsia="宋体" w:cs="宋体"/>
          <w:color w:val="auto"/>
          <w:szCs w:val="24"/>
          <w:highlight w:val="none"/>
          <w:lang w:eastAsia="zh-CN"/>
        </w:rPr>
      </w:pPr>
      <w:r>
        <w:rPr>
          <w:rFonts w:hint="eastAsia" w:hAnsi="宋体" w:cs="宋体"/>
          <w:snapToGrid w:val="0"/>
          <w:color w:val="auto"/>
          <w:kern w:val="0"/>
          <w:szCs w:val="24"/>
          <w:highlight w:val="none"/>
        </w:rPr>
        <w:t>1.4项目总投资：</w:t>
      </w:r>
      <w:r>
        <w:rPr>
          <w:rFonts w:hint="eastAsia" w:ascii="宋体" w:hAnsi="宋体" w:cs="宋体"/>
          <w:snapToGrid w:val="0"/>
          <w:color w:val="auto"/>
          <w:kern w:val="0"/>
          <w:sz w:val="24"/>
          <w:szCs w:val="24"/>
          <w:highlight w:val="none"/>
          <w:u w:val="single"/>
        </w:rPr>
        <w:t>项目总投资</w:t>
      </w:r>
      <w:r>
        <w:rPr>
          <w:rFonts w:hint="eastAsia" w:ascii="宋体" w:hAnsi="宋体" w:cs="宋体"/>
          <w:snapToGrid w:val="0"/>
          <w:color w:val="auto"/>
          <w:kern w:val="0"/>
          <w:sz w:val="24"/>
          <w:szCs w:val="24"/>
          <w:highlight w:val="none"/>
          <w:u w:val="single"/>
          <w:lang w:val="en-US" w:eastAsia="zh-CN"/>
        </w:rPr>
        <w:t>14417.27</w:t>
      </w:r>
      <w:r>
        <w:rPr>
          <w:rFonts w:hint="eastAsia" w:ascii="宋体" w:hAnsi="宋体" w:cs="宋体"/>
          <w:snapToGrid w:val="0"/>
          <w:color w:val="auto"/>
          <w:kern w:val="0"/>
          <w:sz w:val="24"/>
          <w:szCs w:val="24"/>
          <w:highlight w:val="none"/>
          <w:u w:val="single"/>
        </w:rPr>
        <w:t>万元，其中</w:t>
      </w:r>
      <w:r>
        <w:rPr>
          <w:rFonts w:hint="eastAsia" w:ascii="宋体" w:hAnsi="宋体" w:cs="宋体"/>
          <w:snapToGrid w:val="0"/>
          <w:color w:val="auto"/>
          <w:kern w:val="0"/>
          <w:sz w:val="24"/>
          <w:szCs w:val="24"/>
          <w:highlight w:val="none"/>
          <w:u w:val="single"/>
          <w:lang w:val="en-US" w:eastAsia="zh-CN"/>
        </w:rPr>
        <w:t>本次</w:t>
      </w:r>
      <w:r>
        <w:rPr>
          <w:rFonts w:hint="eastAsia" w:ascii="宋体" w:hAnsi="宋体" w:cs="宋体"/>
          <w:snapToGrid w:val="0"/>
          <w:color w:val="auto"/>
          <w:kern w:val="0"/>
          <w:sz w:val="24"/>
          <w:szCs w:val="24"/>
          <w:highlight w:val="none"/>
          <w:u w:val="single"/>
        </w:rPr>
        <w:t>设计费</w:t>
      </w:r>
      <w:r>
        <w:rPr>
          <w:rFonts w:hint="eastAsia" w:ascii="宋体" w:hAnsi="宋体" w:cs="宋体"/>
          <w:snapToGrid w:val="0"/>
          <w:color w:val="auto"/>
          <w:kern w:val="0"/>
          <w:sz w:val="24"/>
          <w:szCs w:val="24"/>
          <w:highlight w:val="none"/>
          <w:u w:val="single"/>
          <w:lang w:val="en-US" w:eastAsia="zh-CN"/>
        </w:rPr>
        <w:t>约为210.00</w:t>
      </w:r>
      <w:r>
        <w:rPr>
          <w:rFonts w:hint="eastAsia" w:ascii="宋体" w:hAnsi="宋体" w:cs="宋体"/>
          <w:snapToGrid w:val="0"/>
          <w:color w:val="auto"/>
          <w:kern w:val="0"/>
          <w:sz w:val="24"/>
          <w:szCs w:val="24"/>
          <w:highlight w:val="none"/>
          <w:u w:val="single"/>
        </w:rPr>
        <w:t>万元</w:t>
      </w:r>
      <w:r>
        <w:rPr>
          <w:rFonts w:hint="eastAsia" w:hAnsi="宋体" w:cs="宋体"/>
          <w:snapToGrid w:val="0"/>
          <w:color w:val="auto"/>
          <w:kern w:val="0"/>
          <w:sz w:val="24"/>
          <w:szCs w:val="24"/>
          <w:highlight w:val="none"/>
          <w:u w:val="single"/>
          <w:lang w:eastAsia="zh-CN"/>
        </w:rPr>
        <w:t>。</w:t>
      </w:r>
    </w:p>
    <w:p w14:paraId="1FBFB317">
      <w:pPr>
        <w:pStyle w:val="25"/>
        <w:tabs>
          <w:tab w:val="left" w:pos="7020"/>
        </w:tabs>
        <w:ind w:firstLine="530" w:firstLineChars="221"/>
        <w:rPr>
          <w:rFonts w:hAnsi="宋体" w:cs="宋体"/>
          <w:color w:val="auto"/>
          <w:kern w:val="0"/>
          <w:szCs w:val="24"/>
          <w:highlight w:val="none"/>
        </w:rPr>
      </w:pPr>
      <w:r>
        <w:rPr>
          <w:rFonts w:hint="eastAsia" w:hAnsi="宋体" w:cs="宋体"/>
          <w:color w:val="auto"/>
          <w:kern w:val="0"/>
          <w:szCs w:val="24"/>
          <w:highlight w:val="none"/>
        </w:rPr>
        <w:t>1.5标段划分：本招标项目不划分标段。</w:t>
      </w:r>
      <w:bookmarkStart w:id="25" w:name="_Toc496132995"/>
      <w:bookmarkStart w:id="26" w:name="_Toc3580"/>
      <w:bookmarkStart w:id="27" w:name="_Toc8182"/>
      <w:bookmarkStart w:id="28" w:name="_Toc71813686"/>
      <w:bookmarkStart w:id="29" w:name="_Toc71811299"/>
      <w:bookmarkStart w:id="30" w:name="_Toc71811066"/>
      <w:bookmarkStart w:id="31" w:name="_Toc22197"/>
      <w:bookmarkStart w:id="32" w:name="_Toc71813180"/>
    </w:p>
    <w:p w14:paraId="49951509">
      <w:pPr>
        <w:pStyle w:val="25"/>
        <w:tabs>
          <w:tab w:val="left" w:pos="7020"/>
        </w:tabs>
        <w:ind w:firstLine="530" w:firstLineChars="221"/>
        <w:rPr>
          <w:rFonts w:hAnsi="宋体" w:cs="宋体"/>
          <w:color w:val="auto"/>
          <w:kern w:val="0"/>
          <w:szCs w:val="24"/>
          <w:highlight w:val="none"/>
        </w:rPr>
      </w:pPr>
      <w:r>
        <w:rPr>
          <w:rFonts w:hint="eastAsia" w:hAnsi="宋体" w:cs="宋体"/>
          <w:color w:val="auto"/>
          <w:kern w:val="0"/>
          <w:szCs w:val="24"/>
          <w:highlight w:val="none"/>
        </w:rPr>
        <w:t>1.</w:t>
      </w:r>
      <w:bookmarkEnd w:id="25"/>
      <w:r>
        <w:rPr>
          <w:rFonts w:hint="eastAsia" w:hAnsi="宋体" w:cs="宋体"/>
          <w:color w:val="auto"/>
          <w:kern w:val="0"/>
          <w:szCs w:val="24"/>
          <w:highlight w:val="none"/>
        </w:rPr>
        <w:t>6投标费用：投标人应承担所有准备和参加投标的相关费用，不论投标结果如何，招标人均无义务和责任承担这些费用。</w:t>
      </w:r>
      <w:bookmarkEnd w:id="26"/>
      <w:bookmarkEnd w:id="27"/>
      <w:bookmarkEnd w:id="28"/>
      <w:bookmarkEnd w:id="29"/>
      <w:bookmarkEnd w:id="30"/>
      <w:bookmarkEnd w:id="31"/>
      <w:bookmarkEnd w:id="32"/>
    </w:p>
    <w:p w14:paraId="6BD61908">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33" w:name="_Toc9668"/>
      <w:bookmarkStart w:id="34" w:name="_Toc24287"/>
      <w:bookmarkStart w:id="35" w:name="_Toc106184808"/>
      <w:r>
        <w:rPr>
          <w:rFonts w:hint="eastAsia" w:ascii="宋体" w:hAnsi="宋体" w:cs="宋体"/>
          <w:b/>
          <w:snapToGrid w:val="0"/>
          <w:color w:val="auto"/>
          <w:sz w:val="24"/>
          <w:highlight w:val="none"/>
        </w:rPr>
        <w:t>2.招标范围</w:t>
      </w:r>
      <w:bookmarkEnd w:id="33"/>
      <w:bookmarkEnd w:id="34"/>
      <w:bookmarkEnd w:id="35"/>
      <w:bookmarkStart w:id="36" w:name="_Hlt91408212"/>
      <w:bookmarkEnd w:id="36"/>
    </w:p>
    <w:p w14:paraId="60AD2BB1">
      <w:pPr>
        <w:pStyle w:val="25"/>
        <w:tabs>
          <w:tab w:val="left" w:pos="7020"/>
        </w:tabs>
        <w:ind w:firstLine="530" w:firstLineChars="221"/>
        <w:rPr>
          <w:rFonts w:hAnsi="宋体" w:cs="宋体"/>
          <w:color w:val="auto"/>
          <w:kern w:val="0"/>
          <w:szCs w:val="24"/>
          <w:highlight w:val="none"/>
        </w:rPr>
      </w:pPr>
      <w:bookmarkStart w:id="37" w:name="_Toc28822"/>
      <w:r>
        <w:rPr>
          <w:rFonts w:hint="eastAsia" w:hAnsi="宋体" w:cs="宋体"/>
          <w:color w:val="auto"/>
          <w:kern w:val="0"/>
          <w:szCs w:val="24"/>
          <w:highlight w:val="none"/>
        </w:rPr>
        <w:t>为确保项目顺利实施的报建、施工等所需的设计文件，本工程设计服务所涉及的内容包括但不限于以下：</w:t>
      </w:r>
    </w:p>
    <w:p w14:paraId="299F729D">
      <w:pPr>
        <w:pStyle w:val="25"/>
        <w:tabs>
          <w:tab w:val="left" w:pos="7020"/>
        </w:tabs>
        <w:ind w:firstLine="530" w:firstLineChars="221"/>
        <w:rPr>
          <w:rFonts w:hAnsi="宋体" w:cs="宋体"/>
          <w:color w:val="auto"/>
          <w:kern w:val="0"/>
          <w:szCs w:val="24"/>
          <w:highlight w:val="none"/>
        </w:rPr>
      </w:pPr>
      <w:r>
        <w:rPr>
          <w:rFonts w:hint="eastAsia" w:hAnsi="宋体" w:cs="宋体"/>
          <w:color w:val="auto"/>
          <w:kern w:val="0"/>
          <w:szCs w:val="24"/>
          <w:highlight w:val="none"/>
        </w:rPr>
        <w:t>①设计方案、初步设计（含概算）；</w:t>
      </w:r>
    </w:p>
    <w:p w14:paraId="7D5E1064">
      <w:pPr>
        <w:pStyle w:val="25"/>
        <w:tabs>
          <w:tab w:val="left" w:pos="7020"/>
        </w:tabs>
        <w:ind w:firstLine="530" w:firstLineChars="221"/>
        <w:rPr>
          <w:rFonts w:hAnsi="宋体" w:cs="宋体"/>
          <w:color w:val="auto"/>
          <w:kern w:val="0"/>
          <w:szCs w:val="24"/>
          <w:highlight w:val="none"/>
        </w:rPr>
      </w:pPr>
      <w:r>
        <w:rPr>
          <w:rFonts w:hint="eastAsia" w:hAnsi="宋体" w:cs="宋体"/>
          <w:color w:val="auto"/>
          <w:kern w:val="0"/>
          <w:szCs w:val="24"/>
          <w:highlight w:val="none"/>
        </w:rPr>
        <w:t>②施工图设计（施工图设计范围为本次招标设计范围的所有内容，施工图送审并确保审查合格）；</w:t>
      </w:r>
    </w:p>
    <w:p w14:paraId="0FB4BFEF">
      <w:pPr>
        <w:pStyle w:val="25"/>
        <w:tabs>
          <w:tab w:val="left" w:pos="7020"/>
        </w:tabs>
        <w:ind w:firstLine="530" w:firstLineChars="221"/>
        <w:rPr>
          <w:rFonts w:hAnsi="宋体" w:cs="宋体"/>
          <w:color w:val="auto"/>
          <w:kern w:val="0"/>
          <w:szCs w:val="24"/>
          <w:highlight w:val="none"/>
        </w:rPr>
      </w:pPr>
      <w:r>
        <w:rPr>
          <w:rFonts w:hint="eastAsia" w:hAnsi="宋体" w:cs="宋体"/>
          <w:color w:val="auto"/>
          <w:kern w:val="0"/>
          <w:szCs w:val="24"/>
          <w:highlight w:val="none"/>
        </w:rPr>
        <w:t>③调整并优化设计和在工程施工期间指导和解决施工难题；</w:t>
      </w:r>
    </w:p>
    <w:p w14:paraId="0CB9DF82">
      <w:pPr>
        <w:pStyle w:val="25"/>
        <w:tabs>
          <w:tab w:val="left" w:pos="7020"/>
        </w:tabs>
        <w:ind w:firstLine="530" w:firstLineChars="221"/>
        <w:rPr>
          <w:rFonts w:hAnsi="宋体" w:cs="宋体"/>
          <w:color w:val="auto"/>
          <w:kern w:val="0"/>
          <w:szCs w:val="24"/>
          <w:highlight w:val="none"/>
        </w:rPr>
      </w:pPr>
      <w:r>
        <w:rPr>
          <w:rFonts w:hint="eastAsia" w:hAnsi="宋体" w:cs="宋体"/>
          <w:color w:val="auto"/>
          <w:kern w:val="0"/>
          <w:szCs w:val="24"/>
          <w:highlight w:val="none"/>
        </w:rPr>
        <w:t>④完成招标人提出的与项目相关并确保项目顺利实施的其他要求。</w:t>
      </w:r>
    </w:p>
    <w:p w14:paraId="26AB2BA3">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38" w:name="_Toc8990"/>
      <w:r>
        <w:rPr>
          <w:rFonts w:hint="eastAsia" w:ascii="宋体" w:hAnsi="宋体" w:cs="宋体"/>
          <w:b/>
          <w:snapToGrid w:val="0"/>
          <w:color w:val="auto"/>
          <w:sz w:val="24"/>
          <w:highlight w:val="none"/>
        </w:rPr>
        <w:t>3</w:t>
      </w:r>
      <w:bookmarkEnd w:id="37"/>
      <w:bookmarkStart w:id="39" w:name="_Hlt66187826"/>
      <w:bookmarkEnd w:id="39"/>
      <w:r>
        <w:rPr>
          <w:rFonts w:hint="eastAsia" w:ascii="宋体" w:hAnsi="宋体" w:cs="宋体"/>
          <w:b/>
          <w:snapToGrid w:val="0"/>
          <w:color w:val="auto"/>
          <w:sz w:val="24"/>
          <w:highlight w:val="none"/>
        </w:rPr>
        <w:t>.工期要求</w:t>
      </w:r>
      <w:bookmarkEnd w:id="38"/>
      <w:bookmarkStart w:id="40" w:name="_Toc22115"/>
    </w:p>
    <w:p w14:paraId="07528AF6">
      <w:pPr>
        <w:pStyle w:val="26"/>
        <w:widowControl/>
        <w:spacing w:line="360" w:lineRule="auto"/>
        <w:ind w:firstLine="480" w:firstLineChars="200"/>
        <w:jc w:val="left"/>
        <w:rPr>
          <w:rFonts w:hint="eastAsia" w:ascii="宋体" w:hAnsi="宋体" w:eastAsia="宋体" w:cs="宋体"/>
          <w:color w:val="auto"/>
          <w:sz w:val="24"/>
          <w:highlight w:val="none"/>
        </w:rPr>
      </w:pPr>
      <w:bookmarkStart w:id="41" w:name="_Toc26447"/>
      <w:bookmarkStart w:id="42" w:name="_Toc18738"/>
      <w:r>
        <w:rPr>
          <w:rFonts w:hint="eastAsia" w:ascii="宋体" w:hAnsi="宋体" w:eastAsia="宋体" w:cs="宋体"/>
          <w:color w:val="auto"/>
          <w:sz w:val="24"/>
          <w:highlight w:val="none"/>
        </w:rPr>
        <w:t>本招标项目设计工期：</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个日历天。</w:t>
      </w:r>
    </w:p>
    <w:p w14:paraId="353F9D92">
      <w:pPr>
        <w:pStyle w:val="26"/>
        <w:widowControl/>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（1）初步设计阶段：中标通知书发出之日起20个日历天内完成初步设计及概算；</w:t>
      </w:r>
    </w:p>
    <w:p w14:paraId="167A2713">
      <w:pPr>
        <w:pStyle w:val="26"/>
        <w:widowControl/>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（2）施工图设计阶段：出具初步设计图及概算并审查通过后15个日历天内完成并提交施工图设计；</w:t>
      </w:r>
    </w:p>
    <w:p w14:paraId="74696A75">
      <w:pPr>
        <w:pStyle w:val="26"/>
        <w:widowControl/>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（2）施工图修编：出具施工图审查初步意见后10个日历天内完成施工图修编；</w:t>
      </w:r>
    </w:p>
    <w:p w14:paraId="09831EAB">
      <w:pPr>
        <w:pStyle w:val="26"/>
        <w:widowControl/>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（3）施工现场配合服务：项目施工及保修期内。</w:t>
      </w:r>
    </w:p>
    <w:p w14:paraId="69FCA8B8">
      <w:pPr>
        <w:pStyle w:val="26"/>
        <w:widowControl/>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备注：设计总工期不包含沟通汇报及相关审查、审批时间。</w:t>
      </w:r>
    </w:p>
    <w:p w14:paraId="220B67DA">
      <w:pPr>
        <w:pStyle w:val="3"/>
        <w:wordWrap w:val="0"/>
        <w:autoSpaceDE/>
        <w:autoSpaceDN/>
        <w:snapToGrid w:val="0"/>
        <w:spacing w:line="360" w:lineRule="auto"/>
        <w:ind w:firstLine="480"/>
        <w:jc w:val="both"/>
        <w:rPr>
          <w:rFonts w:ascii="宋体" w:hAnsi="宋体" w:cs="宋体"/>
          <w:b/>
          <w:snapToGrid w:val="0"/>
          <w:color w:val="auto"/>
          <w:sz w:val="24"/>
          <w:highlight w:val="none"/>
        </w:rPr>
      </w:pPr>
      <w:r>
        <w:rPr>
          <w:rFonts w:hint="eastAsia" w:ascii="宋体" w:hAnsi="宋体" w:cs="宋体"/>
          <w:b/>
          <w:snapToGrid w:val="0"/>
          <w:color w:val="auto"/>
          <w:sz w:val="24"/>
          <w:highlight w:val="none"/>
        </w:rPr>
        <w:t>4</w:t>
      </w:r>
      <w:bookmarkEnd w:id="40"/>
      <w:bookmarkStart w:id="43" w:name="_Hlt74496495"/>
      <w:bookmarkEnd w:id="43"/>
      <w:r>
        <w:rPr>
          <w:rFonts w:hint="eastAsia" w:ascii="宋体" w:hAnsi="宋体" w:cs="宋体"/>
          <w:b/>
          <w:snapToGrid w:val="0"/>
          <w:color w:val="auto"/>
          <w:sz w:val="24"/>
          <w:highlight w:val="none"/>
        </w:rPr>
        <w:t>.投标人资质等级及人员要求</w:t>
      </w:r>
      <w:bookmarkEnd w:id="41"/>
      <w:bookmarkEnd w:id="42"/>
      <w:bookmarkStart w:id="44" w:name="_Toc11378"/>
    </w:p>
    <w:bookmarkEnd w:id="44"/>
    <w:p w14:paraId="5325A0AF">
      <w:pPr>
        <w:pStyle w:val="26"/>
        <w:widowControl/>
        <w:spacing w:line="360" w:lineRule="auto"/>
        <w:ind w:firstLine="480" w:firstLineChars="200"/>
        <w:jc w:val="left"/>
        <w:rPr>
          <w:rFonts w:hint="eastAsia" w:ascii="宋体" w:hAnsi="宋体" w:eastAsia="宋体" w:cs="宋体"/>
          <w:color w:val="auto"/>
          <w:sz w:val="24"/>
          <w:highlight w:val="none"/>
        </w:rPr>
      </w:pPr>
      <w:bookmarkStart w:id="45" w:name="_Toc4341"/>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1.本工程不接受联合体投标。</w:t>
      </w:r>
    </w:p>
    <w:p w14:paraId="06DA88F6">
      <w:pPr>
        <w:pStyle w:val="26"/>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资质要求</w:t>
      </w:r>
    </w:p>
    <w:p w14:paraId="1D0B9CE0">
      <w:pPr>
        <w:pStyle w:val="26"/>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2.1投标人须持有效的营业执照，按国家法律经营。</w:t>
      </w:r>
    </w:p>
    <w:p w14:paraId="3271D1BB">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2.2工程设计单位须持有建设行政主管部门核发的资质证书。</w:t>
      </w:r>
    </w:p>
    <w:p w14:paraId="58A27018">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2.3参加投标的投标人必须具备以下资质之一：</w:t>
      </w:r>
    </w:p>
    <w:p w14:paraId="0F1B4EDF">
      <w:pPr>
        <w:pStyle w:val="26"/>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1）工程设计综合甲级资质；</w:t>
      </w:r>
    </w:p>
    <w:p w14:paraId="38992A8B">
      <w:pPr>
        <w:pStyle w:val="26"/>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2）工程设计市政行业</w:t>
      </w:r>
      <w:r>
        <w:rPr>
          <w:rFonts w:hint="eastAsia" w:ascii="宋体" w:hAnsi="宋体" w:cs="宋体"/>
          <w:color w:val="auto"/>
          <w:sz w:val="24"/>
          <w:highlight w:val="none"/>
          <w:lang w:val="en-US" w:eastAsia="zh-CN"/>
        </w:rPr>
        <w:t>甲</w:t>
      </w:r>
      <w:r>
        <w:rPr>
          <w:rFonts w:hint="eastAsia" w:ascii="宋体" w:hAnsi="宋体" w:cs="宋体"/>
          <w:color w:val="auto"/>
          <w:sz w:val="24"/>
          <w:highlight w:val="none"/>
        </w:rPr>
        <w:t>级资质；</w:t>
      </w:r>
    </w:p>
    <w:p w14:paraId="778793D6">
      <w:pPr>
        <w:pStyle w:val="26"/>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3）工程设计市政行业（燃气工程、轨道交通工程除外）</w:t>
      </w:r>
      <w:r>
        <w:rPr>
          <w:rFonts w:hint="eastAsia" w:ascii="宋体" w:hAnsi="宋体" w:cs="宋体"/>
          <w:color w:val="auto"/>
          <w:sz w:val="24"/>
          <w:highlight w:val="none"/>
          <w:lang w:val="en-US" w:eastAsia="zh-CN"/>
        </w:rPr>
        <w:t>甲</w:t>
      </w:r>
      <w:r>
        <w:rPr>
          <w:rFonts w:hint="eastAsia" w:ascii="宋体" w:hAnsi="宋体" w:cs="宋体"/>
          <w:color w:val="auto"/>
          <w:sz w:val="24"/>
          <w:highlight w:val="none"/>
        </w:rPr>
        <w:t>级资质；</w:t>
      </w:r>
    </w:p>
    <w:p w14:paraId="0632D854">
      <w:pPr>
        <w:pStyle w:val="26"/>
        <w:widowControl/>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4）工程设计市政行业（道路工程）专业甲</w:t>
      </w:r>
      <w:r>
        <w:rPr>
          <w:rFonts w:hint="eastAsia" w:ascii="宋体" w:hAnsi="宋体" w:cs="宋体"/>
          <w:color w:val="auto"/>
          <w:sz w:val="24"/>
          <w:highlight w:val="none"/>
        </w:rPr>
        <w:t>级</w:t>
      </w:r>
      <w:r>
        <w:rPr>
          <w:rFonts w:hint="eastAsia" w:ascii="宋体" w:hAnsi="宋体" w:cs="宋体"/>
          <w:color w:val="auto"/>
          <w:sz w:val="24"/>
          <w:highlight w:val="none"/>
          <w:lang w:val="en-US" w:eastAsia="zh-CN"/>
        </w:rPr>
        <w:t>资质。</w:t>
      </w:r>
    </w:p>
    <w:p w14:paraId="6093EBC3">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2.4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6A3A3E13">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3.相关人员要求</w:t>
      </w:r>
    </w:p>
    <w:p w14:paraId="11B9BB29">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3.1拟委派担任本招标项目的项目负责人（即设计负责人）须具备一级注册建筑师执业资格。</w:t>
      </w:r>
    </w:p>
    <w:p w14:paraId="478844E5">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3.2投标人与其拟派往本项目所有人员之间必须具备合法、唯一的劳动聘用关系（非退休返聘人员提供在本单位缴纳的社保证明即可）。拟派人员中具备注册执业资格的，其注册单位须与投标人保持一致。</w:t>
      </w:r>
    </w:p>
    <w:p w14:paraId="6632B65B">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4.禁止投标条款</w:t>
      </w:r>
    </w:p>
    <w:p w14:paraId="0A78E363">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4.1投标人不得存在下列情形之一：</w:t>
      </w:r>
    </w:p>
    <w:p w14:paraId="368A1233">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（1）为招标人不具有独立法人资格的附属机构（单位）；</w:t>
      </w:r>
    </w:p>
    <w:p w14:paraId="14C82937">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（2）与招标人存在利害关系且可能影响招标公正性；</w:t>
      </w:r>
    </w:p>
    <w:p w14:paraId="74EC6DC3">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（3）与本招标项目的其他投标人为同一个单位负责人；</w:t>
      </w:r>
    </w:p>
    <w:p w14:paraId="25EA431B">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（4）与本招标项目的其他投标人存在控股、管理关系；</w:t>
      </w:r>
    </w:p>
    <w:p w14:paraId="5BEAE085">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（5）为本招标项目的代建人；</w:t>
      </w:r>
    </w:p>
    <w:p w14:paraId="4E47E68E">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（6）为本招标项目的招标代理机构；</w:t>
      </w:r>
    </w:p>
    <w:p w14:paraId="7912181E">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（7）与本招标项目的代建人或招标代理机构同为一个法定代表人；</w:t>
      </w:r>
    </w:p>
    <w:p w14:paraId="676F2C59">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（8）与本招标项目的代建人或招标代理机构存在控股或参股关系；</w:t>
      </w:r>
    </w:p>
    <w:p w14:paraId="3523BD01">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（9）被依法暂停或者取消投标资格；</w:t>
      </w:r>
    </w:p>
    <w:p w14:paraId="0F7F4F7E">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（10）被责令停产停业、暂扣或者吊销许可证、暂扣或者吊销执照；</w:t>
      </w:r>
    </w:p>
    <w:p w14:paraId="1630C488">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（11）进入清算程序，或被宣告破产，或其他丧失履约能力的情形；</w:t>
      </w:r>
    </w:p>
    <w:p w14:paraId="6BF67449">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（12）在最近三年内发生重大质量问题（以相关行业主管部门的行政处罚决定或司法机关出具的有关法律文书为准）；</w:t>
      </w:r>
    </w:p>
    <w:p w14:paraId="247479D0">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（13）被“信用中国”网站（https://www.creditchina.gov.cn）发布的《法人和非法人组织公共信用信息报告》列为严重失信主体名单的。</w:t>
      </w:r>
    </w:p>
    <w:p w14:paraId="7A03C0A7">
      <w:pPr>
        <w:pStyle w:val="26"/>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4.2招标人拒绝以下名单中的单位参加本次投标：</w:t>
      </w:r>
    </w:p>
    <w:tbl>
      <w:tblPr>
        <w:tblStyle w:val="17"/>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4846"/>
        <w:gridCol w:w="4032"/>
      </w:tblGrid>
      <w:tr w14:paraId="0F9D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Align w:val="center"/>
          </w:tcPr>
          <w:p w14:paraId="78439482">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序号</w:t>
            </w:r>
          </w:p>
        </w:tc>
        <w:tc>
          <w:tcPr>
            <w:tcW w:w="4846" w:type="dxa"/>
            <w:vAlign w:val="center"/>
          </w:tcPr>
          <w:p w14:paraId="408D4FC0">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w:t>
            </w:r>
          </w:p>
        </w:tc>
        <w:tc>
          <w:tcPr>
            <w:tcW w:w="4032" w:type="dxa"/>
            <w:vAlign w:val="center"/>
          </w:tcPr>
          <w:p w14:paraId="05ACE355">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拒绝原因</w:t>
            </w:r>
          </w:p>
        </w:tc>
      </w:tr>
      <w:tr w14:paraId="60BE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Align w:val="center"/>
          </w:tcPr>
          <w:p w14:paraId="6C3D72D3">
            <w:pPr>
              <w:pStyle w:val="26"/>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4846" w:type="dxa"/>
            <w:vAlign w:val="center"/>
          </w:tcPr>
          <w:p w14:paraId="419A3D7D">
            <w:pPr>
              <w:pStyle w:val="26"/>
              <w:wordWrap w:val="0"/>
              <w:adjustRightInd w:val="0"/>
              <w:snapToGrid w:val="0"/>
              <w:spacing w:line="360" w:lineRule="auto"/>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乳源瑶族自治县政府投资建设项目代建中心</w:t>
            </w:r>
          </w:p>
        </w:tc>
        <w:tc>
          <w:tcPr>
            <w:tcW w:w="4032" w:type="dxa"/>
            <w:vAlign w:val="center"/>
          </w:tcPr>
          <w:p w14:paraId="2E22B574">
            <w:pPr>
              <w:pStyle w:val="26"/>
              <w:wordWrap w:val="0"/>
              <w:adjustRightInd w:val="0"/>
              <w:snapToGrid w:val="0"/>
              <w:spacing w:line="360" w:lineRule="auto"/>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为本招标项目的招标人和代建单位</w:t>
            </w:r>
          </w:p>
        </w:tc>
      </w:tr>
      <w:tr w14:paraId="4D41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Align w:val="center"/>
          </w:tcPr>
          <w:p w14:paraId="06E3E314">
            <w:pPr>
              <w:pStyle w:val="26"/>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4846" w:type="dxa"/>
            <w:vAlign w:val="center"/>
          </w:tcPr>
          <w:p w14:paraId="3AAEBCA9">
            <w:pPr>
              <w:pStyle w:val="26"/>
              <w:wordWrap w:val="0"/>
              <w:adjustRightInd w:val="0"/>
              <w:snapToGrid w:val="0"/>
              <w:spacing w:line="360" w:lineRule="auto"/>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韶关乳源高新技术产业开发区管理委员会</w:t>
            </w:r>
          </w:p>
        </w:tc>
        <w:tc>
          <w:tcPr>
            <w:tcW w:w="4032" w:type="dxa"/>
            <w:vAlign w:val="center"/>
          </w:tcPr>
          <w:p w14:paraId="400ED423">
            <w:pPr>
              <w:pStyle w:val="26"/>
              <w:wordWrap w:val="0"/>
              <w:adjustRightInd w:val="0"/>
              <w:snapToGrid w:val="0"/>
              <w:spacing w:line="360" w:lineRule="auto"/>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为本招标项目的项目业主</w:t>
            </w:r>
          </w:p>
        </w:tc>
      </w:tr>
      <w:tr w14:paraId="262B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Align w:val="center"/>
          </w:tcPr>
          <w:p w14:paraId="7C06D76E">
            <w:pPr>
              <w:pStyle w:val="26"/>
              <w:wordWrap w:val="0"/>
              <w:adjustRightInd w:val="0"/>
              <w:snapToGrid w:val="0"/>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4846" w:type="dxa"/>
            <w:vAlign w:val="center"/>
          </w:tcPr>
          <w:p w14:paraId="79E6E999">
            <w:pPr>
              <w:pStyle w:val="26"/>
              <w:wordWrap w:val="0"/>
              <w:adjustRightInd w:val="0"/>
              <w:snapToGrid w:val="0"/>
              <w:spacing w:line="360" w:lineRule="auto"/>
              <w:jc w:val="left"/>
              <w:rPr>
                <w:rFonts w:ascii="宋体" w:hAnsi="宋体" w:cs="宋体"/>
                <w:snapToGrid w:val="0"/>
                <w:color w:val="auto"/>
                <w:kern w:val="0"/>
                <w:sz w:val="24"/>
                <w:highlight w:val="none"/>
              </w:rPr>
            </w:pPr>
            <w:r>
              <w:rPr>
                <w:rFonts w:hint="eastAsia" w:ascii="宋体" w:hAnsi="宋体" w:cs="宋体"/>
                <w:snapToGrid w:val="0"/>
                <w:color w:val="auto"/>
                <w:kern w:val="0"/>
                <w:sz w:val="24"/>
                <w:szCs w:val="24"/>
                <w:highlight w:val="none"/>
              </w:rPr>
              <w:t>广东宇成项目管理有限公司</w:t>
            </w:r>
          </w:p>
        </w:tc>
        <w:tc>
          <w:tcPr>
            <w:tcW w:w="4032" w:type="dxa"/>
            <w:vAlign w:val="center"/>
          </w:tcPr>
          <w:p w14:paraId="25D6ED4A">
            <w:pPr>
              <w:pStyle w:val="26"/>
              <w:wordWrap w:val="0"/>
              <w:adjustRightInd w:val="0"/>
              <w:snapToGrid w:val="0"/>
              <w:spacing w:line="360" w:lineRule="auto"/>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为本招标项目的招标代理机构</w:t>
            </w:r>
          </w:p>
        </w:tc>
      </w:tr>
    </w:tbl>
    <w:p w14:paraId="15F05F64">
      <w:pPr>
        <w:pStyle w:val="26"/>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5.其他要求</w:t>
      </w:r>
    </w:p>
    <w:p w14:paraId="1C9E3E27">
      <w:pPr>
        <w:pStyle w:val="26"/>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省外企业及其拟派往本项目管理机构的所有人员须按照《广东省住房和城乡建设厅关于取消省外建筑企业和人员进粤信息备案有关工作的通知》（粤建市﹝2015﹞52号）规定在“进粤企业和人员诚信信息登记平台”录入相关信息并通过数据规范检查。</w:t>
      </w:r>
    </w:p>
    <w:p w14:paraId="4961271B">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46" w:name="_Toc5852"/>
      <w:bookmarkStart w:id="47" w:name="_Toc24049"/>
      <w:r>
        <w:rPr>
          <w:rFonts w:hint="eastAsia" w:ascii="宋体" w:hAnsi="宋体" w:cs="宋体"/>
          <w:b/>
          <w:snapToGrid w:val="0"/>
          <w:color w:val="auto"/>
          <w:sz w:val="24"/>
          <w:highlight w:val="none"/>
        </w:rPr>
        <w:t>5</w:t>
      </w:r>
      <w:bookmarkEnd w:id="45"/>
      <w:r>
        <w:rPr>
          <w:rFonts w:hint="eastAsia" w:ascii="宋体" w:hAnsi="宋体" w:cs="宋体"/>
          <w:b/>
          <w:snapToGrid w:val="0"/>
          <w:color w:val="auto"/>
          <w:sz w:val="24"/>
          <w:highlight w:val="none"/>
        </w:rPr>
        <w:t>.招标文件获取</w:t>
      </w:r>
      <w:bookmarkEnd w:id="46"/>
      <w:bookmarkEnd w:id="47"/>
    </w:p>
    <w:p w14:paraId="7A5FBCA4">
      <w:pPr>
        <w:tabs>
          <w:tab w:val="left" w:pos="7020"/>
        </w:tabs>
        <w:spacing w:line="360" w:lineRule="auto"/>
        <w:ind w:firstLine="480" w:firstLineChars="200"/>
        <w:rPr>
          <w:rFonts w:hint="eastAsia" w:ascii="宋体" w:hAnsi="Times New Roman" w:eastAsia="宋体" w:cs="Times New Roman"/>
          <w:snapToGrid w:val="0"/>
          <w:color w:val="auto"/>
          <w:sz w:val="24"/>
          <w:highlight w:val="none"/>
        </w:rPr>
      </w:pPr>
      <w:bookmarkStart w:id="48" w:name="_Toc358"/>
      <w:r>
        <w:rPr>
          <w:rFonts w:hint="eastAsia" w:ascii="宋体"/>
          <w:color w:val="auto"/>
          <w:sz w:val="24"/>
          <w:highlight w:val="none"/>
        </w:rPr>
        <w:t>5.1</w:t>
      </w:r>
      <w:r>
        <w:rPr>
          <w:rFonts w:hint="eastAsia" w:ascii="宋体"/>
          <w:snapToGrid w:val="0"/>
          <w:color w:val="auto"/>
          <w:sz w:val="24"/>
          <w:highlight w:val="none"/>
        </w:rPr>
        <w:t xml:space="preserve"> 本次招标实行电子投标。本项目招标文件随招标公告一并在广东省招标投标监管网（https://www.gdzwfw.gov.cn/ztbjg-portal/#/index）、全国公共资源交易平台（广东省·韶关市）（https://ygp.gdzwfw.gov.cn/ggzy-portal/#/440200/index）网站发布。招标文件一经广东省招标投标监管网、全国公共资源交易平台（广东省·韶关市）发布，视为发送投标人，招标文件及相关附件由投标人自行在全国公共资源交易平台（广东省·韶关市）网站下载。请于招标文件获取</w:t>
      </w:r>
      <w:r>
        <w:rPr>
          <w:rFonts w:hint="eastAsia" w:ascii="宋体" w:hAnsi="Times New Roman" w:eastAsia="宋体" w:cs="Times New Roman"/>
          <w:snapToGrid w:val="0"/>
          <w:color w:val="auto"/>
          <w:sz w:val="24"/>
          <w:highlight w:val="none"/>
        </w:rPr>
        <w:t>期间,（见“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重要事项时间地点一览表”）前完成电子投标。投标人可登录全国公共资源交易平台（广东省·韶关市）（https://ygp.gdzwfw.gov.cn/ggzy-portal/#/440200/index），在【服务指南】栏目中下载《韶关市公共资源建设工程交易系统-投标人操作指南（电子评标）V1.3》，了解网上获取招标文件操作流程。技术咨询电话：0751-8379671伍先生，业务咨询电话：0751-8633211。</w:t>
      </w:r>
    </w:p>
    <w:p w14:paraId="5DEB351B">
      <w:pPr>
        <w:tabs>
          <w:tab w:val="left" w:pos="7020"/>
        </w:tabs>
        <w:spacing w:line="360" w:lineRule="auto"/>
        <w:ind w:firstLine="480" w:firstLineChars="200"/>
        <w:rPr>
          <w:rFonts w:hint="eastAsia" w:ascii="宋体" w:hAnsi="Times New Roman" w:eastAsia="宋体" w:cs="Times New Roman"/>
          <w:snapToGrid w:val="0"/>
          <w:color w:val="auto"/>
          <w:sz w:val="24"/>
          <w:highlight w:val="none"/>
        </w:rPr>
      </w:pPr>
      <w:r>
        <w:rPr>
          <w:rFonts w:hint="eastAsia" w:ascii="宋体" w:hAnsi="Times New Roman" w:eastAsia="宋体" w:cs="Times New Roman"/>
          <w:snapToGrid w:val="0"/>
          <w:color w:val="auto"/>
          <w:sz w:val="24"/>
          <w:highlight w:val="none"/>
        </w:rPr>
        <w:t>5.2 只有申领了数字证书（CA）、“粤企签”或GDCA/SZCA/NETCA等符合法律法规规定的电子印章，并在交易系统中完成企业信息数据入库的投标人，方可使用交易系统进行获取招标文件和电子投标。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29DAAFB2">
      <w:pPr>
        <w:tabs>
          <w:tab w:val="left" w:pos="7020"/>
        </w:tabs>
        <w:spacing w:line="360" w:lineRule="auto"/>
        <w:ind w:firstLine="480" w:firstLineChars="200"/>
        <w:rPr>
          <w:rFonts w:hint="eastAsia" w:ascii="宋体" w:hAnsi="Times New Roman" w:eastAsia="宋体" w:cs="Times New Roman"/>
          <w:snapToGrid w:val="0"/>
          <w:color w:val="auto"/>
          <w:sz w:val="24"/>
          <w:highlight w:val="none"/>
        </w:rPr>
      </w:pPr>
      <w:r>
        <w:rPr>
          <w:rFonts w:hint="eastAsia" w:ascii="宋体" w:hAnsi="Times New Roman" w:eastAsia="宋体" w:cs="Times New Roman"/>
          <w:snapToGrid w:val="0"/>
          <w:color w:val="auto"/>
          <w:sz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4E3DCD5">
      <w:pPr>
        <w:pStyle w:val="25"/>
        <w:ind w:firstLine="480" w:firstLineChars="200"/>
        <w:rPr>
          <w:rFonts w:hAnsi="宋体" w:cs="宋体"/>
          <w:b/>
          <w:color w:val="auto"/>
          <w:szCs w:val="24"/>
          <w:highlight w:val="none"/>
        </w:rPr>
      </w:pPr>
      <w:r>
        <w:rPr>
          <w:rFonts w:hint="eastAsia" w:hAnsi="宋体" w:cs="宋体"/>
          <w:color w:val="auto"/>
          <w:kern w:val="0"/>
          <w:szCs w:val="24"/>
          <w:highlight w:val="none"/>
        </w:rPr>
        <w:t>5.3</w:t>
      </w:r>
      <w:r>
        <w:rPr>
          <w:rFonts w:hint="eastAsia" w:hAnsi="宋体" w:cs="宋体"/>
          <w:color w:val="auto"/>
          <w:szCs w:val="24"/>
          <w:highlight w:val="none"/>
        </w:rPr>
        <w:t>投标保证</w:t>
      </w:r>
    </w:p>
    <w:p w14:paraId="2CA43D4C">
      <w:pPr>
        <w:tabs>
          <w:tab w:val="left" w:pos="7020"/>
        </w:tabs>
        <w:wordWrap w:val="0"/>
        <w:adjustRightIn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color w:val="auto"/>
          <w:kern w:val="0"/>
          <w:sz w:val="24"/>
          <w:szCs w:val="24"/>
          <w:highlight w:val="none"/>
        </w:rPr>
        <w:t>5.3.1</w:t>
      </w:r>
      <w:r>
        <w:rPr>
          <w:rFonts w:hint="eastAsia" w:ascii="宋体" w:hAnsi="宋体" w:cs="宋体"/>
          <w:snapToGrid w:val="0"/>
          <w:color w:val="auto"/>
          <w:kern w:val="0"/>
          <w:sz w:val="24"/>
          <w:szCs w:val="22"/>
          <w:highlight w:val="none"/>
        </w:rPr>
        <w:t>投标人须缴纳金额为人民币</w:t>
      </w:r>
      <w:r>
        <w:rPr>
          <w:rFonts w:hint="eastAsia" w:ascii="宋体" w:hAnsi="宋体" w:cs="宋体"/>
          <w:color w:val="auto"/>
          <w:kern w:val="0"/>
          <w:sz w:val="24"/>
          <w:highlight w:val="none"/>
          <w:u w:val="single"/>
          <w:lang w:val="en-US" w:eastAsia="zh-CN"/>
        </w:rPr>
        <w:t>肆万元整</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4</w:t>
      </w:r>
      <w:r>
        <w:rPr>
          <w:rFonts w:hint="eastAsia" w:ascii="宋体" w:hAnsi="宋体" w:cs="宋体"/>
          <w:color w:val="auto"/>
          <w:kern w:val="0"/>
          <w:sz w:val="24"/>
          <w:highlight w:val="none"/>
          <w:u w:val="single"/>
        </w:rPr>
        <w:t>0000.00元）</w:t>
      </w:r>
      <w:r>
        <w:rPr>
          <w:rFonts w:hint="eastAsia" w:ascii="宋体" w:hAnsi="宋体" w:cs="宋体"/>
          <w:snapToGrid w:val="0"/>
          <w:color w:val="auto"/>
          <w:kern w:val="0"/>
          <w:sz w:val="24"/>
          <w:szCs w:val="22"/>
          <w:highlight w:val="none"/>
        </w:rPr>
        <w:t>的投标保证。</w:t>
      </w:r>
    </w:p>
    <w:p w14:paraId="5CE1186D">
      <w:pPr>
        <w:tabs>
          <w:tab w:val="left" w:pos="7020"/>
        </w:tabs>
        <w:wordWrap w:val="0"/>
        <w:adjustRightIn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color w:val="auto"/>
          <w:kern w:val="0"/>
          <w:sz w:val="24"/>
          <w:szCs w:val="24"/>
          <w:highlight w:val="none"/>
        </w:rPr>
        <w:t>5.3.2</w:t>
      </w:r>
      <w:r>
        <w:rPr>
          <w:rFonts w:hint="eastAsia" w:ascii="宋体" w:hAnsi="宋体" w:cs="宋体"/>
          <w:snapToGrid w:val="0"/>
          <w:color w:val="auto"/>
          <w:kern w:val="0"/>
          <w:sz w:val="24"/>
          <w:szCs w:val="22"/>
          <w:highlight w:val="none"/>
        </w:rPr>
        <w:t>投标保证的形式包括投标保证金、投标保证担保、投标保证保险三种，由投标人自主选择。</w:t>
      </w:r>
    </w:p>
    <w:p w14:paraId="0F2CFFBC">
      <w:pPr>
        <w:tabs>
          <w:tab w:val="left" w:pos="7020"/>
        </w:tabs>
        <w:wordWrap w:val="0"/>
        <w:adjustRightInd w:val="0"/>
        <w:spacing w:line="360" w:lineRule="auto"/>
        <w:ind w:firstLine="480" w:firstLineChars="200"/>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szCs w:val="22"/>
          <w:highlight w:val="none"/>
        </w:rPr>
        <w:t>（1）采用投标保证金的，投标人在交易平台获取招标文件后，即可在交易平台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46A01A2D">
      <w:pPr>
        <w:tabs>
          <w:tab w:val="left" w:pos="7020"/>
        </w:tabs>
        <w:wordWrap w:val="0"/>
        <w:adjustRightInd w:val="0"/>
        <w:spacing w:line="360" w:lineRule="auto"/>
        <w:ind w:firstLine="480" w:firstLineChars="200"/>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szCs w:val="22"/>
          <w:highlight w:val="none"/>
        </w:rPr>
        <w:t>（2）采用投标保证担保的，投标人应提交有效的银行保函，银行保函的有效期不得短于投标有效期。投标人必须在投标保证担保截止时间（见本章第二节“重要事项时间地点一览表”）前，在交易平台完成网上办理电子保函。</w:t>
      </w:r>
    </w:p>
    <w:p w14:paraId="24416968">
      <w:pPr>
        <w:tabs>
          <w:tab w:val="left" w:pos="7020"/>
        </w:tabs>
        <w:wordWrap w:val="0"/>
        <w:adjustRightInd w:val="0"/>
        <w:spacing w:line="360" w:lineRule="auto"/>
        <w:ind w:firstLine="480" w:firstLineChars="200"/>
        <w:rPr>
          <w:rFonts w:hint="eastAsia" w:ascii="宋体" w:hAnsi="宋体" w:eastAsia="宋体" w:cs="宋体"/>
          <w:snapToGrid w:val="0"/>
          <w:color w:val="auto"/>
          <w:kern w:val="0"/>
          <w:sz w:val="24"/>
          <w:szCs w:val="22"/>
          <w:highlight w:val="none"/>
        </w:rPr>
      </w:pPr>
      <w:r>
        <w:rPr>
          <w:rFonts w:hint="eastAsia" w:ascii="宋体" w:hAnsi="宋体" w:cs="宋体"/>
          <w:snapToGrid w:val="0"/>
          <w:color w:val="auto"/>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引】栏目中下载《建设工程网上交易系统保险保证金缴纳操作指南》，了解网上投保具体操作流程。逾期投保的，其投标无效。</w:t>
      </w:r>
    </w:p>
    <w:p w14:paraId="7BBA70A3">
      <w:pPr>
        <w:tabs>
          <w:tab w:val="left" w:pos="7020"/>
        </w:tabs>
        <w:wordWrap w:val="0"/>
        <w:adjustRightInd w:val="0"/>
        <w:spacing w:line="360" w:lineRule="auto"/>
        <w:ind w:firstLine="480" w:firstLineChars="200"/>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szCs w:val="22"/>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40B009D">
      <w:pPr>
        <w:tabs>
          <w:tab w:val="left" w:pos="7020"/>
        </w:tabs>
        <w:wordWrap w:val="0"/>
        <w:adjustRightInd w:val="0"/>
        <w:spacing w:line="360" w:lineRule="auto"/>
        <w:ind w:firstLine="480" w:firstLineChars="200"/>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szCs w:val="22"/>
          <w:highlight w:val="none"/>
        </w:rPr>
        <w:t>5.4若投标人因自身原因未能正确完成获取招标文件、电子投标、缴纳投标保证的，其投标无效。</w:t>
      </w:r>
    </w:p>
    <w:p w14:paraId="7962073A">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49" w:name="_Toc11373"/>
      <w:bookmarkStart w:id="50" w:name="_Toc379"/>
      <w:r>
        <w:rPr>
          <w:rFonts w:hint="eastAsia" w:ascii="宋体" w:hAnsi="宋体" w:cs="宋体"/>
          <w:b/>
          <w:snapToGrid w:val="0"/>
          <w:color w:val="auto"/>
          <w:sz w:val="24"/>
          <w:highlight w:val="none"/>
        </w:rPr>
        <w:t>6</w:t>
      </w:r>
      <w:bookmarkEnd w:id="48"/>
      <w:r>
        <w:rPr>
          <w:rFonts w:hint="eastAsia" w:ascii="宋体" w:hAnsi="宋体" w:cs="宋体"/>
          <w:b/>
          <w:snapToGrid w:val="0"/>
          <w:color w:val="auto"/>
          <w:sz w:val="24"/>
          <w:highlight w:val="none"/>
        </w:rPr>
        <w:t>.设计工程内容和质量标准</w:t>
      </w:r>
      <w:bookmarkEnd w:id="49"/>
      <w:bookmarkEnd w:id="50"/>
    </w:p>
    <w:p w14:paraId="3BD2433F">
      <w:pPr>
        <w:adjustRightInd w:val="0"/>
        <w:snapToGrid w:val="0"/>
        <w:spacing w:line="44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6.1</w:t>
      </w:r>
      <w:r>
        <w:rPr>
          <w:rFonts w:hint="eastAsia" w:ascii="宋体" w:hAnsi="宋体" w:cs="宋体"/>
          <w:color w:val="auto"/>
          <w:sz w:val="24"/>
          <w:szCs w:val="24"/>
          <w:highlight w:val="none"/>
        </w:rPr>
        <w:t>本次设计工程的内容及要求：</w:t>
      </w:r>
    </w:p>
    <w:p w14:paraId="45DCCC3A">
      <w:pPr>
        <w:adjustRightInd w:val="0"/>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设计阶段包括相关报建报批所需的设计方案、初步设计（含概算）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施工图设计及施工配合等。</w:t>
      </w:r>
    </w:p>
    <w:p w14:paraId="2228B4AB">
      <w:pPr>
        <w:adjustRightInd w:val="0"/>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工程的方案设计均需经招标人确认后方可进入下一阶段设计，施工图文件必须与审批合格的报建图一致，不得随意修改。进入施工阶段后，涉及建设工程设计方案有关内容确需修改的，须配合招标人单位向自然资源局申请调整，并通过审批。施工图设计必须由有资质的审图机构审查合格。</w:t>
      </w:r>
    </w:p>
    <w:p w14:paraId="121A96CE">
      <w:pPr>
        <w:adjustRightInd w:val="0"/>
        <w:snapToGrid w:val="0"/>
        <w:spacing w:line="440" w:lineRule="exact"/>
        <w:ind w:firstLine="422" w:firstLineChars="175"/>
        <w:rPr>
          <w:rFonts w:ascii="宋体" w:hAnsi="宋体" w:cs="宋体"/>
          <w:color w:val="auto"/>
          <w:sz w:val="24"/>
          <w:szCs w:val="24"/>
          <w:highlight w:val="none"/>
        </w:rPr>
      </w:pPr>
      <w:r>
        <w:rPr>
          <w:rFonts w:hint="eastAsia" w:ascii="宋体" w:hAnsi="宋体" w:cs="宋体"/>
          <w:b/>
          <w:bCs/>
          <w:color w:val="auto"/>
          <w:sz w:val="24"/>
          <w:szCs w:val="24"/>
          <w:highlight w:val="none"/>
        </w:rPr>
        <w:t>6.2</w:t>
      </w:r>
      <w:r>
        <w:rPr>
          <w:rFonts w:hint="eastAsia" w:ascii="宋体" w:hAnsi="宋体" w:cs="宋体"/>
          <w:color w:val="auto"/>
          <w:sz w:val="24"/>
          <w:szCs w:val="24"/>
          <w:highlight w:val="none"/>
        </w:rPr>
        <w:t>设计承包内容：中标单位按合同约定的招标文件内容要求、法律法规及国家强制性标准要求提供完整的完善施工图设计文件及建设期间的服务等内容。</w:t>
      </w:r>
    </w:p>
    <w:p w14:paraId="1118E378">
      <w:pPr>
        <w:adjustRightInd w:val="0"/>
        <w:snapToGrid w:val="0"/>
        <w:spacing w:line="440" w:lineRule="exact"/>
        <w:ind w:firstLine="56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完善方案设计及方案深化</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套（不包含送审稿）</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初步设计及概算</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套</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审定的施工图</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套，原始数据提供的所有资料电子文件</w:t>
      </w:r>
      <w:r>
        <w:rPr>
          <w:rFonts w:hint="eastAsia" w:ascii="宋体" w:hAnsi="宋体" w:eastAsia="宋体" w:cs="宋体"/>
          <w:color w:val="auto"/>
          <w:sz w:val="24"/>
          <w:szCs w:val="24"/>
          <w:highlight w:val="none"/>
        </w:rPr>
        <w:t>（含可编辑的CAD文件和PDF文件格式</w:t>
      </w:r>
      <w:r>
        <w:rPr>
          <w:rFonts w:hint="eastAsia" w:ascii="宋体" w:hAnsi="宋体" w:eastAsia="宋体" w:cs="宋体"/>
          <w:color w:val="auto"/>
          <w:sz w:val="24"/>
          <w:szCs w:val="24"/>
          <w:highlight w:val="none"/>
          <w:lang w:val="en-US" w:eastAsia="zh-CN"/>
        </w:rPr>
        <w:t>及造价软件版电子文档</w:t>
      </w:r>
      <w:r>
        <w:rPr>
          <w:rFonts w:hint="eastAsia" w:ascii="宋体" w:hAnsi="宋体" w:eastAsia="宋体" w:cs="宋体"/>
          <w:color w:val="auto"/>
          <w:sz w:val="24"/>
          <w:szCs w:val="24"/>
          <w:highlight w:val="none"/>
        </w:rPr>
        <w:t>）</w:t>
      </w:r>
    </w:p>
    <w:p w14:paraId="58CF3EE1">
      <w:pPr>
        <w:adjustRightInd w:val="0"/>
        <w:snapToGrid w:val="0"/>
        <w:spacing w:line="440" w:lineRule="exact"/>
        <w:ind w:firstLine="560"/>
        <w:rPr>
          <w:rFonts w:ascii="宋体" w:hAnsi="宋体" w:cs="宋体"/>
          <w:snapToGrid w:val="0"/>
          <w:color w:val="auto"/>
          <w:kern w:val="0"/>
          <w:sz w:val="24"/>
          <w:szCs w:val="24"/>
          <w:highlight w:val="none"/>
        </w:rPr>
      </w:pPr>
      <w:r>
        <w:rPr>
          <w:rFonts w:hint="eastAsia" w:ascii="宋体" w:hAnsi="宋体" w:cs="宋体"/>
          <w:b/>
          <w:bCs/>
          <w:color w:val="auto"/>
          <w:sz w:val="24"/>
          <w:szCs w:val="24"/>
          <w:highlight w:val="none"/>
        </w:rPr>
        <w:t>6.3</w:t>
      </w:r>
      <w:r>
        <w:rPr>
          <w:rFonts w:hint="eastAsia" w:ascii="宋体" w:hAnsi="宋体" w:cs="宋体"/>
          <w:color w:val="auto"/>
          <w:sz w:val="24"/>
          <w:szCs w:val="24"/>
          <w:highlight w:val="none"/>
        </w:rPr>
        <w:t>设计人要按照经批准的可研报告（修编）、规划条件等资料控制施工图设计，即限额设计。设计人要无条件对设计文件出现的遗漏或错误负责修改或补充，直到满足要求。</w:t>
      </w:r>
    </w:p>
    <w:p w14:paraId="6FD8FDF2">
      <w:pPr>
        <w:adjustRightInd w:val="0"/>
        <w:snapToGrid w:val="0"/>
        <w:spacing w:line="440" w:lineRule="exact"/>
        <w:ind w:firstLine="560"/>
        <w:rPr>
          <w:rFonts w:ascii="宋体" w:hAnsi="宋体" w:cs="宋体"/>
          <w:snapToGrid w:val="0"/>
          <w:color w:val="auto"/>
          <w:kern w:val="0"/>
          <w:sz w:val="24"/>
          <w:szCs w:val="24"/>
          <w:highlight w:val="none"/>
        </w:rPr>
      </w:pPr>
      <w:r>
        <w:rPr>
          <w:rFonts w:hint="eastAsia" w:ascii="宋体" w:hAnsi="宋体" w:cs="宋体"/>
          <w:b/>
          <w:bCs/>
          <w:color w:val="auto"/>
          <w:sz w:val="24"/>
          <w:szCs w:val="24"/>
          <w:highlight w:val="none"/>
        </w:rPr>
        <w:t>6.4</w:t>
      </w:r>
      <w:r>
        <w:rPr>
          <w:rFonts w:hint="eastAsia" w:ascii="宋体" w:hAnsi="宋体" w:cs="宋体"/>
          <w:snapToGrid w:val="0"/>
          <w:color w:val="auto"/>
          <w:kern w:val="0"/>
          <w:sz w:val="24"/>
          <w:szCs w:val="24"/>
          <w:highlight w:val="none"/>
        </w:rPr>
        <w:t>施工期间若遇到工程变更、突发事件或不可遇见的事件等情况，设计人员接到建设单位或监理单位通知后应当立即到达施工现场，研究并及时处理问题。</w:t>
      </w:r>
    </w:p>
    <w:p w14:paraId="7107EB20">
      <w:pPr>
        <w:adjustRightInd w:val="0"/>
        <w:snapToGrid w:val="0"/>
        <w:spacing w:line="440" w:lineRule="exact"/>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6.5关于设计深度的要求</w:t>
      </w:r>
    </w:p>
    <w:p w14:paraId="081A2AA9">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6.5.1按国家及地方现行的设计文件深度规定等有关技术标准、设计规范（标准）要求；按绿色建筑设计标准进行绿色建筑设计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如需要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4769CDE7">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6.5.2各专业设计应同步进行，涉及单位应指定总体设计人统筹布局，做好各项设施的协调和衔接、位置预留，不得留待施工中临时变更。</w:t>
      </w:r>
    </w:p>
    <w:p w14:paraId="21134625">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6.5.3对技术复杂或造价、规模较大的主要分项工程应作方案比较。</w:t>
      </w:r>
    </w:p>
    <w:p w14:paraId="1BB8796B">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6.5.4设计文件的深度，应当满足主要设备材料订货、征地拆迁及编制施工图设计文件的需要。</w:t>
      </w:r>
    </w:p>
    <w:p w14:paraId="379240B1">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6.5.5.施工图设计文件的深度，应当满足编制施工招标文件及设备材料采购，非标准设备制作和施工的需要，并注明建设工程合理使用年限。</w:t>
      </w:r>
    </w:p>
    <w:p w14:paraId="07AF3F1E">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6.5.6相关的配套外部接口方案均需取得政府主管部门或规划部门认可。</w:t>
      </w:r>
    </w:p>
    <w:p w14:paraId="19FF8394">
      <w:pPr>
        <w:adjustRightInd w:val="0"/>
        <w:snapToGrid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6.5.7施工图设计文件应考虑交通维护、临时施工便道、基坑支护、对周边建筑物的影响等因素，并提供相应的设计方案及计算书（可另册装订），以指导现场施工及过程评审。</w:t>
      </w:r>
    </w:p>
    <w:p w14:paraId="09F2E364">
      <w:pPr>
        <w:adjustRightInd w:val="0"/>
        <w:snapToGrid w:val="0"/>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6.6设计后期配合施工工作</w:t>
      </w:r>
    </w:p>
    <w:p w14:paraId="4B8B6CE2">
      <w:pPr>
        <w:adjustRightInd w:val="0"/>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6.6.1设计单位配合施工、监理招标及施工的工作内容如下：</w:t>
      </w:r>
    </w:p>
    <w:p w14:paraId="5604E213">
      <w:pPr>
        <w:numPr>
          <w:ilvl w:val="0"/>
          <w:numId w:val="1"/>
        </w:numPr>
        <w:tabs>
          <w:tab w:val="left" w:pos="0"/>
          <w:tab w:val="left" w:pos="1080"/>
        </w:tabs>
        <w:adjustRightInd w:val="0"/>
        <w:snapToGrid w:val="0"/>
        <w:spacing w:line="440" w:lineRule="exact"/>
        <w:ind w:left="0" w:firstLine="600"/>
        <w:rPr>
          <w:rFonts w:ascii="宋体" w:hAnsi="宋体" w:cs="宋体"/>
          <w:color w:val="auto"/>
          <w:sz w:val="24"/>
          <w:szCs w:val="24"/>
          <w:highlight w:val="none"/>
        </w:rPr>
      </w:pPr>
      <w:r>
        <w:rPr>
          <w:rFonts w:hint="eastAsia" w:ascii="宋体" w:hAnsi="宋体" w:cs="宋体"/>
          <w:color w:val="auto"/>
          <w:sz w:val="24"/>
          <w:szCs w:val="24"/>
          <w:highlight w:val="none"/>
        </w:rPr>
        <w:t>施工图设计（技术）交底；</w:t>
      </w:r>
    </w:p>
    <w:p w14:paraId="220E7C5F">
      <w:pPr>
        <w:numPr>
          <w:ilvl w:val="0"/>
          <w:numId w:val="1"/>
        </w:numPr>
        <w:tabs>
          <w:tab w:val="left" w:pos="0"/>
          <w:tab w:val="left" w:pos="1080"/>
        </w:tabs>
        <w:adjustRightInd w:val="0"/>
        <w:snapToGrid w:val="0"/>
        <w:spacing w:line="440" w:lineRule="exact"/>
        <w:ind w:left="0" w:firstLine="600"/>
        <w:rPr>
          <w:rFonts w:ascii="宋体" w:hAnsi="宋体" w:cs="宋体"/>
          <w:color w:val="auto"/>
          <w:sz w:val="24"/>
          <w:szCs w:val="24"/>
          <w:highlight w:val="none"/>
        </w:rPr>
      </w:pPr>
      <w:r>
        <w:rPr>
          <w:rFonts w:hint="eastAsia" w:ascii="宋体" w:hAnsi="宋体" w:cs="宋体"/>
          <w:color w:val="auto"/>
          <w:sz w:val="24"/>
          <w:szCs w:val="24"/>
          <w:highlight w:val="none"/>
        </w:rPr>
        <w:t>配合勘察单位现场交桩；</w:t>
      </w:r>
    </w:p>
    <w:p w14:paraId="232B4028">
      <w:pPr>
        <w:numPr>
          <w:ilvl w:val="0"/>
          <w:numId w:val="1"/>
        </w:numPr>
        <w:tabs>
          <w:tab w:val="left" w:pos="0"/>
          <w:tab w:val="left" w:pos="1080"/>
        </w:tabs>
        <w:adjustRightInd w:val="0"/>
        <w:snapToGrid w:val="0"/>
        <w:spacing w:line="440" w:lineRule="exact"/>
        <w:ind w:left="0" w:firstLine="600"/>
        <w:rPr>
          <w:rFonts w:ascii="宋体" w:hAnsi="宋体" w:cs="宋体"/>
          <w:color w:val="auto"/>
          <w:sz w:val="24"/>
          <w:szCs w:val="24"/>
          <w:highlight w:val="none"/>
        </w:rPr>
      </w:pPr>
      <w:r>
        <w:rPr>
          <w:rFonts w:hint="eastAsia" w:ascii="宋体" w:hAnsi="宋体" w:cs="宋体"/>
          <w:color w:val="auto"/>
          <w:sz w:val="24"/>
          <w:szCs w:val="24"/>
          <w:highlight w:val="none"/>
        </w:rPr>
        <w:t>变更设计和所有补充设计；</w:t>
      </w:r>
    </w:p>
    <w:p w14:paraId="5355B8EA">
      <w:pPr>
        <w:numPr>
          <w:ilvl w:val="0"/>
          <w:numId w:val="1"/>
        </w:numPr>
        <w:tabs>
          <w:tab w:val="left" w:pos="0"/>
          <w:tab w:val="left" w:pos="1080"/>
        </w:tabs>
        <w:adjustRightInd w:val="0"/>
        <w:snapToGrid w:val="0"/>
        <w:spacing w:line="440" w:lineRule="exact"/>
        <w:ind w:left="0" w:firstLine="600"/>
        <w:rPr>
          <w:rFonts w:ascii="宋体" w:hAnsi="宋体" w:cs="宋体"/>
          <w:color w:val="auto"/>
          <w:sz w:val="24"/>
          <w:szCs w:val="24"/>
          <w:highlight w:val="none"/>
        </w:rPr>
      </w:pPr>
      <w:r>
        <w:rPr>
          <w:rFonts w:hint="eastAsia" w:ascii="宋体" w:hAnsi="宋体" w:cs="宋体"/>
          <w:color w:val="auto"/>
          <w:sz w:val="24"/>
          <w:szCs w:val="24"/>
          <w:highlight w:val="none"/>
        </w:rPr>
        <w:t>会签设计变更审批表；</w:t>
      </w:r>
    </w:p>
    <w:p w14:paraId="6CF8E800">
      <w:pPr>
        <w:numPr>
          <w:ilvl w:val="0"/>
          <w:numId w:val="1"/>
        </w:numPr>
        <w:tabs>
          <w:tab w:val="left" w:pos="0"/>
          <w:tab w:val="left" w:pos="1080"/>
        </w:tabs>
        <w:adjustRightInd w:val="0"/>
        <w:snapToGrid w:val="0"/>
        <w:spacing w:line="440" w:lineRule="exact"/>
        <w:ind w:left="0" w:firstLine="600"/>
        <w:rPr>
          <w:rFonts w:ascii="宋体" w:hAnsi="宋体" w:cs="宋体"/>
          <w:color w:val="auto"/>
          <w:sz w:val="24"/>
          <w:szCs w:val="24"/>
          <w:highlight w:val="none"/>
        </w:rPr>
      </w:pPr>
      <w:r>
        <w:rPr>
          <w:rFonts w:hint="eastAsia" w:ascii="宋体" w:hAnsi="宋体" w:cs="宋体"/>
          <w:color w:val="auto"/>
          <w:sz w:val="24"/>
          <w:szCs w:val="24"/>
          <w:highlight w:val="none"/>
        </w:rPr>
        <w:t>参加处理施工中发生的工程质量和安全事故；</w:t>
      </w:r>
    </w:p>
    <w:p w14:paraId="6D77996C">
      <w:pPr>
        <w:numPr>
          <w:ilvl w:val="0"/>
          <w:numId w:val="1"/>
        </w:numPr>
        <w:tabs>
          <w:tab w:val="left" w:pos="0"/>
          <w:tab w:val="left" w:pos="1080"/>
        </w:tabs>
        <w:adjustRightInd w:val="0"/>
        <w:snapToGrid w:val="0"/>
        <w:spacing w:line="440" w:lineRule="exact"/>
        <w:ind w:left="0" w:firstLine="600"/>
        <w:rPr>
          <w:rFonts w:ascii="宋体" w:hAnsi="宋体" w:cs="宋体"/>
          <w:color w:val="auto"/>
          <w:sz w:val="24"/>
          <w:szCs w:val="24"/>
          <w:highlight w:val="none"/>
        </w:rPr>
      </w:pPr>
      <w:r>
        <w:rPr>
          <w:rFonts w:hint="eastAsia" w:ascii="宋体" w:hAnsi="宋体" w:cs="宋体"/>
          <w:color w:val="auto"/>
          <w:sz w:val="24"/>
          <w:szCs w:val="24"/>
          <w:highlight w:val="none"/>
        </w:rPr>
        <w:t>参加隐蔽工程及工程竣工验收；</w:t>
      </w:r>
    </w:p>
    <w:p w14:paraId="472E3F0A">
      <w:pPr>
        <w:numPr>
          <w:ilvl w:val="0"/>
          <w:numId w:val="1"/>
        </w:numPr>
        <w:tabs>
          <w:tab w:val="left" w:pos="0"/>
          <w:tab w:val="left" w:pos="1080"/>
        </w:tabs>
        <w:adjustRightInd w:val="0"/>
        <w:snapToGrid w:val="0"/>
        <w:spacing w:line="440" w:lineRule="exact"/>
        <w:ind w:left="0" w:firstLine="600"/>
        <w:rPr>
          <w:rFonts w:ascii="宋体" w:hAnsi="宋体" w:cs="宋体"/>
          <w:color w:val="auto"/>
          <w:sz w:val="24"/>
          <w:szCs w:val="24"/>
          <w:highlight w:val="none"/>
        </w:rPr>
      </w:pPr>
      <w:r>
        <w:rPr>
          <w:rFonts w:hint="eastAsia" w:ascii="宋体" w:hAnsi="宋体" w:cs="宋体"/>
          <w:color w:val="auto"/>
          <w:sz w:val="24"/>
          <w:szCs w:val="24"/>
          <w:highlight w:val="none"/>
        </w:rPr>
        <w:t>解决与设计有关的施工问题；</w:t>
      </w:r>
    </w:p>
    <w:p w14:paraId="2DB4198A">
      <w:pPr>
        <w:numPr>
          <w:ilvl w:val="0"/>
          <w:numId w:val="1"/>
        </w:numPr>
        <w:tabs>
          <w:tab w:val="left" w:pos="0"/>
          <w:tab w:val="left" w:pos="1080"/>
        </w:tabs>
        <w:adjustRightInd w:val="0"/>
        <w:snapToGrid w:val="0"/>
        <w:spacing w:line="440" w:lineRule="exact"/>
        <w:ind w:left="0" w:firstLine="600"/>
        <w:rPr>
          <w:rFonts w:ascii="宋体" w:hAnsi="宋体" w:cs="宋体"/>
          <w:color w:val="auto"/>
          <w:sz w:val="24"/>
          <w:szCs w:val="24"/>
          <w:highlight w:val="none"/>
        </w:rPr>
      </w:pPr>
      <w:r>
        <w:rPr>
          <w:rFonts w:hint="eastAsia" w:ascii="宋体" w:hAnsi="宋体" w:cs="宋体"/>
          <w:color w:val="auto"/>
          <w:sz w:val="24"/>
          <w:szCs w:val="24"/>
          <w:highlight w:val="none"/>
        </w:rPr>
        <w:t>配合质量检测；</w:t>
      </w:r>
    </w:p>
    <w:p w14:paraId="41E99073">
      <w:pPr>
        <w:numPr>
          <w:ilvl w:val="0"/>
          <w:numId w:val="1"/>
        </w:numPr>
        <w:tabs>
          <w:tab w:val="left" w:pos="0"/>
          <w:tab w:val="left" w:pos="1080"/>
        </w:tabs>
        <w:adjustRightInd w:val="0"/>
        <w:snapToGrid w:val="0"/>
        <w:spacing w:line="440" w:lineRule="exact"/>
        <w:ind w:left="0" w:firstLine="600"/>
        <w:rPr>
          <w:rFonts w:ascii="宋体" w:hAnsi="宋体" w:cs="宋体"/>
          <w:color w:val="auto"/>
          <w:sz w:val="24"/>
          <w:szCs w:val="24"/>
          <w:highlight w:val="none"/>
        </w:rPr>
      </w:pPr>
      <w:r>
        <w:rPr>
          <w:rFonts w:hint="eastAsia" w:ascii="宋体" w:hAnsi="宋体" w:cs="宋体"/>
          <w:color w:val="auto"/>
          <w:sz w:val="24"/>
          <w:szCs w:val="24"/>
          <w:highlight w:val="none"/>
        </w:rPr>
        <w:t>参加审查施工单位的施工组织设计和专项施工方案；</w:t>
      </w:r>
    </w:p>
    <w:p w14:paraId="69B419EB">
      <w:pPr>
        <w:numPr>
          <w:ilvl w:val="0"/>
          <w:numId w:val="1"/>
        </w:numPr>
        <w:tabs>
          <w:tab w:val="left" w:pos="0"/>
          <w:tab w:val="left" w:pos="1080"/>
          <w:tab w:val="left" w:pos="1320"/>
        </w:tabs>
        <w:adjustRightInd w:val="0"/>
        <w:snapToGrid w:val="0"/>
        <w:spacing w:line="440" w:lineRule="exact"/>
        <w:ind w:left="0" w:firstLine="600"/>
        <w:rPr>
          <w:rFonts w:ascii="宋体" w:hAnsi="宋体" w:cs="宋体"/>
          <w:color w:val="auto"/>
          <w:sz w:val="24"/>
          <w:szCs w:val="24"/>
          <w:highlight w:val="none"/>
        </w:rPr>
      </w:pPr>
      <w:r>
        <w:rPr>
          <w:rFonts w:hint="eastAsia" w:ascii="宋体" w:hAnsi="宋体" w:cs="宋体"/>
          <w:color w:val="auto"/>
          <w:sz w:val="24"/>
          <w:szCs w:val="24"/>
          <w:highlight w:val="none"/>
        </w:rPr>
        <w:t>参加本项目建设有关会议；</w:t>
      </w:r>
    </w:p>
    <w:p w14:paraId="74BD803B">
      <w:pPr>
        <w:numPr>
          <w:ilvl w:val="0"/>
          <w:numId w:val="1"/>
        </w:numPr>
        <w:tabs>
          <w:tab w:val="left" w:pos="0"/>
          <w:tab w:val="left" w:pos="1080"/>
          <w:tab w:val="left" w:pos="1320"/>
        </w:tabs>
        <w:adjustRightInd w:val="0"/>
        <w:snapToGrid w:val="0"/>
        <w:spacing w:line="440" w:lineRule="exact"/>
        <w:ind w:left="0" w:firstLine="600"/>
        <w:rPr>
          <w:rFonts w:ascii="宋体" w:hAnsi="宋体" w:cs="宋体"/>
          <w:color w:val="auto"/>
          <w:sz w:val="24"/>
          <w:szCs w:val="24"/>
          <w:highlight w:val="none"/>
        </w:rPr>
      </w:pPr>
      <w:r>
        <w:rPr>
          <w:rFonts w:hint="eastAsia" w:ascii="宋体" w:hAnsi="宋体" w:cs="宋体"/>
          <w:color w:val="auto"/>
          <w:sz w:val="24"/>
          <w:szCs w:val="24"/>
          <w:highlight w:val="none"/>
        </w:rPr>
        <w:t>在施工、监理招标期间配合建设及相关单位解释及完善施工图相关内容；</w:t>
      </w:r>
    </w:p>
    <w:p w14:paraId="5606DCE8">
      <w:pPr>
        <w:numPr>
          <w:ilvl w:val="0"/>
          <w:numId w:val="1"/>
        </w:numPr>
        <w:tabs>
          <w:tab w:val="left" w:pos="0"/>
          <w:tab w:val="left" w:pos="1080"/>
          <w:tab w:val="left" w:pos="1320"/>
        </w:tabs>
        <w:adjustRightInd w:val="0"/>
        <w:snapToGrid w:val="0"/>
        <w:spacing w:line="440" w:lineRule="exact"/>
        <w:ind w:left="0" w:firstLine="600"/>
        <w:rPr>
          <w:rFonts w:ascii="宋体" w:hAnsi="宋体" w:cs="宋体"/>
          <w:color w:val="auto"/>
          <w:sz w:val="24"/>
          <w:szCs w:val="24"/>
          <w:highlight w:val="none"/>
        </w:rPr>
      </w:pPr>
      <w:r>
        <w:rPr>
          <w:rFonts w:hint="eastAsia" w:ascii="宋体" w:hAnsi="宋体" w:cs="宋体"/>
          <w:color w:val="auto"/>
          <w:sz w:val="24"/>
          <w:szCs w:val="24"/>
          <w:highlight w:val="none"/>
        </w:rPr>
        <w:t>配合施工单位完成竣工图绘制，并按档案馆要求，完成必要的签字盖章。</w:t>
      </w:r>
    </w:p>
    <w:p w14:paraId="73B6ACE2">
      <w:pPr>
        <w:adjustRightInd w:val="0"/>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6.6.2设计工作技术总结</w:t>
      </w:r>
    </w:p>
    <w:p w14:paraId="18C62B56">
      <w:pPr>
        <w:adjustRightInd w:val="0"/>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设计人对设计文件及施工过程中发生的补充设计进行检查，并提出设计文件质量检查报告，在竣工验收前交发包人。工程完工后，设计人应组织设计技术工作人员将全部资料进行整理并撰写工程技术总结，并于竣工后十个日历天内完成，交发包人。</w:t>
      </w:r>
    </w:p>
    <w:p w14:paraId="6C8057BB">
      <w:pPr>
        <w:adjustRightInd w:val="0"/>
        <w:snapToGrid w:val="0"/>
        <w:spacing w:line="440" w:lineRule="exact"/>
        <w:ind w:firstLine="560"/>
        <w:rPr>
          <w:rFonts w:ascii="宋体" w:hAnsi="宋体" w:cs="宋体"/>
          <w:b/>
          <w:bCs/>
          <w:color w:val="auto"/>
          <w:sz w:val="24"/>
          <w:szCs w:val="24"/>
          <w:highlight w:val="none"/>
        </w:rPr>
      </w:pPr>
      <w:bookmarkStart w:id="51" w:name="OLE_LINK1"/>
      <w:bookmarkStart w:id="52" w:name="_Toc7567"/>
      <w:r>
        <w:rPr>
          <w:rFonts w:hint="eastAsia" w:ascii="宋体" w:hAnsi="宋体" w:cs="宋体"/>
          <w:b/>
          <w:bCs/>
          <w:color w:val="auto"/>
          <w:sz w:val="24"/>
          <w:szCs w:val="24"/>
          <w:highlight w:val="none"/>
        </w:rPr>
        <w:t>6.7限额设计要求</w:t>
      </w:r>
    </w:p>
    <w:p w14:paraId="3B7A8BDD">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6.7.1施工图预算中的建安工程费不得超过初步设计概算中的建安工程费，在保证设计质量的前提下，设计人应按投资限额进行设计，严格控制设计变更，确保工程概算和预算不突破限额目标。如超过则必须进行方案修改，并承诺该修改不改变有关设计和规划的原则、内容与要求，不改变原方案设计的构思，不降低使用功能与设计质量标准，无条件进行优化设计且不计取任何费用，直至不超过投资概算限额为止。</w:t>
      </w:r>
    </w:p>
    <w:p w14:paraId="3F39696E">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6.7.2若造价咨询单位按施工图编制的建安工程费高于6.7.1条规定时，承包人必须无条件对施工图进行修改，直至满足限额设计要求。由此造成造价咨询单位重复编制施工图预算的费用由承包人承担，结算时在设计费中扣除。</w:t>
      </w:r>
    </w:p>
    <w:p w14:paraId="767690FD">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6.8设计时需要考虑与周边地块的开发相结合及相关规划方案的要求进行设计。</w:t>
      </w:r>
    </w:p>
    <w:p w14:paraId="54FFDA1A">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6.9承包人必须无条件对施工图设计进行修改，直至满足限额设计要求，不另行增加设计费。</w:t>
      </w:r>
    </w:p>
    <w:p w14:paraId="5B5268EB">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6.10凡参加本次招标的投标人被视为已充分认识和理解了任何与本工程有关的影响事项和困难等情况。</w:t>
      </w:r>
    </w:p>
    <w:p w14:paraId="47CF443F">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6.11招标人在实施过程中可根据实际情况对工程规模、任务内容等进行合理、适当调整。</w:t>
      </w:r>
      <w:bookmarkEnd w:id="51"/>
      <w:bookmarkStart w:id="53" w:name="_Hlt69356505"/>
      <w:bookmarkEnd w:id="53"/>
      <w:bookmarkStart w:id="54" w:name="_Hlt74493474"/>
      <w:bookmarkEnd w:id="54"/>
      <w:bookmarkStart w:id="55" w:name="_Hlt121563076"/>
      <w:bookmarkEnd w:id="55"/>
      <w:bookmarkStart w:id="56" w:name="_Hlt88974078"/>
      <w:bookmarkEnd w:id="56"/>
      <w:bookmarkStart w:id="57" w:name="_Hlt74496537"/>
      <w:bookmarkEnd w:id="57"/>
      <w:bookmarkStart w:id="58" w:name="_Hlt111690342"/>
      <w:bookmarkEnd w:id="58"/>
      <w:bookmarkStart w:id="59" w:name="_Hlt69699204"/>
      <w:bookmarkEnd w:id="59"/>
      <w:bookmarkStart w:id="60" w:name="_Hlt120502666"/>
      <w:bookmarkEnd w:id="60"/>
    </w:p>
    <w:p w14:paraId="2ABE1129">
      <w:pPr>
        <w:adjustRightInd w:val="0"/>
        <w:spacing w:line="288" w:lineRule="auto"/>
        <w:ind w:firstLine="482" w:firstLineChars="200"/>
        <w:rPr>
          <w:rFonts w:ascii="宋体" w:hAnsi="宋体" w:cs="宋体"/>
          <w:color w:val="auto"/>
          <w:sz w:val="24"/>
          <w:szCs w:val="24"/>
          <w:highlight w:val="none"/>
          <w:lang w:val="zh-CN"/>
        </w:rPr>
      </w:pPr>
      <w:r>
        <w:rPr>
          <w:rFonts w:hint="eastAsia" w:ascii="宋体" w:hAnsi="宋体" w:cs="宋体"/>
          <w:b/>
          <w:color w:val="auto"/>
          <w:sz w:val="24"/>
          <w:szCs w:val="24"/>
          <w:highlight w:val="none"/>
          <w:u w:val="single"/>
        </w:rPr>
        <w:t>（注：招标人在实施过程中可根据实际情况对工程规模、任务内容等进行合理、适当调整。）</w:t>
      </w:r>
    </w:p>
    <w:p w14:paraId="539A4F43">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61" w:name="_Toc2686"/>
      <w:bookmarkStart w:id="62" w:name="_Toc30141"/>
      <w:r>
        <w:rPr>
          <w:rFonts w:hint="eastAsia" w:ascii="宋体" w:hAnsi="宋体" w:cs="宋体"/>
          <w:b/>
          <w:snapToGrid w:val="0"/>
          <w:color w:val="auto"/>
          <w:sz w:val="24"/>
          <w:highlight w:val="none"/>
        </w:rPr>
        <w:t>7</w:t>
      </w:r>
      <w:bookmarkEnd w:id="52"/>
      <w:r>
        <w:rPr>
          <w:rFonts w:hint="eastAsia" w:ascii="宋体" w:hAnsi="宋体" w:cs="宋体"/>
          <w:b/>
          <w:snapToGrid w:val="0"/>
          <w:color w:val="auto"/>
          <w:sz w:val="24"/>
          <w:highlight w:val="none"/>
        </w:rPr>
        <w:t>.现场踏勘</w:t>
      </w:r>
      <w:bookmarkEnd w:id="61"/>
      <w:bookmarkEnd w:id="62"/>
    </w:p>
    <w:p w14:paraId="03E2C241">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7.1招标人不集中现场踏勘。投标人需要了解现场情况的，可自行进行现场踏勘。</w:t>
      </w:r>
    </w:p>
    <w:p w14:paraId="4646E2D5">
      <w:pPr>
        <w:adjustRightInd w:val="0"/>
        <w:snapToGrid w:val="0"/>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7.2在现场踏勘过程中，投标人应确保自身安全，投标人如果发生人身伤亡、财物或其他损失，法律法规有规定的按有关规定处理，没有规定的由投标人自行负责。</w:t>
      </w:r>
    </w:p>
    <w:p w14:paraId="6A3F4EFD">
      <w:pPr>
        <w:adjustRightInd w:val="0"/>
        <w:snapToGrid w:val="0"/>
        <w:spacing w:line="44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7.3现场踏勘期间的交通、食宿由投标人自行安排，费用自理。</w:t>
      </w:r>
    </w:p>
    <w:p w14:paraId="208478F0">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63" w:name="_Toc10934"/>
      <w:bookmarkStart w:id="64" w:name="_Toc6699"/>
      <w:bookmarkStart w:id="65" w:name="_Toc14021"/>
      <w:r>
        <w:rPr>
          <w:rFonts w:hint="eastAsia" w:ascii="宋体" w:hAnsi="宋体" w:cs="宋体"/>
          <w:b/>
          <w:snapToGrid w:val="0"/>
          <w:color w:val="auto"/>
          <w:sz w:val="24"/>
          <w:highlight w:val="none"/>
        </w:rPr>
        <w:t>8.招标答疑</w:t>
      </w:r>
      <w:bookmarkEnd w:id="63"/>
      <w:bookmarkEnd w:id="64"/>
      <w:bookmarkEnd w:id="65"/>
      <w:bookmarkStart w:id="66" w:name="_Hlt74496410"/>
      <w:bookmarkEnd w:id="66"/>
    </w:p>
    <w:p w14:paraId="34C50F4A">
      <w:pPr>
        <w:adjustRightInd w:val="0"/>
        <w:snapToGrid w:val="0"/>
        <w:spacing w:line="440" w:lineRule="exact"/>
        <w:ind w:firstLine="560"/>
        <w:rPr>
          <w:rFonts w:hint="eastAsia" w:ascii="宋体" w:hAnsi="宋体" w:eastAsia="宋体" w:cs="宋体"/>
          <w:color w:val="auto"/>
          <w:sz w:val="24"/>
          <w:szCs w:val="24"/>
          <w:highlight w:val="none"/>
        </w:rPr>
      </w:pPr>
      <w:bookmarkStart w:id="67" w:name="_Hlt92513711"/>
      <w:bookmarkEnd w:id="67"/>
      <w:bookmarkStart w:id="68" w:name="_Hlt92513715"/>
      <w:bookmarkEnd w:id="68"/>
      <w:bookmarkStart w:id="69" w:name="_Hlt69699188"/>
      <w:bookmarkEnd w:id="69"/>
      <w:r>
        <w:rPr>
          <w:rFonts w:hint="eastAsia" w:ascii="宋体" w:hAnsi="宋体" w:eastAsia="宋体" w:cs="宋体"/>
          <w:color w:val="auto"/>
          <w:sz w:val="24"/>
          <w:szCs w:val="24"/>
          <w:highlight w:val="none"/>
        </w:rPr>
        <w:t>8.1 投标人若对招标文件有疑问，应在提问截止时间（见本章第二节“重要事项时间地点一览表”）前使用建设工程交易系统提出问题。未在指定时间前、未采用指定方式提出的，招标人不予受理。</w:t>
      </w:r>
    </w:p>
    <w:p w14:paraId="6A5BB59C">
      <w:pPr>
        <w:adjustRightInd w:val="0"/>
        <w:snapToGrid w:val="0"/>
        <w:spacing w:line="44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329D116B">
      <w:pPr>
        <w:adjustRightInd w:val="0"/>
        <w:snapToGrid w:val="0"/>
        <w:spacing w:line="44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招标人对招标文件所作的答疑（或修改）公告，构成招标文件的组成部分。</w:t>
      </w:r>
    </w:p>
    <w:p w14:paraId="43179884">
      <w:pPr>
        <w:adjustRightInd w:val="0"/>
        <w:snapToGrid w:val="0"/>
        <w:spacing w:line="360" w:lineRule="auto"/>
        <w:ind w:firstLine="560"/>
        <w:rPr>
          <w:rFonts w:ascii="宋体" w:hAnsi="宋体" w:cs="宋体"/>
          <w:b/>
          <w:color w:val="auto"/>
          <w:szCs w:val="24"/>
          <w:highlight w:val="none"/>
        </w:rPr>
      </w:pPr>
    </w:p>
    <w:p w14:paraId="05F20155">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70" w:name="_Toc13869"/>
      <w:bookmarkStart w:id="71" w:name="_Toc2940"/>
      <w:r>
        <w:rPr>
          <w:rFonts w:hint="eastAsia" w:ascii="宋体" w:hAnsi="宋体" w:cs="宋体"/>
          <w:b/>
          <w:snapToGrid w:val="0"/>
          <w:color w:val="auto"/>
          <w:sz w:val="24"/>
          <w:highlight w:val="none"/>
        </w:rPr>
        <w:t>9.最高投标限价的确定及投标报价的约定</w:t>
      </w:r>
      <w:bookmarkEnd w:id="70"/>
      <w:bookmarkEnd w:id="71"/>
    </w:p>
    <w:p w14:paraId="5C01DBE2">
      <w:pPr>
        <w:wordWrap w:val="0"/>
        <w:adjustRightInd w:val="0"/>
        <w:snapToGrid w:val="0"/>
        <w:spacing w:line="440" w:lineRule="exact"/>
        <w:ind w:firstLine="561"/>
        <w:rPr>
          <w:rFonts w:ascii="宋体" w:hAnsi="宋体" w:cs="宋体"/>
          <w:color w:val="auto"/>
          <w:sz w:val="24"/>
          <w:szCs w:val="24"/>
          <w:highlight w:val="none"/>
        </w:rPr>
      </w:pPr>
      <w:bookmarkStart w:id="72" w:name="_Toc71813695"/>
      <w:bookmarkStart w:id="73" w:name="_Toc5187"/>
      <w:bookmarkStart w:id="74" w:name="_Toc15385"/>
      <w:bookmarkStart w:id="75" w:name="_Toc13887"/>
      <w:bookmarkStart w:id="76" w:name="_Toc17907"/>
      <w:bookmarkStart w:id="77" w:name="_Toc23725"/>
      <w:bookmarkStart w:id="78" w:name="_Toc20886"/>
      <w:bookmarkStart w:id="79" w:name="_Toc21136"/>
      <w:bookmarkStart w:id="80" w:name="_Toc71813188"/>
      <w:r>
        <w:rPr>
          <w:rFonts w:hint="eastAsia" w:ascii="宋体" w:hAnsi="宋体" w:cs="宋体"/>
          <w:b/>
          <w:bCs/>
          <w:color w:val="auto"/>
          <w:sz w:val="24"/>
          <w:szCs w:val="24"/>
          <w:highlight w:val="none"/>
        </w:rPr>
        <w:t>9.1</w:t>
      </w:r>
      <w:r>
        <w:rPr>
          <w:rFonts w:hint="eastAsia" w:ascii="宋体" w:hAnsi="宋体" w:cs="宋体"/>
          <w:color w:val="auto"/>
          <w:sz w:val="24"/>
          <w:szCs w:val="24"/>
          <w:highlight w:val="none"/>
        </w:rPr>
        <w:t>最高投标限价的确定</w:t>
      </w:r>
      <w:bookmarkEnd w:id="72"/>
      <w:bookmarkEnd w:id="73"/>
      <w:bookmarkEnd w:id="74"/>
      <w:bookmarkEnd w:id="75"/>
      <w:bookmarkEnd w:id="76"/>
      <w:bookmarkEnd w:id="77"/>
      <w:bookmarkEnd w:id="78"/>
      <w:bookmarkEnd w:id="79"/>
      <w:bookmarkEnd w:id="80"/>
    </w:p>
    <w:p w14:paraId="112311E7">
      <w:pPr>
        <w:pStyle w:val="25"/>
        <w:spacing w:line="470" w:lineRule="exact"/>
        <w:ind w:firstLine="480" w:firstLineChars="200"/>
        <w:rPr>
          <w:rFonts w:hAnsi="宋体" w:cs="宋体"/>
          <w:snapToGrid w:val="0"/>
          <w:color w:val="auto"/>
          <w:szCs w:val="22"/>
          <w:highlight w:val="none"/>
        </w:rPr>
      </w:pPr>
      <w:r>
        <w:rPr>
          <w:rFonts w:hint="eastAsia" w:hAnsi="宋体" w:cs="宋体"/>
          <w:color w:val="auto"/>
          <w:highlight w:val="none"/>
        </w:rPr>
        <w:t>经招标人研究确定，本项目招标最高投标限价为：</w:t>
      </w:r>
      <w:r>
        <w:rPr>
          <w:rFonts w:hint="eastAsia" w:hAnsi="宋体" w:cs="宋体"/>
          <w:color w:val="auto"/>
          <w:szCs w:val="24"/>
          <w:highlight w:val="none"/>
          <w:lang w:val="en-US" w:eastAsia="zh-CN"/>
        </w:rPr>
        <w:t>贰佰壹拾万元整</w:t>
      </w:r>
      <w:r>
        <w:rPr>
          <w:rFonts w:hint="eastAsia" w:hAnsi="宋体" w:cs="宋体"/>
          <w:color w:val="auto"/>
          <w:szCs w:val="24"/>
          <w:highlight w:val="none"/>
        </w:rPr>
        <w:t>（¥</w:t>
      </w:r>
      <w:r>
        <w:rPr>
          <w:rFonts w:hint="eastAsia" w:hAnsi="宋体" w:cs="宋体"/>
          <w:color w:val="auto"/>
          <w:szCs w:val="24"/>
          <w:highlight w:val="none"/>
          <w:lang w:val="en-US" w:eastAsia="zh-CN"/>
        </w:rPr>
        <w:t>2100000.00</w:t>
      </w:r>
      <w:r>
        <w:rPr>
          <w:rFonts w:hint="eastAsia" w:hAnsi="宋体" w:cs="宋体"/>
          <w:color w:val="auto"/>
          <w:szCs w:val="24"/>
          <w:highlight w:val="none"/>
        </w:rPr>
        <w:t>元）</w:t>
      </w:r>
      <w:r>
        <w:rPr>
          <w:rFonts w:hint="eastAsia" w:hAnsi="宋体" w:cs="宋体"/>
          <w:color w:val="auto"/>
          <w:highlight w:val="none"/>
        </w:rPr>
        <w:t>。具体详见下表：</w:t>
      </w:r>
    </w:p>
    <w:tbl>
      <w:tblPr>
        <w:tblStyle w:val="17"/>
        <w:tblW w:w="50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38"/>
        <w:gridCol w:w="1688"/>
        <w:gridCol w:w="2226"/>
        <w:gridCol w:w="4329"/>
      </w:tblGrid>
      <w:tr w14:paraId="167B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308" w:type="pct"/>
            <w:vAlign w:val="center"/>
          </w:tcPr>
          <w:p w14:paraId="1330C7C8">
            <w:pPr>
              <w:jc w:val="center"/>
              <w:rPr>
                <w:rFonts w:ascii="宋体" w:hAnsi="宋体" w:cs="宋体"/>
                <w:color w:val="auto"/>
                <w:sz w:val="24"/>
                <w:szCs w:val="24"/>
                <w:highlight w:val="none"/>
              </w:rPr>
            </w:pPr>
            <w:bookmarkStart w:id="81" w:name="_Hlt75685561"/>
            <w:bookmarkEnd w:id="81"/>
            <w:bookmarkStart w:id="82" w:name="_Hlt75685913"/>
            <w:bookmarkEnd w:id="82"/>
            <w:bookmarkStart w:id="83" w:name="_Hlt126039060"/>
            <w:bookmarkEnd w:id="83"/>
            <w:bookmarkStart w:id="84" w:name="_Hlt121630579"/>
            <w:bookmarkEnd w:id="84"/>
            <w:bookmarkStart w:id="85" w:name="_Toc18975"/>
            <w:bookmarkStart w:id="86" w:name="_Hlt121629839"/>
            <w:bookmarkStart w:id="87" w:name="_Hlt69335617"/>
            <w:r>
              <w:rPr>
                <w:rFonts w:hint="eastAsia" w:ascii="宋体" w:hAnsi="宋体" w:cs="宋体"/>
                <w:color w:val="auto"/>
                <w:sz w:val="24"/>
                <w:szCs w:val="24"/>
                <w:highlight w:val="none"/>
              </w:rPr>
              <w:t>序号</w:t>
            </w:r>
          </w:p>
        </w:tc>
        <w:tc>
          <w:tcPr>
            <w:tcW w:w="569" w:type="pct"/>
            <w:vAlign w:val="center"/>
          </w:tcPr>
          <w:p w14:paraId="370B34E8">
            <w:pPr>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844" w:type="pct"/>
            <w:vAlign w:val="center"/>
          </w:tcPr>
          <w:p w14:paraId="165C4BEC">
            <w:pPr>
              <w:jc w:val="center"/>
              <w:rPr>
                <w:rFonts w:ascii="宋体" w:hAnsi="宋体" w:cs="宋体"/>
                <w:color w:val="auto"/>
                <w:sz w:val="24"/>
                <w:szCs w:val="24"/>
                <w:highlight w:val="none"/>
              </w:rPr>
            </w:pPr>
            <w:r>
              <w:rPr>
                <w:rFonts w:hint="eastAsia" w:ascii="宋体" w:hAnsi="宋体" w:cs="宋体"/>
                <w:color w:val="auto"/>
                <w:sz w:val="24"/>
                <w:szCs w:val="24"/>
                <w:highlight w:val="none"/>
              </w:rPr>
              <w:t>投标下浮率</w:t>
            </w:r>
          </w:p>
        </w:tc>
        <w:tc>
          <w:tcPr>
            <w:tcW w:w="1113" w:type="pct"/>
            <w:vAlign w:val="center"/>
          </w:tcPr>
          <w:p w14:paraId="778464D0">
            <w:pPr>
              <w:jc w:val="center"/>
              <w:rPr>
                <w:rFonts w:ascii="宋体" w:hAnsi="宋体" w:cs="宋体"/>
                <w:color w:val="auto"/>
                <w:sz w:val="24"/>
                <w:szCs w:val="24"/>
                <w:highlight w:val="none"/>
              </w:rPr>
            </w:pPr>
            <w:r>
              <w:rPr>
                <w:rFonts w:hint="eastAsia" w:ascii="宋体" w:hAnsi="宋体" w:cs="宋体"/>
                <w:color w:val="auto"/>
                <w:sz w:val="24"/>
                <w:szCs w:val="24"/>
                <w:highlight w:val="none"/>
              </w:rPr>
              <w:t>最高投标限价（元）</w:t>
            </w:r>
          </w:p>
        </w:tc>
        <w:tc>
          <w:tcPr>
            <w:tcW w:w="2164" w:type="pct"/>
            <w:vAlign w:val="center"/>
          </w:tcPr>
          <w:p w14:paraId="4972B337">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72D1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308" w:type="pct"/>
            <w:vAlign w:val="center"/>
          </w:tcPr>
          <w:p w14:paraId="25C6CF8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69" w:type="pct"/>
            <w:vAlign w:val="center"/>
          </w:tcPr>
          <w:p w14:paraId="251EE35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设计服务费</w:t>
            </w:r>
          </w:p>
        </w:tc>
        <w:tc>
          <w:tcPr>
            <w:tcW w:w="844" w:type="pct"/>
            <w:vAlign w:val="center"/>
          </w:tcPr>
          <w:p w14:paraId="584113EE">
            <w:pPr>
              <w:jc w:val="center"/>
              <w:rPr>
                <w:rFonts w:ascii="宋体" w:hAnsi="宋体" w:cs="宋体"/>
                <w:color w:val="auto"/>
                <w:sz w:val="24"/>
                <w:szCs w:val="24"/>
                <w:highlight w:val="none"/>
              </w:rPr>
            </w:pPr>
            <w:r>
              <w:rPr>
                <w:rFonts w:hint="eastAsia" w:ascii="宋体" w:hAnsi="宋体" w:cs="宋体"/>
                <w:color w:val="auto"/>
                <w:sz w:val="24"/>
                <w:szCs w:val="24"/>
                <w:highlight w:val="none"/>
              </w:rPr>
              <w:t>≥0.00%</w:t>
            </w:r>
          </w:p>
        </w:tc>
        <w:tc>
          <w:tcPr>
            <w:tcW w:w="1113" w:type="pct"/>
            <w:vAlign w:val="center"/>
          </w:tcPr>
          <w:p w14:paraId="07126140">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2100000.00</w:t>
            </w:r>
          </w:p>
        </w:tc>
        <w:tc>
          <w:tcPr>
            <w:tcW w:w="2164" w:type="pct"/>
            <w:vAlign w:val="center"/>
          </w:tcPr>
          <w:p w14:paraId="52E5A951">
            <w:pPr>
              <w:jc w:val="center"/>
              <w:rPr>
                <w:rFonts w:ascii="宋体" w:hAnsi="宋体" w:cs="宋体"/>
                <w:color w:val="auto"/>
                <w:sz w:val="24"/>
                <w:szCs w:val="24"/>
                <w:highlight w:val="none"/>
              </w:rPr>
            </w:pPr>
            <w:r>
              <w:rPr>
                <w:rFonts w:hint="eastAsia" w:ascii="宋体" w:hAnsi="宋体" w:cs="宋体"/>
                <w:color w:val="auto"/>
                <w:sz w:val="24"/>
                <w:szCs w:val="24"/>
                <w:highlight w:val="none"/>
              </w:rPr>
              <w:t>以县财政审核预算后的建安费用为基数，根据计价格【2002】10号计算后根据乳府办【2022】106号文下浮</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0%再乘以（1-中标下浮率）为最终结算价。</w:t>
            </w:r>
          </w:p>
        </w:tc>
      </w:tr>
    </w:tbl>
    <w:p w14:paraId="7EF0B9BF">
      <w:pPr>
        <w:pStyle w:val="25"/>
        <w:spacing w:line="480" w:lineRule="exact"/>
        <w:ind w:firstLine="422" w:firstLineChars="175"/>
        <w:rPr>
          <w:rFonts w:hAnsi="宋体" w:cs="宋体"/>
          <w:bCs/>
          <w:snapToGrid w:val="0"/>
          <w:color w:val="auto"/>
          <w:szCs w:val="24"/>
          <w:highlight w:val="none"/>
        </w:rPr>
      </w:pPr>
      <w:r>
        <w:rPr>
          <w:rFonts w:hint="eastAsia" w:hAnsi="宋体" w:cs="宋体"/>
          <w:b/>
          <w:snapToGrid w:val="0"/>
          <w:color w:val="auto"/>
          <w:szCs w:val="24"/>
          <w:highlight w:val="none"/>
        </w:rPr>
        <w:t>备注：</w:t>
      </w:r>
      <w:r>
        <w:rPr>
          <w:rFonts w:hint="eastAsia" w:hAnsi="宋体" w:cs="宋体"/>
          <w:bCs/>
          <w:snapToGrid w:val="0"/>
          <w:color w:val="auto"/>
          <w:szCs w:val="24"/>
          <w:highlight w:val="none"/>
        </w:rPr>
        <w:t>1.投标报价超过最高投标限价为无效报价。</w:t>
      </w:r>
    </w:p>
    <w:p w14:paraId="1971CE42">
      <w:pPr>
        <w:pStyle w:val="25"/>
        <w:spacing w:line="480" w:lineRule="exact"/>
        <w:ind w:firstLine="1140" w:firstLineChars="475"/>
        <w:rPr>
          <w:rFonts w:hAnsi="宋体" w:cs="宋体"/>
          <w:bCs/>
          <w:snapToGrid w:val="0"/>
          <w:color w:val="auto"/>
          <w:szCs w:val="24"/>
          <w:highlight w:val="none"/>
        </w:rPr>
      </w:pPr>
      <w:r>
        <w:rPr>
          <w:rFonts w:hint="eastAsia" w:hAnsi="宋体" w:cs="宋体"/>
          <w:bCs/>
          <w:snapToGrid w:val="0"/>
          <w:color w:val="auto"/>
          <w:szCs w:val="24"/>
          <w:highlight w:val="none"/>
        </w:rPr>
        <w:t>2.投标报价及投标下浮率均保留至小数点后两位。</w:t>
      </w:r>
    </w:p>
    <w:p w14:paraId="30308F37">
      <w:pPr>
        <w:pStyle w:val="25"/>
        <w:spacing w:line="480" w:lineRule="exact"/>
        <w:ind w:firstLine="1140" w:firstLineChars="475"/>
        <w:rPr>
          <w:rFonts w:hAnsi="宋体" w:cs="宋体"/>
          <w:bCs/>
          <w:snapToGrid w:val="0"/>
          <w:color w:val="auto"/>
          <w:szCs w:val="24"/>
          <w:highlight w:val="none"/>
        </w:rPr>
      </w:pPr>
      <w:r>
        <w:rPr>
          <w:rFonts w:hint="eastAsia" w:hAnsi="宋体" w:cs="宋体"/>
          <w:bCs/>
          <w:snapToGrid w:val="0"/>
          <w:color w:val="auto"/>
          <w:szCs w:val="24"/>
          <w:highlight w:val="none"/>
        </w:rPr>
        <w:t>3.以上投标报价均为含税报价（增值税）。</w:t>
      </w:r>
    </w:p>
    <w:p w14:paraId="1C012A06">
      <w:pPr>
        <w:pStyle w:val="25"/>
        <w:spacing w:line="480" w:lineRule="exact"/>
        <w:ind w:firstLine="422" w:firstLineChars="175"/>
        <w:rPr>
          <w:rFonts w:hAnsi="宋体" w:cs="宋体"/>
          <w:bCs/>
          <w:snapToGrid w:val="0"/>
          <w:color w:val="auto"/>
          <w:szCs w:val="24"/>
          <w:highlight w:val="none"/>
        </w:rPr>
      </w:pPr>
      <w:r>
        <w:rPr>
          <w:rFonts w:hint="eastAsia" w:hAnsi="宋体" w:cs="宋体"/>
          <w:b/>
          <w:snapToGrid w:val="0"/>
          <w:color w:val="auto"/>
          <w:szCs w:val="24"/>
          <w:highlight w:val="none"/>
        </w:rPr>
        <w:t>9.2</w:t>
      </w:r>
      <w:bookmarkStart w:id="88" w:name="_Hlt74498519"/>
      <w:bookmarkEnd w:id="88"/>
      <w:r>
        <w:rPr>
          <w:rFonts w:hint="eastAsia" w:hAnsi="宋体" w:cs="宋体"/>
          <w:bCs/>
          <w:snapToGrid w:val="0"/>
          <w:color w:val="auto"/>
          <w:szCs w:val="24"/>
          <w:highlight w:val="none"/>
        </w:rPr>
        <w:t>投标报价的约定</w:t>
      </w:r>
    </w:p>
    <w:p w14:paraId="5DC7062D">
      <w:pPr>
        <w:pStyle w:val="25"/>
        <w:spacing w:line="480" w:lineRule="exact"/>
        <w:ind w:firstLine="422" w:firstLineChars="175"/>
        <w:rPr>
          <w:rFonts w:hAnsi="宋体" w:cs="宋体"/>
          <w:color w:val="auto"/>
          <w:szCs w:val="24"/>
          <w:highlight w:val="none"/>
        </w:rPr>
      </w:pPr>
      <w:r>
        <w:rPr>
          <w:rFonts w:hint="eastAsia" w:hAnsi="宋体" w:cs="宋体"/>
          <w:b/>
          <w:snapToGrid w:val="0"/>
          <w:color w:val="auto"/>
          <w:szCs w:val="24"/>
          <w:highlight w:val="none"/>
        </w:rPr>
        <w:t>9.2.1</w:t>
      </w:r>
      <w:r>
        <w:rPr>
          <w:rFonts w:hint="eastAsia" w:hAnsi="宋体" w:cs="宋体"/>
          <w:bCs/>
          <w:snapToGrid w:val="0"/>
          <w:color w:val="auto"/>
          <w:szCs w:val="24"/>
          <w:highlight w:val="none"/>
        </w:rPr>
        <w:t>本次招标采用填报</w:t>
      </w:r>
      <w:r>
        <w:rPr>
          <w:rFonts w:hint="eastAsia" w:ascii="宋体" w:hAnsi="宋体" w:eastAsia="宋体" w:cs="宋体"/>
          <w:b/>
          <w:bCs/>
          <w:color w:val="auto"/>
          <w:sz w:val="24"/>
          <w:szCs w:val="24"/>
          <w:highlight w:val="none"/>
          <w:u w:val="single"/>
          <w:lang w:val="en-US" w:eastAsia="zh-CN"/>
        </w:rPr>
        <w:t>投标报价</w:t>
      </w:r>
      <w:r>
        <w:rPr>
          <w:rFonts w:hint="eastAsia" w:ascii="宋体" w:hAnsi="宋体" w:eastAsia="宋体" w:cs="宋体"/>
          <w:b/>
          <w:bCs/>
          <w:color w:val="auto"/>
          <w:sz w:val="24"/>
          <w:szCs w:val="24"/>
          <w:highlight w:val="none"/>
          <w:u w:val="single"/>
          <w:lang w:val="zh-CN"/>
        </w:rPr>
        <w:t>及</w:t>
      </w:r>
      <w:r>
        <w:rPr>
          <w:rFonts w:hint="eastAsia" w:ascii="宋体" w:hAnsi="宋体" w:eastAsia="宋体" w:cs="宋体"/>
          <w:b/>
          <w:bCs/>
          <w:color w:val="auto"/>
          <w:sz w:val="24"/>
          <w:szCs w:val="24"/>
          <w:highlight w:val="none"/>
          <w:u w:val="single"/>
          <w:lang w:val="en-US" w:eastAsia="zh-CN"/>
        </w:rPr>
        <w:t>投标下浮率</w:t>
      </w:r>
      <w:r>
        <w:rPr>
          <w:rFonts w:hint="eastAsia" w:hAnsi="宋体" w:cs="宋体"/>
          <w:color w:val="auto"/>
          <w:szCs w:val="22"/>
          <w:highlight w:val="none"/>
        </w:rPr>
        <w:t>的方式进行报价</w:t>
      </w:r>
      <w:r>
        <w:rPr>
          <w:rFonts w:hint="eastAsia" w:hAnsi="宋体" w:cs="宋体"/>
          <w:color w:val="auto"/>
          <w:szCs w:val="24"/>
          <w:highlight w:val="none"/>
        </w:rPr>
        <w:t>。设计费报价不得超出最高投标限价规定的相应限价。</w:t>
      </w:r>
    </w:p>
    <w:p w14:paraId="11FEC7A4">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9.2.2</w:t>
      </w:r>
      <w:r>
        <w:rPr>
          <w:rFonts w:hint="eastAsia" w:ascii="宋体" w:hAnsi="宋体" w:cs="宋体"/>
          <w:color w:val="auto"/>
          <w:sz w:val="24"/>
          <w:szCs w:val="24"/>
          <w:highlight w:val="none"/>
        </w:rPr>
        <w:t>设计费投标报价：在最高投标限价范围内，投标人自行报价。设计费的报价应包含各个不同专业的设计费用、进行优化设计或修改设计所增加的设计费用。</w:t>
      </w:r>
    </w:p>
    <w:p w14:paraId="397A011B">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9.2.3</w:t>
      </w:r>
      <w:r>
        <w:rPr>
          <w:rFonts w:hint="eastAsia" w:ascii="宋体" w:hAnsi="宋体" w:cs="宋体"/>
          <w:color w:val="auto"/>
          <w:sz w:val="24"/>
          <w:szCs w:val="24"/>
          <w:highlight w:val="none"/>
        </w:rPr>
        <w:t>设计成果必须按要求满足设计规定的深度。所报的设计费应包含投标人自投标之日起至工程验收合格所需的费用。若设计深度不够，导致设计更改、工程量增加、费用增加的，由中标单位以设计费为限承担责任。</w:t>
      </w:r>
    </w:p>
    <w:p w14:paraId="1F9FD929">
      <w:pPr>
        <w:spacing w:line="360" w:lineRule="auto"/>
        <w:ind w:firstLine="482" w:firstLineChars="200"/>
        <w:rPr>
          <w:rFonts w:ascii="宋体" w:hAnsi="宋体" w:cs="宋体"/>
          <w:color w:val="auto"/>
          <w:highlight w:val="none"/>
        </w:rPr>
      </w:pPr>
      <w:r>
        <w:rPr>
          <w:rFonts w:hint="eastAsia" w:ascii="宋体" w:hAnsi="宋体" w:cs="宋体"/>
          <w:b/>
          <w:bCs/>
          <w:color w:val="auto"/>
          <w:sz w:val="24"/>
          <w:szCs w:val="24"/>
          <w:highlight w:val="none"/>
        </w:rPr>
        <w:t>9.2.4</w:t>
      </w:r>
      <w:r>
        <w:rPr>
          <w:rFonts w:hint="eastAsia" w:ascii="宋体" w:hAnsi="宋体" w:cs="宋体"/>
          <w:color w:val="auto"/>
          <w:sz w:val="24"/>
          <w:highlight w:val="none"/>
        </w:rPr>
        <w:t>本项目投标报价应综合考虑设计服务费、各阶段成果文件的审查费、专家评审费以及所有专业及工程复杂程度相关的调整系数以及报建工作所需的内容等所包含的一切费用，还应考虑任何阶段性设计修改不增加任何费用的风险。设计费的报价应包含进行优化设计或修改设计所增加的设计费用。</w:t>
      </w:r>
    </w:p>
    <w:p w14:paraId="732493C2">
      <w:pPr>
        <w:spacing w:line="360" w:lineRule="auto"/>
        <w:ind w:firstLine="482" w:firstLineChars="200"/>
        <w:rPr>
          <w:rFonts w:ascii="宋体" w:hAnsi="宋体" w:cs="宋体"/>
          <w:color w:val="auto"/>
          <w:highlight w:val="none"/>
        </w:rPr>
      </w:pPr>
      <w:r>
        <w:rPr>
          <w:rFonts w:hint="eastAsia" w:ascii="宋体" w:hAnsi="宋体" w:cs="宋体"/>
          <w:b/>
          <w:bCs/>
          <w:color w:val="auto"/>
          <w:sz w:val="24"/>
          <w:szCs w:val="24"/>
          <w:highlight w:val="none"/>
        </w:rPr>
        <w:t>9.2.5</w:t>
      </w:r>
      <w:r>
        <w:rPr>
          <w:rFonts w:hint="eastAsia" w:ascii="宋体" w:hAnsi="宋体" w:cs="宋体"/>
          <w:color w:val="auto"/>
          <w:sz w:val="24"/>
          <w:szCs w:val="24"/>
          <w:highlight w:val="none"/>
        </w:rPr>
        <w:t>投标报价时应充分考虑</w:t>
      </w:r>
      <w:r>
        <w:rPr>
          <w:rFonts w:hint="eastAsia" w:ascii="宋体" w:hAnsi="宋体" w:cs="宋体"/>
          <w:color w:val="auto"/>
          <w:sz w:val="24"/>
          <w:szCs w:val="24"/>
          <w:highlight w:val="none"/>
          <w:lang w:val="zh-CN"/>
        </w:rPr>
        <w:t>“合同条款”</w:t>
      </w:r>
      <w:r>
        <w:rPr>
          <w:rFonts w:hint="eastAsia" w:ascii="宋体" w:hAnsi="宋体" w:cs="宋体"/>
          <w:color w:val="auto"/>
          <w:sz w:val="24"/>
          <w:szCs w:val="24"/>
          <w:highlight w:val="none"/>
        </w:rPr>
        <w:t>及“中标人须知”中所列条款的要求及风险。</w:t>
      </w:r>
    </w:p>
    <w:p w14:paraId="6D9810BA">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89" w:name="_Toc9910"/>
      <w:bookmarkStart w:id="90" w:name="_Toc4804"/>
      <w:r>
        <w:rPr>
          <w:rFonts w:hint="eastAsia" w:ascii="宋体" w:hAnsi="宋体" w:cs="宋体"/>
          <w:b/>
          <w:snapToGrid w:val="0"/>
          <w:color w:val="auto"/>
          <w:sz w:val="24"/>
          <w:highlight w:val="none"/>
        </w:rPr>
        <w:t>10.投标文件的编制</w:t>
      </w:r>
      <w:bookmarkStart w:id="91" w:name="_Hlt69208262"/>
      <w:bookmarkEnd w:id="91"/>
      <w:bookmarkStart w:id="92" w:name="_Hlt69332370"/>
      <w:bookmarkEnd w:id="92"/>
      <w:r>
        <w:rPr>
          <w:rFonts w:hint="eastAsia" w:ascii="宋体" w:hAnsi="宋体" w:cs="宋体"/>
          <w:b/>
          <w:snapToGrid w:val="0"/>
          <w:color w:val="auto"/>
          <w:sz w:val="24"/>
          <w:highlight w:val="none"/>
        </w:rPr>
        <w:t>要求</w:t>
      </w:r>
      <w:bookmarkEnd w:id="85"/>
      <w:bookmarkEnd w:id="89"/>
      <w:bookmarkEnd w:id="90"/>
    </w:p>
    <w:p w14:paraId="0ECBC51F">
      <w:pPr>
        <w:pStyle w:val="25"/>
        <w:ind w:firstLine="560"/>
        <w:rPr>
          <w:rFonts w:hAnsi="宋体" w:cs="宋体"/>
          <w:color w:val="auto"/>
          <w:highlight w:val="none"/>
        </w:rPr>
      </w:pPr>
      <w:bookmarkStart w:id="93" w:name="_Hlt74497202"/>
      <w:bookmarkEnd w:id="93"/>
      <w:bookmarkStart w:id="94" w:name="_Hlt78768224"/>
      <w:bookmarkEnd w:id="94"/>
      <w:bookmarkStart w:id="95" w:name="_Hlt74495594"/>
      <w:bookmarkEnd w:id="95"/>
      <w:r>
        <w:rPr>
          <w:rFonts w:hint="eastAsia" w:hAnsi="宋体" w:cs="宋体"/>
          <w:b/>
          <w:bCs/>
          <w:color w:val="auto"/>
          <w:highlight w:val="none"/>
        </w:rPr>
        <w:t>10.1</w:t>
      </w:r>
      <w:r>
        <w:rPr>
          <w:rFonts w:hint="eastAsia" w:hAnsi="宋体" w:cs="宋体"/>
          <w:color w:val="auto"/>
          <w:highlight w:val="none"/>
        </w:rPr>
        <w:t>一般要求</w:t>
      </w:r>
    </w:p>
    <w:p w14:paraId="1CD7FEF1">
      <w:pPr>
        <w:pStyle w:val="25"/>
        <w:ind w:firstLine="560"/>
        <w:rPr>
          <w:rFonts w:hAnsi="宋体" w:cs="宋体"/>
          <w:color w:val="auto"/>
          <w:highlight w:val="none"/>
        </w:rPr>
      </w:pPr>
      <w:r>
        <w:rPr>
          <w:rFonts w:hint="eastAsia" w:hAnsi="宋体" w:cs="宋体"/>
          <w:color w:val="auto"/>
          <w:highlight w:val="none"/>
        </w:rPr>
        <w:t>投标文件应按第五章 投标文件格式规定的内容，投标人提交的投标文件应当使用招标文件所提供的投标文件全部格式。</w:t>
      </w:r>
    </w:p>
    <w:p w14:paraId="7678F0D6">
      <w:pPr>
        <w:pStyle w:val="25"/>
        <w:spacing w:line="288" w:lineRule="auto"/>
        <w:ind w:firstLine="560"/>
        <w:rPr>
          <w:rFonts w:hAnsi="宋体" w:cs="宋体"/>
          <w:color w:val="auto"/>
          <w:highlight w:val="none"/>
        </w:rPr>
      </w:pPr>
      <w:r>
        <w:rPr>
          <w:rFonts w:hint="eastAsia" w:hAnsi="宋体" w:cs="宋体"/>
          <w:color w:val="auto"/>
          <w:highlight w:val="none"/>
        </w:rPr>
        <w:t>10.1.1投标人必须响应招标文件，并在充分理解招标文件的基础</w:t>
      </w:r>
      <w:bookmarkStart w:id="96" w:name="_Hlt78709790"/>
      <w:bookmarkEnd w:id="96"/>
      <w:r>
        <w:rPr>
          <w:rFonts w:hint="eastAsia" w:hAnsi="宋体" w:cs="宋体"/>
          <w:color w:val="auto"/>
          <w:highlight w:val="none"/>
        </w:rPr>
        <w:t>上编制投标文件。因投标文件不符合招标文件的要求而造成的损失和后果，由投标人自行承担。</w:t>
      </w:r>
      <w:bookmarkStart w:id="97" w:name="_Hlt74496890"/>
      <w:bookmarkEnd w:id="97"/>
    </w:p>
    <w:p w14:paraId="4272746A">
      <w:pPr>
        <w:pStyle w:val="25"/>
        <w:spacing w:line="288" w:lineRule="auto"/>
        <w:ind w:firstLine="560"/>
        <w:rPr>
          <w:rFonts w:hAnsi="宋体" w:cs="宋体"/>
          <w:color w:val="auto"/>
          <w:highlight w:val="none"/>
        </w:rPr>
      </w:pPr>
      <w:r>
        <w:rPr>
          <w:rFonts w:hint="eastAsia" w:hAnsi="宋体" w:cs="宋体"/>
          <w:color w:val="auto"/>
          <w:highlight w:val="none"/>
        </w:rPr>
        <w:t>10.1.2</w:t>
      </w:r>
      <w:r>
        <w:rPr>
          <w:rFonts w:hint="eastAsia" w:hAnsi="宋体" w:cs="宋体"/>
          <w:color w:val="auto"/>
          <w:szCs w:val="24"/>
          <w:highlight w:val="none"/>
        </w:rPr>
        <w:t>投标文件包括</w:t>
      </w:r>
      <w:r>
        <w:rPr>
          <w:rFonts w:hint="eastAsia" w:hAnsi="宋体" w:cs="宋体"/>
          <w:b/>
          <w:bCs/>
          <w:color w:val="auto"/>
          <w:szCs w:val="24"/>
          <w:highlight w:val="none"/>
        </w:rPr>
        <w:t>商务经济标书、技术标书</w:t>
      </w:r>
      <w:r>
        <w:rPr>
          <w:rFonts w:hint="eastAsia" w:hAnsi="宋体" w:cs="宋体"/>
          <w:color w:val="auto"/>
          <w:szCs w:val="24"/>
          <w:highlight w:val="none"/>
        </w:rPr>
        <w:t>两个分册。投标文件在电子投标时全部采用电子文档（中标人自中标通知书发出之日起五个工作日内再提供正本1份、副本1份的纸质版投标文件给招标人存档），</w:t>
      </w:r>
      <w:r>
        <w:rPr>
          <w:rFonts w:hint="eastAsia" w:hAnsi="宋体" w:cs="宋体"/>
          <w:color w:val="auto"/>
          <w:highlight w:val="none"/>
        </w:rPr>
        <w:t>投标文件全部采用电子文档，投标文件所附证书证件均为</w:t>
      </w:r>
      <w:r>
        <w:rPr>
          <w:rFonts w:hint="eastAsia" w:hAnsi="宋体" w:cs="宋体"/>
          <w:snapToGrid w:val="0"/>
          <w:color w:val="auto"/>
          <w:kern w:val="0"/>
          <w:highlight w:val="none"/>
        </w:rPr>
        <w:t>彩色</w:t>
      </w:r>
      <w:r>
        <w:rPr>
          <w:rFonts w:hint="eastAsia" w:hAnsi="宋体" w:cs="宋体"/>
          <w:color w:val="auto"/>
          <w:highlight w:val="none"/>
        </w:rPr>
        <w:t>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交易一体化平台交易指引。</w:t>
      </w:r>
    </w:p>
    <w:p w14:paraId="617000FA">
      <w:pPr>
        <w:pStyle w:val="25"/>
        <w:spacing w:line="288" w:lineRule="auto"/>
        <w:ind w:firstLine="560"/>
        <w:rPr>
          <w:rFonts w:hAnsi="宋体" w:cs="宋体"/>
          <w:color w:val="auto"/>
          <w:highlight w:val="none"/>
        </w:rPr>
      </w:pPr>
      <w:r>
        <w:rPr>
          <w:rFonts w:hint="eastAsia" w:hAnsi="宋体" w:cs="宋体"/>
          <w:color w:val="auto"/>
          <w:highlight w:val="none"/>
        </w:rPr>
        <w:t>10.1.3投标文件需按以下要求签字、盖章：</w:t>
      </w:r>
    </w:p>
    <w:p w14:paraId="667299CE">
      <w:pPr>
        <w:pStyle w:val="28"/>
        <w:spacing w:line="288" w:lineRule="auto"/>
        <w:ind w:firstLine="561" w:firstLineChars="0"/>
        <w:rPr>
          <w:rFonts w:hAnsi="宋体" w:cs="宋体"/>
          <w:b/>
          <w:bCs/>
          <w:color w:val="auto"/>
          <w:szCs w:val="22"/>
          <w:highlight w:val="none"/>
        </w:rPr>
      </w:pPr>
      <w:r>
        <w:rPr>
          <w:rFonts w:hint="eastAsia" w:hAnsi="宋体" w:cs="宋体"/>
          <w:b/>
          <w:bCs/>
          <w:color w:val="auto"/>
          <w:szCs w:val="22"/>
          <w:highlight w:val="none"/>
        </w:rPr>
        <w:t>电子投标文件：</w:t>
      </w:r>
    </w:p>
    <w:p w14:paraId="60A70DB2">
      <w:pPr>
        <w:pStyle w:val="28"/>
        <w:spacing w:line="288" w:lineRule="auto"/>
        <w:ind w:firstLine="561" w:firstLineChars="0"/>
        <w:rPr>
          <w:rFonts w:hAnsi="宋体" w:cs="宋体"/>
          <w:color w:val="auto"/>
          <w:szCs w:val="22"/>
          <w:highlight w:val="none"/>
        </w:rPr>
      </w:pPr>
      <w:r>
        <w:rPr>
          <w:rFonts w:hint="eastAsia" w:hAnsi="宋体" w:cs="宋体"/>
          <w:color w:val="auto"/>
          <w:szCs w:val="22"/>
          <w:highlight w:val="none"/>
        </w:rPr>
        <w:t>10.1.3.1投标文件封面、组成内容中凡注明“签字”处由要求的人员签字或电子签章；凡注明“签字或盖章”处由要求的人员签字或盖其私章（电子印章）；凡注明“签字并盖执业印章”处由要求的人员签字并盖其执业印章。</w:t>
      </w:r>
    </w:p>
    <w:p w14:paraId="6EEDF232">
      <w:pPr>
        <w:pStyle w:val="28"/>
        <w:spacing w:line="288" w:lineRule="auto"/>
        <w:ind w:firstLine="561" w:firstLineChars="0"/>
        <w:rPr>
          <w:rFonts w:hAnsi="宋体" w:cs="宋体"/>
          <w:color w:val="auto"/>
          <w:szCs w:val="22"/>
          <w:highlight w:val="none"/>
        </w:rPr>
      </w:pPr>
      <w:r>
        <w:rPr>
          <w:rFonts w:hint="eastAsia" w:hAnsi="宋体" w:cs="宋体"/>
          <w:color w:val="auto"/>
          <w:szCs w:val="22"/>
          <w:highlight w:val="none"/>
        </w:rPr>
        <w:t>10.1.3.2投标文件封面、组成内容中凡要求录入投标人名称且注明“盖单位章”处盖单位法人公章（电子印章）。</w:t>
      </w:r>
    </w:p>
    <w:p w14:paraId="65361FCD">
      <w:pPr>
        <w:pStyle w:val="28"/>
        <w:spacing w:line="288" w:lineRule="auto"/>
        <w:ind w:firstLine="561" w:firstLineChars="0"/>
        <w:rPr>
          <w:rFonts w:hAnsi="宋体" w:cs="宋体"/>
          <w:color w:val="auto"/>
          <w:szCs w:val="22"/>
          <w:highlight w:val="none"/>
        </w:rPr>
      </w:pPr>
      <w:r>
        <w:rPr>
          <w:rFonts w:hint="eastAsia" w:hAnsi="宋体" w:cs="宋体"/>
          <w:color w:val="auto"/>
          <w:szCs w:val="22"/>
          <w:highlight w:val="none"/>
        </w:rPr>
        <w:t>10.1.3.3投标文件的签字均为签字人本人亲笔署名或签章（电子印章），其余部分的复印件无须另行签字、盖章。</w:t>
      </w:r>
    </w:p>
    <w:p w14:paraId="48DC00CE">
      <w:pPr>
        <w:pStyle w:val="28"/>
        <w:spacing w:line="288" w:lineRule="auto"/>
        <w:ind w:firstLine="561" w:firstLineChars="0"/>
        <w:rPr>
          <w:rFonts w:hAnsi="宋体" w:cs="宋体"/>
          <w:color w:val="auto"/>
          <w:szCs w:val="22"/>
          <w:highlight w:val="none"/>
        </w:rPr>
      </w:pPr>
      <w:r>
        <w:rPr>
          <w:rFonts w:hint="eastAsia" w:hAnsi="宋体" w:cs="宋体"/>
          <w:color w:val="auto"/>
          <w:szCs w:val="22"/>
          <w:highlight w:val="none"/>
        </w:rPr>
        <w:t>10.1.3.4联合体投标的，除《联合体协议书》外，由联合体牵头人按以上要求签字（电子印章）、盖章（电子印章）即可。投标文件的签字均为签字人本人亲笔署名或签章（电子印章），其余部分的复印件无须另行签字、盖章。</w:t>
      </w:r>
      <w:r>
        <w:rPr>
          <w:rFonts w:hint="eastAsia" w:hAnsi="宋体" w:cs="宋体"/>
          <w:b/>
          <w:bCs/>
          <w:snapToGrid w:val="0"/>
          <w:color w:val="auto"/>
          <w:kern w:val="0"/>
          <w:highlight w:val="none"/>
        </w:rPr>
        <w:t>（本项目不适用）</w:t>
      </w:r>
    </w:p>
    <w:p w14:paraId="5D7FA1B8">
      <w:pPr>
        <w:pStyle w:val="25"/>
        <w:ind w:firstLine="560"/>
        <w:rPr>
          <w:rFonts w:hAnsi="宋体" w:cs="宋体"/>
          <w:color w:val="auto"/>
          <w:highlight w:val="none"/>
        </w:rPr>
      </w:pPr>
      <w:bookmarkStart w:id="98" w:name="_Toc8420"/>
      <w:bookmarkStart w:id="99" w:name="_Toc15920"/>
      <w:bookmarkStart w:id="100" w:name="_Toc71813699"/>
      <w:bookmarkStart w:id="101" w:name="_Toc71811309"/>
      <w:bookmarkStart w:id="102" w:name="_Toc274313880"/>
      <w:bookmarkStart w:id="103" w:name="_Toc71811078"/>
      <w:bookmarkStart w:id="104" w:name="_Toc257031159"/>
      <w:bookmarkStart w:id="105" w:name="_Toc7377"/>
      <w:bookmarkStart w:id="106" w:name="_Toc31553"/>
      <w:bookmarkStart w:id="107" w:name="_Toc6742"/>
      <w:bookmarkStart w:id="108" w:name="_Toc4518"/>
      <w:bookmarkStart w:id="109" w:name="_Toc22153"/>
      <w:bookmarkStart w:id="110" w:name="_Toc22855"/>
      <w:bookmarkStart w:id="111" w:name="_Toc71811176"/>
      <w:bookmarkStart w:id="112" w:name="_Toc496133009"/>
      <w:r>
        <w:rPr>
          <w:rFonts w:hint="eastAsia" w:hAnsi="宋体" w:cs="宋体"/>
          <w:b/>
          <w:bCs/>
          <w:color w:val="auto"/>
          <w:highlight w:val="none"/>
        </w:rPr>
        <w:t>10.2</w:t>
      </w:r>
      <w:r>
        <w:rPr>
          <w:rFonts w:hint="eastAsia" w:hAnsi="宋体" w:cs="宋体"/>
          <w:color w:val="auto"/>
          <w:highlight w:val="none"/>
        </w:rPr>
        <w:t>商务经济标书的编制要求</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C112A63">
      <w:pPr>
        <w:pStyle w:val="25"/>
        <w:spacing w:line="288" w:lineRule="auto"/>
        <w:ind w:firstLine="561"/>
        <w:rPr>
          <w:rFonts w:hAnsi="宋体" w:cs="宋体"/>
          <w:color w:val="auto"/>
          <w:highlight w:val="none"/>
          <w:u w:val="single"/>
        </w:rPr>
      </w:pPr>
      <w:r>
        <w:rPr>
          <w:rFonts w:hint="eastAsia" w:hAnsi="宋体" w:cs="宋体"/>
          <w:color w:val="auto"/>
          <w:highlight w:val="none"/>
        </w:rPr>
        <w:t>10.2.1商务经济标书包括但不限于以下内容：</w:t>
      </w:r>
    </w:p>
    <w:p w14:paraId="361007A4">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（1）封面（格式一）；</w:t>
      </w:r>
    </w:p>
    <w:p w14:paraId="3A0A2A3B">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（2）目录；</w:t>
      </w:r>
    </w:p>
    <w:p w14:paraId="71243FFD">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（3）《投标函》（格式二）；</w:t>
      </w:r>
    </w:p>
    <w:p w14:paraId="76869759">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（4）《工程项目报价表》（格式三）；</w:t>
      </w:r>
    </w:p>
    <w:p w14:paraId="303FD656">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（5）《各项承诺一览表》（格式四）；</w:t>
      </w:r>
    </w:p>
    <w:p w14:paraId="378F59A9">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（6）《法定代表人身份证明》（格式八）；</w:t>
      </w:r>
    </w:p>
    <w:p w14:paraId="540D3721">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（7）《授权委托书》（格式九）；</w:t>
      </w:r>
    </w:p>
    <w:p w14:paraId="5A532270">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（8）</w:t>
      </w:r>
      <w:r>
        <w:rPr>
          <w:rFonts w:hint="eastAsia" w:ascii="宋体" w:hAnsi="宋体" w:cs="宋体"/>
          <w:color w:val="auto"/>
          <w:sz w:val="24"/>
          <w:szCs w:val="24"/>
          <w:highlight w:val="none"/>
        </w:rPr>
        <w:t>投标保证缴纳证明（投标人附建设工程交易系统《韶关市公共资源交易一体化平台保证金缴纳信息》页面截图外，采用投标保证金的，附银行转账单截图；采用投标保证担保的，附电子保函截图；采用投标保证保险的，附电子保单截图</w:t>
      </w:r>
      <w:r>
        <w:rPr>
          <w:rFonts w:hint="eastAsia" w:ascii="宋体" w:hAnsi="宋体" w:cs="宋体"/>
          <w:b w:val="0"/>
          <w:bCs w:val="0"/>
          <w:color w:val="auto"/>
          <w:sz w:val="24"/>
          <w:szCs w:val="24"/>
          <w:highlight w:val="none"/>
        </w:rPr>
        <w:t>）</w:t>
      </w:r>
      <w:r>
        <w:rPr>
          <w:rFonts w:hint="eastAsia" w:hAnsi="宋体" w:cs="宋体"/>
          <w:color w:val="auto"/>
          <w:szCs w:val="18"/>
          <w:highlight w:val="none"/>
        </w:rPr>
        <w:t>。</w:t>
      </w:r>
    </w:p>
    <w:p w14:paraId="0E6D951E">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（9）《投标人基本情况表》（格式五）及所附资料；</w:t>
      </w:r>
    </w:p>
    <w:p w14:paraId="7E33EDE2">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（10）《设计负责人简历表》（格式六）及所附资料；</w:t>
      </w:r>
    </w:p>
    <w:p w14:paraId="396BAA64">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（11）《本项目拟投入的人员基本情况表》（格式七）及所附资料；</w:t>
      </w:r>
    </w:p>
    <w:p w14:paraId="4A74E82C">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（12）《联合体协议书》（格式十）</w:t>
      </w:r>
      <w:r>
        <w:rPr>
          <w:rFonts w:hint="eastAsia" w:hAnsi="宋体" w:cs="宋体"/>
          <w:b/>
          <w:bCs/>
          <w:color w:val="auto"/>
          <w:szCs w:val="18"/>
          <w:highlight w:val="none"/>
        </w:rPr>
        <w:t>（本次招标不适用）</w:t>
      </w:r>
    </w:p>
    <w:p w14:paraId="1734B22C">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（13）详细评审阶段要求提供的评审资料（详见综合评分表）；</w:t>
      </w:r>
    </w:p>
    <w:p w14:paraId="354BA884">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14）投标人认为有必要补充的其他资料。（例如投标人已经工商变更，但其企业资质证书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7B8FA6EA">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10.2.2本节第10.2.1目中所列出的商务经济标书组成内容中，第（1）至第（12）项所有投标人均应提供。但非联合体投标的，无需提供第（12）项内容。</w:t>
      </w:r>
    </w:p>
    <w:p w14:paraId="1C792884">
      <w:pPr>
        <w:pStyle w:val="25"/>
        <w:spacing w:line="288" w:lineRule="auto"/>
        <w:ind w:firstLine="480" w:firstLineChars="200"/>
        <w:rPr>
          <w:rFonts w:hAnsi="宋体" w:cs="宋体"/>
          <w:color w:val="auto"/>
          <w:szCs w:val="18"/>
          <w:highlight w:val="none"/>
        </w:rPr>
      </w:pPr>
      <w:r>
        <w:rPr>
          <w:rFonts w:hint="eastAsia" w:hAnsi="宋体" w:cs="宋体"/>
          <w:color w:val="auto"/>
          <w:szCs w:val="18"/>
          <w:highlight w:val="none"/>
        </w:rPr>
        <w:t>10.2.3</w:t>
      </w:r>
      <w:r>
        <w:rPr>
          <w:rFonts w:hint="eastAsia" w:ascii="宋体" w:hAnsi="宋体" w:eastAsia="宋体" w:cs="宋体"/>
          <w:snapToGrid w:val="0"/>
          <w:color w:val="auto"/>
          <w:kern w:val="0"/>
          <w:highlight w:val="none"/>
        </w:rPr>
        <w:t>商务经济标书的组成内容按本节第</w:t>
      </w:r>
      <w:r>
        <w:rPr>
          <w:rFonts w:hint="eastAsia" w:ascii="宋体" w:hAnsi="宋体" w:eastAsia="宋体" w:cs="宋体"/>
          <w:b/>
          <w:bCs/>
          <w:snapToGrid w:val="0"/>
          <w:color w:val="auto"/>
          <w:kern w:val="0"/>
          <w:highlight w:val="none"/>
        </w:rPr>
        <w:t>10.2.1</w:t>
      </w:r>
      <w:r>
        <w:rPr>
          <w:rFonts w:hint="eastAsia" w:ascii="宋体" w:hAnsi="宋体" w:eastAsia="宋体" w:cs="宋体"/>
          <w:snapToGrid w:val="0"/>
          <w:color w:val="auto"/>
          <w:kern w:val="0"/>
          <w:highlight w:val="none"/>
        </w:rPr>
        <w:t>目规定的顺序整理、编排后，逐页</w:t>
      </w:r>
      <w:r>
        <w:rPr>
          <w:rFonts w:hint="eastAsia" w:ascii="宋体" w:hAnsi="宋体" w:eastAsia="宋体" w:cs="宋体"/>
          <w:snapToGrid w:val="0"/>
          <w:color w:val="auto"/>
          <w:kern w:val="0"/>
          <w:szCs w:val="18"/>
          <w:highlight w:val="none"/>
        </w:rPr>
        <w:t>（页码起始从封面开始）</w:t>
      </w:r>
      <w:r>
        <w:rPr>
          <w:rFonts w:hint="eastAsia" w:ascii="宋体" w:hAnsi="宋体" w:eastAsia="宋体" w:cs="宋体"/>
          <w:snapToGrid w:val="0"/>
          <w:color w:val="auto"/>
          <w:kern w:val="0"/>
          <w:highlight w:val="none"/>
        </w:rPr>
        <w:t>连续标记页码。</w:t>
      </w:r>
    </w:p>
    <w:p w14:paraId="65AEAB3E">
      <w:pPr>
        <w:pStyle w:val="25"/>
        <w:ind w:firstLine="560"/>
        <w:rPr>
          <w:rFonts w:hAnsi="宋体" w:cs="宋体"/>
          <w:color w:val="auto"/>
          <w:highlight w:val="none"/>
        </w:rPr>
      </w:pPr>
      <w:bookmarkStart w:id="113" w:name="_Toc29429"/>
      <w:bookmarkStart w:id="114" w:name="_Toc14011"/>
      <w:bookmarkStart w:id="115" w:name="_Toc71811310"/>
      <w:bookmarkStart w:id="116" w:name="_Toc26984"/>
      <w:bookmarkStart w:id="117" w:name="_Toc496133010"/>
      <w:bookmarkStart w:id="118" w:name="_Toc71813700"/>
      <w:bookmarkStart w:id="119" w:name="_Toc3758"/>
      <w:bookmarkStart w:id="120" w:name="_Toc310"/>
      <w:bookmarkStart w:id="121" w:name="_Toc71811177"/>
      <w:bookmarkStart w:id="122" w:name="_Toc8028"/>
      <w:bookmarkStart w:id="123" w:name="_Toc71811079"/>
      <w:bookmarkStart w:id="124" w:name="_Toc466640590"/>
      <w:bookmarkStart w:id="125" w:name="_Toc30837"/>
      <w:bookmarkStart w:id="126" w:name="_Toc477"/>
      <w:r>
        <w:rPr>
          <w:rFonts w:hint="eastAsia" w:hAnsi="宋体" w:cs="宋体"/>
          <w:b/>
          <w:bCs/>
          <w:color w:val="auto"/>
          <w:highlight w:val="none"/>
        </w:rPr>
        <w:t>10.3</w:t>
      </w:r>
      <w:r>
        <w:rPr>
          <w:rFonts w:hint="eastAsia" w:hAnsi="宋体" w:cs="宋体"/>
          <w:color w:val="auto"/>
          <w:highlight w:val="none"/>
        </w:rPr>
        <w:t>技术标书的编制要求</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CC307BF">
      <w:pPr>
        <w:pStyle w:val="29"/>
        <w:spacing w:line="288" w:lineRule="auto"/>
        <w:ind w:firstLine="480" w:firstLineChars="200"/>
        <w:rPr>
          <w:rFonts w:hAnsi="宋体" w:cs="宋体"/>
          <w:color w:val="auto"/>
          <w:highlight w:val="none"/>
          <w:u w:val="single"/>
        </w:rPr>
      </w:pPr>
      <w:r>
        <w:rPr>
          <w:rFonts w:hint="eastAsia" w:hAnsi="宋体" w:cs="宋体"/>
          <w:color w:val="auto"/>
          <w:highlight w:val="none"/>
        </w:rPr>
        <w:t>10.3.1技术标书包括但不限于以下内容：</w:t>
      </w:r>
    </w:p>
    <w:p w14:paraId="47945669">
      <w:pPr>
        <w:pStyle w:val="29"/>
        <w:spacing w:line="288" w:lineRule="auto"/>
        <w:ind w:firstLine="420" w:firstLineChars="175"/>
        <w:rPr>
          <w:rFonts w:hAnsi="宋体" w:cs="宋体"/>
          <w:color w:val="auto"/>
          <w:highlight w:val="none"/>
        </w:rPr>
      </w:pPr>
      <w:r>
        <w:rPr>
          <w:rFonts w:hint="eastAsia" w:hAnsi="宋体" w:cs="宋体"/>
          <w:color w:val="auto"/>
          <w:highlight w:val="none"/>
        </w:rPr>
        <w:t>（1）封面</w:t>
      </w:r>
      <w:r>
        <w:rPr>
          <w:rFonts w:hint="eastAsia" w:hAnsi="宋体" w:cs="宋体"/>
          <w:color w:val="auto"/>
          <w:szCs w:val="22"/>
          <w:highlight w:val="none"/>
        </w:rPr>
        <w:t>（格式一）</w:t>
      </w:r>
      <w:r>
        <w:rPr>
          <w:rFonts w:hint="eastAsia" w:hAnsi="宋体" w:cs="宋体"/>
          <w:color w:val="auto"/>
          <w:highlight w:val="none"/>
        </w:rPr>
        <w:t>；</w:t>
      </w:r>
    </w:p>
    <w:p w14:paraId="6EFC0946">
      <w:pPr>
        <w:pStyle w:val="29"/>
        <w:spacing w:line="288" w:lineRule="auto"/>
        <w:ind w:firstLine="420" w:firstLineChars="175"/>
        <w:rPr>
          <w:rFonts w:hAnsi="宋体" w:cs="宋体"/>
          <w:color w:val="auto"/>
          <w:highlight w:val="none"/>
        </w:rPr>
      </w:pPr>
      <w:r>
        <w:rPr>
          <w:rFonts w:hint="eastAsia" w:hAnsi="宋体" w:cs="宋体"/>
          <w:color w:val="auto"/>
          <w:highlight w:val="none"/>
        </w:rPr>
        <w:t>（2）目录；</w:t>
      </w:r>
    </w:p>
    <w:p w14:paraId="17EA1BB8">
      <w:pPr>
        <w:pStyle w:val="29"/>
        <w:spacing w:line="288" w:lineRule="auto"/>
        <w:ind w:firstLine="420" w:firstLineChars="175"/>
        <w:rPr>
          <w:rFonts w:hAnsi="宋体" w:cs="宋体"/>
          <w:color w:val="auto"/>
          <w:szCs w:val="22"/>
          <w:highlight w:val="none"/>
        </w:rPr>
      </w:pPr>
      <w:r>
        <w:rPr>
          <w:rFonts w:hint="eastAsia" w:hAnsi="宋体" w:cs="宋体"/>
          <w:color w:val="auto"/>
          <w:szCs w:val="22"/>
          <w:highlight w:val="none"/>
        </w:rPr>
        <w:t>（3）投标人根据招标文件的《综合评分表》认为需要补充的其他资料</w:t>
      </w:r>
    </w:p>
    <w:p w14:paraId="3878CF4C">
      <w:pPr>
        <w:pStyle w:val="29"/>
        <w:spacing w:line="288" w:lineRule="auto"/>
        <w:ind w:firstLine="420" w:firstLineChars="175"/>
        <w:rPr>
          <w:rFonts w:hAnsi="宋体" w:cs="宋体"/>
          <w:color w:val="auto"/>
          <w:highlight w:val="none"/>
        </w:rPr>
      </w:pPr>
      <w:r>
        <w:rPr>
          <w:rFonts w:hint="eastAsia" w:hAnsi="宋体" w:cs="宋体"/>
          <w:color w:val="auto"/>
          <w:highlight w:val="none"/>
        </w:rPr>
        <w:t>10.3.2本节第10.3.1目中所列出的技术标书组成内容中，第（1）至第（</w:t>
      </w:r>
      <w:r>
        <w:rPr>
          <w:rFonts w:hint="eastAsia" w:hAnsi="宋体" w:cs="宋体"/>
          <w:color w:val="auto"/>
          <w:highlight w:val="none"/>
          <w:lang w:val="en-US" w:eastAsia="zh-CN"/>
        </w:rPr>
        <w:t>3</w:t>
      </w:r>
      <w:r>
        <w:rPr>
          <w:rFonts w:hint="eastAsia" w:hAnsi="宋体" w:cs="宋体"/>
          <w:color w:val="auto"/>
          <w:highlight w:val="none"/>
        </w:rPr>
        <w:t>）项所有投标人均应提供。</w:t>
      </w:r>
      <w:bookmarkStart w:id="127" w:name="_Toc32082"/>
      <w:bookmarkStart w:id="128" w:name="_Toc14893"/>
      <w:bookmarkStart w:id="129" w:name="_Toc485111106"/>
    </w:p>
    <w:p w14:paraId="171FF560">
      <w:pPr>
        <w:pStyle w:val="29"/>
        <w:spacing w:line="288" w:lineRule="auto"/>
        <w:ind w:firstLine="420" w:firstLineChars="175"/>
        <w:rPr>
          <w:rFonts w:hAnsi="宋体" w:cs="宋体"/>
          <w:b w:val="0"/>
          <w:bCs w:val="0"/>
          <w:color w:val="auto"/>
          <w:szCs w:val="24"/>
          <w:highlight w:val="none"/>
        </w:rPr>
      </w:pPr>
      <w:r>
        <w:rPr>
          <w:rFonts w:hint="eastAsia" w:hAnsi="宋体" w:cs="宋体"/>
          <w:b w:val="0"/>
          <w:bCs w:val="0"/>
          <w:color w:val="auto"/>
          <w:szCs w:val="24"/>
          <w:highlight w:val="none"/>
        </w:rPr>
        <w:t>10.3.3</w:t>
      </w:r>
      <w:bookmarkEnd w:id="127"/>
      <w:r>
        <w:rPr>
          <w:rFonts w:hint="eastAsia" w:ascii="宋体" w:hAnsi="宋体" w:eastAsia="宋体" w:cs="宋体"/>
          <w:snapToGrid w:val="0"/>
          <w:color w:val="auto"/>
          <w:kern w:val="0"/>
          <w:highlight w:val="none"/>
        </w:rPr>
        <w:t>技术标书的组成内容按本节第</w:t>
      </w:r>
      <w:r>
        <w:rPr>
          <w:rFonts w:hint="eastAsia" w:ascii="宋体" w:hAnsi="宋体" w:eastAsia="宋体" w:cs="宋体"/>
          <w:b/>
          <w:bCs/>
          <w:snapToGrid w:val="0"/>
          <w:color w:val="auto"/>
          <w:kern w:val="0"/>
          <w:highlight w:val="none"/>
        </w:rPr>
        <w:t>10.3.1</w:t>
      </w:r>
      <w:r>
        <w:rPr>
          <w:rFonts w:hint="eastAsia" w:ascii="宋体" w:hAnsi="宋体" w:eastAsia="宋体" w:cs="宋体"/>
          <w:snapToGrid w:val="0"/>
          <w:color w:val="auto"/>
          <w:kern w:val="0"/>
          <w:highlight w:val="none"/>
        </w:rPr>
        <w:t>目规定的顺序整理、编排后，逐页</w:t>
      </w:r>
      <w:r>
        <w:rPr>
          <w:rFonts w:hint="eastAsia" w:ascii="宋体" w:hAnsi="宋体" w:eastAsia="宋体" w:cs="宋体"/>
          <w:snapToGrid w:val="0"/>
          <w:color w:val="auto"/>
          <w:kern w:val="0"/>
          <w:szCs w:val="18"/>
          <w:highlight w:val="none"/>
        </w:rPr>
        <w:t>（页码起始从封面开始）</w:t>
      </w:r>
      <w:r>
        <w:rPr>
          <w:rFonts w:hint="eastAsia" w:ascii="宋体" w:hAnsi="宋体" w:eastAsia="宋体" w:cs="宋体"/>
          <w:snapToGrid w:val="0"/>
          <w:color w:val="auto"/>
          <w:kern w:val="0"/>
          <w:highlight w:val="none"/>
        </w:rPr>
        <w:t>连续标记页码。</w:t>
      </w:r>
    </w:p>
    <w:p w14:paraId="15C88F78">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30" w:name="_Toc29788"/>
      <w:bookmarkStart w:id="131" w:name="_Toc17939"/>
      <w:r>
        <w:rPr>
          <w:rFonts w:hint="eastAsia" w:ascii="宋体" w:hAnsi="宋体" w:cs="宋体"/>
          <w:b/>
          <w:snapToGrid w:val="0"/>
          <w:color w:val="auto"/>
          <w:sz w:val="24"/>
          <w:highlight w:val="none"/>
        </w:rPr>
        <w:t>11.投标文件的编制依据</w:t>
      </w:r>
      <w:bookmarkEnd w:id="128"/>
      <w:bookmarkEnd w:id="129"/>
      <w:bookmarkEnd w:id="130"/>
      <w:bookmarkEnd w:id="131"/>
    </w:p>
    <w:p w14:paraId="61DDE549">
      <w:pPr>
        <w:adjustRightInd w:val="0"/>
        <w:spacing w:line="288"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11.1招标单位提供的前期文件等资料；</w:t>
      </w:r>
    </w:p>
    <w:p w14:paraId="2A32ABF5">
      <w:pPr>
        <w:adjustRightInd w:val="0"/>
        <w:spacing w:line="288"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11.2本招标文件；</w:t>
      </w:r>
    </w:p>
    <w:p w14:paraId="71651A67">
      <w:pPr>
        <w:adjustRightInd w:val="0"/>
        <w:spacing w:line="288" w:lineRule="auto"/>
        <w:ind w:firstLine="420" w:firstLineChars="175"/>
        <w:rPr>
          <w:rFonts w:ascii="宋体" w:hAnsi="宋体" w:cs="宋体"/>
          <w:color w:val="auto"/>
          <w:highlight w:val="none"/>
        </w:rPr>
      </w:pPr>
      <w:r>
        <w:rPr>
          <w:rFonts w:hint="eastAsia" w:ascii="宋体" w:hAnsi="宋体" w:cs="宋体"/>
          <w:color w:val="auto"/>
          <w:sz w:val="24"/>
          <w:szCs w:val="24"/>
          <w:highlight w:val="none"/>
        </w:rPr>
        <w:t>11.3国家、广东省现行的有关法规、规定，建筑工程验收规范和质量检验评定标准等。</w:t>
      </w:r>
    </w:p>
    <w:bookmarkEnd w:id="86"/>
    <w:bookmarkEnd w:id="87"/>
    <w:p w14:paraId="32B6EE35">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32" w:name="_Toc12971"/>
      <w:bookmarkStart w:id="133" w:name="_Toc16100"/>
      <w:bookmarkStart w:id="134" w:name="_Toc20666"/>
      <w:r>
        <w:rPr>
          <w:rFonts w:hint="eastAsia" w:ascii="宋体" w:hAnsi="宋体" w:cs="宋体"/>
          <w:b/>
          <w:snapToGrid w:val="0"/>
          <w:color w:val="auto"/>
          <w:sz w:val="24"/>
          <w:highlight w:val="none"/>
        </w:rPr>
        <w:t>12</w:t>
      </w:r>
      <w:bookmarkEnd w:id="132"/>
      <w:bookmarkStart w:id="135" w:name="_Hlt88627590"/>
      <w:bookmarkEnd w:id="135"/>
      <w:r>
        <w:rPr>
          <w:rFonts w:hint="eastAsia" w:ascii="宋体" w:hAnsi="宋体" w:cs="宋体"/>
          <w:b/>
          <w:snapToGrid w:val="0"/>
          <w:color w:val="auto"/>
          <w:sz w:val="24"/>
          <w:highlight w:val="none"/>
        </w:rPr>
        <w:t>.电子投标</w:t>
      </w:r>
      <w:bookmarkEnd w:id="133"/>
      <w:bookmarkEnd w:id="134"/>
    </w:p>
    <w:p w14:paraId="10718F3D">
      <w:pPr>
        <w:pStyle w:val="25"/>
        <w:ind w:firstLine="482" w:firstLineChars="200"/>
        <w:rPr>
          <w:rFonts w:hint="eastAsia" w:hAnsi="宋体" w:cs="宋体"/>
          <w:bCs/>
          <w:color w:val="auto"/>
          <w:highlight w:val="none"/>
        </w:rPr>
      </w:pPr>
      <w:r>
        <w:rPr>
          <w:rFonts w:hint="eastAsia" w:hAnsi="宋体" w:cs="宋体"/>
          <w:b/>
          <w:color w:val="auto"/>
          <w:highlight w:val="none"/>
        </w:rPr>
        <w:t>12.1</w:t>
      </w:r>
      <w:r>
        <w:rPr>
          <w:rFonts w:hint="eastAsia" w:hAnsi="宋体" w:cs="宋体"/>
          <w:bCs/>
          <w:color w:val="auto"/>
          <w:highlight w:val="none"/>
        </w:rPr>
        <w:t>在建设工程交易系统上传加盖了电子印章的投标文件、录入相关信息及标书页码信息（页码起始从封面开始）并提交投标标书。提交标书为已加密投标文件。</w:t>
      </w:r>
      <w:r>
        <w:rPr>
          <w:rFonts w:hint="eastAsia" w:hAnsi="宋体" w:cs="宋体"/>
          <w:bCs/>
          <w:snapToGrid w:val="0"/>
          <w:color w:val="auto"/>
          <w:highlight w:val="none"/>
        </w:rPr>
        <w:t>具体操作投标人可登录全国公共资源交易平台（广东省·韶关市）（https://ygp.gdzwfw.gov.cn/ggzy-portal/#/440200/index），在【服务指南】栏目中下载《韶关市公共资源建设工程交易系统-投标人操作指南》。本项目评标采用全流程电子化进行招标投标（投标人应根据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由于投标人原因导致未按投标截止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r>
        <w:rPr>
          <w:rFonts w:hint="eastAsia" w:hAnsi="宋体" w:cs="宋体"/>
          <w:bCs/>
          <w:color w:val="auto"/>
          <w:highlight w:val="none"/>
        </w:rPr>
        <w:t>。</w:t>
      </w:r>
    </w:p>
    <w:p w14:paraId="36939F2F">
      <w:pPr>
        <w:pStyle w:val="25"/>
        <w:ind w:firstLine="482" w:firstLineChars="200"/>
        <w:rPr>
          <w:rFonts w:hint="eastAsia" w:ascii="宋体" w:hAnsi="宋体" w:eastAsia="宋体" w:cs="宋体"/>
          <w:bCs/>
          <w:snapToGrid w:val="0"/>
          <w:color w:val="auto"/>
          <w:highlight w:val="none"/>
        </w:rPr>
      </w:pPr>
      <w:r>
        <w:rPr>
          <w:rFonts w:hint="eastAsia" w:ascii="宋体" w:hAnsi="宋体" w:eastAsia="宋体" w:cs="宋体"/>
          <w:b/>
          <w:bCs w:val="0"/>
          <w:snapToGrid w:val="0"/>
          <w:color w:val="auto"/>
          <w:highlight w:val="none"/>
        </w:rPr>
        <w:t>1</w:t>
      </w:r>
      <w:r>
        <w:rPr>
          <w:rFonts w:hint="eastAsia" w:ascii="宋体" w:hAnsi="宋体" w:eastAsia="宋体" w:cs="宋体"/>
          <w:b/>
          <w:bCs w:val="0"/>
          <w:snapToGrid w:val="0"/>
          <w:color w:val="auto"/>
          <w:highlight w:val="none"/>
          <w:lang w:val="en-US" w:eastAsia="zh-CN"/>
        </w:rPr>
        <w:t>2</w:t>
      </w:r>
      <w:r>
        <w:rPr>
          <w:rFonts w:hint="eastAsia" w:ascii="宋体" w:hAnsi="宋体" w:eastAsia="宋体" w:cs="宋体"/>
          <w:b/>
          <w:bCs w:val="0"/>
          <w:snapToGrid w:val="0"/>
          <w:color w:val="auto"/>
          <w:highlight w:val="none"/>
        </w:rPr>
        <w:t>.2</w:t>
      </w:r>
      <w:r>
        <w:rPr>
          <w:rFonts w:hint="eastAsia" w:ascii="宋体" w:hAnsi="宋体" w:eastAsia="宋体" w:cs="宋体"/>
          <w:bCs/>
          <w:snapToGrid w:val="0"/>
          <w:color w:val="auto"/>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11EAFF3B">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36" w:name="_Toc4516"/>
      <w:bookmarkStart w:id="137" w:name="_Toc11291"/>
      <w:r>
        <w:rPr>
          <w:rFonts w:hint="eastAsia" w:ascii="宋体" w:hAnsi="宋体" w:cs="宋体"/>
          <w:b/>
          <w:snapToGrid w:val="0"/>
          <w:color w:val="auto"/>
          <w:sz w:val="24"/>
          <w:highlight w:val="none"/>
        </w:rPr>
        <w:t>13.投标文件的提交</w:t>
      </w:r>
      <w:bookmarkEnd w:id="136"/>
      <w:bookmarkEnd w:id="137"/>
    </w:p>
    <w:p w14:paraId="1EBD2C83">
      <w:pPr>
        <w:pStyle w:val="25"/>
        <w:spacing w:line="28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在投标文件提交截止时间前，投标人通过全国公共资源交易平台（广东省·韶关市）新建设工程交易系统提交已加密投标文件。逾期提交的电子投标文件，全国公共资源交易平台（广东省·韶关市）新建设工程交易系统将予以拒收。</w:t>
      </w:r>
    </w:p>
    <w:p w14:paraId="5A6168F7">
      <w:pPr>
        <w:pStyle w:val="25"/>
        <w:spacing w:line="28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13.2提交时间和地点：见</w:t>
      </w:r>
      <w:r>
        <w:rPr>
          <w:rFonts w:hint="eastAsia" w:ascii="宋体" w:hAnsi="宋体" w:eastAsia="宋体" w:cs="宋体"/>
          <w:color w:val="auto"/>
          <w:highlight w:val="none"/>
          <w:lang w:val="en-US" w:eastAsia="zh-CN"/>
        </w:rPr>
        <w:t>本章第二节</w:t>
      </w:r>
      <w:r>
        <w:rPr>
          <w:rFonts w:hint="eastAsia" w:ascii="宋体" w:hAnsi="宋体" w:eastAsia="宋体" w:cs="宋体"/>
          <w:color w:val="auto"/>
          <w:highlight w:val="none"/>
        </w:rPr>
        <w:t>“重要事项时间地点一览表”</w:t>
      </w:r>
    </w:p>
    <w:p w14:paraId="6604C197">
      <w:pPr>
        <w:pStyle w:val="25"/>
        <w:spacing w:line="28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13.3投标人法定代表人或其委托代理人（以下简称“投标人代表”）应在指定的时间和地点递交投标相关资料（如有）。</w:t>
      </w:r>
    </w:p>
    <w:p w14:paraId="5F83B357">
      <w:pPr>
        <w:pStyle w:val="25"/>
        <w:spacing w:line="28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13.4 递交时间和地点：投标人如有招标文件要求提交的用于评审的证书、证件、证明原件（附一式两份清单），由投标人法定代表人或其委托代理人在指定的时间和地点递交（见</w:t>
      </w:r>
      <w:r>
        <w:rPr>
          <w:rFonts w:hint="eastAsia" w:ascii="宋体" w:hAnsi="宋体" w:eastAsia="宋体" w:cs="宋体"/>
          <w:color w:val="auto"/>
          <w:highlight w:val="none"/>
          <w:lang w:val="en-US" w:eastAsia="zh-CN"/>
        </w:rPr>
        <w:t>本章第二节</w:t>
      </w:r>
      <w:r>
        <w:rPr>
          <w:rFonts w:hint="eastAsia" w:ascii="宋体" w:hAnsi="宋体" w:eastAsia="宋体" w:cs="宋体"/>
          <w:color w:val="auto"/>
          <w:highlight w:val="none"/>
        </w:rPr>
        <w:t>“重要事项时间地点一览表”）</w:t>
      </w:r>
    </w:p>
    <w:p w14:paraId="0852F9D4">
      <w:pPr>
        <w:pStyle w:val="25"/>
        <w:spacing w:line="288"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13.5 代理机构对因不可抗力事件造成的投标文件的损坏、丢失的，不承担责任。</w:t>
      </w:r>
    </w:p>
    <w:p w14:paraId="7E40B9F4">
      <w:pPr>
        <w:pStyle w:val="25"/>
        <w:spacing w:line="288" w:lineRule="auto"/>
        <w:ind w:firstLine="480" w:firstLineChars="200"/>
        <w:rPr>
          <w:rFonts w:hAnsi="宋体" w:cs="宋体"/>
          <w:color w:val="auto"/>
          <w:highlight w:val="none"/>
        </w:rPr>
      </w:pPr>
      <w:r>
        <w:rPr>
          <w:rFonts w:hint="eastAsia" w:hAnsi="宋体" w:cs="宋体"/>
          <w:color w:val="auto"/>
          <w:highlight w:val="none"/>
        </w:rPr>
        <w:t>13.</w:t>
      </w:r>
      <w:r>
        <w:rPr>
          <w:rFonts w:hint="eastAsia" w:hAnsi="宋体" w:cs="宋体"/>
          <w:color w:val="auto"/>
          <w:highlight w:val="none"/>
          <w:lang w:val="en-US" w:eastAsia="zh-CN"/>
        </w:rPr>
        <w:t>6</w:t>
      </w:r>
      <w:r>
        <w:rPr>
          <w:rFonts w:hint="eastAsia" w:hAnsi="宋体" w:cs="宋体"/>
          <w:color w:val="auto"/>
          <w:highlight w:val="none"/>
        </w:rPr>
        <w:t>出现下述情形之一，属于未成功提交投标文件，按无效投标处理：</w:t>
      </w:r>
    </w:p>
    <w:p w14:paraId="22F7DCE6">
      <w:pPr>
        <w:pStyle w:val="25"/>
        <w:spacing w:line="288"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（1）至提交投标文件截止时，投标文件未完整上传及提交标书；</w:t>
      </w:r>
    </w:p>
    <w:p w14:paraId="19E2342E">
      <w:pPr>
        <w:pStyle w:val="25"/>
        <w:spacing w:line="288"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（2）投标文件未按投标格式中注明需签字盖章的要求进行签名（含电子签名）和加盖电子印章，或签名（含电子签名）或电子印章不完整的；</w:t>
      </w:r>
    </w:p>
    <w:p w14:paraId="15F88D46">
      <w:pPr>
        <w:pStyle w:val="25"/>
        <w:spacing w:line="288"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（3）解密失败且在规定时间内未重新提交投标文件的；</w:t>
      </w:r>
    </w:p>
    <w:p w14:paraId="407C4FF2">
      <w:pPr>
        <w:pStyle w:val="25"/>
        <w:spacing w:line="288"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（4）投标文件损坏或格式不正确的；</w:t>
      </w:r>
    </w:p>
    <w:p w14:paraId="0EF60D34">
      <w:pPr>
        <w:pStyle w:val="25"/>
        <w:spacing w:line="288"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13.7招标人或其授权的招标代理机构核对、接收投标人递交的投标相关资料后，应向投标人出具标明签收人和签收时间的凭证，并妥善保管。</w:t>
      </w:r>
    </w:p>
    <w:p w14:paraId="4763378E">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38" w:name="_Hlt66608380"/>
      <w:bookmarkEnd w:id="138"/>
      <w:bookmarkStart w:id="139" w:name="_Hlt74494779"/>
      <w:bookmarkEnd w:id="139"/>
      <w:bookmarkStart w:id="140" w:name="_Hlt75685366"/>
      <w:bookmarkEnd w:id="140"/>
      <w:bookmarkStart w:id="141" w:name="_Hlt69699424"/>
      <w:bookmarkEnd w:id="141"/>
      <w:bookmarkStart w:id="142" w:name="_Hlt92512875"/>
      <w:bookmarkEnd w:id="142"/>
      <w:bookmarkStart w:id="143" w:name="_Toc31438"/>
      <w:bookmarkStart w:id="144" w:name="_Toc104711075"/>
      <w:bookmarkStart w:id="145" w:name="_Toc106418820"/>
      <w:bookmarkStart w:id="146" w:name="_Toc20473"/>
      <w:bookmarkStart w:id="147" w:name="_Toc16761"/>
      <w:r>
        <w:rPr>
          <w:rFonts w:hint="eastAsia" w:ascii="宋体" w:hAnsi="宋体" w:cs="宋体"/>
          <w:b/>
          <w:snapToGrid w:val="0"/>
          <w:color w:val="auto"/>
          <w:sz w:val="24"/>
          <w:highlight w:val="none"/>
        </w:rPr>
        <w:t>14.投标有效期</w:t>
      </w:r>
      <w:bookmarkEnd w:id="143"/>
      <w:bookmarkEnd w:id="144"/>
      <w:bookmarkEnd w:id="145"/>
      <w:bookmarkEnd w:id="146"/>
      <w:bookmarkEnd w:id="147"/>
    </w:p>
    <w:p w14:paraId="493B6504">
      <w:pPr>
        <w:pStyle w:val="25"/>
        <w:spacing w:line="288" w:lineRule="auto"/>
        <w:ind w:firstLine="480" w:firstLineChars="200"/>
        <w:rPr>
          <w:rFonts w:hAnsi="宋体" w:cs="宋体"/>
          <w:b/>
          <w:bCs/>
          <w:color w:val="auto"/>
          <w:szCs w:val="22"/>
          <w:highlight w:val="none"/>
        </w:rPr>
      </w:pPr>
      <w:r>
        <w:rPr>
          <w:rFonts w:hint="eastAsia" w:hAnsi="宋体" w:cs="宋体"/>
          <w:color w:val="auto"/>
          <w:szCs w:val="22"/>
          <w:highlight w:val="none"/>
        </w:rPr>
        <w:t>投标有效期为</w:t>
      </w:r>
      <w:r>
        <w:rPr>
          <w:rFonts w:hint="eastAsia" w:hAnsi="宋体" w:cs="宋体"/>
          <w:color w:val="auto"/>
          <w:szCs w:val="22"/>
          <w:highlight w:val="none"/>
          <w:u w:val="single"/>
        </w:rPr>
        <w:t>90</w:t>
      </w:r>
      <w:r>
        <w:rPr>
          <w:rFonts w:hint="eastAsia" w:hAnsi="宋体" w:cs="宋体"/>
          <w:color w:val="auto"/>
          <w:szCs w:val="22"/>
          <w:highlight w:val="none"/>
        </w:rPr>
        <w:t>个日历天，自招标人或其授权的招标代理机构接收投标人递交的投标文件之日起计。在此期间，投标人不得撤销或修改其投标文件，否则其投标保证不予退还。</w:t>
      </w:r>
    </w:p>
    <w:p w14:paraId="15D894AB">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48" w:name="_Toc27667"/>
      <w:bookmarkStart w:id="149" w:name="_Toc14083"/>
      <w:bookmarkStart w:id="150" w:name="_Toc23216"/>
      <w:r>
        <w:rPr>
          <w:rFonts w:hint="eastAsia" w:ascii="宋体" w:hAnsi="宋体" w:cs="宋体"/>
          <w:b/>
          <w:snapToGrid w:val="0"/>
          <w:color w:val="auto"/>
          <w:sz w:val="24"/>
          <w:highlight w:val="none"/>
        </w:rPr>
        <w:t>15.开标</w:t>
      </w:r>
      <w:bookmarkEnd w:id="148"/>
      <w:bookmarkEnd w:id="149"/>
      <w:bookmarkEnd w:id="150"/>
    </w:p>
    <w:p w14:paraId="3A13B240">
      <w:pPr>
        <w:pStyle w:val="26"/>
        <w:wordWrap w:val="0"/>
        <w:adjustRightInd w:val="0"/>
        <w:spacing w:line="288" w:lineRule="auto"/>
        <w:ind w:firstLine="480"/>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15.1</w:t>
      </w:r>
      <w:r>
        <w:rPr>
          <w:rFonts w:hint="eastAsia" w:ascii="宋体" w:hAnsi="宋体" w:cs="宋体"/>
          <w:bCs/>
          <w:color w:val="auto"/>
          <w:sz w:val="24"/>
          <w:szCs w:val="20"/>
          <w:highlight w:val="none"/>
        </w:rPr>
        <w:t>招标人邀请所有正确获取招标文件、缴纳投标保证、电子投标的投标人参加开标，投标人可自主决定是否参加。投标人无须进行现场签到，可登录交易平台观看开标实况、提出异议或进行澄清、确认等操作，具体按招标文件和系统操作手册为准。</w:t>
      </w:r>
    </w:p>
    <w:p w14:paraId="3A3BACFF">
      <w:pPr>
        <w:pStyle w:val="26"/>
        <w:wordWrap w:val="0"/>
        <w:adjustRightInd w:val="0"/>
        <w:spacing w:line="288" w:lineRule="auto"/>
        <w:ind w:firstLine="480"/>
        <w:rPr>
          <w:rFonts w:ascii="宋体" w:hAnsi="宋体" w:cs="宋体"/>
          <w:snapToGrid w:val="0"/>
          <w:color w:val="auto"/>
          <w:kern w:val="0"/>
          <w:sz w:val="24"/>
          <w:highlight w:val="none"/>
        </w:rPr>
      </w:pPr>
      <w:r>
        <w:rPr>
          <w:rFonts w:hint="eastAsia" w:ascii="宋体" w:hAnsi="宋体" w:cs="宋体"/>
          <w:b w:val="0"/>
          <w:bCs w:val="0"/>
          <w:snapToGrid w:val="0"/>
          <w:color w:val="auto"/>
          <w:kern w:val="0"/>
          <w:sz w:val="24"/>
          <w:szCs w:val="20"/>
          <w:highlight w:val="none"/>
        </w:rPr>
        <w:t>15.1.1</w:t>
      </w:r>
      <w:r>
        <w:rPr>
          <w:rFonts w:hint="eastAsia" w:ascii="宋体" w:hAnsi="宋体" w:cs="宋体"/>
          <w:snapToGrid w:val="0"/>
          <w:color w:val="auto"/>
          <w:kern w:val="0"/>
          <w:sz w:val="24"/>
          <w:highlight w:val="none"/>
        </w:rPr>
        <w:t>开标时间和地点：见本章第二节“重要事项时间地点一览表”。</w:t>
      </w:r>
    </w:p>
    <w:p w14:paraId="5FEC4B6C">
      <w:pPr>
        <w:pStyle w:val="26"/>
        <w:wordWrap w:val="0"/>
        <w:adjustRightInd w:val="0"/>
        <w:snapToGrid w:val="0"/>
        <w:spacing w:line="360" w:lineRule="auto"/>
        <w:ind w:firstLine="480" w:firstLineChars="200"/>
        <w:jc w:val="left"/>
        <w:rPr>
          <w:rFonts w:hint="eastAsia" w:ascii="宋体" w:hAnsi="宋体" w:cs="宋体"/>
          <w:bCs/>
          <w:color w:val="auto"/>
          <w:sz w:val="24"/>
          <w:szCs w:val="20"/>
          <w:highlight w:val="none"/>
        </w:rPr>
      </w:pPr>
      <w:r>
        <w:rPr>
          <w:rFonts w:hint="eastAsia" w:ascii="宋体" w:hAnsi="宋体" w:cs="宋体"/>
          <w:bCs/>
          <w:color w:val="auto"/>
          <w:sz w:val="24"/>
          <w:szCs w:val="20"/>
          <w:highlight w:val="none"/>
        </w:rPr>
        <w:t>15.1.2 开标前24小时，若建设工程交易系统显示缴纳投标保证（包括投标保证金、投标保证担保、投标保证保险）的投标人数量不足3个时，招标人将取消原定于次日召开的开标活动。投标人可在投标保证缴纳截止时间（见</w:t>
      </w:r>
      <w:r>
        <w:rPr>
          <w:rFonts w:hint="eastAsia" w:ascii="宋体" w:hAnsi="宋体" w:cs="宋体"/>
          <w:bCs/>
          <w:color w:val="auto"/>
          <w:sz w:val="24"/>
          <w:highlight w:val="none"/>
          <w:lang w:val="en-US" w:eastAsia="zh-CN"/>
        </w:rPr>
        <w:t>本章第二节</w:t>
      </w:r>
      <w:r>
        <w:rPr>
          <w:rFonts w:hint="eastAsia" w:ascii="宋体" w:hAnsi="宋体" w:cs="宋体"/>
          <w:bCs/>
          <w:color w:val="auto"/>
          <w:sz w:val="24"/>
          <w:szCs w:val="20"/>
          <w:highlight w:val="none"/>
        </w:rPr>
        <w:t>“重要事项时间地点一览表”）至电子投标截止时间（见</w:t>
      </w:r>
      <w:r>
        <w:rPr>
          <w:rFonts w:hint="eastAsia" w:ascii="宋体" w:hAnsi="宋体" w:cs="宋体"/>
          <w:bCs/>
          <w:color w:val="auto"/>
          <w:sz w:val="24"/>
          <w:highlight w:val="none"/>
          <w:lang w:val="en-US" w:eastAsia="zh-CN"/>
        </w:rPr>
        <w:t>本章第二节</w:t>
      </w:r>
      <w:r>
        <w:rPr>
          <w:rFonts w:hint="eastAsia" w:ascii="宋体" w:hAnsi="宋体" w:cs="宋体"/>
          <w:bCs/>
          <w:color w:val="auto"/>
          <w:sz w:val="24"/>
          <w:szCs w:val="20"/>
          <w:highlight w:val="none"/>
        </w:rPr>
        <w:t>“重要事项时间地点一览表”）期间登录全国公共资源交易平台（广东省·韶关市）（https://ygp.gdzwfw.gov.cn/ggzy-portal/#/440200/index）查询是否发布了取消开标活动的相关信息。</w:t>
      </w:r>
    </w:p>
    <w:p w14:paraId="349863B5">
      <w:pPr>
        <w:pStyle w:val="26"/>
        <w:wordWrap w:val="0"/>
        <w:adjustRightInd w:val="0"/>
        <w:spacing w:line="288" w:lineRule="auto"/>
        <w:ind w:firstLine="480"/>
        <w:rPr>
          <w:rFonts w:ascii="宋体" w:hAnsi="宋体" w:cs="宋体"/>
          <w:snapToGrid w:val="0"/>
          <w:color w:val="auto"/>
          <w:kern w:val="0"/>
          <w:sz w:val="24"/>
          <w:highlight w:val="none"/>
        </w:rPr>
      </w:pPr>
      <w:r>
        <w:rPr>
          <w:rFonts w:hint="eastAsia" w:ascii="宋体" w:hAnsi="宋体" w:cs="宋体"/>
          <w:bCs/>
          <w:color w:val="auto"/>
          <w:sz w:val="24"/>
          <w:szCs w:val="20"/>
          <w:highlight w:val="none"/>
        </w:rPr>
        <w:t>15.1.3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272339D">
      <w:pPr>
        <w:wordWrap w:val="0"/>
        <w:adjustRightInd w:val="0"/>
        <w:spacing w:line="288"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15.2</w:t>
      </w:r>
      <w:r>
        <w:rPr>
          <w:rFonts w:hint="eastAsia" w:ascii="宋体" w:hAnsi="宋体" w:cs="宋体"/>
          <w:snapToGrid w:val="0"/>
          <w:color w:val="auto"/>
          <w:kern w:val="0"/>
          <w:sz w:val="24"/>
          <w:szCs w:val="24"/>
          <w:highlight w:val="none"/>
        </w:rPr>
        <w:t>开标程序</w:t>
      </w:r>
    </w:p>
    <w:p w14:paraId="5CEBA86C">
      <w:pPr>
        <w:pStyle w:val="26"/>
        <w:wordWrap w:val="0"/>
        <w:adjustRightInd w:val="0"/>
        <w:spacing w:line="288" w:lineRule="auto"/>
        <w:ind w:firstLine="480"/>
        <w:rPr>
          <w:rFonts w:hint="eastAsia" w:ascii="宋体" w:hAnsi="宋体" w:eastAsia="宋体" w:cs="宋体"/>
          <w:bCs/>
          <w:color w:val="auto"/>
          <w:sz w:val="24"/>
          <w:szCs w:val="20"/>
          <w:highlight w:val="none"/>
        </w:rPr>
      </w:pPr>
      <w:bookmarkStart w:id="151" w:name="_Hlt127093805"/>
      <w:bookmarkEnd w:id="151"/>
      <w:r>
        <w:rPr>
          <w:rFonts w:hint="eastAsia" w:ascii="宋体" w:hAnsi="宋体" w:eastAsia="宋体" w:cs="宋体"/>
          <w:bCs/>
          <w:color w:val="auto"/>
          <w:sz w:val="24"/>
          <w:szCs w:val="20"/>
          <w:highlight w:val="none"/>
        </w:rPr>
        <w:t>（1）主持人（招标人代表或招标人授权的招标代理机构人员）宣读开标纪律。</w:t>
      </w:r>
      <w:bookmarkStart w:id="152" w:name="_Toc30079"/>
    </w:p>
    <w:p w14:paraId="57A91E1C">
      <w:pPr>
        <w:pStyle w:val="26"/>
        <w:wordWrap w:val="0"/>
        <w:adjustRightInd w:val="0"/>
        <w:spacing w:line="288" w:lineRule="auto"/>
        <w:ind w:firstLine="48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（2）主持人宣布唱标人、记录人、见证人、监督人等有关人员姓名。</w:t>
      </w:r>
      <w:bookmarkEnd w:id="152"/>
      <w:bookmarkStart w:id="153" w:name="_Toc23816"/>
    </w:p>
    <w:p w14:paraId="0DF50113">
      <w:pPr>
        <w:pStyle w:val="26"/>
        <w:wordWrap w:val="0"/>
        <w:adjustRightInd w:val="0"/>
        <w:spacing w:line="288" w:lineRule="auto"/>
        <w:ind w:firstLine="48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（3）到达投标截止时间后，主持人点击“开始开标”按钮，系统自动对投标企业进行在线签到。招标代理机构应将有关情形在《开标一览表》“备注”栏中注明。</w:t>
      </w:r>
      <w:bookmarkEnd w:id="153"/>
      <w:bookmarkStart w:id="154" w:name="_Toc21677"/>
    </w:p>
    <w:p w14:paraId="0B36F4C5">
      <w:pPr>
        <w:pStyle w:val="26"/>
        <w:wordWrap w:val="0"/>
        <w:adjustRightInd w:val="0"/>
        <w:spacing w:line="288" w:lineRule="auto"/>
        <w:ind w:firstLine="48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（4）招标代理机构在交易场所工作人员见证下，对投标人的电子投标信息进行解密，建设工程交易系统自动生成《投标保证缴纳情况表》和《开标一览表》。</w:t>
      </w:r>
      <w:bookmarkEnd w:id="154"/>
      <w:bookmarkStart w:id="155" w:name="_Toc30701"/>
    </w:p>
    <w:p w14:paraId="5658EC40">
      <w:pPr>
        <w:pStyle w:val="26"/>
        <w:wordWrap w:val="0"/>
        <w:adjustRightInd w:val="0"/>
        <w:spacing w:line="288" w:lineRule="auto"/>
        <w:ind w:firstLine="48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bookmarkEnd w:id="155"/>
    </w:p>
    <w:p w14:paraId="2C6C466B">
      <w:pPr>
        <w:pStyle w:val="26"/>
        <w:wordWrap w:val="0"/>
        <w:adjustRightInd w:val="0"/>
        <w:spacing w:line="288" w:lineRule="auto"/>
        <w:ind w:firstLine="48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（5）唱标人检查《投标保证缴纳情况表》中各投标人所缴纳投标保证的金额、有效期是否符合招标文件规定。若不符合规定，该投标人的投标无效。将有关情形在《投标保证缴纳情况表》“备注”栏中注明。</w:t>
      </w:r>
    </w:p>
    <w:p w14:paraId="50D63151">
      <w:pPr>
        <w:pStyle w:val="26"/>
        <w:wordWrap w:val="0"/>
        <w:adjustRightInd w:val="0"/>
        <w:spacing w:line="288" w:lineRule="auto"/>
        <w:ind w:firstLine="48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（6）唱标人检查《开标一览表》中各投标人的投标总价、工期是否符合招标文件规定。若不符合规定，招标代理机构应将有关情形在《开标一览表》“备注”栏中注明。</w:t>
      </w:r>
    </w:p>
    <w:p w14:paraId="442EBDFA">
      <w:pPr>
        <w:pStyle w:val="26"/>
        <w:wordWrap w:val="0"/>
        <w:adjustRightInd w:val="0"/>
        <w:spacing w:line="288" w:lineRule="auto"/>
        <w:ind w:firstLine="48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（7）招标人代表、唱标人、记录人等有关人员在《投标保证缴纳情况表》以及《开标一览表》上签字确认。</w:t>
      </w:r>
    </w:p>
    <w:p w14:paraId="503AF995">
      <w:pPr>
        <w:pStyle w:val="26"/>
        <w:wordWrap w:val="0"/>
        <w:adjustRightInd w:val="0"/>
        <w:spacing w:line="288" w:lineRule="auto"/>
        <w:ind w:firstLine="48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（8）主持人宣布进入开标异议阶段，异议倒计时结束后，主持人宣布开标结束。</w:t>
      </w:r>
    </w:p>
    <w:p w14:paraId="0185BA33">
      <w:pPr>
        <w:pStyle w:val="26"/>
        <w:wordWrap w:val="0"/>
        <w:adjustRightInd w:val="0"/>
        <w:spacing w:line="288" w:lineRule="auto"/>
        <w:ind w:firstLine="48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15.3 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6B710ADE">
      <w:pPr>
        <w:pStyle w:val="26"/>
        <w:wordWrap w:val="0"/>
        <w:adjustRightInd w:val="0"/>
        <w:spacing w:line="288" w:lineRule="auto"/>
        <w:ind w:firstLine="48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15.4招标代理机构将资料原件（若有）、《开标一览表》以及其他有关资料移交评标委员会。</w:t>
      </w:r>
    </w:p>
    <w:p w14:paraId="7E645D1E">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56" w:name="_Toc29209"/>
      <w:bookmarkStart w:id="157" w:name="_Toc17305"/>
      <w:r>
        <w:rPr>
          <w:rFonts w:hint="eastAsia" w:ascii="宋体" w:hAnsi="宋体" w:cs="宋体"/>
          <w:b/>
          <w:snapToGrid w:val="0"/>
          <w:color w:val="auto"/>
          <w:sz w:val="24"/>
          <w:highlight w:val="none"/>
        </w:rPr>
        <w:t>16.电子投标及评标时突发补救方案</w:t>
      </w:r>
      <w:bookmarkEnd w:id="156"/>
      <w:bookmarkEnd w:id="157"/>
      <w:bookmarkStart w:id="158" w:name="_Toc11485"/>
      <w:bookmarkStart w:id="159" w:name="_Toc2213"/>
      <w:bookmarkStart w:id="160" w:name="_Toc32344"/>
    </w:p>
    <w:bookmarkEnd w:id="158"/>
    <w:bookmarkEnd w:id="159"/>
    <w:p w14:paraId="35EC54C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按照交易平台关于全流程电子化项目的相关指南进行操作。详见：全国公共资源交易平台（广东省·韶关市）（https://ygp.gdzwfw.gov.cn/ggzy-portal/#/440200/index）交易指引栏目发布的最新版操作指引。</w:t>
      </w:r>
    </w:p>
    <w:p w14:paraId="467E14B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投标文件解密失败的补救方案：在规定时间内，因投标人之外原因(指网络瘫痪、服务器损坏、交易系统故障短期无法恢复)等导致的电子投标文件解密失败，在招标人、监督人、交易中心工作人员见证的情况下，招标代理机构授权投标人重新上传投标文件后继续开标程序。电子投标文件解密失败且未在电子投标解密截止时间前重新上传投标文件的，视为无效投标（关于投标人解密失败如何获取投标人信息问题：在开标解密环节会有投标人相关信息，投标人重传时间为30分钟，30分钟未重传系统会判断投标无效。解密环节不会显示开标具体内容）。</w:t>
      </w:r>
      <w:bookmarkStart w:id="161" w:name="_Toc18714"/>
      <w:bookmarkStart w:id="162" w:name="_Toc30264"/>
    </w:p>
    <w:p w14:paraId="6DECFF7A">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若遇不可抗力发生（指网络瘫痪、服务器损坏、交易系统故障短期无法恢复、交易系统故障导致电子文件无法读取等因素），参考《广东省工程建设项目远程异地评标管理暂行办法》第二十条：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161"/>
      <w:bookmarkEnd w:id="162"/>
      <w:bookmarkStart w:id="163" w:name="_Toc2533"/>
      <w:bookmarkStart w:id="164" w:name="_Toc29164"/>
    </w:p>
    <w:p w14:paraId="712AF252">
      <w:pPr>
        <w:wordWrap w:val="0"/>
        <w:adjustRightInd w:val="0"/>
        <w:spacing w:line="288"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（3）除发生上述情况外，开标评标均以投标人通过交易平台网上递交的电子投标文件为准。</w:t>
      </w:r>
      <w:bookmarkEnd w:id="163"/>
      <w:bookmarkEnd w:id="164"/>
    </w:p>
    <w:p w14:paraId="52E86A05">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65" w:name="_Toc11040"/>
      <w:bookmarkStart w:id="166" w:name="_Toc26795"/>
      <w:r>
        <w:rPr>
          <w:rFonts w:hint="eastAsia" w:ascii="宋体" w:hAnsi="宋体" w:cs="宋体"/>
          <w:b/>
          <w:snapToGrid w:val="0"/>
          <w:color w:val="auto"/>
          <w:sz w:val="24"/>
          <w:highlight w:val="none"/>
        </w:rPr>
        <w:t>17.评标</w:t>
      </w:r>
      <w:bookmarkEnd w:id="160"/>
      <w:bookmarkEnd w:id="165"/>
      <w:bookmarkEnd w:id="166"/>
    </w:p>
    <w:p w14:paraId="14A97273">
      <w:pPr>
        <w:wordWrap w:val="0"/>
        <w:adjustRightInd w:val="0"/>
        <w:spacing w:line="288"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评标分为初步评审和详细评审两个阶段，由评标委员会在有关部门的监督下，严格按照本招标文件指定的评标方法，对投标人的投标文件进行审查、评审。</w:t>
      </w:r>
    </w:p>
    <w:p w14:paraId="7A241DAB">
      <w:pPr>
        <w:wordWrap w:val="0"/>
        <w:adjustRightInd w:val="0"/>
        <w:spacing w:line="288" w:lineRule="auto"/>
        <w:ind w:firstLine="482" w:firstLineChars="200"/>
        <w:rPr>
          <w:rFonts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17.1</w:t>
      </w:r>
      <w:r>
        <w:rPr>
          <w:rFonts w:hint="eastAsia" w:ascii="宋体" w:hAnsi="宋体" w:cs="宋体"/>
          <w:bCs/>
          <w:snapToGrid w:val="0"/>
          <w:color w:val="auto"/>
          <w:kern w:val="0"/>
          <w:sz w:val="24"/>
          <w:szCs w:val="24"/>
          <w:highlight w:val="none"/>
        </w:rPr>
        <w:t>评标委员会</w:t>
      </w:r>
    </w:p>
    <w:p w14:paraId="79E9C8B4">
      <w:pPr>
        <w:wordWrap w:val="0"/>
        <w:adjustRightInd w:val="0"/>
        <w:spacing w:line="288" w:lineRule="auto"/>
        <w:ind w:firstLine="48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17.1.1</w:t>
      </w:r>
      <w:r>
        <w:rPr>
          <w:rFonts w:hint="eastAsia" w:ascii="宋体" w:hAnsi="宋体" w:cs="宋体"/>
          <w:snapToGrid w:val="0"/>
          <w:color w:val="auto"/>
          <w:kern w:val="0"/>
          <w:sz w:val="24"/>
          <w:szCs w:val="24"/>
          <w:highlight w:val="none"/>
        </w:rPr>
        <w:t>评标委员会由</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人组成，其中招标人代表</w:t>
      </w:r>
      <w:r>
        <w:rPr>
          <w:rFonts w:hint="eastAsia" w:ascii="宋体" w:hAnsi="宋体" w:cs="宋体"/>
          <w:snapToGrid w:val="0"/>
          <w:color w:val="auto"/>
          <w:kern w:val="0"/>
          <w:sz w:val="24"/>
          <w:szCs w:val="24"/>
          <w:highlight w:val="none"/>
          <w:u w:val="single"/>
        </w:rPr>
        <w:t>0</w:t>
      </w:r>
      <w:r>
        <w:rPr>
          <w:rFonts w:hint="eastAsia" w:ascii="宋体" w:hAnsi="宋体" w:cs="宋体"/>
          <w:snapToGrid w:val="0"/>
          <w:color w:val="auto"/>
          <w:kern w:val="0"/>
          <w:sz w:val="24"/>
          <w:szCs w:val="24"/>
          <w:highlight w:val="none"/>
        </w:rPr>
        <w:t>人，专家</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人。专家从广东省综合评标评审专家库-韶关市区域中随机抽取，</w:t>
      </w:r>
      <w:r>
        <w:rPr>
          <w:rFonts w:hint="eastAsia" w:ascii="宋体" w:hAnsi="宋体" w:cs="宋体"/>
          <w:snapToGrid w:val="0"/>
          <w:color w:val="auto"/>
          <w:kern w:val="0"/>
          <w:sz w:val="24"/>
          <w:highlight w:val="none"/>
        </w:rPr>
        <w:t>其中技术类专家</w:t>
      </w:r>
      <w:r>
        <w:rPr>
          <w:rFonts w:hint="eastAsia" w:ascii="宋体" w:hAnsi="宋体" w:cs="宋体"/>
          <w:snapToGrid w:val="0"/>
          <w:color w:val="auto"/>
          <w:kern w:val="0"/>
          <w:sz w:val="24"/>
          <w:highlight w:val="none"/>
          <w:u w:val="single"/>
        </w:rPr>
        <w:t>3</w:t>
      </w:r>
      <w:r>
        <w:rPr>
          <w:rFonts w:hint="eastAsia" w:ascii="宋体" w:hAnsi="宋体" w:cs="宋体"/>
          <w:snapToGrid w:val="0"/>
          <w:color w:val="auto"/>
          <w:kern w:val="0"/>
          <w:sz w:val="24"/>
          <w:highlight w:val="none"/>
        </w:rPr>
        <w:t>人，经济类专家</w:t>
      </w:r>
      <w:r>
        <w:rPr>
          <w:rFonts w:hint="eastAsia" w:ascii="宋体" w:hAnsi="宋体" w:cs="宋体"/>
          <w:snapToGrid w:val="0"/>
          <w:color w:val="auto"/>
          <w:kern w:val="0"/>
          <w:sz w:val="24"/>
          <w:highlight w:val="none"/>
          <w:u w:val="single"/>
        </w:rPr>
        <w:t>2</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szCs w:val="24"/>
          <w:highlight w:val="none"/>
        </w:rPr>
        <w:t>评标委员会设负责人，由评标委员会成员推举产生。评标委员会负责人与评标委员会的其他成员有同等的表决权。</w:t>
      </w:r>
    </w:p>
    <w:p w14:paraId="756040FB">
      <w:pPr>
        <w:wordWrap w:val="0"/>
        <w:adjustRightInd w:val="0"/>
        <w:spacing w:line="288" w:lineRule="auto"/>
        <w:ind w:firstLine="56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17.1.2</w:t>
      </w:r>
      <w:r>
        <w:rPr>
          <w:rFonts w:hint="eastAsia" w:ascii="宋体" w:hAnsi="宋体" w:cs="宋体"/>
          <w:snapToGrid w:val="0"/>
          <w:color w:val="auto"/>
          <w:kern w:val="0"/>
          <w:sz w:val="24"/>
          <w:szCs w:val="24"/>
          <w:highlight w:val="none"/>
        </w:rPr>
        <w:t>评标委员会应认真、公正、诚实、廉洁地履行职责。有下列情形之一的，不得担任评标委员会成员：</w:t>
      </w:r>
    </w:p>
    <w:p w14:paraId="65DF59D0">
      <w:pPr>
        <w:wordWrap w:val="0"/>
        <w:adjustRightInd w:val="0"/>
        <w:spacing w:line="288"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（1）投标人或投标人主要负责人的近亲属；</w:t>
      </w:r>
    </w:p>
    <w:p w14:paraId="401E3351">
      <w:pPr>
        <w:wordWrap w:val="0"/>
        <w:adjustRightInd w:val="0"/>
        <w:spacing w:line="288"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（2）项目主管部门或者行政监督部门的人员；</w:t>
      </w:r>
    </w:p>
    <w:p w14:paraId="04060E7D">
      <w:pPr>
        <w:wordWrap w:val="0"/>
        <w:adjustRightInd w:val="0"/>
        <w:spacing w:line="288"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（3）与投标人有经济利益关系，可能影响对投标公正评审的；</w:t>
      </w:r>
    </w:p>
    <w:p w14:paraId="69C5DBD6">
      <w:pPr>
        <w:wordWrap w:val="0"/>
        <w:adjustRightInd w:val="0"/>
        <w:spacing w:line="288"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（4）曾因在招标、评标以及其他与招标投标有关活动中从事违法行为而受过行政处罚或刑事处罚的。</w:t>
      </w:r>
    </w:p>
    <w:p w14:paraId="1C2FAF8D">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评标委员会成员有以上情形之一的，应主动提出回避。</w:t>
      </w:r>
    </w:p>
    <w:p w14:paraId="630A4A09">
      <w:pPr>
        <w:wordWrap w:val="0"/>
        <w:adjustRightInd w:val="0"/>
        <w:spacing w:line="288"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17.1.3</w:t>
      </w:r>
      <w:r>
        <w:rPr>
          <w:rFonts w:hint="eastAsia" w:ascii="宋体" w:hAnsi="宋体" w:cs="宋体"/>
          <w:snapToGrid w:val="0"/>
          <w:color w:val="auto"/>
          <w:kern w:val="0"/>
          <w:sz w:val="24"/>
          <w:szCs w:val="24"/>
          <w:highlight w:val="none"/>
        </w:rPr>
        <w:t>评标全过程实行封闭式管理，在中标结果公布前，禁止评标委员会成员以任何方式私下接触投标人。</w:t>
      </w:r>
    </w:p>
    <w:p w14:paraId="3FD10237">
      <w:pPr>
        <w:wordWrap w:val="0"/>
        <w:adjustRightInd w:val="0"/>
        <w:spacing w:line="288"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17.1.4</w:t>
      </w:r>
      <w:r>
        <w:rPr>
          <w:rFonts w:hint="eastAsia" w:ascii="宋体" w:hAnsi="宋体" w:cs="宋体"/>
          <w:snapToGrid w:val="0"/>
          <w:color w:val="auto"/>
          <w:kern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0552FA06">
      <w:pPr>
        <w:wordWrap w:val="0"/>
        <w:adjustRightInd w:val="0"/>
        <w:spacing w:line="288" w:lineRule="auto"/>
        <w:ind w:firstLine="562"/>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17.1.5</w:t>
      </w:r>
      <w:r>
        <w:rPr>
          <w:rFonts w:hint="eastAsia" w:ascii="宋体" w:hAnsi="宋体" w:cs="宋体"/>
          <w:snapToGrid w:val="0"/>
          <w:color w:val="auto"/>
          <w:kern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68143852">
      <w:pPr>
        <w:wordWrap w:val="0"/>
        <w:adjustRightInd w:val="0"/>
        <w:spacing w:line="288" w:lineRule="auto"/>
        <w:ind w:firstLine="420"/>
        <w:rPr>
          <w:rFonts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17.2</w:t>
      </w:r>
      <w:r>
        <w:rPr>
          <w:rFonts w:hint="eastAsia" w:ascii="宋体" w:hAnsi="宋体" w:cs="宋体"/>
          <w:bCs/>
          <w:snapToGrid w:val="0"/>
          <w:color w:val="auto"/>
          <w:kern w:val="0"/>
          <w:sz w:val="24"/>
          <w:szCs w:val="24"/>
          <w:highlight w:val="none"/>
        </w:rPr>
        <w:t>评标方法</w:t>
      </w:r>
    </w:p>
    <w:p w14:paraId="29AD92C5">
      <w:pPr>
        <w:wordWrap w:val="0"/>
        <w:adjustRightInd w:val="0"/>
        <w:spacing w:line="288" w:lineRule="auto"/>
        <w:ind w:firstLine="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根据有关法律、法规的相关规定，结合本招标项目资金来源和规模特点，本次招标采用“综合评估法”进行评标。</w:t>
      </w:r>
    </w:p>
    <w:p w14:paraId="67EC6CCB">
      <w:pPr>
        <w:wordWrap w:val="0"/>
        <w:adjustRightInd w:val="0"/>
        <w:spacing w:line="288" w:lineRule="auto"/>
        <w:ind w:firstLine="482" w:firstLineChars="20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17.3</w:t>
      </w:r>
      <w:r>
        <w:rPr>
          <w:rFonts w:hint="eastAsia" w:ascii="宋体" w:hAnsi="宋体" w:cs="宋体"/>
          <w:bCs/>
          <w:snapToGrid w:val="0"/>
          <w:color w:val="auto"/>
          <w:kern w:val="0"/>
          <w:sz w:val="24"/>
          <w:szCs w:val="24"/>
          <w:highlight w:val="none"/>
        </w:rPr>
        <w:t>评审范围：</w:t>
      </w:r>
      <w:r>
        <w:rPr>
          <w:rFonts w:hint="eastAsia" w:ascii="宋体" w:hAnsi="宋体" w:cs="宋体"/>
          <w:snapToGrid w:val="0"/>
          <w:color w:val="auto"/>
          <w:kern w:val="0"/>
          <w:sz w:val="24"/>
          <w:szCs w:val="24"/>
          <w:highlight w:val="none"/>
        </w:rPr>
        <w:t>评标委员会应对所有进入评标投标人的投标文件进行评审。</w:t>
      </w:r>
    </w:p>
    <w:p w14:paraId="4CF29F99">
      <w:pPr>
        <w:wordWrap w:val="0"/>
        <w:adjustRightInd w:val="0"/>
        <w:spacing w:line="288"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w:t>
      </w:r>
      <w:r>
        <w:rPr>
          <w:rFonts w:hint="eastAsia" w:ascii="宋体" w:hAnsi="宋体" w:cs="宋体"/>
          <w:snapToGrid w:val="0"/>
          <w:color w:val="auto"/>
          <w:kern w:val="0"/>
          <w:sz w:val="24"/>
          <w:szCs w:val="24"/>
          <w:highlight w:val="none"/>
        </w:rPr>
        <w:t>初步评审阶段</w:t>
      </w:r>
    </w:p>
    <w:p w14:paraId="629A9322">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初步评审阶段分为资格评审、形式评审和响应性评审三个环节。</w:t>
      </w:r>
    </w:p>
    <w:p w14:paraId="24FC234B">
      <w:pPr>
        <w:wordWrap w:val="0"/>
        <w:adjustRightInd w:val="0"/>
        <w:spacing w:line="288"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17.4.1</w:t>
      </w:r>
      <w:r>
        <w:rPr>
          <w:rFonts w:hint="eastAsia" w:ascii="宋体" w:hAnsi="宋体" w:cs="宋体"/>
          <w:snapToGrid w:val="0"/>
          <w:color w:val="auto"/>
          <w:kern w:val="0"/>
          <w:sz w:val="24"/>
          <w:szCs w:val="24"/>
          <w:highlight w:val="none"/>
        </w:rPr>
        <w:t>资格评审环节</w:t>
      </w:r>
    </w:p>
    <w:p w14:paraId="067D14E5">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资格评审事项包括：</w:t>
      </w:r>
    </w:p>
    <w:p w14:paraId="3DC23F12">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（1）投标人是否符合本章第三节第</w:t>
      </w:r>
      <w:r>
        <w:rPr>
          <w:rFonts w:hint="eastAsia" w:ascii="宋体" w:hAnsi="宋体" w:cs="宋体"/>
          <w:b/>
          <w:bCs/>
          <w:snapToGrid w:val="0"/>
          <w:color w:val="auto"/>
          <w:kern w:val="0"/>
          <w:sz w:val="24"/>
          <w:szCs w:val="24"/>
          <w:highlight w:val="none"/>
        </w:rPr>
        <w:t>4.4</w:t>
      </w:r>
      <w:r>
        <w:rPr>
          <w:rFonts w:hint="eastAsia" w:ascii="宋体" w:hAnsi="宋体" w:cs="宋体"/>
          <w:snapToGrid w:val="0"/>
          <w:color w:val="auto"/>
          <w:kern w:val="0"/>
          <w:sz w:val="24"/>
          <w:szCs w:val="24"/>
          <w:highlight w:val="none"/>
        </w:rPr>
        <w:t>条“禁止投标条款”规定。</w:t>
      </w:r>
    </w:p>
    <w:p w14:paraId="1DD86E30">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（2）投标人名称是否与营业执照、资质证书一致。</w:t>
      </w:r>
    </w:p>
    <w:p w14:paraId="056BDB62">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（3）投标人的资质是否符合招标文件规定；其营业执照、资质证书是否合法、有效。</w:t>
      </w:r>
    </w:p>
    <w:p w14:paraId="234AE32E">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（4）投标文件中拟派</w:t>
      </w:r>
      <w:r>
        <w:rPr>
          <w:rFonts w:hint="eastAsia" w:ascii="宋体" w:hAnsi="宋体" w:cs="宋体"/>
          <w:color w:val="auto"/>
          <w:kern w:val="0"/>
          <w:sz w:val="24"/>
          <w:highlight w:val="none"/>
        </w:rPr>
        <w:t>项目负责人（即设计负责人）</w:t>
      </w:r>
      <w:r>
        <w:rPr>
          <w:rFonts w:hint="eastAsia" w:ascii="宋体" w:hAnsi="宋体" w:cs="宋体"/>
          <w:snapToGrid w:val="0"/>
          <w:color w:val="auto"/>
          <w:kern w:val="0"/>
          <w:sz w:val="24"/>
          <w:szCs w:val="24"/>
          <w:highlight w:val="none"/>
        </w:rPr>
        <w:t>的条件是否符合招标文件规定。</w:t>
      </w:r>
    </w:p>
    <w:p w14:paraId="07080FE8">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r>
        <w:rPr>
          <w:rFonts w:hint="eastAsia" w:ascii="宋体" w:hAnsi="宋体" w:cs="宋体"/>
          <w:b/>
          <w:bCs/>
          <w:snapToGrid w:val="0"/>
          <w:color w:val="auto"/>
          <w:kern w:val="0"/>
          <w:sz w:val="24"/>
          <w:szCs w:val="24"/>
          <w:highlight w:val="none"/>
        </w:rPr>
        <w:t>（本项目不适用）</w:t>
      </w:r>
    </w:p>
    <w:p w14:paraId="4ACA9576">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（6）投标人为外省建筑企业的，是否按规定在“进粤企业和人员诚信信息登记平台”录入企业及其拟派往本项目管理机构的所有人员信息并通过数据规范检查。</w:t>
      </w:r>
    </w:p>
    <w:p w14:paraId="7DFC2DC0">
      <w:pPr>
        <w:wordWrap w:val="0"/>
        <w:adjustRightInd w:val="0"/>
        <w:spacing w:line="288"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17.4.2</w:t>
      </w:r>
      <w:r>
        <w:rPr>
          <w:rFonts w:hint="eastAsia" w:ascii="宋体" w:hAnsi="宋体" w:cs="宋体"/>
          <w:snapToGrid w:val="0"/>
          <w:color w:val="auto"/>
          <w:kern w:val="0"/>
          <w:sz w:val="24"/>
          <w:szCs w:val="24"/>
          <w:highlight w:val="none"/>
        </w:rPr>
        <w:t>形式评审环节</w:t>
      </w:r>
    </w:p>
    <w:p w14:paraId="19B1C80B">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形式评审事项包括：</w:t>
      </w:r>
    </w:p>
    <w:p w14:paraId="1CEDDEF1">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（1）投标文件的分册组成是否符合招标文件规定。</w:t>
      </w:r>
    </w:p>
    <w:p w14:paraId="407DE6F1">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（2）本节第</w:t>
      </w:r>
      <w:r>
        <w:rPr>
          <w:rFonts w:hint="eastAsia" w:ascii="宋体" w:hAnsi="宋体" w:cs="宋体"/>
          <w:b/>
          <w:bCs/>
          <w:snapToGrid w:val="0"/>
          <w:color w:val="auto"/>
          <w:kern w:val="0"/>
          <w:sz w:val="24"/>
          <w:szCs w:val="24"/>
          <w:highlight w:val="none"/>
        </w:rPr>
        <w:t>10.2.2</w:t>
      </w:r>
      <w:r>
        <w:rPr>
          <w:rFonts w:hint="eastAsia" w:ascii="宋体" w:hAnsi="宋体" w:cs="宋体"/>
          <w:snapToGrid w:val="0"/>
          <w:color w:val="auto"/>
          <w:kern w:val="0"/>
          <w:sz w:val="24"/>
          <w:szCs w:val="24"/>
          <w:highlight w:val="none"/>
        </w:rPr>
        <w:t>目、第</w:t>
      </w:r>
      <w:r>
        <w:rPr>
          <w:rFonts w:hint="eastAsia" w:ascii="宋体" w:hAnsi="宋体" w:cs="宋体"/>
          <w:b/>
          <w:bCs/>
          <w:snapToGrid w:val="0"/>
          <w:color w:val="auto"/>
          <w:kern w:val="0"/>
          <w:sz w:val="24"/>
          <w:szCs w:val="24"/>
          <w:highlight w:val="none"/>
        </w:rPr>
        <w:t>10.3.2</w:t>
      </w:r>
      <w:r>
        <w:rPr>
          <w:rFonts w:hint="eastAsia" w:ascii="宋体" w:hAnsi="宋体" w:cs="宋体"/>
          <w:snapToGrid w:val="0"/>
          <w:color w:val="auto"/>
          <w:kern w:val="0"/>
          <w:sz w:val="24"/>
          <w:szCs w:val="24"/>
          <w:highlight w:val="none"/>
        </w:rPr>
        <w:t>目中规定的“所有投标人均应提供”的组成内容（包括该组成内容的所附资料）是否完整、齐全。</w:t>
      </w:r>
    </w:p>
    <w:p w14:paraId="214125D5">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（3）各分册是否按招标文件规定签字、盖章。</w:t>
      </w:r>
    </w:p>
    <w:p w14:paraId="4D87DB65">
      <w:pPr>
        <w:wordWrap w:val="0"/>
        <w:adjustRightInd w:val="0"/>
        <w:spacing w:line="288"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17.4.3</w:t>
      </w:r>
      <w:r>
        <w:rPr>
          <w:rFonts w:hint="eastAsia" w:ascii="宋体" w:hAnsi="宋体" w:cs="宋体"/>
          <w:snapToGrid w:val="0"/>
          <w:color w:val="auto"/>
          <w:kern w:val="0"/>
          <w:sz w:val="24"/>
          <w:szCs w:val="24"/>
          <w:highlight w:val="none"/>
        </w:rPr>
        <w:t>响应性评审环节</w:t>
      </w:r>
    </w:p>
    <w:p w14:paraId="01467195">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响应性评审事项包括：</w:t>
      </w:r>
    </w:p>
    <w:p w14:paraId="7DAA4E76">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（1）投标有效期、质量标准、工期等是否响应招标文件实质性要求；是否擅自修改、遗漏《投标函》《各项承诺一览表》的实质性内容。</w:t>
      </w:r>
    </w:p>
    <w:p w14:paraId="1E9693D7">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（2）投标总价是否唯一；投标报价是否超出最高投标限价。</w:t>
      </w:r>
    </w:p>
    <w:p w14:paraId="3AC57F6B">
      <w:pPr>
        <w:wordWrap w:val="0"/>
        <w:adjustRightInd w:val="0"/>
        <w:spacing w:line="288" w:lineRule="auto"/>
        <w:ind w:firstLine="480" w:firstLineChars="200"/>
        <w:rPr>
          <w:rFonts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（3）技术标书的质量、保障措施是否符合国家和省市现行有关规范、规定、标准，是否能实现工程质量、进度管理目标。</w:t>
      </w:r>
    </w:p>
    <w:p w14:paraId="366807E6">
      <w:pPr>
        <w:wordWrap w:val="0"/>
        <w:adjustRightInd w:val="0"/>
        <w:spacing w:line="288" w:lineRule="auto"/>
        <w:ind w:firstLine="562"/>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17.4.4</w:t>
      </w:r>
      <w:r>
        <w:rPr>
          <w:rFonts w:hint="eastAsia" w:ascii="宋体" w:hAnsi="宋体" w:cs="宋体"/>
          <w:snapToGrid w:val="0"/>
          <w:color w:val="auto"/>
          <w:kern w:val="0"/>
          <w:sz w:val="24"/>
          <w:szCs w:val="24"/>
          <w:highlight w:val="none"/>
        </w:rPr>
        <w:t>否决投标说明</w:t>
      </w:r>
    </w:p>
    <w:p w14:paraId="47CB66AE">
      <w:pPr>
        <w:wordWrap w:val="0"/>
        <w:adjustRightInd w:val="0"/>
        <w:spacing w:line="288" w:lineRule="auto"/>
        <w:ind w:firstLine="56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初步评审阶段各个环节否决投标的全部条件，在本章第四节“否决投标条件”第</w:t>
      </w:r>
      <w:r>
        <w:rPr>
          <w:rFonts w:hint="eastAsia" w:ascii="宋体" w:hAnsi="宋体" w:cs="宋体"/>
          <w:b/>
          <w:bCs/>
          <w:snapToGrid w:val="0"/>
          <w:color w:val="auto"/>
          <w:kern w:val="0"/>
          <w:sz w:val="24"/>
          <w:szCs w:val="24"/>
          <w:highlight w:val="none"/>
        </w:rPr>
        <w:t>1</w:t>
      </w:r>
      <w:r>
        <w:rPr>
          <w:rFonts w:hint="eastAsia" w:ascii="宋体" w:hAnsi="宋体" w:cs="宋体"/>
          <w:snapToGrid w:val="0"/>
          <w:color w:val="auto"/>
          <w:kern w:val="0"/>
          <w:sz w:val="24"/>
          <w:szCs w:val="24"/>
          <w:highlight w:val="none"/>
        </w:rPr>
        <w:t>条至第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EE20235">
      <w:pPr>
        <w:wordWrap w:val="0"/>
        <w:adjustRightInd w:val="0"/>
        <w:spacing w:line="288"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w:t>
      </w:r>
      <w:r>
        <w:rPr>
          <w:rFonts w:hint="eastAsia" w:ascii="宋体" w:hAnsi="宋体" w:cs="宋体"/>
          <w:snapToGrid w:val="0"/>
          <w:color w:val="auto"/>
          <w:kern w:val="0"/>
          <w:sz w:val="24"/>
          <w:szCs w:val="24"/>
          <w:highlight w:val="none"/>
        </w:rPr>
        <w:t>详细评审阶段</w:t>
      </w:r>
    </w:p>
    <w:p w14:paraId="29F3C592">
      <w:pPr>
        <w:wordWrap w:val="0"/>
        <w:adjustRightInd w:val="0"/>
        <w:spacing w:line="288"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17.5.1</w:t>
      </w:r>
      <w:r>
        <w:rPr>
          <w:rFonts w:hint="eastAsia" w:ascii="宋体" w:hAnsi="宋体" w:cs="宋体"/>
          <w:bCs/>
          <w:snapToGrid w:val="0"/>
          <w:color w:val="auto"/>
          <w:kern w:val="0"/>
          <w:sz w:val="24"/>
          <w:szCs w:val="24"/>
          <w:highlight w:val="none"/>
        </w:rPr>
        <w:t>“综合评估法”评审程序</w:t>
      </w:r>
    </w:p>
    <w:p w14:paraId="07BA4E87">
      <w:pPr>
        <w:wordWrap w:val="0"/>
        <w:adjustRightInd w:val="0"/>
        <w:spacing w:line="288"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评审内容分为商务、技术和投标报价三大部分，综合得分满分为100分。其中，商务部分满分为</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u w:val="single"/>
        </w:rPr>
        <w:t>0</w:t>
      </w:r>
      <w:r>
        <w:rPr>
          <w:rFonts w:hint="eastAsia" w:ascii="宋体" w:hAnsi="宋体" w:cs="宋体"/>
          <w:snapToGrid w:val="0"/>
          <w:color w:val="auto"/>
          <w:kern w:val="0"/>
          <w:sz w:val="24"/>
          <w:szCs w:val="24"/>
          <w:highlight w:val="none"/>
        </w:rPr>
        <w:t>分，技术部分满分为</w:t>
      </w:r>
      <w:r>
        <w:rPr>
          <w:rFonts w:hint="eastAsia" w:ascii="宋体" w:hAnsi="宋体" w:cs="宋体"/>
          <w:snapToGrid w:val="0"/>
          <w:color w:val="auto"/>
          <w:kern w:val="0"/>
          <w:sz w:val="24"/>
          <w:szCs w:val="24"/>
          <w:highlight w:val="none"/>
          <w:u w:val="single"/>
          <w:lang w:val="en-US" w:eastAsia="zh-CN"/>
        </w:rPr>
        <w:t>4</w:t>
      </w:r>
      <w:r>
        <w:rPr>
          <w:rFonts w:hint="eastAsia" w:ascii="宋体" w:hAnsi="宋体" w:cs="宋体"/>
          <w:snapToGrid w:val="0"/>
          <w:color w:val="auto"/>
          <w:kern w:val="0"/>
          <w:sz w:val="24"/>
          <w:szCs w:val="24"/>
          <w:highlight w:val="none"/>
          <w:u w:val="single"/>
        </w:rPr>
        <w:t>0</w:t>
      </w:r>
      <w:r>
        <w:rPr>
          <w:rFonts w:hint="eastAsia" w:ascii="宋体" w:hAnsi="宋体" w:cs="宋体"/>
          <w:snapToGrid w:val="0"/>
          <w:color w:val="auto"/>
          <w:kern w:val="0"/>
          <w:sz w:val="24"/>
          <w:szCs w:val="24"/>
          <w:highlight w:val="none"/>
        </w:rPr>
        <w:t>分，投标报价部分满分为</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u w:val="single"/>
        </w:rPr>
        <w:t>0</w:t>
      </w:r>
      <w:r>
        <w:rPr>
          <w:rFonts w:hint="eastAsia" w:ascii="宋体" w:hAnsi="宋体" w:cs="宋体"/>
          <w:snapToGrid w:val="0"/>
          <w:color w:val="auto"/>
          <w:kern w:val="0"/>
          <w:sz w:val="24"/>
          <w:szCs w:val="24"/>
          <w:highlight w:val="none"/>
        </w:rPr>
        <w:t>分。</w:t>
      </w:r>
    </w:p>
    <w:p w14:paraId="5F76FC1E">
      <w:pPr>
        <w:wordWrap w:val="0"/>
        <w:adjustRightInd w:val="0"/>
        <w:snapToGrid w:val="0"/>
        <w:spacing w:line="440" w:lineRule="exact"/>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除特别注明外，综合得分以及商务得分、技术得分、投标报价得分的中间过程计算值和最终值，均按“四舍五入”原则精确到两位小数。</w:t>
      </w:r>
    </w:p>
    <w:p w14:paraId="4C30069E">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（1）商务得分M</w:t>
      </w:r>
      <w:r>
        <w:rPr>
          <w:rFonts w:hint="eastAsia" w:ascii="宋体" w:hAnsi="宋体" w:cs="宋体"/>
          <w:snapToGrid w:val="0"/>
          <w:color w:val="auto"/>
          <w:kern w:val="0"/>
          <w:sz w:val="24"/>
          <w:szCs w:val="22"/>
          <w:highlight w:val="none"/>
          <w:vertAlign w:val="subscript"/>
        </w:rPr>
        <w:t>1</w:t>
      </w:r>
    </w:p>
    <w:p w14:paraId="6EC8E692">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评标委员会按照《综合评分表》商务部分指定的评分标准对各评分因素进行打分。各评分因素得分之和即为某投标人的商务得分M</w:t>
      </w:r>
      <w:r>
        <w:rPr>
          <w:rFonts w:hint="eastAsia" w:ascii="宋体" w:hAnsi="宋体" w:cs="宋体"/>
          <w:snapToGrid w:val="0"/>
          <w:color w:val="auto"/>
          <w:kern w:val="0"/>
          <w:sz w:val="24"/>
          <w:szCs w:val="22"/>
          <w:highlight w:val="none"/>
          <w:vertAlign w:val="subscript"/>
        </w:rPr>
        <w:t>1</w:t>
      </w:r>
      <w:r>
        <w:rPr>
          <w:rFonts w:hint="eastAsia" w:ascii="宋体" w:hAnsi="宋体" w:cs="宋体"/>
          <w:snapToGrid w:val="0"/>
          <w:color w:val="auto"/>
          <w:kern w:val="0"/>
          <w:sz w:val="24"/>
          <w:szCs w:val="22"/>
          <w:highlight w:val="none"/>
        </w:rPr>
        <w:t>。</w:t>
      </w:r>
    </w:p>
    <w:p w14:paraId="30A2D8A7">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（2）技术得分M</w:t>
      </w:r>
      <w:r>
        <w:rPr>
          <w:rFonts w:hint="eastAsia" w:ascii="宋体" w:hAnsi="宋体" w:cs="宋体"/>
          <w:snapToGrid w:val="0"/>
          <w:color w:val="auto"/>
          <w:kern w:val="0"/>
          <w:sz w:val="24"/>
          <w:szCs w:val="22"/>
          <w:highlight w:val="none"/>
          <w:vertAlign w:val="subscript"/>
        </w:rPr>
        <w:t>2</w:t>
      </w:r>
    </w:p>
    <w:p w14:paraId="3A4C6CA0">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color w:val="auto"/>
          <w:sz w:val="24"/>
          <w:szCs w:val="32"/>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2</w:t>
      </w:r>
      <w:r>
        <w:rPr>
          <w:rFonts w:hint="eastAsia" w:ascii="宋体" w:hAnsi="宋体" w:cs="宋体"/>
          <w:snapToGrid w:val="0"/>
          <w:color w:val="auto"/>
          <w:kern w:val="0"/>
          <w:sz w:val="24"/>
          <w:szCs w:val="22"/>
          <w:highlight w:val="none"/>
        </w:rPr>
        <w:t>。</w:t>
      </w:r>
    </w:p>
    <w:p w14:paraId="7B8A2199">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（3）投标报价得分M</w:t>
      </w:r>
      <w:r>
        <w:rPr>
          <w:rFonts w:hint="eastAsia" w:ascii="宋体" w:hAnsi="宋体" w:cs="宋体"/>
          <w:snapToGrid w:val="0"/>
          <w:color w:val="auto"/>
          <w:kern w:val="0"/>
          <w:sz w:val="24"/>
          <w:szCs w:val="22"/>
          <w:highlight w:val="none"/>
          <w:vertAlign w:val="subscript"/>
        </w:rPr>
        <w:t>3</w:t>
      </w:r>
    </w:p>
    <w:p w14:paraId="68148E3E">
      <w:pPr>
        <w:wordWrap w:val="0"/>
        <w:adjustRightInd w:val="0"/>
        <w:snapToGrid w:val="0"/>
        <w:spacing w:line="440" w:lineRule="exact"/>
        <w:ind w:firstLine="482" w:firstLineChars="200"/>
        <w:rPr>
          <w:rFonts w:ascii="宋体" w:hAnsi="宋体" w:cs="宋体"/>
          <w:snapToGrid w:val="0"/>
          <w:color w:val="auto"/>
          <w:kern w:val="0"/>
          <w:sz w:val="24"/>
          <w:szCs w:val="22"/>
          <w:highlight w:val="none"/>
        </w:rPr>
      </w:pPr>
      <w:r>
        <w:rPr>
          <w:rFonts w:hint="eastAsia" w:ascii="宋体" w:hAnsi="宋体" w:cs="宋体"/>
          <w:b/>
          <w:bCs/>
          <w:snapToGrid w:val="0"/>
          <w:color w:val="auto"/>
          <w:kern w:val="0"/>
          <w:sz w:val="24"/>
          <w:szCs w:val="22"/>
          <w:highlight w:val="none"/>
        </w:rPr>
        <w:t>a</w:t>
      </w:r>
      <w:r>
        <w:rPr>
          <w:rFonts w:hint="eastAsia" w:ascii="宋体" w:hAnsi="宋体" w:cs="宋体"/>
          <w:snapToGrid w:val="0"/>
          <w:color w:val="auto"/>
          <w:kern w:val="0"/>
          <w:sz w:val="24"/>
          <w:szCs w:val="22"/>
          <w:highlight w:val="none"/>
        </w:rPr>
        <w:t>．评标委员会按照《综合评分表》投标报价部分指定的方法计算评标基准价D。</w:t>
      </w:r>
    </w:p>
    <w:p w14:paraId="0A27E131">
      <w:pPr>
        <w:wordWrap w:val="0"/>
        <w:adjustRightInd w:val="0"/>
        <w:snapToGrid w:val="0"/>
        <w:spacing w:line="440" w:lineRule="exact"/>
        <w:ind w:firstLine="482" w:firstLineChars="200"/>
        <w:rPr>
          <w:rFonts w:ascii="宋体" w:hAnsi="宋体" w:cs="宋体"/>
          <w:snapToGrid w:val="0"/>
          <w:color w:val="auto"/>
          <w:kern w:val="0"/>
          <w:sz w:val="24"/>
          <w:szCs w:val="22"/>
          <w:highlight w:val="none"/>
        </w:rPr>
      </w:pPr>
      <w:r>
        <w:rPr>
          <w:rFonts w:hint="eastAsia" w:ascii="宋体" w:hAnsi="宋体" w:cs="宋体"/>
          <w:b/>
          <w:bCs/>
          <w:snapToGrid w:val="0"/>
          <w:color w:val="auto"/>
          <w:kern w:val="0"/>
          <w:sz w:val="24"/>
          <w:szCs w:val="22"/>
          <w:highlight w:val="none"/>
        </w:rPr>
        <w:t>b</w:t>
      </w:r>
      <w:r>
        <w:rPr>
          <w:rFonts w:hint="eastAsia" w:ascii="宋体" w:hAnsi="宋体" w:cs="宋体"/>
          <w:snapToGrid w:val="0"/>
          <w:color w:val="auto"/>
          <w:kern w:val="0"/>
          <w:sz w:val="24"/>
          <w:szCs w:val="22"/>
          <w:highlight w:val="none"/>
        </w:rPr>
        <w:t>．采用内插法计算某投标人的投标报价得分M</w:t>
      </w:r>
      <w:r>
        <w:rPr>
          <w:rFonts w:hint="eastAsia" w:ascii="宋体" w:hAnsi="宋体" w:cs="宋体"/>
          <w:snapToGrid w:val="0"/>
          <w:color w:val="auto"/>
          <w:kern w:val="0"/>
          <w:sz w:val="24"/>
          <w:szCs w:val="22"/>
          <w:highlight w:val="none"/>
          <w:vertAlign w:val="subscript"/>
        </w:rPr>
        <w:t>3</w:t>
      </w:r>
      <w:r>
        <w:rPr>
          <w:rFonts w:hint="eastAsia" w:ascii="宋体" w:hAnsi="宋体" w:cs="宋体"/>
          <w:snapToGrid w:val="0"/>
          <w:color w:val="auto"/>
          <w:kern w:val="0"/>
          <w:sz w:val="24"/>
          <w:szCs w:val="22"/>
          <w:highlight w:val="none"/>
        </w:rPr>
        <w:t>，即当投标人的投标总价等于评标基准价时得40分，每高于评标基准价一个百分点扣1分，每低于评标基准价一个百分点扣0.5分，扣完为止。公式如下：</w:t>
      </w:r>
    </w:p>
    <w:p w14:paraId="775C08A0">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3</w:t>
      </w:r>
      <w:r>
        <w:rPr>
          <w:rFonts w:hint="eastAsia" w:ascii="宋体" w:hAnsi="宋体" w:cs="宋体"/>
          <w:snapToGrid w:val="0"/>
          <w:color w:val="auto"/>
          <w:kern w:val="0"/>
          <w:sz w:val="24"/>
          <w:szCs w:val="22"/>
          <w:highlight w:val="none"/>
        </w:rPr>
        <w:t>＝40－（|Di－D|÷D）×100×E</w:t>
      </w:r>
    </w:p>
    <w:p w14:paraId="16CF0C4A">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式中：D为评标基准价；Di为某投标人的投标总价；E为扣分因子，当Di＞D时，E＝1；当Di＜D时，E＝0.5。</w:t>
      </w:r>
    </w:p>
    <w:p w14:paraId="136C13AF">
      <w:pPr>
        <w:wordWrap w:val="0"/>
        <w:adjustRightInd w:val="0"/>
        <w:snapToGrid w:val="0"/>
        <w:spacing w:line="440" w:lineRule="exact"/>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（3）综合得分M</w:t>
      </w:r>
    </w:p>
    <w:p w14:paraId="2331245E">
      <w:pPr>
        <w:wordWrap w:val="0"/>
        <w:adjustRightInd w:val="0"/>
        <w:snapToGrid w:val="0"/>
        <w:spacing w:line="440" w:lineRule="exact"/>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综合得分满分100分，公式如下：</w:t>
      </w:r>
    </w:p>
    <w:p w14:paraId="14BEC6DC">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综合得分M＝M</w:t>
      </w:r>
      <w:r>
        <w:rPr>
          <w:rFonts w:hint="eastAsia" w:ascii="宋体" w:hAnsi="宋体" w:cs="宋体"/>
          <w:snapToGrid w:val="0"/>
          <w:color w:val="auto"/>
          <w:kern w:val="0"/>
          <w:sz w:val="24"/>
          <w:szCs w:val="22"/>
          <w:highlight w:val="none"/>
          <w:vertAlign w:val="subscript"/>
        </w:rPr>
        <w:t>1</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2</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3</w:t>
      </w:r>
    </w:p>
    <w:p w14:paraId="532D2DF8">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式中：M</w:t>
      </w:r>
      <w:r>
        <w:rPr>
          <w:rFonts w:hint="eastAsia" w:ascii="宋体" w:hAnsi="宋体" w:cs="宋体"/>
          <w:color w:val="auto"/>
          <w:sz w:val="24"/>
          <w:szCs w:val="32"/>
          <w:highlight w:val="none"/>
        </w:rPr>
        <w:t>为综合得分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1</w:t>
      </w:r>
      <w:r>
        <w:rPr>
          <w:rFonts w:hint="eastAsia" w:ascii="宋体" w:hAnsi="宋体" w:cs="宋体"/>
          <w:color w:val="auto"/>
          <w:sz w:val="24"/>
          <w:szCs w:val="32"/>
          <w:highlight w:val="none"/>
        </w:rPr>
        <w:t>为商务得分，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2</w:t>
      </w:r>
      <w:r>
        <w:rPr>
          <w:rFonts w:hint="eastAsia" w:ascii="宋体" w:hAnsi="宋体" w:cs="宋体"/>
          <w:color w:val="auto"/>
          <w:sz w:val="24"/>
          <w:szCs w:val="32"/>
          <w:highlight w:val="none"/>
        </w:rPr>
        <w:t>为技术得分，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3</w:t>
      </w:r>
      <w:r>
        <w:rPr>
          <w:rFonts w:hint="eastAsia" w:ascii="宋体" w:hAnsi="宋体" w:cs="宋体"/>
          <w:snapToGrid w:val="0"/>
          <w:color w:val="auto"/>
          <w:kern w:val="0"/>
          <w:sz w:val="24"/>
          <w:szCs w:val="22"/>
          <w:highlight w:val="none"/>
        </w:rPr>
        <w:t>为投标报价得分。</w:t>
      </w:r>
    </w:p>
    <w:p w14:paraId="69571D00">
      <w:pPr>
        <w:numPr>
          <w:ilvl w:val="0"/>
          <w:numId w:val="2"/>
        </w:numPr>
        <w:wordWrap w:val="0"/>
        <w:adjustRightInd w:val="0"/>
        <w:snapToGrid w:val="0"/>
        <w:spacing w:line="440" w:lineRule="exact"/>
        <w:ind w:firstLine="480" w:firstLineChars="200"/>
        <w:rPr>
          <w:rFonts w:ascii="宋体" w:hAnsi="宋体" w:cs="宋体"/>
          <w:snapToGrid w:val="0"/>
          <w:color w:val="auto"/>
          <w:kern w:val="0"/>
          <w:sz w:val="24"/>
          <w:szCs w:val="32"/>
          <w:highlight w:val="none"/>
        </w:rPr>
      </w:pPr>
      <w:r>
        <w:rPr>
          <w:rFonts w:hint="eastAsia" w:ascii="宋体" w:hAnsi="宋体" w:cs="宋体"/>
          <w:snapToGrid w:val="0"/>
          <w:color w:val="auto"/>
          <w:kern w:val="0"/>
          <w:sz w:val="24"/>
          <w:szCs w:val="22"/>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w:t>
      </w:r>
      <w:r>
        <w:rPr>
          <w:rFonts w:hint="eastAsia" w:ascii="宋体" w:hAnsi="宋体" w:cs="宋体"/>
          <w:snapToGrid w:val="0"/>
          <w:color w:val="auto"/>
          <w:kern w:val="0"/>
          <w:sz w:val="24"/>
          <w:szCs w:val="32"/>
          <w:highlight w:val="none"/>
        </w:rPr>
        <w:t>由评标委员会投票确定。</w:t>
      </w:r>
    </w:p>
    <w:p w14:paraId="44922EEE">
      <w:pPr>
        <w:wordWrap w:val="0"/>
        <w:adjustRightInd w:val="0"/>
        <w:snapToGrid w:val="0"/>
        <w:spacing w:line="440" w:lineRule="exact"/>
        <w:rPr>
          <w:rFonts w:ascii="宋体" w:hAnsi="宋体" w:cs="宋体"/>
          <w:snapToGrid w:val="0"/>
          <w:color w:val="auto"/>
          <w:kern w:val="0"/>
          <w:sz w:val="24"/>
          <w:szCs w:val="32"/>
          <w:highlight w:val="none"/>
        </w:rPr>
      </w:pPr>
    </w:p>
    <w:p w14:paraId="24287551">
      <w:pPr>
        <w:wordWrap w:val="0"/>
        <w:adjustRightInd w:val="0"/>
        <w:snapToGrid w:val="0"/>
        <w:spacing w:line="440" w:lineRule="exact"/>
        <w:rPr>
          <w:rFonts w:ascii="宋体" w:hAnsi="宋体" w:cs="宋体"/>
          <w:snapToGrid w:val="0"/>
          <w:color w:val="auto"/>
          <w:kern w:val="0"/>
          <w:sz w:val="24"/>
          <w:szCs w:val="32"/>
          <w:highlight w:val="none"/>
        </w:rPr>
      </w:pPr>
    </w:p>
    <w:p w14:paraId="1EBFEEB6">
      <w:pPr>
        <w:wordWrap w:val="0"/>
        <w:adjustRightInd w:val="0"/>
        <w:snapToGrid w:val="0"/>
        <w:spacing w:line="440" w:lineRule="exact"/>
        <w:rPr>
          <w:rFonts w:ascii="宋体" w:hAnsi="宋体" w:cs="宋体"/>
          <w:snapToGrid w:val="0"/>
          <w:color w:val="auto"/>
          <w:kern w:val="0"/>
          <w:sz w:val="24"/>
          <w:szCs w:val="32"/>
          <w:highlight w:val="none"/>
        </w:rPr>
      </w:pPr>
    </w:p>
    <w:p w14:paraId="193C515E">
      <w:pPr>
        <w:rPr>
          <w:rFonts w:ascii="宋体" w:hAnsi="宋体" w:cs="宋体"/>
          <w:color w:val="auto"/>
          <w:highlight w:val="none"/>
        </w:rPr>
      </w:pPr>
    </w:p>
    <w:p w14:paraId="19F3BF06">
      <w:pPr>
        <w:snapToGrid w:val="0"/>
        <w:spacing w:line="360" w:lineRule="auto"/>
        <w:jc w:val="center"/>
        <w:rPr>
          <w:rStyle w:val="27"/>
          <w:rFonts w:hint="eastAsia" w:ascii="宋体" w:hAnsi="宋体" w:cs="宋体"/>
          <w:b/>
          <w:bCs/>
          <w:color w:val="auto"/>
          <w:kern w:val="0"/>
          <w:sz w:val="30"/>
          <w:szCs w:val="30"/>
          <w:highlight w:val="none"/>
        </w:rPr>
        <w:sectPr>
          <w:endnotePr>
            <w:numFmt w:val="decimal"/>
          </w:endnotePr>
          <w:pgSz w:w="11907" w:h="16840"/>
          <w:pgMar w:top="1134" w:right="1134" w:bottom="1134" w:left="1134" w:header="850" w:footer="850" w:gutter="0"/>
          <w:pgNumType w:start="1"/>
          <w:cols w:space="720" w:num="1"/>
          <w:docGrid w:type="lines" w:linePitch="272" w:charSpace="0"/>
        </w:sectPr>
      </w:pPr>
    </w:p>
    <w:p w14:paraId="3A2AB181">
      <w:pPr>
        <w:snapToGrid w:val="0"/>
        <w:spacing w:line="360" w:lineRule="auto"/>
        <w:jc w:val="center"/>
        <w:rPr>
          <w:rStyle w:val="27"/>
          <w:rFonts w:ascii="宋体" w:hAnsi="宋体" w:cs="宋体"/>
          <w:color w:val="auto"/>
          <w:kern w:val="0"/>
          <w:highlight w:val="none"/>
        </w:rPr>
      </w:pPr>
      <w:r>
        <w:rPr>
          <w:rStyle w:val="27"/>
          <w:rFonts w:hint="eastAsia" w:ascii="宋体" w:hAnsi="宋体" w:cs="宋体"/>
          <w:b/>
          <w:bCs/>
          <w:color w:val="auto"/>
          <w:kern w:val="0"/>
          <w:sz w:val="30"/>
          <w:szCs w:val="30"/>
          <w:highlight w:val="none"/>
        </w:rPr>
        <w:t>综合评分表</w:t>
      </w:r>
    </w:p>
    <w:tbl>
      <w:tblPr>
        <w:tblStyle w:val="17"/>
        <w:tblW w:w="9572" w:type="dxa"/>
        <w:jc w:val="center"/>
        <w:tblLayout w:type="fixed"/>
        <w:tblCellMar>
          <w:top w:w="0" w:type="dxa"/>
          <w:left w:w="108" w:type="dxa"/>
          <w:bottom w:w="0" w:type="dxa"/>
          <w:right w:w="108" w:type="dxa"/>
        </w:tblCellMar>
      </w:tblPr>
      <w:tblGrid>
        <w:gridCol w:w="1027"/>
        <w:gridCol w:w="4590"/>
        <w:gridCol w:w="3955"/>
      </w:tblGrid>
      <w:tr w14:paraId="3781D0AA">
        <w:tblPrEx>
          <w:tblCellMar>
            <w:top w:w="0" w:type="dxa"/>
            <w:left w:w="108" w:type="dxa"/>
            <w:bottom w:w="0" w:type="dxa"/>
            <w:right w:w="108" w:type="dxa"/>
          </w:tblCellMar>
        </w:tblPrEx>
        <w:trPr>
          <w:trHeight w:val="624" w:hRule="exact"/>
          <w:jc w:val="center"/>
        </w:trPr>
        <w:tc>
          <w:tcPr>
            <w:tcW w:w="9572"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6D0E6F18">
            <w:pPr>
              <w:pStyle w:val="8"/>
              <w:tabs>
                <w:tab w:val="left" w:pos="1354"/>
                <w:tab w:val="left" w:pos="1459"/>
                <w:tab w:val="center" w:pos="3902"/>
                <w:tab w:val="right" w:pos="7805"/>
              </w:tabs>
              <w:wordWrap w:val="0"/>
              <w:adjustRightInd w:val="0"/>
              <w:snapToGrid w:val="0"/>
              <w:spacing w:after="0" w:line="440" w:lineRule="exact"/>
              <w:rPr>
                <w:rFonts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商务部分，满分：</w:t>
            </w:r>
            <w:r>
              <w:rPr>
                <w:rFonts w:hint="eastAsia" w:ascii="黑体" w:hAnsi="黑体" w:eastAsia="黑体" w:cs="黑体"/>
                <w:snapToGrid w:val="0"/>
                <w:color w:val="auto"/>
                <w:kern w:val="0"/>
                <w:szCs w:val="21"/>
                <w:highlight w:val="none"/>
                <w:u w:val="single"/>
              </w:rPr>
              <w:t xml:space="preserve"> </w:t>
            </w:r>
            <w:r>
              <w:rPr>
                <w:rFonts w:hint="eastAsia" w:ascii="黑体" w:hAnsi="黑体" w:eastAsia="黑体" w:cs="黑体"/>
                <w:snapToGrid w:val="0"/>
                <w:color w:val="auto"/>
                <w:kern w:val="0"/>
                <w:szCs w:val="21"/>
                <w:highlight w:val="none"/>
                <w:u w:val="single"/>
                <w:lang w:val="en-US" w:eastAsia="zh-CN"/>
              </w:rPr>
              <w:t>50</w:t>
            </w:r>
            <w:r>
              <w:rPr>
                <w:rFonts w:hint="eastAsia" w:ascii="黑体" w:hAnsi="黑体" w:eastAsia="黑体" w:cs="黑体"/>
                <w:snapToGrid w:val="0"/>
                <w:color w:val="auto"/>
                <w:kern w:val="0"/>
                <w:szCs w:val="21"/>
                <w:highlight w:val="none"/>
              </w:rPr>
              <w:t>分。</w:t>
            </w:r>
          </w:p>
        </w:tc>
      </w:tr>
      <w:tr w14:paraId="623AC786">
        <w:tblPrEx>
          <w:tblCellMar>
            <w:top w:w="0" w:type="dxa"/>
            <w:left w:w="108" w:type="dxa"/>
            <w:bottom w:w="0" w:type="dxa"/>
            <w:right w:w="108" w:type="dxa"/>
          </w:tblCellMar>
        </w:tblPrEx>
        <w:trPr>
          <w:trHeight w:val="494" w:hRule="exac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67564FE">
            <w:pPr>
              <w:pStyle w:val="8"/>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exact"/>
              <w:jc w:val="center"/>
              <w:textAlignment w:val="auto"/>
              <w:rPr>
                <w:rFonts w:hint="eastAsia"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评分</w:t>
            </w:r>
          </w:p>
          <w:p w14:paraId="3674AA7F">
            <w:pPr>
              <w:pStyle w:val="8"/>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exact"/>
              <w:jc w:val="center"/>
              <w:textAlignment w:val="auto"/>
              <w:rPr>
                <w:rFonts w:hint="eastAsia"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因素</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0F5716B3">
            <w:pPr>
              <w:pStyle w:val="8"/>
              <w:tabs>
                <w:tab w:val="left" w:pos="1354"/>
                <w:tab w:val="left" w:pos="1459"/>
                <w:tab w:val="center" w:pos="3902"/>
                <w:tab w:val="right" w:pos="7805"/>
              </w:tabs>
              <w:wordWrap w:val="0"/>
              <w:adjustRightInd w:val="0"/>
              <w:snapToGrid w:val="0"/>
              <w:spacing w:after="0" w:line="440" w:lineRule="exact"/>
              <w:jc w:val="center"/>
              <w:rPr>
                <w:rFonts w:hint="eastAsia"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评分标准</w:t>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33A1D6AB">
            <w:pPr>
              <w:pStyle w:val="8"/>
              <w:tabs>
                <w:tab w:val="left" w:pos="1354"/>
                <w:tab w:val="left" w:pos="1459"/>
                <w:tab w:val="center" w:pos="3902"/>
                <w:tab w:val="right" w:pos="7805"/>
              </w:tabs>
              <w:wordWrap w:val="0"/>
              <w:adjustRightInd w:val="0"/>
              <w:snapToGrid w:val="0"/>
              <w:spacing w:after="0" w:line="440" w:lineRule="exact"/>
              <w:jc w:val="center"/>
              <w:rPr>
                <w:rFonts w:hint="eastAsia"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备注</w:t>
            </w:r>
          </w:p>
        </w:tc>
      </w:tr>
      <w:tr w14:paraId="4D29DD88">
        <w:tblPrEx>
          <w:tblCellMar>
            <w:top w:w="0" w:type="dxa"/>
            <w:left w:w="108" w:type="dxa"/>
            <w:bottom w:w="0" w:type="dxa"/>
            <w:right w:w="108" w:type="dxa"/>
          </w:tblCellMar>
        </w:tblPrEx>
        <w:trPr>
          <w:trHeight w:val="3867"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1AD1C01">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企业</w:t>
            </w:r>
          </w:p>
          <w:p w14:paraId="18E14548">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奖项</w:t>
            </w:r>
          </w:p>
          <w:p w14:paraId="743D4101">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w:t>
            </w:r>
            <w:r>
              <w:rPr>
                <w:rFonts w:hint="eastAsia" w:ascii="宋体" w:hAnsi="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lang w:val="en-US" w:eastAsia="zh-CN"/>
              </w:rPr>
              <w:t>分）</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528968C6">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 xml:space="preserve">投标人近 </w:t>
            </w:r>
            <w:r>
              <w:rPr>
                <w:rFonts w:hint="eastAsia" w:ascii="宋体" w:hAnsi="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val="en-US" w:eastAsia="zh-CN"/>
              </w:rPr>
              <w:t>年来（20</w:t>
            </w:r>
            <w:r>
              <w:rPr>
                <w:rFonts w:hint="eastAsia" w:ascii="宋体" w:hAnsi="宋体" w:cs="宋体"/>
                <w:snapToGrid w:val="0"/>
                <w:color w:val="auto"/>
                <w:kern w:val="0"/>
                <w:sz w:val="21"/>
                <w:szCs w:val="21"/>
                <w:highlight w:val="none"/>
                <w:lang w:val="en-US" w:eastAsia="zh-CN"/>
              </w:rPr>
              <w:t>21</w:t>
            </w:r>
            <w:r>
              <w:rPr>
                <w:rFonts w:hint="eastAsia" w:ascii="宋体" w:hAnsi="宋体" w:eastAsia="宋体" w:cs="宋体"/>
                <w:snapToGrid w:val="0"/>
                <w:color w:val="auto"/>
                <w:kern w:val="0"/>
                <w:sz w:val="21"/>
                <w:szCs w:val="21"/>
                <w:highlight w:val="none"/>
                <w:lang w:val="en-US" w:eastAsia="zh-CN"/>
              </w:rPr>
              <w:t>年1月1日至今），承接的</w:t>
            </w:r>
            <w:r>
              <w:rPr>
                <w:rFonts w:hint="eastAsia" w:ascii="宋体" w:hAnsi="宋体" w:eastAsia="宋体" w:cs="宋体"/>
                <w:b w:val="0"/>
                <w:bCs w:val="0"/>
                <w:snapToGrid w:val="0"/>
                <w:color w:val="auto"/>
                <w:kern w:val="0"/>
                <w:sz w:val="21"/>
                <w:szCs w:val="21"/>
                <w:highlight w:val="none"/>
                <w:u w:val="single"/>
                <w:lang w:val="en-US" w:eastAsia="zh-CN"/>
              </w:rPr>
              <w:t>市政公用工程类设计项目</w:t>
            </w:r>
            <w:r>
              <w:rPr>
                <w:rFonts w:hint="eastAsia" w:ascii="宋体" w:hAnsi="宋体" w:eastAsia="宋体" w:cs="宋体"/>
                <w:snapToGrid w:val="0"/>
                <w:color w:val="auto"/>
                <w:kern w:val="0"/>
                <w:sz w:val="21"/>
                <w:szCs w:val="21"/>
                <w:highlight w:val="none"/>
                <w:lang w:val="en-US" w:eastAsia="zh-CN"/>
              </w:rPr>
              <w:t>业绩获得奖项情况：</w:t>
            </w:r>
          </w:p>
          <w:p w14:paraId="6C39D1EB">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1.获得国家级奖项的，每个得</w:t>
            </w:r>
            <w:r>
              <w:rPr>
                <w:rFonts w:hint="eastAsia" w:ascii="宋体" w:hAnsi="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val="en-US" w:eastAsia="zh-CN"/>
              </w:rPr>
              <w:t>分；</w:t>
            </w:r>
          </w:p>
          <w:p w14:paraId="40D04B68">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2.获得省级奖项的，每个得</w:t>
            </w: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val="en-US" w:eastAsia="zh-CN"/>
              </w:rPr>
              <w:t>分；</w:t>
            </w:r>
          </w:p>
          <w:p w14:paraId="70A67346">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3.获得市级奖项，每个得</w:t>
            </w: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分；</w:t>
            </w:r>
          </w:p>
          <w:p w14:paraId="4740BCC4">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4.以上奖项均未获得的，不予计分。</w:t>
            </w:r>
          </w:p>
          <w:p w14:paraId="6E2AF772">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本项最高得</w:t>
            </w:r>
            <w:r>
              <w:rPr>
                <w:rFonts w:hint="eastAsia" w:ascii="宋体" w:hAnsi="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lang w:val="en-US" w:eastAsia="zh-CN"/>
              </w:rPr>
              <w:t>分。</w:t>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5DB0275A">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同一投标人可以提交多个</w:t>
            </w:r>
            <w:r>
              <w:rPr>
                <w:rFonts w:hint="eastAsia" w:ascii="宋体" w:hAnsi="宋体" w:eastAsia="宋体" w:cs="宋体"/>
                <w:snapToGrid w:val="0"/>
                <w:color w:val="auto"/>
                <w:kern w:val="0"/>
                <w:sz w:val="21"/>
                <w:szCs w:val="21"/>
                <w:highlight w:val="none"/>
                <w:lang w:val="en-US" w:eastAsia="zh-CN"/>
              </w:rPr>
              <w:t>项目</w:t>
            </w:r>
            <w:r>
              <w:rPr>
                <w:rFonts w:hint="eastAsia" w:ascii="宋体" w:hAnsi="宋体" w:eastAsia="宋体" w:cs="宋体"/>
                <w:snapToGrid w:val="0"/>
                <w:color w:val="auto"/>
                <w:kern w:val="0"/>
                <w:sz w:val="21"/>
                <w:szCs w:val="21"/>
                <w:highlight w:val="none"/>
              </w:rPr>
              <w:t>奖项供评审，但同一</w:t>
            </w:r>
            <w:r>
              <w:rPr>
                <w:rFonts w:hint="eastAsia" w:ascii="宋体" w:hAnsi="宋体" w:eastAsia="宋体" w:cs="宋体"/>
                <w:snapToGrid w:val="0"/>
                <w:color w:val="auto"/>
                <w:kern w:val="0"/>
                <w:sz w:val="21"/>
                <w:szCs w:val="21"/>
                <w:highlight w:val="none"/>
                <w:lang w:val="en-US" w:eastAsia="zh-CN"/>
              </w:rPr>
              <w:t>项目</w:t>
            </w:r>
            <w:r>
              <w:rPr>
                <w:rFonts w:hint="eastAsia" w:ascii="宋体" w:hAnsi="宋体" w:eastAsia="宋体" w:cs="宋体"/>
                <w:snapToGrid w:val="0"/>
                <w:color w:val="auto"/>
                <w:kern w:val="0"/>
                <w:sz w:val="21"/>
                <w:szCs w:val="21"/>
                <w:highlight w:val="none"/>
              </w:rPr>
              <w:t>奖项只按最高获奖等级计分，不同</w:t>
            </w:r>
            <w:r>
              <w:rPr>
                <w:rFonts w:hint="eastAsia" w:ascii="宋体" w:hAnsi="宋体" w:eastAsia="宋体" w:cs="宋体"/>
                <w:snapToGrid w:val="0"/>
                <w:color w:val="auto"/>
                <w:kern w:val="0"/>
                <w:sz w:val="21"/>
                <w:szCs w:val="21"/>
                <w:highlight w:val="none"/>
                <w:lang w:val="en-US" w:eastAsia="zh-CN"/>
              </w:rPr>
              <w:t>项目</w:t>
            </w:r>
            <w:r>
              <w:rPr>
                <w:rFonts w:hint="eastAsia" w:ascii="宋体" w:hAnsi="宋体" w:eastAsia="宋体" w:cs="宋体"/>
                <w:snapToGrid w:val="0"/>
                <w:color w:val="auto"/>
                <w:kern w:val="0"/>
                <w:sz w:val="21"/>
                <w:szCs w:val="21"/>
                <w:highlight w:val="none"/>
              </w:rPr>
              <w:t>奖项可累加计分。</w:t>
            </w:r>
          </w:p>
          <w:p w14:paraId="00F70263">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颁发机构限定以下范围</w:t>
            </w:r>
            <w:r>
              <w:rPr>
                <w:rFonts w:hint="eastAsia" w:ascii="宋体" w:hAnsi="宋体" w:eastAsia="宋体" w:cs="宋体"/>
                <w:snapToGrid w:val="0"/>
                <w:color w:val="auto"/>
                <w:kern w:val="0"/>
                <w:sz w:val="21"/>
                <w:szCs w:val="21"/>
                <w:highlight w:val="none"/>
                <w:lang w:eastAsia="zh-CN"/>
              </w:rPr>
              <w:t>：</w:t>
            </w:r>
          </w:p>
          <w:p w14:paraId="34A9B33A">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国家、省、市工</w:t>
            </w:r>
            <w:r>
              <w:rPr>
                <w:rFonts w:hint="eastAsia" w:ascii="宋体" w:hAnsi="宋体" w:eastAsia="宋体" w:cs="宋体"/>
                <w:snapToGrid w:val="0"/>
                <w:color w:val="auto"/>
                <w:kern w:val="0"/>
                <w:sz w:val="21"/>
                <w:szCs w:val="21"/>
                <w:highlight w:val="none"/>
              </w:rPr>
              <w:t>程勘察设计行业协会</w:t>
            </w:r>
            <w:r>
              <w:rPr>
                <w:rFonts w:hint="eastAsia" w:ascii="宋体" w:hAnsi="宋体" w:eastAsia="宋体" w:cs="宋体"/>
                <w:snapToGrid w:val="0"/>
                <w:color w:val="auto"/>
                <w:kern w:val="0"/>
                <w:sz w:val="21"/>
                <w:szCs w:val="21"/>
                <w:highlight w:val="none"/>
                <w:lang w:eastAsia="zh-CN"/>
              </w:rPr>
              <w:t>或勘察设计协会</w:t>
            </w:r>
            <w:r>
              <w:rPr>
                <w:rFonts w:hint="eastAsia" w:ascii="宋体" w:hAnsi="宋体" w:cs="宋体"/>
                <w:snapToGrid w:val="0"/>
                <w:color w:val="auto"/>
                <w:kern w:val="0"/>
                <w:sz w:val="21"/>
                <w:szCs w:val="21"/>
                <w:highlight w:val="none"/>
                <w:lang w:val="en-US" w:eastAsia="zh-CN"/>
              </w:rPr>
              <w:t>或行政主管部门</w:t>
            </w:r>
            <w:r>
              <w:rPr>
                <w:rFonts w:hint="eastAsia" w:ascii="宋体" w:hAnsi="宋体" w:eastAsia="宋体" w:cs="宋体"/>
                <w:snapToGrid w:val="0"/>
                <w:color w:val="auto"/>
                <w:kern w:val="0"/>
                <w:sz w:val="21"/>
                <w:szCs w:val="21"/>
                <w:highlight w:val="none"/>
                <w:lang w:eastAsia="zh-CN"/>
              </w:rPr>
              <w:t>。</w:t>
            </w:r>
          </w:p>
          <w:p w14:paraId="1E0C9942">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需附</w:t>
            </w:r>
            <w:r>
              <w:rPr>
                <w:rFonts w:hint="eastAsia" w:ascii="宋体" w:hAnsi="宋体" w:eastAsia="宋体" w:cs="宋体"/>
                <w:color w:val="auto"/>
                <w:sz w:val="21"/>
                <w:szCs w:val="21"/>
                <w:highlight w:val="none"/>
              </w:rPr>
              <w:t>相关的获奖证书或</w:t>
            </w:r>
            <w:r>
              <w:rPr>
                <w:rFonts w:hint="eastAsia" w:ascii="宋体" w:hAnsi="宋体" w:eastAsia="宋体" w:cs="宋体"/>
                <w:color w:val="000000"/>
                <w:sz w:val="21"/>
                <w:szCs w:val="21"/>
                <w:highlight w:val="none"/>
              </w:rPr>
              <w:t>正式获奖文件</w:t>
            </w:r>
            <w:r>
              <w:rPr>
                <w:rFonts w:hint="eastAsia" w:ascii="宋体" w:hAnsi="宋体" w:eastAsia="宋体" w:cs="宋体"/>
                <w:snapToGrid w:val="0"/>
                <w:color w:val="auto"/>
                <w:kern w:val="0"/>
                <w:sz w:val="21"/>
                <w:szCs w:val="21"/>
                <w:highlight w:val="none"/>
                <w:lang w:eastAsia="zh-CN"/>
              </w:rPr>
              <w:t>彩色扫描件</w:t>
            </w:r>
            <w:r>
              <w:rPr>
                <w:rFonts w:hint="eastAsia" w:ascii="宋体" w:hAnsi="宋体" w:eastAsia="宋体" w:cs="宋体"/>
                <w:snapToGrid w:val="0"/>
                <w:color w:val="auto"/>
                <w:kern w:val="0"/>
                <w:sz w:val="21"/>
                <w:szCs w:val="21"/>
                <w:highlight w:val="none"/>
              </w:rPr>
              <w:t>并加盖公章。</w:t>
            </w:r>
          </w:p>
          <w:p w14:paraId="79FD29F3">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．获奖时间以</w:t>
            </w:r>
            <w:r>
              <w:rPr>
                <w:rFonts w:hint="eastAsia" w:ascii="宋体" w:hAnsi="宋体" w:eastAsia="宋体" w:cs="宋体"/>
                <w:color w:val="000000"/>
                <w:sz w:val="21"/>
                <w:szCs w:val="21"/>
                <w:highlight w:val="none"/>
              </w:rPr>
              <w:t>获奖证书或正式获奖文件</w:t>
            </w:r>
            <w:r>
              <w:rPr>
                <w:rFonts w:hint="eastAsia" w:ascii="宋体" w:hAnsi="宋体" w:eastAsia="宋体" w:cs="宋体"/>
                <w:snapToGrid w:val="0"/>
                <w:color w:val="auto"/>
                <w:kern w:val="0"/>
                <w:sz w:val="21"/>
                <w:szCs w:val="21"/>
                <w:highlight w:val="none"/>
              </w:rPr>
              <w:t>证明的落款日期为准。</w:t>
            </w:r>
          </w:p>
          <w:p w14:paraId="0B2EE56B">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．任一奖项有以下情形之一的，该奖项视为无效，不予计分：</w:t>
            </w:r>
          </w:p>
          <w:p w14:paraId="7F2BED0D">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①获奖时间不符合要求的；</w:t>
            </w:r>
          </w:p>
          <w:p w14:paraId="3DF13917">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②奖项不属于指定类别的；</w:t>
            </w:r>
          </w:p>
          <w:p w14:paraId="02B9DC6B">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③颁发机构不符合要求的。</w:t>
            </w:r>
          </w:p>
        </w:tc>
      </w:tr>
      <w:tr w14:paraId="7099C6EC">
        <w:tblPrEx>
          <w:tblCellMar>
            <w:top w:w="0" w:type="dxa"/>
            <w:left w:w="108" w:type="dxa"/>
            <w:bottom w:w="0" w:type="dxa"/>
            <w:right w:w="108" w:type="dxa"/>
          </w:tblCellMar>
        </w:tblPrEx>
        <w:trPr>
          <w:trHeight w:val="2342"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26B2E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w:t>
            </w:r>
          </w:p>
          <w:p w14:paraId="5520BF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highlight w:val="none"/>
              </w:rPr>
            </w:pPr>
            <w:r>
              <w:rPr>
                <w:rFonts w:hint="eastAsia" w:ascii="宋体" w:hAnsi="宋体" w:eastAsia="宋体" w:cs="宋体"/>
                <w:color w:val="auto"/>
                <w:sz w:val="21"/>
                <w:szCs w:val="21"/>
                <w:highlight w:val="none"/>
              </w:rPr>
              <w:t>业绩</w:t>
            </w:r>
          </w:p>
          <w:p w14:paraId="55D1E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704C6532">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投标人（20</w:t>
            </w:r>
            <w:r>
              <w:rPr>
                <w:rFonts w:hint="eastAsia" w:ascii="宋体" w:hAnsi="宋体" w:cs="宋体"/>
                <w:snapToGrid w:val="0"/>
                <w:color w:val="auto"/>
                <w:kern w:val="0"/>
                <w:sz w:val="21"/>
                <w:szCs w:val="21"/>
                <w:highlight w:val="none"/>
                <w:lang w:val="en-US" w:eastAsia="zh-CN"/>
              </w:rPr>
              <w:t>21</w:t>
            </w:r>
            <w:r>
              <w:rPr>
                <w:rFonts w:hint="eastAsia" w:ascii="宋体" w:hAnsi="宋体" w:eastAsia="宋体" w:cs="宋体"/>
                <w:snapToGrid w:val="0"/>
                <w:color w:val="auto"/>
                <w:kern w:val="0"/>
                <w:sz w:val="21"/>
                <w:szCs w:val="21"/>
                <w:highlight w:val="none"/>
                <w:lang w:val="en-US" w:eastAsia="zh-CN"/>
              </w:rPr>
              <w:t>年1月1日至今）承接过类似工程业绩的：</w:t>
            </w:r>
          </w:p>
          <w:p w14:paraId="44B93072">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1．承接过类似工程设计的，每个得</w:t>
            </w: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分。</w:t>
            </w:r>
          </w:p>
          <w:p w14:paraId="0865E42F">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2．未承接过类似工程设计的，不予计分。</w:t>
            </w:r>
          </w:p>
          <w:p w14:paraId="468321C8">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本项最高得</w:t>
            </w:r>
            <w:r>
              <w:rPr>
                <w:rFonts w:hint="eastAsia" w:ascii="宋体" w:hAnsi="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lang w:val="en-US" w:eastAsia="zh-CN"/>
              </w:rPr>
              <w:t>分。</w:t>
            </w:r>
            <w:r>
              <w:rPr>
                <w:rFonts w:hint="eastAsia" w:ascii="宋体" w:hAnsi="宋体" w:eastAsia="宋体" w:cs="宋体"/>
                <w:snapToGrid w:val="0"/>
                <w:color w:val="auto"/>
                <w:kern w:val="0"/>
                <w:sz w:val="21"/>
                <w:szCs w:val="21"/>
                <w:highlight w:val="none"/>
                <w:lang w:val="en-US" w:eastAsia="zh-CN"/>
              </w:rPr>
              <w:tab/>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626FB748">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1．类似工程指：</w:t>
            </w:r>
            <w:r>
              <w:rPr>
                <w:rFonts w:hint="eastAsia" w:ascii="宋体" w:hAnsi="宋体" w:eastAsia="宋体" w:cs="宋体"/>
                <w:color w:val="auto"/>
                <w:sz w:val="21"/>
                <w:szCs w:val="21"/>
                <w:highlight w:val="none"/>
                <w:u w:val="single"/>
                <w:lang w:val="en-US" w:eastAsia="zh-CN"/>
              </w:rPr>
              <w:t>工程投资额≥</w:t>
            </w:r>
            <w:r>
              <w:rPr>
                <w:rFonts w:hint="eastAsia" w:ascii="宋体" w:hAnsi="宋体" w:cs="宋体"/>
                <w:color w:val="auto"/>
                <w:sz w:val="21"/>
                <w:szCs w:val="21"/>
                <w:highlight w:val="none"/>
                <w:u w:val="single"/>
                <w:lang w:val="en-US" w:eastAsia="zh-CN"/>
              </w:rPr>
              <w:t>14000</w:t>
            </w:r>
            <w:r>
              <w:rPr>
                <w:rFonts w:hint="eastAsia" w:ascii="宋体" w:hAnsi="宋体" w:eastAsia="宋体" w:cs="宋体"/>
                <w:color w:val="auto"/>
                <w:sz w:val="21"/>
                <w:szCs w:val="21"/>
                <w:highlight w:val="none"/>
                <w:u w:val="single"/>
                <w:lang w:val="en-US" w:eastAsia="zh-CN"/>
              </w:rPr>
              <w:t>万元的</w:t>
            </w:r>
            <w:r>
              <w:rPr>
                <w:rFonts w:hint="eastAsia" w:ascii="宋体" w:hAnsi="宋体" w:cs="宋体"/>
                <w:sz w:val="21"/>
                <w:szCs w:val="21"/>
                <w:highlight w:val="none"/>
                <w:u w:val="single"/>
                <w:lang w:val="en-US" w:eastAsia="zh-CN"/>
              </w:rPr>
              <w:t>市政</w:t>
            </w:r>
            <w:r>
              <w:rPr>
                <w:rFonts w:hint="eastAsia" w:ascii="宋体" w:hAnsi="宋体" w:eastAsia="宋体" w:cs="宋体"/>
                <w:b w:val="0"/>
                <w:bCs w:val="0"/>
                <w:snapToGrid w:val="0"/>
                <w:color w:val="auto"/>
                <w:kern w:val="0"/>
                <w:sz w:val="21"/>
                <w:szCs w:val="21"/>
                <w:highlight w:val="none"/>
                <w:u w:val="single"/>
                <w:lang w:val="en-US" w:eastAsia="zh-CN"/>
              </w:rPr>
              <w:t>公用工程</w:t>
            </w:r>
            <w:r>
              <w:rPr>
                <w:rFonts w:hint="eastAsia" w:ascii="宋体" w:hAnsi="宋体" w:eastAsia="宋体" w:cs="宋体"/>
                <w:sz w:val="21"/>
                <w:szCs w:val="21"/>
                <w:highlight w:val="none"/>
                <w:u w:val="single"/>
                <w:lang w:val="en-US" w:eastAsia="zh-CN"/>
              </w:rPr>
              <w:t>设计业绩</w:t>
            </w:r>
            <w:r>
              <w:rPr>
                <w:rFonts w:hint="eastAsia" w:hAnsi="宋体" w:cs="宋体"/>
                <w:color w:val="auto"/>
                <w:kern w:val="0"/>
                <w:szCs w:val="21"/>
                <w:highlight w:val="none"/>
              </w:rPr>
              <w:t>（含设计，勘察设计，勘察设计施工总承包项目）</w:t>
            </w:r>
          </w:p>
          <w:p w14:paraId="52D6EA6E">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ind w:left="0" w:leftChars="0"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szCs w:val="21"/>
                <w:highlight w:val="none"/>
                <w:lang w:val="zh-CN"/>
              </w:rPr>
              <w:t>提供合同</w:t>
            </w:r>
            <w:r>
              <w:rPr>
                <w:rFonts w:hint="eastAsia" w:ascii="宋体" w:hAnsi="宋体" w:cs="宋体"/>
                <w:color w:val="auto"/>
                <w:szCs w:val="21"/>
                <w:highlight w:val="none"/>
                <w:lang w:val="en-US" w:eastAsia="zh-CN"/>
              </w:rPr>
              <w:t>协议书关键页</w:t>
            </w:r>
            <w:r>
              <w:rPr>
                <w:rFonts w:hint="eastAsia" w:ascii="宋体" w:hAnsi="宋体" w:cs="宋体"/>
                <w:color w:val="auto"/>
                <w:szCs w:val="21"/>
                <w:highlight w:val="none"/>
                <w:lang w:val="zh-CN"/>
              </w:rPr>
              <w:t>、中标通知书、施工图审</w:t>
            </w:r>
            <w:r>
              <w:rPr>
                <w:rFonts w:hint="eastAsia" w:ascii="宋体" w:hAnsi="宋体" w:eastAsia="宋体" w:cs="宋体"/>
                <w:color w:val="auto"/>
                <w:szCs w:val="21"/>
                <w:highlight w:val="none"/>
                <w:lang w:val="zh-CN"/>
              </w:rPr>
              <w:t>查合格书</w:t>
            </w:r>
            <w:r>
              <w:rPr>
                <w:rFonts w:hint="eastAsia" w:ascii="宋体" w:hAnsi="宋体" w:cs="宋体"/>
                <w:color w:val="auto"/>
                <w:szCs w:val="21"/>
                <w:highlight w:val="none"/>
                <w:lang w:val="en-US" w:eastAsia="zh-CN"/>
              </w:rPr>
              <w:t>或</w:t>
            </w:r>
            <w:r>
              <w:rPr>
                <w:rFonts w:hint="eastAsia" w:ascii="宋体" w:hAnsi="宋体" w:eastAsia="宋体" w:cs="宋体"/>
                <w:color w:val="auto"/>
                <w:szCs w:val="21"/>
                <w:highlight w:val="none"/>
                <w:lang w:val="zh-CN"/>
              </w:rPr>
              <w:t>竣工验收报告扫描件作为证明材料。</w:t>
            </w:r>
          </w:p>
          <w:p w14:paraId="562BBE6F">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ind w:left="0" w:leftChars="0"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3．业绩时间</w:t>
            </w:r>
            <w:r>
              <w:rPr>
                <w:rFonts w:hint="eastAsia"/>
                <w:b w:val="0"/>
                <w:bCs/>
                <w:color w:val="auto"/>
                <w:highlight w:val="none"/>
              </w:rPr>
              <w:t>以</w:t>
            </w:r>
            <w:r>
              <w:rPr>
                <w:rFonts w:hint="eastAsia"/>
                <w:color w:val="auto"/>
                <w:highlight w:val="none"/>
                <w:lang w:val="en-US" w:eastAsia="zh-CN"/>
              </w:rPr>
              <w:t>审图合格证或竣工验收报告</w:t>
            </w:r>
            <w:r>
              <w:rPr>
                <w:rFonts w:hint="eastAsia"/>
                <w:b w:val="0"/>
                <w:bCs/>
                <w:color w:val="auto"/>
                <w:highlight w:val="none"/>
              </w:rPr>
              <w:t>时间为准</w:t>
            </w:r>
          </w:p>
          <w:p w14:paraId="3F8A599A">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ind w:left="0" w:leftChars="0"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4．任一业绩有以下情形之一的，该业绩视为无效，不予计分：</w:t>
            </w:r>
          </w:p>
          <w:p w14:paraId="7AF32855">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ind w:left="0" w:leftChars="0"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①业绩不属于类似工程的；</w:t>
            </w:r>
          </w:p>
          <w:p w14:paraId="350F42F8">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ind w:left="0" w:leftChars="0"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Cs w:val="21"/>
                <w:highlight w:val="none"/>
                <w:lang w:val="zh-CN"/>
              </w:rPr>
              <w:t>②业绩时间不符合要求的。</w:t>
            </w:r>
          </w:p>
        </w:tc>
      </w:tr>
      <w:tr w14:paraId="555980FB">
        <w:tblPrEx>
          <w:tblCellMar>
            <w:top w:w="0" w:type="dxa"/>
            <w:left w:w="108" w:type="dxa"/>
            <w:bottom w:w="0" w:type="dxa"/>
            <w:right w:w="108" w:type="dxa"/>
          </w:tblCellMar>
        </w:tblPrEx>
        <w:trPr>
          <w:trHeight w:val="1013"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3DC07C9">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设计负责人综合能力（</w:t>
            </w:r>
            <w:r>
              <w:rPr>
                <w:rFonts w:hint="eastAsia" w:ascii="宋体"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val="en-US" w:eastAsia="zh-CN"/>
              </w:rPr>
              <w:t>分）</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252E7523">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cs="宋体"/>
                <w:color w:val="auto"/>
                <w:kern w:val="2"/>
                <w:sz w:val="21"/>
                <w:lang w:val="en-US" w:eastAsia="zh-CN"/>
              </w:rPr>
              <w:t>具备高级职称（含）以上的，得5分。</w:t>
            </w:r>
          </w:p>
          <w:p w14:paraId="015D1F4E">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注：本项最高得</w:t>
            </w:r>
            <w:r>
              <w:rPr>
                <w:rFonts w:hint="eastAsia" w:ascii="宋体"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val="en-US" w:eastAsia="zh-CN"/>
              </w:rPr>
              <w:t>分。</w:t>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2297F1D7">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1.须提供相关证书及社保证明</w:t>
            </w:r>
            <w:r>
              <w:rPr>
                <w:rFonts w:hint="eastAsia" w:ascii="宋体" w:hAnsi="宋体" w:eastAsia="宋体" w:cs="宋体"/>
                <w:snapToGrid w:val="0"/>
                <w:color w:val="auto"/>
                <w:kern w:val="0"/>
                <w:sz w:val="21"/>
                <w:szCs w:val="21"/>
                <w:highlight w:val="none"/>
                <w:lang w:eastAsia="zh-CN"/>
              </w:rPr>
              <w:t>彩色扫描件</w:t>
            </w:r>
            <w:r>
              <w:rPr>
                <w:rFonts w:hint="eastAsia" w:ascii="宋体" w:hAnsi="宋体" w:eastAsia="宋体" w:cs="宋体"/>
                <w:snapToGrid w:val="0"/>
                <w:color w:val="auto"/>
                <w:kern w:val="0"/>
                <w:sz w:val="21"/>
                <w:szCs w:val="21"/>
                <w:highlight w:val="none"/>
              </w:rPr>
              <w:t>并加盖公章</w:t>
            </w:r>
            <w:r>
              <w:rPr>
                <w:rFonts w:hint="eastAsia" w:ascii="宋体" w:hAnsi="宋体" w:cs="宋体"/>
                <w:snapToGrid w:val="0"/>
                <w:color w:val="auto"/>
                <w:kern w:val="0"/>
                <w:sz w:val="21"/>
                <w:szCs w:val="21"/>
                <w:highlight w:val="none"/>
                <w:lang w:eastAsia="zh-CN"/>
              </w:rPr>
              <w:t>（</w:t>
            </w:r>
            <w:r>
              <w:rPr>
                <w:rFonts w:hint="eastAsia" w:ascii="宋体" w:hAnsi="宋体" w:eastAsia="宋体" w:cs="宋体"/>
                <w:snapToGrid w:val="0"/>
                <w:color w:val="auto"/>
                <w:kern w:val="0"/>
                <w:szCs w:val="28"/>
                <w:highlight w:val="none"/>
              </w:rPr>
              <w:t>提供近</w:t>
            </w:r>
            <w:r>
              <w:rPr>
                <w:rFonts w:hint="eastAsia" w:ascii="宋体" w:hAnsi="宋体" w:eastAsia="宋体" w:cs="宋体"/>
                <w:snapToGrid w:val="0"/>
                <w:color w:val="auto"/>
                <w:kern w:val="0"/>
                <w:szCs w:val="28"/>
                <w:highlight w:val="none"/>
                <w:lang w:val="en-US" w:eastAsia="zh-CN"/>
              </w:rPr>
              <w:t>3</w:t>
            </w:r>
            <w:r>
              <w:rPr>
                <w:rFonts w:hint="eastAsia" w:ascii="宋体" w:hAnsi="宋体" w:eastAsia="宋体" w:cs="宋体"/>
                <w:snapToGrid w:val="0"/>
                <w:color w:val="auto"/>
                <w:kern w:val="0"/>
                <w:szCs w:val="28"/>
                <w:highlight w:val="none"/>
              </w:rPr>
              <w:t>个月（其中必须有202</w:t>
            </w:r>
            <w:r>
              <w:rPr>
                <w:rFonts w:hint="eastAsia" w:ascii="宋体" w:hAnsi="宋体" w:eastAsia="宋体" w:cs="宋体"/>
                <w:snapToGrid w:val="0"/>
                <w:color w:val="auto"/>
                <w:kern w:val="0"/>
                <w:szCs w:val="28"/>
                <w:highlight w:val="none"/>
                <w:lang w:val="en-US" w:eastAsia="zh-CN"/>
              </w:rPr>
              <w:t>5</w:t>
            </w:r>
            <w:r>
              <w:rPr>
                <w:rFonts w:hint="eastAsia" w:ascii="宋体" w:hAnsi="宋体" w:eastAsia="宋体" w:cs="宋体"/>
                <w:snapToGrid w:val="0"/>
                <w:color w:val="auto"/>
                <w:kern w:val="0"/>
                <w:szCs w:val="28"/>
                <w:highlight w:val="none"/>
              </w:rPr>
              <w:t>年</w:t>
            </w:r>
            <w:r>
              <w:rPr>
                <w:rFonts w:hint="eastAsia" w:ascii="宋体" w:hAnsi="宋体" w:cs="宋体"/>
                <w:snapToGrid w:val="0"/>
                <w:color w:val="auto"/>
                <w:kern w:val="0"/>
                <w:szCs w:val="28"/>
                <w:highlight w:val="none"/>
                <w:lang w:val="en-US" w:eastAsia="zh-CN"/>
              </w:rPr>
              <w:t>8</w:t>
            </w:r>
            <w:r>
              <w:rPr>
                <w:rFonts w:hint="eastAsia" w:ascii="宋体" w:hAnsi="宋体" w:eastAsia="宋体" w:cs="宋体"/>
                <w:snapToGrid w:val="0"/>
                <w:color w:val="auto"/>
                <w:kern w:val="0"/>
                <w:szCs w:val="28"/>
                <w:highlight w:val="none"/>
              </w:rPr>
              <w:t>月）的社保证明（非独立法人分支机构出具社保，予以认可）</w:t>
            </w:r>
            <w:r>
              <w:rPr>
                <w:rFonts w:hint="eastAsia" w:ascii="宋体" w:hAnsi="宋体" w:eastAsia="宋体" w:cs="宋体"/>
                <w:snapToGrid w:val="0"/>
                <w:color w:val="auto"/>
                <w:kern w:val="0"/>
                <w:sz w:val="21"/>
                <w:szCs w:val="21"/>
                <w:highlight w:val="none"/>
                <w:lang w:val="en-US" w:eastAsia="zh-CN"/>
              </w:rPr>
              <w:t>；</w:t>
            </w:r>
          </w:p>
          <w:p w14:paraId="494A0938">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2.不符合评分标准和备注规定的，不予计分。</w:t>
            </w:r>
          </w:p>
        </w:tc>
      </w:tr>
      <w:tr w14:paraId="425F0A6C">
        <w:tblPrEx>
          <w:tblCellMar>
            <w:top w:w="0" w:type="dxa"/>
            <w:left w:w="108" w:type="dxa"/>
            <w:bottom w:w="0" w:type="dxa"/>
            <w:right w:w="108" w:type="dxa"/>
          </w:tblCellMar>
        </w:tblPrEx>
        <w:trPr>
          <w:trHeight w:val="1013" w:hRule="atLeast"/>
          <w:jc w:val="center"/>
        </w:trPr>
        <w:tc>
          <w:tcPr>
            <w:tcW w:w="10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7C5733">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企业信誉</w:t>
            </w:r>
          </w:p>
          <w:p w14:paraId="05C9711C">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w:t>
            </w:r>
            <w:r>
              <w:rPr>
                <w:rFonts w:hint="eastAsia" w:ascii="宋体" w:hAnsi="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val="en-US" w:eastAsia="zh-CN"/>
              </w:rPr>
              <w:t>分）</w:t>
            </w:r>
          </w:p>
        </w:tc>
        <w:tc>
          <w:tcPr>
            <w:tcW w:w="459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7249A1">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20</w:t>
            </w:r>
            <w:r>
              <w:rPr>
                <w:rFonts w:hint="eastAsia" w:ascii="宋体" w:hAnsi="宋体" w:cs="宋体"/>
                <w:snapToGrid w:val="0"/>
                <w:color w:val="auto"/>
                <w:kern w:val="0"/>
                <w:sz w:val="21"/>
                <w:szCs w:val="21"/>
                <w:highlight w:val="none"/>
                <w:lang w:val="en-US" w:eastAsia="zh-CN"/>
              </w:rPr>
              <w:t>21</w:t>
            </w:r>
            <w:r>
              <w:rPr>
                <w:rFonts w:hint="eastAsia" w:ascii="宋体" w:hAnsi="宋体" w:eastAsia="宋体" w:cs="宋体"/>
                <w:snapToGrid w:val="0"/>
                <w:color w:val="auto"/>
                <w:kern w:val="0"/>
                <w:sz w:val="21"/>
                <w:szCs w:val="21"/>
                <w:highlight w:val="none"/>
                <w:lang w:val="en-US" w:eastAsia="zh-CN"/>
              </w:rPr>
              <w:t>年1月1日至今，投标人获得过</w:t>
            </w:r>
            <w:r>
              <w:rPr>
                <w:rFonts w:hint="eastAsia" w:ascii="宋体" w:hAnsi="宋体" w:eastAsia="宋体" w:cs="宋体"/>
                <w:snapToGrid w:val="0"/>
                <w:color w:val="auto"/>
                <w:kern w:val="0"/>
                <w:sz w:val="21"/>
                <w:szCs w:val="21"/>
                <w:lang w:val="en-US" w:eastAsia="zh-CN" w:bidi="ar-SA"/>
              </w:rPr>
              <w:t>市级（含）以上</w:t>
            </w:r>
            <w:r>
              <w:rPr>
                <w:rFonts w:hint="eastAsia" w:ascii="宋体" w:hAnsi="宋体" w:cs="宋体"/>
                <w:szCs w:val="21"/>
                <w:lang w:val="en-US" w:eastAsia="zh-CN"/>
              </w:rPr>
              <w:t>行政部门或行业协会</w:t>
            </w:r>
            <w:r>
              <w:rPr>
                <w:rFonts w:hint="eastAsia" w:ascii="宋体" w:hAnsi="宋体" w:eastAsia="宋体" w:cs="宋体"/>
                <w:snapToGrid w:val="0"/>
                <w:color w:val="auto"/>
                <w:kern w:val="0"/>
                <w:sz w:val="21"/>
                <w:szCs w:val="21"/>
                <w:lang w:val="en-US" w:eastAsia="zh-CN" w:bidi="ar-SA"/>
              </w:rPr>
              <w:t>颁发的勘察设计AAA信用企业证书的：</w:t>
            </w:r>
          </w:p>
          <w:p w14:paraId="026205D7">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w:t>
            </w:r>
            <w:r>
              <w:rPr>
                <w:rFonts w:hint="eastAsia" w:ascii="宋体" w:hAnsi="宋体" w:cs="宋体"/>
                <w:snapToGrid w:val="0"/>
                <w:color w:val="auto"/>
                <w:kern w:val="0"/>
                <w:sz w:val="21"/>
                <w:szCs w:val="21"/>
                <w:lang w:val="en-US" w:eastAsia="zh-CN" w:bidi="ar-SA"/>
              </w:rPr>
              <w:t>1</w:t>
            </w:r>
            <w:r>
              <w:rPr>
                <w:rFonts w:hint="eastAsia" w:ascii="宋体" w:hAnsi="宋体" w:eastAsia="宋体" w:cs="宋体"/>
                <w:snapToGrid w:val="0"/>
                <w:color w:val="auto"/>
                <w:kern w:val="0"/>
                <w:sz w:val="21"/>
                <w:szCs w:val="21"/>
                <w:lang w:val="en-US" w:eastAsia="zh-CN" w:bidi="ar-SA"/>
              </w:rPr>
              <w:t>）连续3年</w:t>
            </w:r>
            <w:r>
              <w:rPr>
                <w:rFonts w:hint="eastAsia" w:ascii="宋体" w:hAnsi="宋体" w:cs="宋体"/>
                <w:snapToGrid w:val="0"/>
                <w:color w:val="auto"/>
                <w:kern w:val="0"/>
                <w:sz w:val="21"/>
                <w:szCs w:val="21"/>
                <w:lang w:val="en-US" w:eastAsia="zh-CN" w:bidi="ar-SA"/>
              </w:rPr>
              <w:t>及以上</w:t>
            </w:r>
            <w:r>
              <w:rPr>
                <w:rFonts w:hint="eastAsia" w:ascii="宋体" w:hAnsi="宋体" w:eastAsia="宋体" w:cs="宋体"/>
                <w:snapToGrid w:val="0"/>
                <w:color w:val="auto"/>
                <w:kern w:val="0"/>
                <w:sz w:val="21"/>
                <w:szCs w:val="21"/>
                <w:lang w:val="en-US" w:eastAsia="zh-CN" w:bidi="ar-SA"/>
              </w:rPr>
              <w:t>的，得4分；</w:t>
            </w:r>
          </w:p>
          <w:p w14:paraId="04F572B7">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w:t>
            </w:r>
            <w:r>
              <w:rPr>
                <w:rFonts w:hint="eastAsia" w:ascii="宋体" w:hAnsi="宋体" w:cs="宋体"/>
                <w:snapToGrid w:val="0"/>
                <w:color w:val="auto"/>
                <w:kern w:val="0"/>
                <w:sz w:val="21"/>
                <w:szCs w:val="21"/>
                <w:lang w:val="en-US" w:eastAsia="zh-CN" w:bidi="ar-SA"/>
              </w:rPr>
              <w:t>2</w:t>
            </w:r>
            <w:r>
              <w:rPr>
                <w:rFonts w:hint="eastAsia" w:ascii="宋体" w:hAnsi="宋体" w:eastAsia="宋体" w:cs="宋体"/>
                <w:snapToGrid w:val="0"/>
                <w:color w:val="auto"/>
                <w:kern w:val="0"/>
                <w:sz w:val="21"/>
                <w:szCs w:val="21"/>
                <w:lang w:val="en-US" w:eastAsia="zh-CN" w:bidi="ar-SA"/>
              </w:rPr>
              <w:t>）连续2年及以下的，得1分；</w:t>
            </w:r>
          </w:p>
          <w:p w14:paraId="14BA22A0">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w:t>
            </w:r>
            <w:r>
              <w:rPr>
                <w:rFonts w:hint="eastAsia" w:ascii="宋体" w:hAnsi="宋体" w:cs="宋体"/>
                <w:snapToGrid w:val="0"/>
                <w:color w:val="auto"/>
                <w:kern w:val="0"/>
                <w:sz w:val="21"/>
                <w:szCs w:val="21"/>
                <w:lang w:val="en-US" w:eastAsia="zh-CN" w:bidi="ar-SA"/>
              </w:rPr>
              <w:t>3</w:t>
            </w:r>
            <w:r>
              <w:rPr>
                <w:rFonts w:hint="eastAsia" w:ascii="宋体" w:hAnsi="宋体" w:eastAsia="宋体" w:cs="宋体"/>
                <w:snapToGrid w:val="0"/>
                <w:color w:val="auto"/>
                <w:kern w:val="0"/>
                <w:sz w:val="21"/>
                <w:szCs w:val="21"/>
                <w:lang w:val="en-US" w:eastAsia="zh-CN" w:bidi="ar-SA"/>
              </w:rPr>
              <w:t>）其它不得分。</w:t>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549AB4E8">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lang w:val="zh-TW" w:eastAsia="zh-CN" w:bidi="ar-SA"/>
              </w:rPr>
              <w:t>注</w:t>
            </w:r>
            <w:r>
              <w:rPr>
                <w:rFonts w:hint="eastAsia" w:ascii="宋体" w:hAnsi="宋体" w:eastAsia="宋体" w:cs="宋体"/>
                <w:snapToGrid w:val="0"/>
                <w:color w:val="auto"/>
                <w:kern w:val="0"/>
                <w:sz w:val="21"/>
                <w:szCs w:val="21"/>
                <w:lang w:val="en-US" w:eastAsia="zh-CN" w:bidi="ar-SA"/>
              </w:rPr>
              <w:t>:提供相关证书彩色扫描件并加盖公章，否则不得分。</w:t>
            </w:r>
          </w:p>
        </w:tc>
      </w:tr>
      <w:tr w14:paraId="1034E835">
        <w:tblPrEx>
          <w:tblCellMar>
            <w:top w:w="0" w:type="dxa"/>
            <w:left w:w="108" w:type="dxa"/>
            <w:bottom w:w="0" w:type="dxa"/>
            <w:right w:w="108" w:type="dxa"/>
          </w:tblCellMar>
        </w:tblPrEx>
        <w:trPr>
          <w:trHeight w:val="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CE187E8">
            <w:pPr>
              <w:keepNext w:val="0"/>
              <w:keepLines w:val="0"/>
              <w:pageBreakBefore w:val="0"/>
              <w:widowControl w:val="0"/>
              <w:kinsoku/>
              <w:overflowPunct/>
              <w:topLinePunct w:val="0"/>
              <w:autoSpaceDE/>
              <w:autoSpaceDN/>
              <w:bidi w:val="0"/>
              <w:snapToGrid w:val="0"/>
              <w:spacing w:line="360" w:lineRule="exact"/>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设计单位拟派人员情况</w:t>
            </w:r>
          </w:p>
          <w:p w14:paraId="48540301">
            <w:pPr>
              <w:keepNext w:val="0"/>
              <w:keepLines w:val="0"/>
              <w:pageBreakBefore w:val="0"/>
              <w:widowControl w:val="0"/>
              <w:kinsoku/>
              <w:overflowPunct/>
              <w:topLinePunct w:val="0"/>
              <w:autoSpaceDE/>
              <w:autoSpaceDN/>
              <w:bidi w:val="0"/>
              <w:snapToGrid w:val="0"/>
              <w:spacing w:line="36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（15分）</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230F086C">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textAlignment w:val="auto"/>
              <w:rPr>
                <w:rFonts w:hint="default"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zh-CN" w:eastAsia="zh-CN" w:bidi="ar-SA"/>
              </w:rPr>
              <w:t>（1）给排水专业负责人：</w:t>
            </w:r>
            <w:r>
              <w:rPr>
                <w:rFonts w:hint="eastAsia" w:ascii="宋体" w:hAnsi="宋体" w:eastAsia="宋体" w:cs="宋体"/>
                <w:snapToGrid w:val="0"/>
                <w:color w:val="auto"/>
                <w:kern w:val="0"/>
                <w:sz w:val="21"/>
                <w:szCs w:val="21"/>
                <w:lang w:val="en-US" w:eastAsia="zh-CN" w:bidi="ar-SA"/>
              </w:rPr>
              <w:t>同时具备</w:t>
            </w:r>
            <w:r>
              <w:rPr>
                <w:rFonts w:hint="eastAsia" w:ascii="宋体" w:hAnsi="宋体" w:eastAsia="宋体" w:cs="宋体"/>
                <w:snapToGrid w:val="0"/>
                <w:color w:val="auto"/>
                <w:kern w:val="0"/>
                <w:sz w:val="21"/>
                <w:szCs w:val="21"/>
                <w:lang w:val="zh-CN" w:eastAsia="zh-CN" w:bidi="ar-SA"/>
              </w:rPr>
              <w:t>相关专业高级职称（</w:t>
            </w:r>
            <w:r>
              <w:rPr>
                <w:rFonts w:hint="eastAsia" w:ascii="宋体" w:hAnsi="宋体" w:eastAsia="宋体" w:cs="宋体"/>
                <w:snapToGrid w:val="0"/>
                <w:color w:val="auto"/>
                <w:kern w:val="0"/>
                <w:sz w:val="21"/>
                <w:szCs w:val="21"/>
                <w:lang w:val="en-US" w:eastAsia="zh-CN" w:bidi="ar-SA"/>
              </w:rPr>
              <w:t>含</w:t>
            </w:r>
            <w:r>
              <w:rPr>
                <w:rFonts w:hint="eastAsia" w:ascii="宋体" w:hAnsi="宋体" w:eastAsia="宋体" w:cs="宋体"/>
                <w:snapToGrid w:val="0"/>
                <w:color w:val="auto"/>
                <w:kern w:val="0"/>
                <w:sz w:val="21"/>
                <w:szCs w:val="21"/>
                <w:lang w:val="zh-CN" w:eastAsia="zh-CN" w:bidi="ar-SA"/>
              </w:rPr>
              <w:t>）</w:t>
            </w:r>
            <w:r>
              <w:rPr>
                <w:rFonts w:hint="eastAsia" w:ascii="宋体" w:hAnsi="宋体" w:eastAsia="宋体" w:cs="宋体"/>
                <w:snapToGrid w:val="0"/>
                <w:color w:val="auto"/>
                <w:kern w:val="0"/>
                <w:sz w:val="21"/>
                <w:szCs w:val="21"/>
                <w:lang w:val="en-US" w:eastAsia="zh-CN" w:bidi="ar-SA"/>
              </w:rPr>
              <w:t>以上和</w:t>
            </w:r>
            <w:r>
              <w:rPr>
                <w:rFonts w:hint="eastAsia" w:ascii="宋体" w:hAnsi="宋体" w:eastAsia="宋体" w:cs="宋体"/>
                <w:snapToGrid w:val="0"/>
                <w:color w:val="auto"/>
                <w:kern w:val="0"/>
                <w:sz w:val="21"/>
                <w:szCs w:val="21"/>
                <w:lang w:val="zh-CN" w:eastAsia="zh-CN" w:bidi="ar-SA"/>
              </w:rPr>
              <w:t>注册公用设备工程师（给水排水）</w:t>
            </w:r>
            <w:r>
              <w:rPr>
                <w:rFonts w:hint="eastAsia" w:ascii="宋体" w:hAnsi="宋体" w:eastAsia="宋体" w:cs="宋体"/>
                <w:snapToGrid w:val="0"/>
                <w:color w:val="auto"/>
                <w:kern w:val="0"/>
                <w:sz w:val="21"/>
                <w:szCs w:val="21"/>
                <w:lang w:val="en-US" w:eastAsia="zh-CN" w:bidi="ar-SA"/>
              </w:rPr>
              <w:t>的得3分；少一项只得1分。</w:t>
            </w:r>
          </w:p>
          <w:p w14:paraId="63F503E6">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textAlignment w:val="auto"/>
              <w:rPr>
                <w:rFonts w:hint="default"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zh-CN" w:eastAsia="zh-CN" w:bidi="ar-SA"/>
              </w:rPr>
              <w:t>（</w:t>
            </w:r>
            <w:r>
              <w:rPr>
                <w:rFonts w:hint="eastAsia" w:ascii="宋体" w:hAnsi="宋体" w:eastAsia="宋体" w:cs="宋体"/>
                <w:snapToGrid w:val="0"/>
                <w:color w:val="auto"/>
                <w:kern w:val="0"/>
                <w:sz w:val="21"/>
                <w:szCs w:val="21"/>
                <w:lang w:val="en-US" w:eastAsia="zh-CN" w:bidi="ar-SA"/>
              </w:rPr>
              <w:t>2</w:t>
            </w:r>
            <w:r>
              <w:rPr>
                <w:rFonts w:hint="eastAsia" w:ascii="宋体" w:hAnsi="宋体" w:eastAsia="宋体" w:cs="宋体"/>
                <w:snapToGrid w:val="0"/>
                <w:color w:val="auto"/>
                <w:kern w:val="0"/>
                <w:sz w:val="21"/>
                <w:szCs w:val="21"/>
                <w:lang w:val="zh-CN" w:eastAsia="zh-CN" w:bidi="ar-SA"/>
              </w:rPr>
              <w:t>）道路专业负责人：</w:t>
            </w:r>
            <w:r>
              <w:rPr>
                <w:rFonts w:hint="eastAsia" w:ascii="宋体" w:hAnsi="宋体" w:eastAsia="宋体" w:cs="宋体"/>
                <w:snapToGrid w:val="0"/>
                <w:color w:val="auto"/>
                <w:kern w:val="0"/>
                <w:sz w:val="21"/>
                <w:szCs w:val="21"/>
                <w:lang w:val="en-US" w:eastAsia="zh-CN" w:bidi="ar-SA"/>
              </w:rPr>
              <w:t>同时具备</w:t>
            </w:r>
            <w:r>
              <w:rPr>
                <w:rFonts w:hint="eastAsia" w:ascii="宋体" w:hAnsi="宋体" w:eastAsia="宋体" w:cs="宋体"/>
                <w:snapToGrid w:val="0"/>
                <w:color w:val="auto"/>
                <w:kern w:val="0"/>
                <w:sz w:val="21"/>
                <w:szCs w:val="21"/>
                <w:lang w:val="zh-CN" w:eastAsia="zh-CN" w:bidi="ar-SA"/>
              </w:rPr>
              <w:t>相关专业高级职称（</w:t>
            </w:r>
            <w:r>
              <w:rPr>
                <w:rFonts w:hint="eastAsia" w:ascii="宋体" w:hAnsi="宋体" w:eastAsia="宋体" w:cs="宋体"/>
                <w:snapToGrid w:val="0"/>
                <w:color w:val="auto"/>
                <w:kern w:val="0"/>
                <w:sz w:val="21"/>
                <w:szCs w:val="21"/>
                <w:lang w:val="en-US" w:eastAsia="zh-CN" w:bidi="ar-SA"/>
              </w:rPr>
              <w:t>含</w:t>
            </w:r>
            <w:r>
              <w:rPr>
                <w:rFonts w:hint="eastAsia" w:ascii="宋体" w:hAnsi="宋体" w:eastAsia="宋体" w:cs="宋体"/>
                <w:snapToGrid w:val="0"/>
                <w:color w:val="auto"/>
                <w:kern w:val="0"/>
                <w:sz w:val="21"/>
                <w:szCs w:val="21"/>
                <w:lang w:val="zh-CN" w:eastAsia="zh-CN" w:bidi="ar-SA"/>
              </w:rPr>
              <w:t>）</w:t>
            </w:r>
            <w:r>
              <w:rPr>
                <w:rFonts w:hint="eastAsia" w:ascii="宋体" w:hAnsi="宋体" w:eastAsia="宋体" w:cs="宋体"/>
                <w:snapToGrid w:val="0"/>
                <w:color w:val="auto"/>
                <w:kern w:val="0"/>
                <w:sz w:val="21"/>
                <w:szCs w:val="21"/>
                <w:lang w:val="en-US" w:eastAsia="zh-CN" w:bidi="ar-SA"/>
              </w:rPr>
              <w:t>以上和</w:t>
            </w:r>
            <w:r>
              <w:rPr>
                <w:rFonts w:hint="eastAsia" w:ascii="宋体" w:hAnsi="宋体" w:eastAsia="宋体" w:cs="宋体"/>
                <w:snapToGrid w:val="0"/>
                <w:color w:val="auto"/>
                <w:kern w:val="0"/>
                <w:sz w:val="21"/>
                <w:szCs w:val="21"/>
                <w:lang w:val="zh-CN" w:eastAsia="zh-CN" w:bidi="ar-SA"/>
              </w:rPr>
              <w:t>注册土木工程师（道路工程）</w:t>
            </w:r>
            <w:r>
              <w:rPr>
                <w:rFonts w:hint="eastAsia" w:ascii="宋体" w:hAnsi="宋体" w:eastAsia="宋体" w:cs="宋体"/>
                <w:snapToGrid w:val="0"/>
                <w:color w:val="auto"/>
                <w:kern w:val="0"/>
                <w:sz w:val="21"/>
                <w:szCs w:val="21"/>
                <w:lang w:val="en-US" w:eastAsia="zh-CN" w:bidi="ar-SA"/>
              </w:rPr>
              <w:t>的得3分，少一项只得1分。</w:t>
            </w:r>
          </w:p>
          <w:p w14:paraId="65C27658">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lang w:val="zh-CN" w:eastAsia="zh-CN" w:bidi="ar-SA"/>
              </w:rPr>
            </w:pPr>
            <w:r>
              <w:rPr>
                <w:rFonts w:hint="eastAsia" w:ascii="宋体" w:hAnsi="宋体" w:eastAsia="宋体" w:cs="宋体"/>
                <w:snapToGrid w:val="0"/>
                <w:color w:val="auto"/>
                <w:kern w:val="0"/>
                <w:sz w:val="21"/>
                <w:szCs w:val="21"/>
                <w:lang w:val="zh-CN" w:eastAsia="zh-CN" w:bidi="ar-SA"/>
              </w:rPr>
              <w:t>（</w:t>
            </w:r>
            <w:r>
              <w:rPr>
                <w:rFonts w:hint="eastAsia" w:ascii="宋体" w:hAnsi="宋体" w:eastAsia="宋体" w:cs="宋体"/>
                <w:snapToGrid w:val="0"/>
                <w:color w:val="auto"/>
                <w:kern w:val="0"/>
                <w:sz w:val="21"/>
                <w:szCs w:val="21"/>
                <w:lang w:val="en-US" w:eastAsia="zh-CN" w:bidi="ar-SA"/>
              </w:rPr>
              <w:t>3</w:t>
            </w:r>
            <w:r>
              <w:rPr>
                <w:rFonts w:hint="eastAsia" w:ascii="宋体" w:hAnsi="宋体" w:eastAsia="宋体" w:cs="宋体"/>
                <w:snapToGrid w:val="0"/>
                <w:color w:val="auto"/>
                <w:kern w:val="0"/>
                <w:sz w:val="21"/>
                <w:szCs w:val="21"/>
                <w:lang w:val="zh-CN" w:eastAsia="zh-CN" w:bidi="ar-SA"/>
              </w:rPr>
              <w:t>）结构专业负责人：</w:t>
            </w:r>
            <w:r>
              <w:rPr>
                <w:rFonts w:hint="eastAsia" w:ascii="宋体" w:hAnsi="宋体" w:eastAsia="宋体" w:cs="宋体"/>
                <w:snapToGrid w:val="0"/>
                <w:color w:val="auto"/>
                <w:kern w:val="0"/>
                <w:sz w:val="21"/>
                <w:szCs w:val="21"/>
                <w:lang w:val="en-US" w:eastAsia="zh-CN" w:bidi="ar-SA"/>
              </w:rPr>
              <w:t>同时具备</w:t>
            </w:r>
            <w:r>
              <w:rPr>
                <w:rFonts w:hint="eastAsia" w:ascii="宋体" w:hAnsi="宋体" w:eastAsia="宋体" w:cs="宋体"/>
                <w:snapToGrid w:val="0"/>
                <w:color w:val="auto"/>
                <w:kern w:val="0"/>
                <w:sz w:val="21"/>
                <w:szCs w:val="21"/>
                <w:lang w:val="zh-CN" w:eastAsia="zh-CN" w:bidi="ar-SA"/>
              </w:rPr>
              <w:t>相关专业高级职称（</w:t>
            </w:r>
            <w:r>
              <w:rPr>
                <w:rFonts w:hint="eastAsia" w:ascii="宋体" w:hAnsi="宋体" w:eastAsia="宋体" w:cs="宋体"/>
                <w:snapToGrid w:val="0"/>
                <w:color w:val="auto"/>
                <w:kern w:val="0"/>
                <w:sz w:val="21"/>
                <w:szCs w:val="21"/>
                <w:lang w:val="en-US" w:eastAsia="zh-CN" w:bidi="ar-SA"/>
              </w:rPr>
              <w:t>含</w:t>
            </w:r>
            <w:r>
              <w:rPr>
                <w:rFonts w:hint="eastAsia" w:ascii="宋体" w:hAnsi="宋体" w:eastAsia="宋体" w:cs="宋体"/>
                <w:snapToGrid w:val="0"/>
                <w:color w:val="auto"/>
                <w:kern w:val="0"/>
                <w:sz w:val="21"/>
                <w:szCs w:val="21"/>
                <w:lang w:val="zh-CN" w:eastAsia="zh-CN" w:bidi="ar-SA"/>
              </w:rPr>
              <w:t>）</w:t>
            </w:r>
            <w:r>
              <w:rPr>
                <w:rFonts w:hint="eastAsia" w:ascii="宋体" w:hAnsi="宋体" w:eastAsia="宋体" w:cs="宋体"/>
                <w:snapToGrid w:val="0"/>
                <w:color w:val="auto"/>
                <w:kern w:val="0"/>
                <w:sz w:val="21"/>
                <w:szCs w:val="21"/>
                <w:lang w:val="en-US" w:eastAsia="zh-CN" w:bidi="ar-SA"/>
              </w:rPr>
              <w:t>以上和</w:t>
            </w:r>
            <w:r>
              <w:rPr>
                <w:rFonts w:hint="eastAsia" w:ascii="宋体" w:hAnsi="宋体" w:eastAsia="宋体" w:cs="宋体"/>
                <w:snapToGrid w:val="0"/>
                <w:color w:val="auto"/>
                <w:kern w:val="0"/>
                <w:sz w:val="21"/>
                <w:szCs w:val="21"/>
                <w:lang w:val="zh-CN" w:eastAsia="zh-CN" w:bidi="ar-SA"/>
              </w:rPr>
              <w:t>一级注册结构工程师</w:t>
            </w:r>
            <w:r>
              <w:rPr>
                <w:rFonts w:hint="eastAsia" w:ascii="宋体" w:hAnsi="宋体" w:eastAsia="宋体" w:cs="宋体"/>
                <w:snapToGrid w:val="0"/>
                <w:color w:val="auto"/>
                <w:kern w:val="0"/>
                <w:sz w:val="21"/>
                <w:szCs w:val="21"/>
                <w:lang w:val="en-US" w:eastAsia="zh-CN" w:bidi="ar-SA"/>
              </w:rPr>
              <w:t>的得3分；少一项只得1分。</w:t>
            </w:r>
          </w:p>
          <w:p w14:paraId="4628DDBC">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lang w:val="zh-CN" w:eastAsia="zh-CN" w:bidi="ar-SA"/>
              </w:rPr>
            </w:pPr>
            <w:r>
              <w:rPr>
                <w:rFonts w:hint="eastAsia" w:ascii="宋体" w:hAnsi="宋体" w:eastAsia="宋体" w:cs="宋体"/>
                <w:snapToGrid w:val="0"/>
                <w:color w:val="auto"/>
                <w:kern w:val="0"/>
                <w:sz w:val="21"/>
                <w:szCs w:val="21"/>
                <w:lang w:val="zh-CN" w:eastAsia="zh-CN" w:bidi="ar-SA"/>
              </w:rPr>
              <w:t>（</w:t>
            </w:r>
            <w:r>
              <w:rPr>
                <w:rFonts w:hint="eastAsia" w:ascii="宋体" w:hAnsi="宋体" w:eastAsia="宋体" w:cs="宋体"/>
                <w:snapToGrid w:val="0"/>
                <w:color w:val="auto"/>
                <w:kern w:val="0"/>
                <w:sz w:val="21"/>
                <w:szCs w:val="21"/>
                <w:lang w:val="en-US" w:eastAsia="zh-CN" w:bidi="ar-SA"/>
              </w:rPr>
              <w:t>4</w:t>
            </w:r>
            <w:r>
              <w:rPr>
                <w:rFonts w:hint="eastAsia" w:ascii="宋体" w:hAnsi="宋体" w:eastAsia="宋体" w:cs="宋体"/>
                <w:snapToGrid w:val="0"/>
                <w:color w:val="auto"/>
                <w:kern w:val="0"/>
                <w:sz w:val="21"/>
                <w:szCs w:val="21"/>
                <w:lang w:val="zh-CN" w:eastAsia="zh-CN" w:bidi="ar-SA"/>
              </w:rPr>
              <w:t>）造价专业负责人：</w:t>
            </w:r>
            <w:r>
              <w:rPr>
                <w:rFonts w:hint="eastAsia" w:ascii="宋体" w:hAnsi="宋体" w:eastAsia="宋体" w:cs="宋体"/>
                <w:snapToGrid w:val="0"/>
                <w:color w:val="auto"/>
                <w:kern w:val="0"/>
                <w:sz w:val="21"/>
                <w:szCs w:val="21"/>
                <w:lang w:val="en-US" w:eastAsia="zh-CN" w:bidi="ar-SA"/>
              </w:rPr>
              <w:t>同时具备</w:t>
            </w:r>
            <w:r>
              <w:rPr>
                <w:rFonts w:hint="eastAsia" w:ascii="宋体" w:hAnsi="宋体" w:eastAsia="宋体" w:cs="宋体"/>
                <w:snapToGrid w:val="0"/>
                <w:color w:val="auto"/>
                <w:kern w:val="0"/>
                <w:sz w:val="21"/>
                <w:szCs w:val="21"/>
                <w:lang w:val="zh-CN" w:eastAsia="zh-CN" w:bidi="ar-SA"/>
              </w:rPr>
              <w:t>相关专业高级职称（</w:t>
            </w:r>
            <w:r>
              <w:rPr>
                <w:rFonts w:hint="eastAsia" w:ascii="宋体" w:hAnsi="宋体" w:eastAsia="宋体" w:cs="宋体"/>
                <w:snapToGrid w:val="0"/>
                <w:color w:val="auto"/>
                <w:kern w:val="0"/>
                <w:sz w:val="21"/>
                <w:szCs w:val="21"/>
                <w:lang w:val="en-US" w:eastAsia="zh-CN" w:bidi="ar-SA"/>
              </w:rPr>
              <w:t>含</w:t>
            </w:r>
            <w:r>
              <w:rPr>
                <w:rFonts w:hint="eastAsia" w:ascii="宋体" w:hAnsi="宋体" w:eastAsia="宋体" w:cs="宋体"/>
                <w:snapToGrid w:val="0"/>
                <w:color w:val="auto"/>
                <w:kern w:val="0"/>
                <w:sz w:val="21"/>
                <w:szCs w:val="21"/>
                <w:lang w:val="zh-CN" w:eastAsia="zh-CN" w:bidi="ar-SA"/>
              </w:rPr>
              <w:t>）</w:t>
            </w:r>
            <w:r>
              <w:rPr>
                <w:rFonts w:hint="eastAsia" w:ascii="宋体" w:hAnsi="宋体" w:eastAsia="宋体" w:cs="宋体"/>
                <w:snapToGrid w:val="0"/>
                <w:color w:val="auto"/>
                <w:kern w:val="0"/>
                <w:sz w:val="21"/>
                <w:szCs w:val="21"/>
                <w:lang w:val="en-US" w:eastAsia="zh-CN" w:bidi="ar-SA"/>
              </w:rPr>
              <w:t>以上和一级注册造价师的得3分；少一项只得1分。</w:t>
            </w:r>
          </w:p>
          <w:p w14:paraId="2C83F9ED">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zh-CN" w:eastAsia="zh-CN" w:bidi="ar-SA"/>
              </w:rPr>
              <w:t>（</w:t>
            </w:r>
            <w:r>
              <w:rPr>
                <w:rFonts w:hint="eastAsia" w:ascii="宋体" w:hAnsi="宋体" w:eastAsia="宋体" w:cs="宋体"/>
                <w:snapToGrid w:val="0"/>
                <w:color w:val="auto"/>
                <w:kern w:val="0"/>
                <w:sz w:val="21"/>
                <w:szCs w:val="21"/>
                <w:lang w:val="en-US" w:eastAsia="zh-CN" w:bidi="ar-SA"/>
              </w:rPr>
              <w:t>5</w:t>
            </w:r>
            <w:r>
              <w:rPr>
                <w:rFonts w:hint="eastAsia" w:ascii="宋体" w:hAnsi="宋体" w:eastAsia="宋体" w:cs="宋体"/>
                <w:snapToGrid w:val="0"/>
                <w:color w:val="auto"/>
                <w:kern w:val="0"/>
                <w:sz w:val="21"/>
                <w:szCs w:val="21"/>
                <w:lang w:val="zh-CN" w:eastAsia="zh-CN" w:bidi="ar-SA"/>
              </w:rPr>
              <w:t>）</w:t>
            </w:r>
            <w:r>
              <w:rPr>
                <w:rFonts w:hint="eastAsia" w:ascii="宋体" w:hAnsi="宋体" w:eastAsia="宋体" w:cs="宋体"/>
                <w:snapToGrid w:val="0"/>
                <w:color w:val="auto"/>
                <w:kern w:val="0"/>
                <w:sz w:val="21"/>
                <w:szCs w:val="21"/>
                <w:lang w:val="en-US" w:eastAsia="zh-CN" w:bidi="ar-SA"/>
              </w:rPr>
              <w:t>电气专业负责人：同时具备</w:t>
            </w:r>
            <w:r>
              <w:rPr>
                <w:rFonts w:hint="eastAsia" w:ascii="宋体" w:hAnsi="宋体" w:eastAsia="宋体" w:cs="宋体"/>
                <w:snapToGrid w:val="0"/>
                <w:color w:val="auto"/>
                <w:kern w:val="0"/>
                <w:sz w:val="21"/>
                <w:szCs w:val="21"/>
                <w:lang w:val="zh-CN" w:eastAsia="zh-CN" w:bidi="ar-SA"/>
              </w:rPr>
              <w:t>相关专业高级职称（</w:t>
            </w:r>
            <w:r>
              <w:rPr>
                <w:rFonts w:hint="eastAsia" w:ascii="宋体" w:hAnsi="宋体" w:eastAsia="宋体" w:cs="宋体"/>
                <w:snapToGrid w:val="0"/>
                <w:color w:val="auto"/>
                <w:kern w:val="0"/>
                <w:sz w:val="21"/>
                <w:szCs w:val="21"/>
                <w:lang w:val="en-US" w:eastAsia="zh-CN" w:bidi="ar-SA"/>
              </w:rPr>
              <w:t>含</w:t>
            </w:r>
            <w:r>
              <w:rPr>
                <w:rFonts w:hint="eastAsia" w:ascii="宋体" w:hAnsi="宋体" w:eastAsia="宋体" w:cs="宋体"/>
                <w:snapToGrid w:val="0"/>
                <w:color w:val="auto"/>
                <w:kern w:val="0"/>
                <w:sz w:val="21"/>
                <w:szCs w:val="21"/>
                <w:lang w:val="zh-CN" w:eastAsia="zh-CN" w:bidi="ar-SA"/>
              </w:rPr>
              <w:t>）</w:t>
            </w:r>
            <w:r>
              <w:rPr>
                <w:rFonts w:hint="eastAsia" w:ascii="宋体" w:hAnsi="宋体" w:eastAsia="宋体" w:cs="宋体"/>
                <w:snapToGrid w:val="0"/>
                <w:color w:val="auto"/>
                <w:kern w:val="0"/>
                <w:sz w:val="21"/>
                <w:szCs w:val="21"/>
                <w:lang w:val="en-US" w:eastAsia="zh-CN" w:bidi="ar-SA"/>
              </w:rPr>
              <w:t>以上和注册</w:t>
            </w:r>
            <w:r>
              <w:rPr>
                <w:rFonts w:hint="eastAsia" w:ascii="宋体" w:hAnsi="宋体" w:cs="宋体"/>
                <w:snapToGrid w:val="0"/>
                <w:color w:val="auto"/>
                <w:kern w:val="0"/>
                <w:sz w:val="21"/>
                <w:szCs w:val="21"/>
                <w:lang w:val="en-US" w:eastAsia="zh-CN" w:bidi="ar-SA"/>
              </w:rPr>
              <w:t>电气工程师</w:t>
            </w:r>
            <w:r>
              <w:rPr>
                <w:rFonts w:hint="eastAsia" w:ascii="宋体" w:hAnsi="宋体" w:eastAsia="宋体" w:cs="宋体"/>
                <w:snapToGrid w:val="0"/>
                <w:color w:val="auto"/>
                <w:kern w:val="0"/>
                <w:sz w:val="21"/>
                <w:szCs w:val="21"/>
                <w:lang w:val="en-US" w:eastAsia="zh-CN" w:bidi="ar-SA"/>
              </w:rPr>
              <w:t>（供配电）的得3分；少一项只得1分。</w:t>
            </w:r>
            <w:bookmarkStart w:id="378" w:name="_GoBack"/>
            <w:bookmarkEnd w:id="378"/>
          </w:p>
          <w:p w14:paraId="1BDC41D2">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以上人员不得为同一人，本项最高得15分。</w:t>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6E00D878">
            <w:pPr>
              <w:pStyle w:val="8"/>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lang w:val="en-US" w:eastAsia="zh-CN" w:bidi="ar-SA"/>
              </w:rPr>
              <w:t>1.</w:t>
            </w:r>
            <w:r>
              <w:rPr>
                <w:rFonts w:hint="eastAsia" w:ascii="宋体" w:hAnsi="宋体" w:eastAsia="宋体" w:cs="宋体"/>
                <w:snapToGrid w:val="0"/>
                <w:color w:val="auto"/>
                <w:kern w:val="0"/>
                <w:sz w:val="21"/>
                <w:szCs w:val="21"/>
                <w:highlight w:val="none"/>
                <w:lang w:val="en-US" w:eastAsia="zh-CN"/>
              </w:rPr>
              <w:t>须提供相关证书及社保证明彩色扫描件并加盖公章</w:t>
            </w:r>
            <w:r>
              <w:rPr>
                <w:rFonts w:hint="eastAsia" w:ascii="宋体" w:hAnsi="宋体" w:cs="宋体"/>
                <w:snapToGrid w:val="0"/>
                <w:color w:val="auto"/>
                <w:kern w:val="0"/>
                <w:sz w:val="21"/>
                <w:szCs w:val="21"/>
                <w:highlight w:val="none"/>
                <w:lang w:eastAsia="zh-CN"/>
              </w:rPr>
              <w:t>（</w:t>
            </w:r>
            <w:r>
              <w:rPr>
                <w:rFonts w:hint="eastAsia" w:ascii="宋体" w:hAnsi="宋体" w:eastAsia="宋体" w:cs="宋体"/>
                <w:snapToGrid w:val="0"/>
                <w:color w:val="auto"/>
                <w:kern w:val="0"/>
                <w:szCs w:val="28"/>
                <w:highlight w:val="none"/>
              </w:rPr>
              <w:t>提供近</w:t>
            </w:r>
            <w:r>
              <w:rPr>
                <w:rFonts w:hint="eastAsia" w:ascii="宋体" w:hAnsi="宋体" w:eastAsia="宋体" w:cs="宋体"/>
                <w:snapToGrid w:val="0"/>
                <w:color w:val="auto"/>
                <w:kern w:val="0"/>
                <w:szCs w:val="28"/>
                <w:highlight w:val="none"/>
                <w:lang w:val="en-US" w:eastAsia="zh-CN"/>
              </w:rPr>
              <w:t>3</w:t>
            </w:r>
            <w:r>
              <w:rPr>
                <w:rFonts w:hint="eastAsia" w:ascii="宋体" w:hAnsi="宋体" w:eastAsia="宋体" w:cs="宋体"/>
                <w:snapToGrid w:val="0"/>
                <w:color w:val="auto"/>
                <w:kern w:val="0"/>
                <w:szCs w:val="28"/>
                <w:highlight w:val="none"/>
              </w:rPr>
              <w:t>个月（其中必须有202</w:t>
            </w:r>
            <w:r>
              <w:rPr>
                <w:rFonts w:hint="eastAsia" w:ascii="宋体" w:hAnsi="宋体" w:eastAsia="宋体" w:cs="宋体"/>
                <w:snapToGrid w:val="0"/>
                <w:color w:val="auto"/>
                <w:kern w:val="0"/>
                <w:szCs w:val="28"/>
                <w:highlight w:val="none"/>
                <w:lang w:val="en-US" w:eastAsia="zh-CN"/>
              </w:rPr>
              <w:t>5</w:t>
            </w:r>
            <w:r>
              <w:rPr>
                <w:rFonts w:hint="eastAsia" w:ascii="宋体" w:hAnsi="宋体" w:eastAsia="宋体" w:cs="宋体"/>
                <w:snapToGrid w:val="0"/>
                <w:color w:val="auto"/>
                <w:kern w:val="0"/>
                <w:szCs w:val="28"/>
                <w:highlight w:val="none"/>
              </w:rPr>
              <w:t>年</w:t>
            </w:r>
            <w:r>
              <w:rPr>
                <w:rFonts w:hint="eastAsia" w:ascii="宋体" w:hAnsi="宋体" w:cs="宋体"/>
                <w:snapToGrid w:val="0"/>
                <w:color w:val="auto"/>
                <w:kern w:val="0"/>
                <w:szCs w:val="28"/>
                <w:highlight w:val="none"/>
                <w:lang w:val="en-US" w:eastAsia="zh-CN"/>
              </w:rPr>
              <w:t>8</w:t>
            </w:r>
            <w:r>
              <w:rPr>
                <w:rFonts w:hint="eastAsia" w:ascii="宋体" w:hAnsi="宋体" w:eastAsia="宋体" w:cs="宋体"/>
                <w:snapToGrid w:val="0"/>
                <w:color w:val="auto"/>
                <w:kern w:val="0"/>
                <w:szCs w:val="28"/>
                <w:highlight w:val="none"/>
              </w:rPr>
              <w:t>月）的社保证明（非独立法人分支机构出具社保，予以认可）</w:t>
            </w:r>
            <w:r>
              <w:rPr>
                <w:rFonts w:hint="eastAsia" w:ascii="宋体" w:hAnsi="宋体" w:eastAsia="宋体" w:cs="宋体"/>
                <w:snapToGrid w:val="0"/>
                <w:color w:val="auto"/>
                <w:kern w:val="0"/>
                <w:sz w:val="21"/>
                <w:szCs w:val="21"/>
                <w:highlight w:val="none"/>
                <w:lang w:val="en-US" w:eastAsia="zh-CN"/>
              </w:rPr>
              <w:t>；</w:t>
            </w:r>
          </w:p>
          <w:p w14:paraId="270A41BD">
            <w:pPr>
              <w:pStyle w:val="8"/>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lang w:val="en-US" w:eastAsia="zh-CN" w:bidi="ar-SA"/>
              </w:rPr>
              <w:t>2.</w:t>
            </w:r>
            <w:r>
              <w:rPr>
                <w:rFonts w:hint="eastAsia" w:ascii="宋体" w:hAnsi="宋体" w:eastAsia="宋体" w:cs="宋体"/>
                <w:snapToGrid w:val="0"/>
                <w:color w:val="auto"/>
                <w:kern w:val="0"/>
                <w:sz w:val="21"/>
                <w:szCs w:val="21"/>
                <w:highlight w:val="none"/>
                <w:lang w:val="en-US" w:eastAsia="zh-CN"/>
              </w:rPr>
              <w:t>不符合评分标准和备注规定的，不予计分。</w:t>
            </w:r>
          </w:p>
        </w:tc>
      </w:tr>
      <w:tr w14:paraId="2A6C9ECF">
        <w:tblPrEx>
          <w:tblCellMar>
            <w:top w:w="0" w:type="dxa"/>
            <w:left w:w="108" w:type="dxa"/>
            <w:bottom w:w="0" w:type="dxa"/>
            <w:right w:w="108" w:type="dxa"/>
          </w:tblCellMar>
        </w:tblPrEx>
        <w:trPr>
          <w:trHeight w:val="2151"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C2D0773">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企业管理体系认证</w:t>
            </w:r>
          </w:p>
          <w:p w14:paraId="20D966C3">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（6分）</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5F54CB00">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投标人具备在有效期内的质量管理体系认证证书、职业健康安全管理体系认证证书、环境管理体系认证证书</w:t>
            </w:r>
            <w:r>
              <w:rPr>
                <w:rFonts w:hint="eastAsia" w:ascii="宋体" w:hAnsi="宋体" w:cs="宋体"/>
                <w:snapToGrid w:val="0"/>
                <w:color w:val="auto"/>
                <w:kern w:val="0"/>
                <w:sz w:val="21"/>
                <w:szCs w:val="21"/>
                <w:highlight w:val="none"/>
                <w:lang w:val="en-US" w:eastAsia="zh-CN"/>
              </w:rPr>
              <w:t>：</w:t>
            </w:r>
          </w:p>
          <w:p w14:paraId="2374BEB5">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1.具备上述三项证书得6分；</w:t>
            </w:r>
          </w:p>
          <w:p w14:paraId="21496CD5">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2.具备上述任意两项证书得4分；</w:t>
            </w:r>
          </w:p>
          <w:p w14:paraId="2F9EDE0C">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3.具备上述任意一项证书得2分；</w:t>
            </w:r>
          </w:p>
          <w:p w14:paraId="2D4DA1E0">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本项最高得6分，其它不予计分。</w:t>
            </w:r>
          </w:p>
        </w:tc>
        <w:tc>
          <w:tcPr>
            <w:tcW w:w="3955" w:type="dxa"/>
            <w:tcBorders>
              <w:top w:val="single" w:color="auto" w:sz="4" w:space="0"/>
              <w:left w:val="single" w:color="auto" w:sz="4" w:space="0"/>
              <w:bottom w:val="single" w:color="auto" w:sz="4" w:space="0"/>
              <w:right w:val="single" w:color="auto" w:sz="4" w:space="0"/>
            </w:tcBorders>
            <w:noWrap w:val="0"/>
            <w:vAlign w:val="center"/>
          </w:tcPr>
          <w:p w14:paraId="3E1561C4">
            <w:pPr>
              <w:pStyle w:val="8"/>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1"/>
                <w:szCs w:val="21"/>
                <w:highlight w:val="none"/>
                <w:lang w:val="zh-CN" w:eastAsia="zh-CN"/>
              </w:rPr>
            </w:pPr>
            <w:r>
              <w:rPr>
                <w:rFonts w:hint="eastAsia" w:ascii="宋体" w:hAnsi="宋体" w:eastAsia="宋体" w:cs="宋体"/>
                <w:snapToGrid w:val="0"/>
                <w:color w:val="auto"/>
                <w:kern w:val="0"/>
                <w:sz w:val="21"/>
                <w:szCs w:val="21"/>
                <w:highlight w:val="none"/>
                <w:lang w:val="en-US" w:eastAsia="zh-CN"/>
              </w:rPr>
              <w:t>须同时提供相关认证证书彩色扫描件，及在全国认证认可信息公共服务平台(网址：http://cx.cnca.cn/)可查询且状态为有效的网页截图，并加盖投标人公章作为评审依据，否则不得分。</w:t>
            </w:r>
          </w:p>
        </w:tc>
      </w:tr>
      <w:tr w14:paraId="19C363FA">
        <w:tblPrEx>
          <w:tblCellMar>
            <w:top w:w="0" w:type="dxa"/>
            <w:left w:w="108" w:type="dxa"/>
            <w:bottom w:w="0" w:type="dxa"/>
            <w:right w:w="108" w:type="dxa"/>
          </w:tblCellMar>
        </w:tblPrEx>
        <w:trPr>
          <w:trHeight w:val="566" w:hRule="exact"/>
          <w:jc w:val="center"/>
        </w:trPr>
        <w:tc>
          <w:tcPr>
            <w:tcW w:w="957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4ACAE7DA">
            <w:pPr>
              <w:pStyle w:val="8"/>
              <w:wordWrap w:val="0"/>
              <w:adjustRightInd w:val="0"/>
              <w:snapToGrid w:val="0"/>
              <w:spacing w:after="0" w:line="440" w:lineRule="exact"/>
              <w:jc w:val="left"/>
              <w:rPr>
                <w:rFonts w:hint="eastAsia" w:ascii="黑体" w:hAnsi="黑体" w:eastAsia="黑体" w:cs="黑体"/>
                <w:snapToGrid w:val="0"/>
                <w:color w:val="auto"/>
                <w:kern w:val="0"/>
                <w:szCs w:val="24"/>
                <w:highlight w:val="none"/>
              </w:rPr>
            </w:pPr>
            <w:r>
              <w:rPr>
                <w:rFonts w:hint="eastAsia" w:ascii="黑体" w:hAnsi="黑体" w:eastAsia="黑体" w:cs="黑体"/>
                <w:snapToGrid w:val="0"/>
                <w:color w:val="auto"/>
                <w:kern w:val="0"/>
                <w:szCs w:val="24"/>
                <w:highlight w:val="none"/>
              </w:rPr>
              <w:t>技术部分，</w:t>
            </w:r>
            <w:r>
              <w:rPr>
                <w:rFonts w:hint="eastAsia" w:ascii="黑体" w:hAnsi="黑体" w:eastAsia="黑体" w:cs="黑体"/>
                <w:snapToGrid w:val="0"/>
                <w:color w:val="auto"/>
                <w:kern w:val="0"/>
                <w:szCs w:val="21"/>
                <w:highlight w:val="none"/>
              </w:rPr>
              <w:t>满分：</w:t>
            </w:r>
            <w:r>
              <w:rPr>
                <w:rFonts w:hint="eastAsia" w:ascii="黑体" w:hAnsi="黑体" w:eastAsia="黑体" w:cs="黑体"/>
                <w:snapToGrid w:val="0"/>
                <w:color w:val="auto"/>
                <w:kern w:val="0"/>
                <w:szCs w:val="21"/>
                <w:highlight w:val="none"/>
                <w:u w:val="single"/>
                <w:lang w:val="en-US" w:eastAsia="zh-CN"/>
              </w:rPr>
              <w:t>40</w:t>
            </w:r>
            <w:r>
              <w:rPr>
                <w:rFonts w:hint="eastAsia" w:ascii="黑体" w:hAnsi="黑体" w:eastAsia="黑体" w:cs="黑体"/>
                <w:snapToGrid w:val="0"/>
                <w:color w:val="auto"/>
                <w:kern w:val="0"/>
                <w:szCs w:val="21"/>
                <w:highlight w:val="none"/>
              </w:rPr>
              <w:t>分。</w:t>
            </w:r>
          </w:p>
        </w:tc>
      </w:tr>
      <w:tr w14:paraId="5A9208C0">
        <w:tblPrEx>
          <w:tblCellMar>
            <w:top w:w="0" w:type="dxa"/>
            <w:left w:w="108" w:type="dxa"/>
            <w:bottom w:w="0" w:type="dxa"/>
            <w:right w:w="108" w:type="dxa"/>
          </w:tblCellMar>
        </w:tblPrEx>
        <w:trPr>
          <w:trHeight w:val="630" w:hRule="exac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4DD2A4A">
            <w:pPr>
              <w:pStyle w:val="8"/>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黑体" w:hAnsi="黑体" w:eastAsia="黑体" w:cs="黑体"/>
                <w:snapToGrid w:val="0"/>
                <w:color w:val="auto"/>
                <w:kern w:val="0"/>
                <w:szCs w:val="24"/>
                <w:highlight w:val="none"/>
              </w:rPr>
            </w:pPr>
            <w:r>
              <w:rPr>
                <w:rFonts w:hint="eastAsia" w:ascii="黑体" w:hAnsi="黑体" w:eastAsia="黑体" w:cs="黑体"/>
                <w:snapToGrid w:val="0"/>
                <w:color w:val="auto"/>
                <w:kern w:val="0"/>
                <w:szCs w:val="24"/>
                <w:highlight w:val="none"/>
              </w:rPr>
              <w:t>评分</w:t>
            </w:r>
          </w:p>
          <w:p w14:paraId="052BFD42">
            <w:pPr>
              <w:pStyle w:val="8"/>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ascii="黑体" w:hAnsi="黑体" w:eastAsia="黑体" w:cs="黑体"/>
                <w:snapToGrid w:val="0"/>
                <w:color w:val="auto"/>
                <w:kern w:val="0"/>
                <w:szCs w:val="24"/>
                <w:highlight w:val="none"/>
              </w:rPr>
            </w:pPr>
            <w:r>
              <w:rPr>
                <w:rFonts w:hint="eastAsia" w:ascii="黑体" w:hAnsi="黑体" w:eastAsia="黑体" w:cs="黑体"/>
                <w:snapToGrid w:val="0"/>
                <w:color w:val="auto"/>
                <w:kern w:val="0"/>
                <w:szCs w:val="24"/>
                <w:highlight w:val="none"/>
              </w:rPr>
              <w:t>因素</w:t>
            </w:r>
          </w:p>
        </w:tc>
        <w:tc>
          <w:tcPr>
            <w:tcW w:w="8545" w:type="dxa"/>
            <w:gridSpan w:val="2"/>
            <w:tcBorders>
              <w:top w:val="single" w:color="auto" w:sz="4" w:space="0"/>
              <w:left w:val="single" w:color="auto" w:sz="4" w:space="0"/>
              <w:bottom w:val="single" w:color="auto" w:sz="4" w:space="0"/>
              <w:right w:val="single" w:color="auto" w:sz="4" w:space="0"/>
            </w:tcBorders>
            <w:noWrap w:val="0"/>
            <w:vAlign w:val="center"/>
          </w:tcPr>
          <w:p w14:paraId="02790713">
            <w:pPr>
              <w:pStyle w:val="8"/>
              <w:wordWrap w:val="0"/>
              <w:adjustRightInd w:val="0"/>
              <w:snapToGrid w:val="0"/>
              <w:spacing w:after="0" w:line="440" w:lineRule="exact"/>
              <w:jc w:val="center"/>
              <w:rPr>
                <w:rFonts w:hint="eastAsia" w:ascii="黑体" w:hAnsi="黑体" w:eastAsia="黑体" w:cs="黑体"/>
                <w:snapToGrid w:val="0"/>
                <w:color w:val="auto"/>
                <w:kern w:val="0"/>
                <w:szCs w:val="24"/>
                <w:highlight w:val="none"/>
              </w:rPr>
            </w:pPr>
            <w:r>
              <w:rPr>
                <w:rFonts w:hint="eastAsia" w:ascii="黑体" w:hAnsi="黑体" w:eastAsia="黑体" w:cs="黑体"/>
                <w:snapToGrid w:val="0"/>
                <w:color w:val="auto"/>
                <w:kern w:val="0"/>
                <w:szCs w:val="24"/>
                <w:highlight w:val="none"/>
              </w:rPr>
              <w:t>评分标准</w:t>
            </w:r>
          </w:p>
        </w:tc>
      </w:tr>
      <w:tr w14:paraId="50D6BAC6">
        <w:tblPrEx>
          <w:tblCellMar>
            <w:top w:w="0" w:type="dxa"/>
            <w:left w:w="108" w:type="dxa"/>
            <w:bottom w:w="0" w:type="dxa"/>
            <w:right w:w="108" w:type="dxa"/>
          </w:tblCellMar>
        </w:tblPrEx>
        <w:trPr>
          <w:trHeight w:val="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1E73CCA">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对项目的概况的了解</w:t>
            </w:r>
          </w:p>
          <w:p w14:paraId="240A2748">
            <w:pPr>
              <w:keepNext w:val="0"/>
              <w:keepLines w:val="0"/>
              <w:pageBreakBefore w:val="0"/>
              <w:widowControl w:val="0"/>
              <w:kinsoku/>
              <w:overflowPunct/>
              <w:topLinePunct w:val="0"/>
              <w:autoSpaceDE/>
              <w:autoSpaceDN/>
              <w:bidi w:val="0"/>
              <w:snapToGrid/>
              <w:spacing w:line="360" w:lineRule="exact"/>
              <w:jc w:val="center"/>
              <w:textAlignment w:val="auto"/>
              <w:rPr>
                <w:rFonts w:hint="eastAsia"/>
                <w:color w:val="auto"/>
                <w:kern w:val="2"/>
                <w:sz w:val="21"/>
                <w:szCs w:val="21"/>
                <w:highlight w:val="none"/>
                <w:lang w:val="en-US" w:eastAsia="zh-CN" w:bidi="ar-SA"/>
              </w:rPr>
            </w:pPr>
            <w:r>
              <w:rPr>
                <w:rFonts w:hint="eastAsia" w:ascii="宋体" w:hAnsi="Times New Roman" w:eastAsia="宋体" w:cs="Times New Roman"/>
                <w:color w:val="auto"/>
                <w:sz w:val="21"/>
                <w:szCs w:val="21"/>
                <w:highlight w:val="none"/>
              </w:rPr>
              <w:t>（</w:t>
            </w:r>
            <w:r>
              <w:rPr>
                <w:rFonts w:hint="eastAsia" w:ascii="宋体" w:cs="Times New Roman"/>
                <w:color w:val="auto"/>
                <w:sz w:val="21"/>
                <w:szCs w:val="21"/>
                <w:highlight w:val="none"/>
                <w:lang w:val="en-US" w:eastAsia="zh-CN"/>
              </w:rPr>
              <w:t>8</w:t>
            </w:r>
            <w:r>
              <w:rPr>
                <w:rFonts w:hint="eastAsia" w:ascii="宋体" w:hAnsi="Times New Roman" w:eastAsia="宋体" w:cs="Times New Roman"/>
                <w:color w:val="auto"/>
                <w:sz w:val="21"/>
                <w:szCs w:val="21"/>
                <w:highlight w:val="none"/>
              </w:rPr>
              <w:t>分）</w:t>
            </w:r>
          </w:p>
        </w:tc>
        <w:tc>
          <w:tcPr>
            <w:tcW w:w="8545" w:type="dxa"/>
            <w:gridSpan w:val="2"/>
            <w:tcBorders>
              <w:top w:val="single" w:color="auto" w:sz="4" w:space="0"/>
              <w:left w:val="single" w:color="auto" w:sz="4" w:space="0"/>
              <w:bottom w:val="single" w:color="auto" w:sz="4" w:space="0"/>
              <w:right w:val="single" w:color="auto" w:sz="4" w:space="0"/>
            </w:tcBorders>
            <w:noWrap w:val="0"/>
            <w:vAlign w:val="center"/>
          </w:tcPr>
          <w:p w14:paraId="319E354C">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对本次招标项目的概况、规模等描述详尽、透彻的。</w:t>
            </w:r>
          </w:p>
          <w:p w14:paraId="6A435D49">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【优】得该细项分的</w:t>
            </w:r>
            <w:r>
              <w:rPr>
                <w:rFonts w:hint="eastAsia" w:ascii="宋体" w:cs="Times New Roman"/>
                <w:color w:val="auto"/>
                <w:sz w:val="21"/>
                <w:szCs w:val="21"/>
                <w:highlight w:val="none"/>
                <w:lang w:val="en-US" w:eastAsia="zh-CN"/>
              </w:rPr>
              <w:t>8</w:t>
            </w:r>
            <w:r>
              <w:rPr>
                <w:rFonts w:hint="eastAsia" w:ascii="宋体" w:hAnsi="Times New Roman" w:eastAsia="宋体" w:cs="Times New Roman"/>
                <w:color w:val="auto"/>
                <w:sz w:val="21"/>
                <w:szCs w:val="21"/>
                <w:highlight w:val="none"/>
              </w:rPr>
              <w:t>分；</w:t>
            </w:r>
          </w:p>
          <w:p w14:paraId="74954424">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中</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分；</w:t>
            </w:r>
          </w:p>
          <w:p w14:paraId="11BBF5BD">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合格</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rPr>
              <w:t>分；</w:t>
            </w:r>
          </w:p>
          <w:p w14:paraId="3DBAD63F">
            <w:pPr>
              <w:keepNext w:val="0"/>
              <w:keepLines w:val="0"/>
              <w:pageBreakBefore w:val="0"/>
              <w:widowControl w:val="0"/>
              <w:kinsoku/>
              <w:overflowPunct/>
              <w:topLinePunct w:val="0"/>
              <w:autoSpaceDE/>
              <w:autoSpaceDN/>
              <w:bidi w:val="0"/>
              <w:snapToGrid/>
              <w:spacing w:line="360" w:lineRule="exact"/>
              <w:textAlignment w:val="auto"/>
              <w:rPr>
                <w:rFonts w:hint="default"/>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不提供材料或无该项描述的</w:t>
            </w:r>
            <w:r>
              <w:rPr>
                <w:rFonts w:hint="eastAsia" w:ascii="宋体" w:hAnsi="Times New Roman" w:eastAsia="宋体" w:cs="Times New Roman"/>
                <w:color w:val="auto"/>
                <w:sz w:val="21"/>
                <w:szCs w:val="21"/>
                <w:highlight w:val="none"/>
              </w:rPr>
              <w:t>得0分</w:t>
            </w:r>
            <w:r>
              <w:rPr>
                <w:rFonts w:hint="eastAsia" w:ascii="宋体" w:hAnsi="Times New Roman" w:eastAsia="宋体" w:cs="Times New Roman"/>
                <w:color w:val="auto"/>
                <w:sz w:val="21"/>
                <w:szCs w:val="21"/>
                <w:highlight w:val="none"/>
                <w:lang w:eastAsia="zh-CN"/>
              </w:rPr>
              <w:t>。</w:t>
            </w:r>
          </w:p>
        </w:tc>
      </w:tr>
      <w:tr w14:paraId="255B1F2E">
        <w:tblPrEx>
          <w:tblCellMar>
            <w:top w:w="0" w:type="dxa"/>
            <w:left w:w="108" w:type="dxa"/>
            <w:bottom w:w="0" w:type="dxa"/>
            <w:right w:w="108" w:type="dxa"/>
          </w:tblCellMar>
        </w:tblPrEx>
        <w:trPr>
          <w:trHeight w:val="77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3170C55">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设计方案思路</w:t>
            </w:r>
          </w:p>
          <w:p w14:paraId="03BE44EF">
            <w:pPr>
              <w:keepNext w:val="0"/>
              <w:keepLines w:val="0"/>
              <w:pageBreakBefore w:val="0"/>
              <w:widowControl w:val="0"/>
              <w:kinsoku/>
              <w:overflowPunct/>
              <w:topLinePunct w:val="0"/>
              <w:autoSpaceDE/>
              <w:autoSpaceDN/>
              <w:bidi w:val="0"/>
              <w:snapToGrid/>
              <w:spacing w:line="360" w:lineRule="exact"/>
              <w:jc w:val="center"/>
              <w:textAlignment w:val="auto"/>
              <w:rPr>
                <w:rFonts w:hint="eastAsia" w:eastAsia="宋体"/>
                <w:snapToGrid w:val="0"/>
                <w:color w:val="auto"/>
                <w:kern w:val="0"/>
                <w:sz w:val="21"/>
                <w:szCs w:val="21"/>
                <w:highlight w:val="none"/>
                <w:lang w:val="en-US" w:eastAsia="zh-CN" w:bidi="ar-SA"/>
              </w:rPr>
            </w:pPr>
            <w:r>
              <w:rPr>
                <w:rFonts w:hint="eastAsia" w:ascii="宋体" w:hAnsi="Times New Roman" w:eastAsia="宋体" w:cs="Times New Roman"/>
                <w:color w:val="auto"/>
                <w:sz w:val="21"/>
                <w:szCs w:val="21"/>
                <w:highlight w:val="none"/>
              </w:rPr>
              <w:t>（</w:t>
            </w:r>
            <w:r>
              <w:rPr>
                <w:rFonts w:hint="eastAsia" w:ascii="宋体" w:cs="Times New Roman"/>
                <w:color w:val="auto"/>
                <w:sz w:val="21"/>
                <w:szCs w:val="21"/>
                <w:highlight w:val="none"/>
                <w:lang w:val="en-US" w:eastAsia="zh-CN"/>
              </w:rPr>
              <w:t>12</w:t>
            </w:r>
            <w:r>
              <w:rPr>
                <w:rFonts w:hint="eastAsia" w:ascii="宋体" w:hAnsi="Times New Roman" w:eastAsia="宋体" w:cs="Times New Roman"/>
                <w:color w:val="auto"/>
                <w:sz w:val="21"/>
                <w:szCs w:val="21"/>
                <w:highlight w:val="none"/>
              </w:rPr>
              <w:t>分）</w:t>
            </w:r>
          </w:p>
        </w:tc>
        <w:tc>
          <w:tcPr>
            <w:tcW w:w="8545" w:type="dxa"/>
            <w:gridSpan w:val="2"/>
            <w:tcBorders>
              <w:top w:val="single" w:color="auto" w:sz="4" w:space="0"/>
              <w:left w:val="single" w:color="auto" w:sz="4" w:space="0"/>
              <w:bottom w:val="single" w:color="auto" w:sz="4" w:space="0"/>
              <w:right w:val="single" w:color="auto" w:sz="4" w:space="0"/>
            </w:tcBorders>
            <w:noWrap w:val="0"/>
            <w:vAlign w:val="center"/>
          </w:tcPr>
          <w:p w14:paraId="4364ED6B">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方案能对项目设计所涉及的相关方面问题提出合理设计思路、经济性及可行性分析详细的</w:t>
            </w:r>
            <w:r>
              <w:rPr>
                <w:rFonts w:hint="eastAsia" w:ascii="宋体" w:hAnsi="Times New Roman" w:eastAsia="宋体" w:cs="Times New Roman"/>
                <w:color w:val="auto"/>
                <w:sz w:val="21"/>
                <w:szCs w:val="21"/>
                <w:highlight w:val="none"/>
                <w:lang w:eastAsia="zh-CN"/>
              </w:rPr>
              <w:t>，</w:t>
            </w:r>
            <w:r>
              <w:rPr>
                <w:rFonts w:hint="eastAsia" w:ascii="宋体" w:hAnsi="Times New Roman" w:eastAsia="宋体" w:cs="Times New Roman"/>
                <w:color w:val="auto"/>
                <w:sz w:val="21"/>
                <w:szCs w:val="21"/>
                <w:highlight w:val="none"/>
                <w:lang w:val="en-US" w:eastAsia="zh-CN"/>
              </w:rPr>
              <w:t>符合现场客观情况的</w:t>
            </w:r>
            <w:r>
              <w:rPr>
                <w:rFonts w:hint="eastAsia" w:ascii="宋体" w:hAnsi="Times New Roman" w:eastAsia="宋体" w:cs="Times New Roman"/>
                <w:color w:val="auto"/>
                <w:sz w:val="21"/>
                <w:szCs w:val="21"/>
                <w:highlight w:val="none"/>
              </w:rPr>
              <w:t>。</w:t>
            </w:r>
          </w:p>
          <w:p w14:paraId="75BFB157">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【优】得该细项分的</w:t>
            </w:r>
            <w:r>
              <w:rPr>
                <w:rFonts w:hint="eastAsia" w:ascii="宋体" w:cs="Times New Roman"/>
                <w:color w:val="auto"/>
                <w:sz w:val="21"/>
                <w:szCs w:val="21"/>
                <w:highlight w:val="none"/>
                <w:lang w:val="en-US" w:eastAsia="zh-CN"/>
              </w:rPr>
              <w:t>12</w:t>
            </w:r>
            <w:r>
              <w:rPr>
                <w:rFonts w:hint="eastAsia" w:ascii="宋体" w:hAnsi="Times New Roman" w:eastAsia="宋体" w:cs="Times New Roman"/>
                <w:color w:val="auto"/>
                <w:sz w:val="21"/>
                <w:szCs w:val="21"/>
                <w:highlight w:val="none"/>
              </w:rPr>
              <w:t>分；</w:t>
            </w:r>
          </w:p>
          <w:p w14:paraId="4176903E">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中</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8</w:t>
            </w:r>
            <w:r>
              <w:rPr>
                <w:rFonts w:hint="eastAsia" w:ascii="宋体" w:hAnsi="Times New Roman" w:eastAsia="宋体" w:cs="Times New Roman"/>
                <w:color w:val="auto"/>
                <w:sz w:val="21"/>
                <w:szCs w:val="21"/>
                <w:highlight w:val="none"/>
              </w:rPr>
              <w:t>分；</w:t>
            </w:r>
          </w:p>
          <w:p w14:paraId="169E88D6">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合格</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分；</w:t>
            </w:r>
          </w:p>
          <w:p w14:paraId="72BD93BF">
            <w:pPr>
              <w:keepNext w:val="0"/>
              <w:keepLines w:val="0"/>
              <w:pageBreakBefore w:val="0"/>
              <w:widowControl w:val="0"/>
              <w:kinsoku/>
              <w:overflowPunct/>
              <w:topLinePunct w:val="0"/>
              <w:autoSpaceDE/>
              <w:autoSpaceDN/>
              <w:bidi w:val="0"/>
              <w:snapToGrid/>
              <w:spacing w:line="360" w:lineRule="exact"/>
              <w:textAlignment w:val="auto"/>
              <w:rPr>
                <w:rFonts w:hint="eastAsia"/>
                <w:color w:val="auto"/>
                <w:sz w:val="21"/>
                <w:szCs w:val="21"/>
                <w:highlight w:val="none"/>
              </w:rPr>
            </w:pPr>
            <w:r>
              <w:rPr>
                <w:rFonts w:hint="eastAsia" w:ascii="宋体" w:hAnsi="Times New Roman" w:eastAsia="宋体" w:cs="Times New Roman"/>
                <w:color w:val="auto"/>
                <w:sz w:val="21"/>
                <w:szCs w:val="21"/>
                <w:highlight w:val="none"/>
                <w:lang w:val="en-US" w:eastAsia="zh-CN"/>
              </w:rPr>
              <w:t>不提供材料或无该项描述的</w:t>
            </w:r>
            <w:r>
              <w:rPr>
                <w:rFonts w:hint="eastAsia" w:ascii="宋体" w:hAnsi="Times New Roman" w:eastAsia="宋体" w:cs="Times New Roman"/>
                <w:color w:val="auto"/>
                <w:sz w:val="21"/>
                <w:szCs w:val="21"/>
                <w:highlight w:val="none"/>
              </w:rPr>
              <w:t>得0分</w:t>
            </w:r>
            <w:r>
              <w:rPr>
                <w:rFonts w:hint="eastAsia" w:ascii="宋体" w:hAnsi="Times New Roman" w:eastAsia="宋体" w:cs="Times New Roman"/>
                <w:color w:val="auto"/>
                <w:sz w:val="21"/>
                <w:szCs w:val="21"/>
                <w:highlight w:val="none"/>
                <w:lang w:eastAsia="zh-CN"/>
              </w:rPr>
              <w:t>。</w:t>
            </w:r>
          </w:p>
        </w:tc>
      </w:tr>
      <w:tr w14:paraId="2B1FA71A">
        <w:tblPrEx>
          <w:tblCellMar>
            <w:top w:w="0" w:type="dxa"/>
            <w:left w:w="108" w:type="dxa"/>
            <w:bottom w:w="0" w:type="dxa"/>
            <w:right w:w="108" w:type="dxa"/>
          </w:tblCellMar>
        </w:tblPrEx>
        <w:trPr>
          <w:trHeight w:val="1333"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38BB573">
            <w:pPr>
              <w:keepNext w:val="0"/>
              <w:keepLines w:val="0"/>
              <w:pageBreakBefore w:val="0"/>
              <w:widowControl w:val="0"/>
              <w:kinsoku/>
              <w:overflowPunct/>
              <w:topLinePunct w:val="0"/>
              <w:autoSpaceDE/>
              <w:autoSpaceDN/>
              <w:bidi w:val="0"/>
              <w:snapToGrid/>
              <w:spacing w:line="360" w:lineRule="exact"/>
              <w:jc w:val="center"/>
              <w:textAlignment w:val="auto"/>
              <w:rPr>
                <w:rFonts w:hint="eastAsia" w:eastAsia="宋体"/>
                <w:snapToGrid w:val="0"/>
                <w:color w:val="auto"/>
                <w:kern w:val="0"/>
                <w:sz w:val="21"/>
                <w:szCs w:val="21"/>
                <w:highlight w:val="none"/>
                <w:lang w:val="en-US" w:eastAsia="zh-CN" w:bidi="ar-SA"/>
              </w:rPr>
            </w:pPr>
            <w:r>
              <w:t>重难点分析</w:t>
            </w:r>
            <w:r>
              <w:rPr>
                <w:rFonts w:hint="eastAsia" w:ascii="宋体" w:hAnsi="Times New Roman" w:eastAsia="宋体" w:cs="Times New Roman"/>
                <w:color w:val="auto"/>
                <w:sz w:val="21"/>
                <w:szCs w:val="21"/>
                <w:highlight w:val="none"/>
              </w:rPr>
              <w:t>（</w:t>
            </w:r>
            <w:r>
              <w:rPr>
                <w:rFonts w:hint="eastAsia" w:ascii="宋体" w:cs="Times New Roman"/>
                <w:color w:val="auto"/>
                <w:sz w:val="21"/>
                <w:szCs w:val="21"/>
                <w:highlight w:val="none"/>
                <w:lang w:val="en-US" w:eastAsia="zh-CN"/>
              </w:rPr>
              <w:t>7</w:t>
            </w:r>
            <w:r>
              <w:rPr>
                <w:rFonts w:hint="eastAsia" w:ascii="宋体" w:hAnsi="Times New Roman" w:eastAsia="宋体" w:cs="Times New Roman"/>
                <w:color w:val="auto"/>
                <w:sz w:val="21"/>
                <w:szCs w:val="21"/>
                <w:highlight w:val="none"/>
              </w:rPr>
              <w:t>分）</w:t>
            </w:r>
          </w:p>
        </w:tc>
        <w:tc>
          <w:tcPr>
            <w:tcW w:w="8545" w:type="dxa"/>
            <w:gridSpan w:val="2"/>
            <w:tcBorders>
              <w:top w:val="single" w:color="auto" w:sz="4" w:space="0"/>
              <w:left w:val="single" w:color="auto" w:sz="4" w:space="0"/>
              <w:bottom w:val="single" w:color="auto" w:sz="4" w:space="0"/>
              <w:right w:val="single" w:color="auto" w:sz="4" w:space="0"/>
            </w:tcBorders>
            <w:noWrap w:val="0"/>
            <w:vAlign w:val="center"/>
          </w:tcPr>
          <w:p w14:paraId="6F9F6E66">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根据</w:t>
            </w:r>
            <w:r>
              <w:rPr>
                <w:rFonts w:hint="eastAsia" w:ascii="宋体" w:hAnsi="Times New Roman" w:eastAsia="宋体" w:cs="Times New Roman"/>
                <w:color w:val="auto"/>
                <w:sz w:val="21"/>
                <w:szCs w:val="21"/>
                <w:highlight w:val="none"/>
              </w:rPr>
              <w:t>项目</w:t>
            </w:r>
            <w:r>
              <w:rPr>
                <w:rFonts w:hint="eastAsia" w:ascii="宋体" w:cs="Times New Roman"/>
                <w:color w:val="auto"/>
                <w:sz w:val="21"/>
                <w:szCs w:val="21"/>
                <w:highlight w:val="none"/>
                <w:lang w:val="en-US" w:eastAsia="zh-CN"/>
              </w:rPr>
              <w:t>所处位置的地质环境条件</w:t>
            </w:r>
            <w:r>
              <w:rPr>
                <w:rFonts w:hint="eastAsia" w:ascii="宋体" w:hAnsi="Times New Roman" w:eastAsia="宋体" w:cs="Times New Roman"/>
                <w:color w:val="auto"/>
                <w:sz w:val="21"/>
                <w:szCs w:val="21"/>
                <w:highlight w:val="none"/>
                <w:lang w:eastAsia="zh-CN"/>
              </w:rPr>
              <w:t>，</w:t>
            </w:r>
            <w:r>
              <w:rPr>
                <w:rFonts w:hint="eastAsia" w:ascii="宋体" w:cs="Times New Roman"/>
                <w:color w:val="auto"/>
                <w:sz w:val="21"/>
                <w:szCs w:val="21"/>
                <w:highlight w:val="none"/>
                <w:lang w:val="en-US" w:eastAsia="zh-CN"/>
              </w:rPr>
              <w:t>对设计方案</w:t>
            </w:r>
            <w:r>
              <w:t>实施重、难点的认识</w:t>
            </w:r>
            <w:r>
              <w:rPr>
                <w:rFonts w:hint="eastAsia" w:ascii="宋体" w:hAnsi="Times New Roman" w:eastAsia="宋体" w:cs="Times New Roman"/>
                <w:color w:val="auto"/>
                <w:sz w:val="21"/>
                <w:szCs w:val="21"/>
                <w:highlight w:val="none"/>
              </w:rPr>
              <w:t>。</w:t>
            </w:r>
          </w:p>
          <w:p w14:paraId="7D7A8905">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【优】得该细项分的</w:t>
            </w:r>
            <w:r>
              <w:rPr>
                <w:rFonts w:hint="eastAsia" w:ascii="宋体" w:cs="Times New Roman"/>
                <w:color w:val="auto"/>
                <w:sz w:val="21"/>
                <w:szCs w:val="21"/>
                <w:highlight w:val="none"/>
                <w:lang w:val="en-US" w:eastAsia="zh-CN"/>
              </w:rPr>
              <w:t>7</w:t>
            </w:r>
            <w:r>
              <w:rPr>
                <w:rFonts w:hint="eastAsia" w:ascii="宋体" w:hAnsi="Times New Roman" w:eastAsia="宋体" w:cs="Times New Roman"/>
                <w:color w:val="auto"/>
                <w:sz w:val="21"/>
                <w:szCs w:val="21"/>
                <w:highlight w:val="none"/>
              </w:rPr>
              <w:t>分；</w:t>
            </w:r>
          </w:p>
          <w:p w14:paraId="5D497411">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中</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分；</w:t>
            </w:r>
          </w:p>
          <w:p w14:paraId="7B85C420">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合格</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rPr>
              <w:t>分；</w:t>
            </w:r>
          </w:p>
          <w:p w14:paraId="17891EE2">
            <w:pPr>
              <w:keepNext w:val="0"/>
              <w:keepLines w:val="0"/>
              <w:pageBreakBefore w:val="0"/>
              <w:widowControl w:val="0"/>
              <w:kinsoku/>
              <w:overflowPunct/>
              <w:topLinePunct w:val="0"/>
              <w:autoSpaceDE/>
              <w:autoSpaceDN/>
              <w:bidi w:val="0"/>
              <w:snapToGrid/>
              <w:spacing w:line="360" w:lineRule="exact"/>
              <w:textAlignment w:val="auto"/>
              <w:rPr>
                <w:rFonts w:hint="eastAsia"/>
                <w:color w:val="auto"/>
                <w:sz w:val="21"/>
                <w:szCs w:val="21"/>
                <w:highlight w:val="none"/>
              </w:rPr>
            </w:pPr>
            <w:r>
              <w:rPr>
                <w:rFonts w:hint="eastAsia" w:ascii="宋体" w:hAnsi="Times New Roman" w:eastAsia="宋体" w:cs="Times New Roman"/>
                <w:color w:val="auto"/>
                <w:sz w:val="21"/>
                <w:szCs w:val="21"/>
                <w:highlight w:val="none"/>
                <w:lang w:val="en-US" w:eastAsia="zh-CN"/>
              </w:rPr>
              <w:t>不提供材料或无该项描述的</w:t>
            </w:r>
            <w:r>
              <w:rPr>
                <w:rFonts w:hint="eastAsia" w:ascii="宋体" w:hAnsi="Times New Roman" w:eastAsia="宋体" w:cs="Times New Roman"/>
                <w:color w:val="auto"/>
                <w:sz w:val="21"/>
                <w:szCs w:val="21"/>
                <w:highlight w:val="none"/>
              </w:rPr>
              <w:t>得0分</w:t>
            </w:r>
            <w:r>
              <w:rPr>
                <w:rFonts w:hint="eastAsia" w:ascii="宋体" w:hAnsi="Times New Roman" w:eastAsia="宋体" w:cs="Times New Roman"/>
                <w:color w:val="auto"/>
                <w:sz w:val="21"/>
                <w:szCs w:val="21"/>
                <w:highlight w:val="none"/>
                <w:lang w:eastAsia="zh-CN"/>
              </w:rPr>
              <w:t>。</w:t>
            </w:r>
          </w:p>
        </w:tc>
      </w:tr>
      <w:tr w14:paraId="61649E64">
        <w:tblPrEx>
          <w:tblCellMar>
            <w:top w:w="0" w:type="dxa"/>
            <w:left w:w="108" w:type="dxa"/>
            <w:bottom w:w="0" w:type="dxa"/>
            <w:right w:w="108" w:type="dxa"/>
          </w:tblCellMar>
        </w:tblPrEx>
        <w:trPr>
          <w:trHeight w:val="1333"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76ED5BE">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设计进度计划（</w:t>
            </w:r>
            <w:r>
              <w:rPr>
                <w:rFonts w:hint="eastAsia" w:ascii="宋体" w:cs="Times New Roman"/>
                <w:color w:val="auto"/>
                <w:sz w:val="21"/>
                <w:szCs w:val="21"/>
                <w:highlight w:val="none"/>
                <w:lang w:val="en-US" w:eastAsia="zh-CN"/>
              </w:rPr>
              <w:t>6</w:t>
            </w:r>
            <w:r>
              <w:rPr>
                <w:rFonts w:hint="eastAsia" w:ascii="宋体" w:hAnsi="Times New Roman" w:eastAsia="宋体" w:cs="Times New Roman"/>
                <w:color w:val="auto"/>
                <w:sz w:val="21"/>
                <w:szCs w:val="21"/>
                <w:highlight w:val="none"/>
              </w:rPr>
              <w:t>分）</w:t>
            </w:r>
          </w:p>
        </w:tc>
        <w:tc>
          <w:tcPr>
            <w:tcW w:w="8545" w:type="dxa"/>
            <w:gridSpan w:val="2"/>
            <w:tcBorders>
              <w:top w:val="single" w:color="auto" w:sz="4" w:space="0"/>
              <w:left w:val="single" w:color="auto" w:sz="4" w:space="0"/>
              <w:bottom w:val="single" w:color="auto" w:sz="4" w:space="0"/>
              <w:right w:val="single" w:color="auto" w:sz="4" w:space="0"/>
            </w:tcBorders>
            <w:noWrap w:val="0"/>
            <w:vAlign w:val="center"/>
          </w:tcPr>
          <w:p w14:paraId="5FE5A547">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lang w:val="zh-CN" w:eastAsia="zh-CN"/>
              </w:rPr>
            </w:pPr>
            <w:r>
              <w:t>进度计划安排合理</w:t>
            </w:r>
            <w:r>
              <w:rPr>
                <w:rFonts w:hint="eastAsia"/>
                <w:lang w:eastAsia="zh-CN"/>
              </w:rPr>
              <w:t>、</w:t>
            </w:r>
            <w:r>
              <w:t>工作计划详细合理，可操作性强</w:t>
            </w:r>
            <w:r>
              <w:rPr>
                <w:rFonts w:hint="eastAsia"/>
                <w:lang w:eastAsia="zh-CN"/>
              </w:rPr>
              <w:t>。</w:t>
            </w:r>
          </w:p>
          <w:p w14:paraId="1C11FDA5">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【优】得该细项分的</w:t>
            </w:r>
            <w:r>
              <w:rPr>
                <w:rFonts w:hint="eastAsia" w:ascii="宋体" w:cs="Times New Roman"/>
                <w:color w:val="auto"/>
                <w:sz w:val="21"/>
                <w:szCs w:val="21"/>
                <w:highlight w:val="none"/>
                <w:lang w:val="en-US" w:eastAsia="zh-CN"/>
              </w:rPr>
              <w:t>6</w:t>
            </w:r>
            <w:r>
              <w:rPr>
                <w:rFonts w:hint="eastAsia" w:ascii="宋体" w:hAnsi="Times New Roman" w:eastAsia="宋体" w:cs="Times New Roman"/>
                <w:color w:val="auto"/>
                <w:sz w:val="21"/>
                <w:szCs w:val="21"/>
                <w:highlight w:val="none"/>
              </w:rPr>
              <w:t>分；</w:t>
            </w:r>
          </w:p>
          <w:p w14:paraId="3CC52E73">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中</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分；</w:t>
            </w:r>
          </w:p>
          <w:p w14:paraId="29B3624E">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合格</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rPr>
              <w:t>分；</w:t>
            </w:r>
          </w:p>
          <w:p w14:paraId="6C661680">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不提供材料或无该项描述的</w:t>
            </w:r>
            <w:r>
              <w:rPr>
                <w:rFonts w:hint="eastAsia" w:ascii="宋体" w:hAnsi="Times New Roman" w:eastAsia="宋体" w:cs="Times New Roman"/>
                <w:color w:val="auto"/>
                <w:sz w:val="21"/>
                <w:szCs w:val="21"/>
                <w:highlight w:val="none"/>
              </w:rPr>
              <w:t>得0分</w:t>
            </w:r>
            <w:r>
              <w:rPr>
                <w:rFonts w:hint="eastAsia" w:ascii="宋体" w:hAnsi="Times New Roman" w:eastAsia="宋体" w:cs="Times New Roman"/>
                <w:color w:val="auto"/>
                <w:sz w:val="21"/>
                <w:szCs w:val="21"/>
                <w:highlight w:val="none"/>
                <w:lang w:eastAsia="zh-CN"/>
              </w:rPr>
              <w:t>。</w:t>
            </w:r>
          </w:p>
        </w:tc>
      </w:tr>
      <w:tr w14:paraId="297802EF">
        <w:tblPrEx>
          <w:tblCellMar>
            <w:top w:w="0" w:type="dxa"/>
            <w:left w:w="108" w:type="dxa"/>
            <w:bottom w:w="0" w:type="dxa"/>
            <w:right w:w="108" w:type="dxa"/>
          </w:tblCellMar>
        </w:tblPrEx>
        <w:trPr>
          <w:trHeight w:val="1333"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F586EFB">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质量</w:t>
            </w:r>
            <w:r>
              <w:rPr>
                <w:rFonts w:hint="eastAsia" w:ascii="宋体" w:hAnsi="Times New Roman" w:eastAsia="宋体" w:cs="Times New Roman"/>
                <w:color w:val="auto"/>
                <w:sz w:val="21"/>
                <w:szCs w:val="21"/>
                <w:highlight w:val="none"/>
              </w:rPr>
              <w:t>保证措施</w:t>
            </w:r>
          </w:p>
          <w:p w14:paraId="144AB403">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cs="Times New Roman"/>
                <w:color w:val="auto"/>
                <w:sz w:val="21"/>
                <w:szCs w:val="21"/>
                <w:highlight w:val="none"/>
                <w:lang w:val="en-US" w:eastAsia="zh-CN"/>
              </w:rPr>
              <w:t>7</w:t>
            </w:r>
            <w:r>
              <w:rPr>
                <w:rFonts w:hint="eastAsia" w:ascii="宋体" w:hAnsi="Times New Roman" w:eastAsia="宋体" w:cs="Times New Roman"/>
                <w:color w:val="auto"/>
                <w:sz w:val="21"/>
                <w:szCs w:val="21"/>
                <w:highlight w:val="none"/>
              </w:rPr>
              <w:t>分）</w:t>
            </w:r>
          </w:p>
        </w:tc>
        <w:tc>
          <w:tcPr>
            <w:tcW w:w="8545" w:type="dxa"/>
            <w:gridSpan w:val="2"/>
            <w:tcBorders>
              <w:top w:val="single" w:color="auto" w:sz="4" w:space="0"/>
              <w:left w:val="single" w:color="auto" w:sz="4" w:space="0"/>
              <w:bottom w:val="single" w:color="auto" w:sz="4" w:space="0"/>
              <w:right w:val="single" w:color="auto" w:sz="4" w:space="0"/>
            </w:tcBorders>
            <w:noWrap w:val="0"/>
            <w:vAlign w:val="center"/>
          </w:tcPr>
          <w:p w14:paraId="0B4A40AD">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lang w:val="zh-CN" w:eastAsia="zh-CN"/>
              </w:rPr>
            </w:pPr>
            <w:r>
              <w:t>质量保证措施全面、可行，工作质量保障措施详细具体，可操作性强</w:t>
            </w:r>
            <w:r>
              <w:rPr>
                <w:rFonts w:hint="eastAsia"/>
                <w:lang w:eastAsia="zh-CN"/>
              </w:rPr>
              <w:t>。</w:t>
            </w:r>
          </w:p>
          <w:p w14:paraId="70088501">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【优】得该细项分的</w:t>
            </w:r>
            <w:r>
              <w:rPr>
                <w:rFonts w:hint="eastAsia" w:ascii="宋体" w:cs="Times New Roman"/>
                <w:color w:val="auto"/>
                <w:sz w:val="21"/>
                <w:szCs w:val="21"/>
                <w:highlight w:val="none"/>
                <w:lang w:val="en-US" w:eastAsia="zh-CN"/>
              </w:rPr>
              <w:t>7</w:t>
            </w:r>
            <w:r>
              <w:rPr>
                <w:rFonts w:hint="eastAsia" w:ascii="宋体" w:hAnsi="Times New Roman" w:eastAsia="宋体" w:cs="Times New Roman"/>
                <w:color w:val="auto"/>
                <w:sz w:val="21"/>
                <w:szCs w:val="21"/>
                <w:highlight w:val="none"/>
              </w:rPr>
              <w:t>分；</w:t>
            </w:r>
          </w:p>
          <w:p w14:paraId="205BB178">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中</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分；</w:t>
            </w:r>
          </w:p>
          <w:p w14:paraId="7157DB28">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w:t>
            </w:r>
            <w:r>
              <w:rPr>
                <w:rFonts w:hint="eastAsia" w:ascii="宋体" w:hAnsi="Times New Roman" w:eastAsia="宋体" w:cs="Times New Roman"/>
                <w:color w:val="auto"/>
                <w:sz w:val="21"/>
                <w:szCs w:val="21"/>
                <w:highlight w:val="none"/>
                <w:lang w:val="en-US" w:eastAsia="zh-CN"/>
              </w:rPr>
              <w:t>合格</w:t>
            </w:r>
            <w:r>
              <w:rPr>
                <w:rFonts w:hint="eastAsia" w:ascii="宋体" w:hAnsi="Times New Roman" w:eastAsia="宋体" w:cs="Times New Roman"/>
                <w:color w:val="auto"/>
                <w:sz w:val="21"/>
                <w:szCs w:val="21"/>
                <w:highlight w:val="none"/>
              </w:rPr>
              <w:t>】得该细项分的</w:t>
            </w: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rPr>
              <w:t>分；</w:t>
            </w:r>
          </w:p>
          <w:p w14:paraId="59A623B0">
            <w:pPr>
              <w:keepNext w:val="0"/>
              <w:keepLines w:val="0"/>
              <w:pageBreakBefore w:val="0"/>
              <w:widowControl w:val="0"/>
              <w:kinsoku/>
              <w:overflowPunct/>
              <w:topLinePunct w:val="0"/>
              <w:autoSpaceDE/>
              <w:autoSpaceDN/>
              <w:bidi w:val="0"/>
              <w:snapToGrid/>
              <w:spacing w:line="360" w:lineRule="exac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不提供材料或无该项描述的</w:t>
            </w:r>
            <w:r>
              <w:rPr>
                <w:rFonts w:hint="eastAsia" w:ascii="宋体" w:hAnsi="Times New Roman" w:eastAsia="宋体" w:cs="Times New Roman"/>
                <w:color w:val="auto"/>
                <w:sz w:val="21"/>
                <w:szCs w:val="21"/>
                <w:highlight w:val="none"/>
              </w:rPr>
              <w:t>得0分</w:t>
            </w:r>
            <w:r>
              <w:rPr>
                <w:rFonts w:hint="eastAsia" w:ascii="宋体" w:hAnsi="Times New Roman" w:eastAsia="宋体" w:cs="Times New Roman"/>
                <w:color w:val="auto"/>
                <w:sz w:val="21"/>
                <w:szCs w:val="21"/>
                <w:highlight w:val="none"/>
                <w:lang w:eastAsia="zh-CN"/>
              </w:rPr>
              <w:t>。</w:t>
            </w:r>
          </w:p>
        </w:tc>
      </w:tr>
      <w:tr w14:paraId="56558308">
        <w:tblPrEx>
          <w:tblCellMar>
            <w:top w:w="0" w:type="dxa"/>
            <w:left w:w="108" w:type="dxa"/>
            <w:bottom w:w="0" w:type="dxa"/>
            <w:right w:w="108" w:type="dxa"/>
          </w:tblCellMar>
        </w:tblPrEx>
        <w:trPr>
          <w:trHeight w:val="624" w:hRule="exact"/>
          <w:jc w:val="center"/>
        </w:trPr>
        <w:tc>
          <w:tcPr>
            <w:tcW w:w="957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F4D57E3">
            <w:pPr>
              <w:pStyle w:val="50"/>
              <w:wordWrap w:val="0"/>
              <w:adjustRightInd w:val="0"/>
              <w:snapToGrid w:val="0"/>
              <w:spacing w:line="400" w:lineRule="exact"/>
              <w:rPr>
                <w:rFonts w:hint="eastAsia" w:eastAsia="宋体"/>
                <w:snapToGrid w:val="0"/>
                <w:color w:val="auto"/>
                <w:kern w:val="0"/>
                <w:szCs w:val="21"/>
                <w:highlight w:val="none"/>
              </w:rPr>
            </w:pPr>
            <w:r>
              <w:rPr>
                <w:rFonts w:hint="eastAsia" w:ascii="黑体" w:hAnsi="黑体" w:eastAsia="黑体" w:cs="黑体"/>
                <w:snapToGrid w:val="0"/>
                <w:color w:val="auto"/>
                <w:kern w:val="0"/>
                <w:sz w:val="24"/>
                <w:szCs w:val="24"/>
                <w:highlight w:val="none"/>
              </w:rPr>
              <w:t>投标报价部分，</w:t>
            </w:r>
            <w:r>
              <w:rPr>
                <w:rFonts w:hint="eastAsia" w:ascii="黑体" w:hAnsi="黑体" w:eastAsia="黑体" w:cs="黑体"/>
                <w:snapToGrid w:val="0"/>
                <w:color w:val="auto"/>
                <w:kern w:val="0"/>
                <w:sz w:val="24"/>
                <w:szCs w:val="21"/>
                <w:highlight w:val="none"/>
              </w:rPr>
              <w:t>满分：</w:t>
            </w:r>
            <w:r>
              <w:rPr>
                <w:rFonts w:hint="eastAsia" w:ascii="黑体" w:hAnsi="黑体" w:eastAsia="黑体" w:cs="黑体"/>
                <w:snapToGrid w:val="0"/>
                <w:color w:val="auto"/>
                <w:kern w:val="0"/>
                <w:sz w:val="24"/>
                <w:szCs w:val="21"/>
                <w:highlight w:val="none"/>
                <w:lang w:val="en-US" w:eastAsia="zh-CN"/>
              </w:rPr>
              <w:t>10</w:t>
            </w:r>
            <w:r>
              <w:rPr>
                <w:rFonts w:hint="eastAsia" w:ascii="黑体" w:hAnsi="黑体" w:eastAsia="黑体" w:cs="黑体"/>
                <w:snapToGrid w:val="0"/>
                <w:color w:val="auto"/>
                <w:kern w:val="0"/>
                <w:sz w:val="24"/>
                <w:szCs w:val="21"/>
                <w:highlight w:val="none"/>
              </w:rPr>
              <w:t>分。</w:t>
            </w:r>
          </w:p>
        </w:tc>
      </w:tr>
      <w:tr w14:paraId="12B0B252">
        <w:tblPrEx>
          <w:tblCellMar>
            <w:top w:w="0" w:type="dxa"/>
            <w:left w:w="108" w:type="dxa"/>
            <w:bottom w:w="0" w:type="dxa"/>
            <w:right w:w="108" w:type="dxa"/>
          </w:tblCellMar>
        </w:tblPrEx>
        <w:trPr>
          <w:trHeight w:val="624" w:hRule="exac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6F13A64">
            <w:pPr>
              <w:pStyle w:val="8"/>
              <w:wordWrap w:val="0"/>
              <w:adjustRightInd w:val="0"/>
              <w:snapToGrid w:val="0"/>
              <w:spacing w:after="0" w:line="440" w:lineRule="exact"/>
              <w:jc w:val="center"/>
              <w:rPr>
                <w:rFonts w:hint="eastAsia" w:ascii="黑体" w:hAnsi="黑体" w:eastAsia="黑体" w:cs="黑体"/>
                <w:snapToGrid w:val="0"/>
                <w:color w:val="auto"/>
                <w:kern w:val="0"/>
                <w:szCs w:val="24"/>
                <w:highlight w:val="none"/>
              </w:rPr>
            </w:pPr>
            <w:r>
              <w:rPr>
                <w:rFonts w:hint="eastAsia" w:ascii="黑体" w:hAnsi="黑体" w:eastAsia="黑体" w:cs="黑体"/>
                <w:snapToGrid w:val="0"/>
                <w:color w:val="auto"/>
                <w:kern w:val="0"/>
                <w:szCs w:val="24"/>
                <w:highlight w:val="none"/>
              </w:rPr>
              <w:t>评分事项</w:t>
            </w:r>
          </w:p>
        </w:tc>
        <w:tc>
          <w:tcPr>
            <w:tcW w:w="8545" w:type="dxa"/>
            <w:gridSpan w:val="2"/>
            <w:tcBorders>
              <w:top w:val="single" w:color="auto" w:sz="4" w:space="0"/>
              <w:left w:val="single" w:color="auto" w:sz="4" w:space="0"/>
              <w:bottom w:val="single" w:color="auto" w:sz="4" w:space="0"/>
              <w:right w:val="single" w:color="auto" w:sz="4" w:space="0"/>
            </w:tcBorders>
            <w:noWrap w:val="0"/>
            <w:vAlign w:val="center"/>
          </w:tcPr>
          <w:p w14:paraId="0BEF2661">
            <w:pPr>
              <w:pStyle w:val="8"/>
              <w:wordWrap w:val="0"/>
              <w:adjustRightInd w:val="0"/>
              <w:snapToGrid w:val="0"/>
              <w:spacing w:after="0" w:line="440" w:lineRule="exact"/>
              <w:jc w:val="center"/>
              <w:rPr>
                <w:rFonts w:hint="eastAsia" w:ascii="黑体" w:hAnsi="黑体" w:eastAsia="黑体" w:cs="黑体"/>
                <w:snapToGrid w:val="0"/>
                <w:color w:val="auto"/>
                <w:kern w:val="0"/>
                <w:szCs w:val="24"/>
                <w:highlight w:val="none"/>
              </w:rPr>
            </w:pPr>
            <w:r>
              <w:rPr>
                <w:rFonts w:hint="eastAsia" w:ascii="黑体" w:hAnsi="黑体" w:eastAsia="黑体" w:cs="黑体"/>
                <w:snapToGrid w:val="0"/>
                <w:color w:val="auto"/>
                <w:kern w:val="0"/>
                <w:szCs w:val="24"/>
                <w:highlight w:val="none"/>
              </w:rPr>
              <w:t>评分方法</w:t>
            </w:r>
          </w:p>
        </w:tc>
      </w:tr>
      <w:tr w14:paraId="5467A670">
        <w:tblPrEx>
          <w:tblCellMar>
            <w:top w:w="0" w:type="dxa"/>
            <w:left w:w="108" w:type="dxa"/>
            <w:bottom w:w="0" w:type="dxa"/>
            <w:right w:w="108" w:type="dxa"/>
          </w:tblCellMar>
        </w:tblPrEx>
        <w:trPr>
          <w:trHeight w:val="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13D37F2">
            <w:pPr>
              <w:wordWrap w:val="0"/>
              <w:adjustRightInd w:val="0"/>
              <w:snapToGrid w:val="0"/>
              <w:spacing w:line="400" w:lineRule="exact"/>
              <w:jc w:val="center"/>
              <w:rPr>
                <w:rFonts w:hint="eastAsia" w:eastAsia="宋体"/>
                <w:snapToGrid w:val="0"/>
                <w:color w:val="auto"/>
                <w:kern w:val="0"/>
                <w:szCs w:val="21"/>
                <w:highlight w:val="none"/>
              </w:rPr>
            </w:pPr>
            <w:r>
              <w:rPr>
                <w:rFonts w:hint="eastAsia" w:ascii="宋体" w:hAnsi="宋体" w:eastAsia="宋体" w:cs="宋体"/>
                <w:b w:val="0"/>
                <w:bCs w:val="0"/>
                <w:color w:val="auto"/>
                <w:kern w:val="2"/>
                <w:sz w:val="21"/>
                <w:szCs w:val="21"/>
                <w:highlight w:val="none"/>
                <w:lang w:val="en-US" w:eastAsia="zh-CN" w:bidi="ar-SA"/>
              </w:rPr>
              <w:t>评标基准价D</w:t>
            </w:r>
          </w:p>
        </w:tc>
        <w:tc>
          <w:tcPr>
            <w:tcW w:w="8545" w:type="dxa"/>
            <w:gridSpan w:val="2"/>
            <w:tcBorders>
              <w:top w:val="single" w:color="auto" w:sz="4" w:space="0"/>
              <w:left w:val="single" w:color="auto" w:sz="4" w:space="0"/>
              <w:bottom w:val="single" w:color="auto" w:sz="4" w:space="0"/>
              <w:right w:val="single" w:color="auto" w:sz="4" w:space="0"/>
            </w:tcBorders>
            <w:noWrap w:val="0"/>
            <w:vAlign w:val="center"/>
          </w:tcPr>
          <w:p w14:paraId="34F04763">
            <w:pPr>
              <w:numPr>
                <w:ilvl w:val="0"/>
                <w:numId w:val="3"/>
              </w:numPr>
              <w:wordWrap w:val="0"/>
              <w:adjustRightInd w:val="0"/>
              <w:snapToGrid w:val="0"/>
              <w:spacing w:line="400" w:lineRule="exact"/>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确定最高投标限价下浮系数n：用1～21号球分别代表一个下浮系数，由评委代表从这21个号码中随机抽取 3 次，每次抽取1个号码，抽出的号球不参与下次抽取。所抽取的3个号码对应下浮系数的算术平均值作为最高投标限价下浮系数n。具体号码对应的下浮系数可参考下表。</w:t>
            </w:r>
          </w:p>
          <w:tbl>
            <w:tblPr>
              <w:tblStyle w:val="17"/>
              <w:tblW w:w="7578" w:type="dxa"/>
              <w:jc w:val="center"/>
              <w:tblLayout w:type="fixed"/>
              <w:tblCellMar>
                <w:top w:w="0" w:type="dxa"/>
                <w:left w:w="108" w:type="dxa"/>
                <w:bottom w:w="0" w:type="dxa"/>
                <w:right w:w="108" w:type="dxa"/>
              </w:tblCellMar>
            </w:tblPr>
            <w:tblGrid>
              <w:gridCol w:w="1733"/>
              <w:gridCol w:w="791"/>
              <w:gridCol w:w="827"/>
              <w:gridCol w:w="861"/>
              <w:gridCol w:w="845"/>
              <w:gridCol w:w="879"/>
              <w:gridCol w:w="826"/>
              <w:gridCol w:w="816"/>
            </w:tblGrid>
            <w:tr w14:paraId="11523093">
              <w:tblPrEx>
                <w:tblCellMar>
                  <w:top w:w="0" w:type="dxa"/>
                  <w:left w:w="108" w:type="dxa"/>
                  <w:bottom w:w="0" w:type="dxa"/>
                  <w:right w:w="108" w:type="dxa"/>
                </w:tblCellMar>
              </w:tblPrEx>
              <w:trPr>
                <w:trHeight w:val="40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14:paraId="23B7F072">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号球</w:t>
                  </w:r>
                </w:p>
              </w:tc>
              <w:tc>
                <w:tcPr>
                  <w:tcW w:w="791" w:type="dxa"/>
                  <w:tcBorders>
                    <w:top w:val="single" w:color="000000" w:sz="4" w:space="0"/>
                    <w:left w:val="single" w:color="000000" w:sz="4" w:space="0"/>
                    <w:bottom w:val="single" w:color="000000" w:sz="4" w:space="0"/>
                    <w:right w:val="single" w:color="000000" w:sz="4" w:space="0"/>
                  </w:tcBorders>
                  <w:noWrap w:val="0"/>
                  <w:vAlign w:val="bottom"/>
                </w:tcPr>
                <w:p w14:paraId="3BE432D5">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w:t>
                  </w:r>
                </w:p>
              </w:tc>
              <w:tc>
                <w:tcPr>
                  <w:tcW w:w="827" w:type="dxa"/>
                  <w:tcBorders>
                    <w:top w:val="single" w:color="000000" w:sz="4" w:space="0"/>
                    <w:left w:val="single" w:color="000000" w:sz="4" w:space="0"/>
                    <w:bottom w:val="single" w:color="000000" w:sz="4" w:space="0"/>
                    <w:right w:val="single" w:color="000000" w:sz="4" w:space="0"/>
                  </w:tcBorders>
                  <w:noWrap w:val="0"/>
                  <w:vAlign w:val="bottom"/>
                </w:tcPr>
                <w:p w14:paraId="23DCFF0B">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w:t>
                  </w:r>
                </w:p>
              </w:tc>
              <w:tc>
                <w:tcPr>
                  <w:tcW w:w="861" w:type="dxa"/>
                  <w:tcBorders>
                    <w:top w:val="single" w:color="000000" w:sz="4" w:space="0"/>
                    <w:left w:val="single" w:color="000000" w:sz="4" w:space="0"/>
                    <w:bottom w:val="single" w:color="000000" w:sz="4" w:space="0"/>
                    <w:right w:val="single" w:color="000000" w:sz="4" w:space="0"/>
                  </w:tcBorders>
                  <w:noWrap w:val="0"/>
                  <w:vAlign w:val="bottom"/>
                </w:tcPr>
                <w:p w14:paraId="36C74F34">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3</w:t>
                  </w:r>
                </w:p>
              </w:tc>
              <w:tc>
                <w:tcPr>
                  <w:tcW w:w="845" w:type="dxa"/>
                  <w:tcBorders>
                    <w:top w:val="single" w:color="000000" w:sz="4" w:space="0"/>
                    <w:left w:val="single" w:color="000000" w:sz="4" w:space="0"/>
                    <w:bottom w:val="single" w:color="000000" w:sz="4" w:space="0"/>
                    <w:right w:val="single" w:color="000000" w:sz="4" w:space="0"/>
                  </w:tcBorders>
                  <w:noWrap w:val="0"/>
                  <w:vAlign w:val="bottom"/>
                </w:tcPr>
                <w:p w14:paraId="5C982624">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4</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14:paraId="097E5B09">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5</w:t>
                  </w:r>
                </w:p>
              </w:tc>
              <w:tc>
                <w:tcPr>
                  <w:tcW w:w="826" w:type="dxa"/>
                  <w:tcBorders>
                    <w:top w:val="single" w:color="000000" w:sz="4" w:space="0"/>
                    <w:left w:val="single" w:color="000000" w:sz="4" w:space="0"/>
                    <w:bottom w:val="single" w:color="000000" w:sz="4" w:space="0"/>
                    <w:right w:val="single" w:color="000000" w:sz="4" w:space="0"/>
                  </w:tcBorders>
                  <w:noWrap w:val="0"/>
                  <w:vAlign w:val="bottom"/>
                </w:tcPr>
                <w:p w14:paraId="405ABDCB">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6</w:t>
                  </w:r>
                </w:p>
              </w:tc>
              <w:tc>
                <w:tcPr>
                  <w:tcW w:w="816" w:type="dxa"/>
                  <w:tcBorders>
                    <w:top w:val="single" w:color="000000" w:sz="4" w:space="0"/>
                    <w:left w:val="single" w:color="000000" w:sz="4" w:space="0"/>
                    <w:bottom w:val="single" w:color="000000" w:sz="4" w:space="0"/>
                    <w:right w:val="single" w:color="000000" w:sz="4" w:space="0"/>
                  </w:tcBorders>
                  <w:noWrap w:val="0"/>
                  <w:vAlign w:val="bottom"/>
                </w:tcPr>
                <w:p w14:paraId="277BEC87">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7</w:t>
                  </w:r>
                </w:p>
              </w:tc>
            </w:tr>
            <w:tr w14:paraId="00B2A88F">
              <w:tblPrEx>
                <w:tblCellMar>
                  <w:top w:w="0" w:type="dxa"/>
                  <w:left w:w="108" w:type="dxa"/>
                  <w:bottom w:w="0" w:type="dxa"/>
                  <w:right w:w="108" w:type="dxa"/>
                </w:tblCellMar>
              </w:tblPrEx>
              <w:trPr>
                <w:trHeight w:val="40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14:paraId="5C317C1F">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下浮系数（%）</w:t>
                  </w:r>
                </w:p>
              </w:tc>
              <w:tc>
                <w:tcPr>
                  <w:tcW w:w="791" w:type="dxa"/>
                  <w:tcBorders>
                    <w:top w:val="single" w:color="000000" w:sz="4" w:space="0"/>
                    <w:left w:val="single" w:color="000000" w:sz="4" w:space="0"/>
                    <w:bottom w:val="single" w:color="000000" w:sz="4" w:space="0"/>
                    <w:right w:val="single" w:color="000000" w:sz="4" w:space="0"/>
                  </w:tcBorders>
                  <w:noWrap w:val="0"/>
                  <w:vAlign w:val="bottom"/>
                </w:tcPr>
                <w:p w14:paraId="00A1D4CB">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1.0</w:t>
                  </w:r>
                </w:p>
              </w:tc>
              <w:tc>
                <w:tcPr>
                  <w:tcW w:w="827" w:type="dxa"/>
                  <w:tcBorders>
                    <w:top w:val="single" w:color="000000" w:sz="4" w:space="0"/>
                    <w:left w:val="single" w:color="000000" w:sz="4" w:space="0"/>
                    <w:bottom w:val="single" w:color="000000" w:sz="4" w:space="0"/>
                    <w:right w:val="single" w:color="000000" w:sz="4" w:space="0"/>
                  </w:tcBorders>
                  <w:noWrap w:val="0"/>
                  <w:vAlign w:val="bottom"/>
                </w:tcPr>
                <w:p w14:paraId="02D915D3">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noWrap w:val="0"/>
                  <w:vAlign w:val="bottom"/>
                </w:tcPr>
                <w:p w14:paraId="63F8D560">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rPr>
                    <w:t>.2</w:t>
                  </w:r>
                </w:p>
              </w:tc>
              <w:tc>
                <w:tcPr>
                  <w:tcW w:w="845" w:type="dxa"/>
                  <w:tcBorders>
                    <w:top w:val="single" w:color="000000" w:sz="4" w:space="0"/>
                    <w:left w:val="single" w:color="000000" w:sz="4" w:space="0"/>
                    <w:bottom w:val="single" w:color="000000" w:sz="4" w:space="0"/>
                    <w:right w:val="single" w:color="000000" w:sz="4" w:space="0"/>
                  </w:tcBorders>
                  <w:noWrap w:val="0"/>
                  <w:vAlign w:val="bottom"/>
                </w:tcPr>
                <w:p w14:paraId="600D9D4D">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rPr>
                    <w:t>.3</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14:paraId="537F1203">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rPr>
                    <w:t>.4</w:t>
                  </w:r>
                </w:p>
              </w:tc>
              <w:tc>
                <w:tcPr>
                  <w:tcW w:w="826" w:type="dxa"/>
                  <w:tcBorders>
                    <w:top w:val="single" w:color="000000" w:sz="4" w:space="0"/>
                    <w:left w:val="single" w:color="000000" w:sz="4" w:space="0"/>
                    <w:bottom w:val="single" w:color="000000" w:sz="4" w:space="0"/>
                    <w:right w:val="single" w:color="000000" w:sz="4" w:space="0"/>
                  </w:tcBorders>
                  <w:noWrap w:val="0"/>
                  <w:vAlign w:val="bottom"/>
                </w:tcPr>
                <w:p w14:paraId="2C91AE78">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rPr>
                    <w:t>.5</w:t>
                  </w:r>
                </w:p>
              </w:tc>
              <w:tc>
                <w:tcPr>
                  <w:tcW w:w="816" w:type="dxa"/>
                  <w:tcBorders>
                    <w:top w:val="single" w:color="000000" w:sz="4" w:space="0"/>
                    <w:left w:val="single" w:color="000000" w:sz="4" w:space="0"/>
                    <w:bottom w:val="single" w:color="000000" w:sz="4" w:space="0"/>
                    <w:right w:val="single" w:color="000000" w:sz="4" w:space="0"/>
                  </w:tcBorders>
                  <w:noWrap w:val="0"/>
                  <w:vAlign w:val="bottom"/>
                </w:tcPr>
                <w:p w14:paraId="182F9F2E">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rPr>
                    <w:t>.6</w:t>
                  </w:r>
                </w:p>
              </w:tc>
            </w:tr>
            <w:tr w14:paraId="30BF132F">
              <w:tblPrEx>
                <w:tblCellMar>
                  <w:top w:w="0" w:type="dxa"/>
                  <w:left w:w="108" w:type="dxa"/>
                  <w:bottom w:w="0" w:type="dxa"/>
                  <w:right w:w="108" w:type="dxa"/>
                </w:tblCellMar>
              </w:tblPrEx>
              <w:trPr>
                <w:trHeight w:val="40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14:paraId="794E9856">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号球</w:t>
                  </w:r>
                </w:p>
              </w:tc>
              <w:tc>
                <w:tcPr>
                  <w:tcW w:w="791" w:type="dxa"/>
                  <w:tcBorders>
                    <w:top w:val="single" w:color="000000" w:sz="4" w:space="0"/>
                    <w:left w:val="single" w:color="000000" w:sz="4" w:space="0"/>
                    <w:bottom w:val="single" w:color="000000" w:sz="4" w:space="0"/>
                    <w:right w:val="single" w:color="000000" w:sz="4" w:space="0"/>
                  </w:tcBorders>
                  <w:noWrap w:val="0"/>
                  <w:vAlign w:val="bottom"/>
                </w:tcPr>
                <w:p w14:paraId="5F10D80E">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8</w:t>
                  </w:r>
                </w:p>
              </w:tc>
              <w:tc>
                <w:tcPr>
                  <w:tcW w:w="827" w:type="dxa"/>
                  <w:tcBorders>
                    <w:top w:val="single" w:color="000000" w:sz="4" w:space="0"/>
                    <w:left w:val="single" w:color="000000" w:sz="4" w:space="0"/>
                    <w:bottom w:val="single" w:color="000000" w:sz="4" w:space="0"/>
                    <w:right w:val="single" w:color="000000" w:sz="4" w:space="0"/>
                  </w:tcBorders>
                  <w:noWrap w:val="0"/>
                  <w:vAlign w:val="bottom"/>
                </w:tcPr>
                <w:p w14:paraId="2CC0F559">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9</w:t>
                  </w:r>
                </w:p>
              </w:tc>
              <w:tc>
                <w:tcPr>
                  <w:tcW w:w="861" w:type="dxa"/>
                  <w:tcBorders>
                    <w:top w:val="single" w:color="000000" w:sz="4" w:space="0"/>
                    <w:left w:val="single" w:color="000000" w:sz="4" w:space="0"/>
                    <w:bottom w:val="single" w:color="000000" w:sz="4" w:space="0"/>
                    <w:right w:val="single" w:color="000000" w:sz="4" w:space="0"/>
                  </w:tcBorders>
                  <w:noWrap w:val="0"/>
                  <w:vAlign w:val="bottom"/>
                </w:tcPr>
                <w:p w14:paraId="6C1A0E29">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10</w:t>
                  </w:r>
                </w:p>
              </w:tc>
              <w:tc>
                <w:tcPr>
                  <w:tcW w:w="845" w:type="dxa"/>
                  <w:tcBorders>
                    <w:top w:val="single" w:color="000000" w:sz="4" w:space="0"/>
                    <w:left w:val="single" w:color="000000" w:sz="4" w:space="0"/>
                    <w:bottom w:val="single" w:color="000000" w:sz="4" w:space="0"/>
                    <w:right w:val="single" w:color="000000" w:sz="4" w:space="0"/>
                  </w:tcBorders>
                  <w:noWrap w:val="0"/>
                  <w:vAlign w:val="bottom"/>
                </w:tcPr>
                <w:p w14:paraId="11CDA5AD">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11</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14:paraId="044BE1CD">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12</w:t>
                  </w:r>
                </w:p>
              </w:tc>
              <w:tc>
                <w:tcPr>
                  <w:tcW w:w="826" w:type="dxa"/>
                  <w:tcBorders>
                    <w:top w:val="single" w:color="000000" w:sz="4" w:space="0"/>
                    <w:left w:val="single" w:color="000000" w:sz="4" w:space="0"/>
                    <w:bottom w:val="single" w:color="000000" w:sz="4" w:space="0"/>
                    <w:right w:val="single" w:color="000000" w:sz="4" w:space="0"/>
                  </w:tcBorders>
                  <w:noWrap w:val="0"/>
                  <w:vAlign w:val="bottom"/>
                </w:tcPr>
                <w:p w14:paraId="4F18DC84">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13</w:t>
                  </w:r>
                </w:p>
              </w:tc>
              <w:tc>
                <w:tcPr>
                  <w:tcW w:w="816" w:type="dxa"/>
                  <w:tcBorders>
                    <w:top w:val="single" w:color="000000" w:sz="4" w:space="0"/>
                    <w:left w:val="single" w:color="000000" w:sz="4" w:space="0"/>
                    <w:bottom w:val="single" w:color="000000" w:sz="4" w:space="0"/>
                    <w:right w:val="single" w:color="000000" w:sz="4" w:space="0"/>
                  </w:tcBorders>
                  <w:noWrap w:val="0"/>
                  <w:vAlign w:val="bottom"/>
                </w:tcPr>
                <w:p w14:paraId="51D1D423">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14</w:t>
                  </w:r>
                </w:p>
              </w:tc>
            </w:tr>
            <w:tr w14:paraId="49489267">
              <w:tblPrEx>
                <w:tblCellMar>
                  <w:top w:w="0" w:type="dxa"/>
                  <w:left w:w="108" w:type="dxa"/>
                  <w:bottom w:w="0" w:type="dxa"/>
                  <w:right w:w="108" w:type="dxa"/>
                </w:tblCellMar>
              </w:tblPrEx>
              <w:trPr>
                <w:trHeight w:val="40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14:paraId="719942DB">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下浮系数（%）</w:t>
                  </w:r>
                </w:p>
              </w:tc>
              <w:tc>
                <w:tcPr>
                  <w:tcW w:w="791" w:type="dxa"/>
                  <w:tcBorders>
                    <w:top w:val="single" w:color="000000" w:sz="4" w:space="0"/>
                    <w:left w:val="single" w:color="000000" w:sz="4" w:space="0"/>
                    <w:bottom w:val="single" w:color="000000" w:sz="4" w:space="0"/>
                    <w:right w:val="single" w:color="000000" w:sz="4" w:space="0"/>
                  </w:tcBorders>
                  <w:noWrap w:val="0"/>
                  <w:vAlign w:val="bottom"/>
                </w:tcPr>
                <w:p w14:paraId="03EC3B99">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rPr>
                    <w:t>.7</w:t>
                  </w:r>
                </w:p>
              </w:tc>
              <w:tc>
                <w:tcPr>
                  <w:tcW w:w="827" w:type="dxa"/>
                  <w:tcBorders>
                    <w:top w:val="single" w:color="000000" w:sz="4" w:space="0"/>
                    <w:left w:val="single" w:color="000000" w:sz="4" w:space="0"/>
                    <w:bottom w:val="single" w:color="000000" w:sz="4" w:space="0"/>
                    <w:right w:val="single" w:color="000000" w:sz="4" w:space="0"/>
                  </w:tcBorders>
                  <w:noWrap w:val="0"/>
                  <w:vAlign w:val="bottom"/>
                </w:tcPr>
                <w:p w14:paraId="53FCB8BA">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rPr>
                    <w:t>.8</w:t>
                  </w:r>
                </w:p>
              </w:tc>
              <w:tc>
                <w:tcPr>
                  <w:tcW w:w="861" w:type="dxa"/>
                  <w:tcBorders>
                    <w:top w:val="single" w:color="000000" w:sz="4" w:space="0"/>
                    <w:left w:val="single" w:color="000000" w:sz="4" w:space="0"/>
                    <w:bottom w:val="single" w:color="000000" w:sz="4" w:space="0"/>
                    <w:right w:val="single" w:color="000000" w:sz="4" w:space="0"/>
                  </w:tcBorders>
                  <w:noWrap w:val="0"/>
                  <w:vAlign w:val="bottom"/>
                </w:tcPr>
                <w:p w14:paraId="75EB2D40">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rPr>
                    <w:t>.9</w:t>
                  </w:r>
                </w:p>
              </w:tc>
              <w:tc>
                <w:tcPr>
                  <w:tcW w:w="845" w:type="dxa"/>
                  <w:tcBorders>
                    <w:top w:val="single" w:color="000000" w:sz="4" w:space="0"/>
                    <w:left w:val="single" w:color="000000" w:sz="4" w:space="0"/>
                    <w:bottom w:val="single" w:color="000000" w:sz="4" w:space="0"/>
                    <w:right w:val="single" w:color="000000" w:sz="4" w:space="0"/>
                  </w:tcBorders>
                  <w:noWrap w:val="0"/>
                  <w:vAlign w:val="bottom"/>
                </w:tcPr>
                <w:p w14:paraId="6319182E">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.0</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14:paraId="6AF700E7">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.1</w:t>
                  </w:r>
                </w:p>
              </w:tc>
              <w:tc>
                <w:tcPr>
                  <w:tcW w:w="826" w:type="dxa"/>
                  <w:tcBorders>
                    <w:top w:val="single" w:color="000000" w:sz="4" w:space="0"/>
                    <w:left w:val="single" w:color="000000" w:sz="4" w:space="0"/>
                    <w:bottom w:val="single" w:color="000000" w:sz="4" w:space="0"/>
                    <w:right w:val="single" w:color="000000" w:sz="4" w:space="0"/>
                  </w:tcBorders>
                  <w:noWrap w:val="0"/>
                  <w:vAlign w:val="bottom"/>
                </w:tcPr>
                <w:p w14:paraId="372B7FB2">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cBorders>
                  <w:noWrap w:val="0"/>
                  <w:vAlign w:val="bottom"/>
                </w:tcPr>
                <w:p w14:paraId="47AAAC98">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.3</w:t>
                  </w:r>
                </w:p>
              </w:tc>
            </w:tr>
            <w:tr w14:paraId="47B931C6">
              <w:tblPrEx>
                <w:tblCellMar>
                  <w:top w:w="0" w:type="dxa"/>
                  <w:left w:w="108" w:type="dxa"/>
                  <w:bottom w:w="0" w:type="dxa"/>
                  <w:right w:w="108" w:type="dxa"/>
                </w:tblCellMar>
              </w:tblPrEx>
              <w:trPr>
                <w:trHeight w:val="40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14:paraId="465D8A42">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号球</w:t>
                  </w:r>
                </w:p>
              </w:tc>
              <w:tc>
                <w:tcPr>
                  <w:tcW w:w="791" w:type="dxa"/>
                  <w:tcBorders>
                    <w:top w:val="single" w:color="000000" w:sz="4" w:space="0"/>
                    <w:left w:val="single" w:color="000000" w:sz="4" w:space="0"/>
                    <w:bottom w:val="single" w:color="000000" w:sz="4" w:space="0"/>
                    <w:right w:val="single" w:color="000000" w:sz="4" w:space="0"/>
                  </w:tcBorders>
                  <w:noWrap w:val="0"/>
                  <w:vAlign w:val="bottom"/>
                </w:tcPr>
                <w:p w14:paraId="4B5F0C98">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15</w:t>
                  </w:r>
                </w:p>
              </w:tc>
              <w:tc>
                <w:tcPr>
                  <w:tcW w:w="827" w:type="dxa"/>
                  <w:tcBorders>
                    <w:top w:val="single" w:color="000000" w:sz="4" w:space="0"/>
                    <w:left w:val="single" w:color="000000" w:sz="4" w:space="0"/>
                    <w:bottom w:val="single" w:color="000000" w:sz="4" w:space="0"/>
                    <w:right w:val="single" w:color="000000" w:sz="4" w:space="0"/>
                  </w:tcBorders>
                  <w:noWrap w:val="0"/>
                  <w:vAlign w:val="bottom"/>
                </w:tcPr>
                <w:p w14:paraId="45326AB9">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16</w:t>
                  </w:r>
                </w:p>
              </w:tc>
              <w:tc>
                <w:tcPr>
                  <w:tcW w:w="861" w:type="dxa"/>
                  <w:tcBorders>
                    <w:top w:val="single" w:color="000000" w:sz="4" w:space="0"/>
                    <w:left w:val="single" w:color="000000" w:sz="4" w:space="0"/>
                    <w:bottom w:val="single" w:color="000000" w:sz="4" w:space="0"/>
                    <w:right w:val="single" w:color="000000" w:sz="4" w:space="0"/>
                  </w:tcBorders>
                  <w:noWrap w:val="0"/>
                  <w:vAlign w:val="bottom"/>
                </w:tcPr>
                <w:p w14:paraId="5F788014">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17</w:t>
                  </w:r>
                </w:p>
              </w:tc>
              <w:tc>
                <w:tcPr>
                  <w:tcW w:w="845" w:type="dxa"/>
                  <w:tcBorders>
                    <w:top w:val="single" w:color="000000" w:sz="4" w:space="0"/>
                    <w:left w:val="single" w:color="000000" w:sz="4" w:space="0"/>
                    <w:bottom w:val="single" w:color="000000" w:sz="4" w:space="0"/>
                    <w:right w:val="single" w:color="000000" w:sz="4" w:space="0"/>
                  </w:tcBorders>
                  <w:noWrap w:val="0"/>
                  <w:vAlign w:val="bottom"/>
                </w:tcPr>
                <w:p w14:paraId="0D5A9625">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18</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14:paraId="2CF84FBF">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19</w:t>
                  </w:r>
                </w:p>
              </w:tc>
              <w:tc>
                <w:tcPr>
                  <w:tcW w:w="826" w:type="dxa"/>
                  <w:tcBorders>
                    <w:top w:val="single" w:color="000000" w:sz="4" w:space="0"/>
                    <w:left w:val="single" w:color="000000" w:sz="4" w:space="0"/>
                    <w:bottom w:val="single" w:color="000000" w:sz="4" w:space="0"/>
                    <w:right w:val="single" w:color="000000" w:sz="4" w:space="0"/>
                  </w:tcBorders>
                  <w:noWrap w:val="0"/>
                  <w:vAlign w:val="bottom"/>
                </w:tcPr>
                <w:p w14:paraId="3472E0FF">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20</w:t>
                  </w:r>
                </w:p>
              </w:tc>
              <w:tc>
                <w:tcPr>
                  <w:tcW w:w="816" w:type="dxa"/>
                  <w:tcBorders>
                    <w:top w:val="single" w:color="000000" w:sz="4" w:space="0"/>
                    <w:left w:val="single" w:color="000000" w:sz="4" w:space="0"/>
                    <w:bottom w:val="single" w:color="000000" w:sz="4" w:space="0"/>
                    <w:right w:val="single" w:color="000000" w:sz="4" w:space="0"/>
                  </w:tcBorders>
                  <w:noWrap w:val="0"/>
                  <w:vAlign w:val="bottom"/>
                </w:tcPr>
                <w:p w14:paraId="1F409155">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21</w:t>
                  </w:r>
                </w:p>
              </w:tc>
            </w:tr>
            <w:tr w14:paraId="24F720BE">
              <w:tblPrEx>
                <w:tblCellMar>
                  <w:top w:w="0" w:type="dxa"/>
                  <w:left w:w="108" w:type="dxa"/>
                  <w:bottom w:w="0" w:type="dxa"/>
                  <w:right w:w="108" w:type="dxa"/>
                </w:tblCellMar>
              </w:tblPrEx>
              <w:trPr>
                <w:trHeight w:val="40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14:paraId="0C3921C9">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下浮系数（%）</w:t>
                  </w:r>
                </w:p>
              </w:tc>
              <w:tc>
                <w:tcPr>
                  <w:tcW w:w="791" w:type="dxa"/>
                  <w:tcBorders>
                    <w:top w:val="single" w:color="000000" w:sz="4" w:space="0"/>
                    <w:left w:val="single" w:color="000000" w:sz="4" w:space="0"/>
                    <w:bottom w:val="single" w:color="000000" w:sz="4" w:space="0"/>
                    <w:right w:val="single" w:color="000000" w:sz="4" w:space="0"/>
                  </w:tcBorders>
                  <w:noWrap w:val="0"/>
                  <w:vAlign w:val="bottom"/>
                </w:tcPr>
                <w:p w14:paraId="363F69BB">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.4</w:t>
                  </w:r>
                </w:p>
              </w:tc>
              <w:tc>
                <w:tcPr>
                  <w:tcW w:w="827" w:type="dxa"/>
                  <w:tcBorders>
                    <w:top w:val="single" w:color="000000" w:sz="4" w:space="0"/>
                    <w:left w:val="single" w:color="000000" w:sz="4" w:space="0"/>
                    <w:bottom w:val="single" w:color="000000" w:sz="4" w:space="0"/>
                    <w:right w:val="single" w:color="000000" w:sz="4" w:space="0"/>
                  </w:tcBorders>
                  <w:noWrap w:val="0"/>
                  <w:vAlign w:val="bottom"/>
                </w:tcPr>
                <w:p w14:paraId="71ADAA40">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.5</w:t>
                  </w:r>
                </w:p>
              </w:tc>
              <w:tc>
                <w:tcPr>
                  <w:tcW w:w="861" w:type="dxa"/>
                  <w:tcBorders>
                    <w:top w:val="single" w:color="000000" w:sz="4" w:space="0"/>
                    <w:left w:val="single" w:color="000000" w:sz="4" w:space="0"/>
                    <w:bottom w:val="single" w:color="000000" w:sz="4" w:space="0"/>
                    <w:right w:val="single" w:color="000000" w:sz="4" w:space="0"/>
                  </w:tcBorders>
                  <w:noWrap w:val="0"/>
                  <w:vAlign w:val="bottom"/>
                </w:tcPr>
                <w:p w14:paraId="0640FB49">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.6</w:t>
                  </w:r>
                </w:p>
              </w:tc>
              <w:tc>
                <w:tcPr>
                  <w:tcW w:w="845" w:type="dxa"/>
                  <w:tcBorders>
                    <w:top w:val="single" w:color="000000" w:sz="4" w:space="0"/>
                    <w:left w:val="single" w:color="000000" w:sz="4" w:space="0"/>
                    <w:bottom w:val="single" w:color="000000" w:sz="4" w:space="0"/>
                    <w:right w:val="single" w:color="000000" w:sz="4" w:space="0"/>
                  </w:tcBorders>
                  <w:noWrap w:val="0"/>
                  <w:vAlign w:val="bottom"/>
                </w:tcPr>
                <w:p w14:paraId="5BCFEE2E">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.7</w:t>
                  </w:r>
                </w:p>
              </w:tc>
              <w:tc>
                <w:tcPr>
                  <w:tcW w:w="879" w:type="dxa"/>
                  <w:tcBorders>
                    <w:top w:val="single" w:color="000000" w:sz="4" w:space="0"/>
                    <w:left w:val="single" w:color="000000" w:sz="4" w:space="0"/>
                    <w:bottom w:val="single" w:color="000000" w:sz="4" w:space="0"/>
                    <w:right w:val="single" w:color="000000" w:sz="4" w:space="0"/>
                  </w:tcBorders>
                  <w:noWrap w:val="0"/>
                  <w:vAlign w:val="bottom"/>
                </w:tcPr>
                <w:p w14:paraId="6C2A4948">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.8</w:t>
                  </w:r>
                </w:p>
              </w:tc>
              <w:tc>
                <w:tcPr>
                  <w:tcW w:w="826" w:type="dxa"/>
                  <w:tcBorders>
                    <w:top w:val="single" w:color="000000" w:sz="4" w:space="0"/>
                    <w:left w:val="single" w:color="000000" w:sz="4" w:space="0"/>
                    <w:bottom w:val="single" w:color="000000" w:sz="4" w:space="0"/>
                    <w:right w:val="single" w:color="000000" w:sz="4" w:space="0"/>
                  </w:tcBorders>
                  <w:noWrap w:val="0"/>
                  <w:vAlign w:val="bottom"/>
                </w:tcPr>
                <w:p w14:paraId="065FFCAF">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.9</w:t>
                  </w:r>
                </w:p>
              </w:tc>
              <w:tc>
                <w:tcPr>
                  <w:tcW w:w="816" w:type="dxa"/>
                  <w:tcBorders>
                    <w:top w:val="single" w:color="000000" w:sz="4" w:space="0"/>
                    <w:left w:val="single" w:color="000000" w:sz="4" w:space="0"/>
                    <w:bottom w:val="single" w:color="000000" w:sz="4" w:space="0"/>
                    <w:right w:val="single" w:color="000000" w:sz="4" w:space="0"/>
                  </w:tcBorders>
                  <w:noWrap w:val="0"/>
                  <w:vAlign w:val="bottom"/>
                </w:tcPr>
                <w:p w14:paraId="5DC2F934">
                  <w:pPr>
                    <w:pStyle w:val="8"/>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3.0</w:t>
                  </w:r>
                </w:p>
              </w:tc>
            </w:tr>
          </w:tbl>
          <w:p w14:paraId="5196BB7E">
            <w:pPr>
              <w:widowControl/>
              <w:spacing w:line="400" w:lineRule="exact"/>
              <w:rPr>
                <w:rFonts w:hint="eastAsia" w:ascii="Times New Roman"/>
                <w:snapToGrid w:val="0"/>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（2）评标基准价D＝最高投标限价×（1－n）</w:t>
            </w:r>
          </w:p>
        </w:tc>
      </w:tr>
      <w:tr w14:paraId="0D3C9739">
        <w:tblPrEx>
          <w:tblCellMar>
            <w:top w:w="0" w:type="dxa"/>
            <w:left w:w="108" w:type="dxa"/>
            <w:bottom w:w="0" w:type="dxa"/>
            <w:right w:w="108" w:type="dxa"/>
          </w:tblCellMar>
        </w:tblPrEx>
        <w:trPr>
          <w:trHeight w:val="1991"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17B9B70">
            <w:pPr>
              <w:wordWrap w:val="0"/>
              <w:adjustRightInd w:val="0"/>
              <w:snapToGrid w:val="0"/>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投标报价</w:t>
            </w:r>
          </w:p>
          <w:p w14:paraId="3B3AF0EB">
            <w:pPr>
              <w:wordWrap w:val="0"/>
              <w:adjustRightInd w:val="0"/>
              <w:snapToGrid w:val="0"/>
              <w:spacing w:line="400" w:lineRule="exact"/>
              <w:jc w:val="center"/>
              <w:rPr>
                <w:rFonts w:eastAsia="宋体"/>
                <w:snapToGrid w:val="0"/>
                <w:color w:val="auto"/>
                <w:kern w:val="0"/>
                <w:szCs w:val="21"/>
                <w:highlight w:val="none"/>
              </w:rPr>
            </w:pPr>
            <w:r>
              <w:rPr>
                <w:rFonts w:hint="eastAsia" w:ascii="宋体" w:hAnsi="宋体" w:eastAsia="宋体" w:cs="宋体"/>
                <w:b w:val="0"/>
                <w:bCs w:val="0"/>
                <w:color w:val="auto"/>
                <w:kern w:val="2"/>
                <w:sz w:val="21"/>
                <w:szCs w:val="21"/>
                <w:highlight w:val="none"/>
                <w:lang w:val="en-US" w:eastAsia="zh-CN" w:bidi="ar-SA"/>
              </w:rPr>
              <w:t>得分</w:t>
            </w:r>
            <w:r>
              <w:rPr>
                <w:rFonts w:hint="eastAsia" w:ascii="宋体" w:hAnsi="宋体" w:cs="宋体"/>
                <w:b w:val="0"/>
                <w:bCs w:val="0"/>
                <w:color w:val="auto"/>
                <w:kern w:val="2"/>
                <w:sz w:val="21"/>
                <w:szCs w:val="21"/>
                <w:highlight w:val="none"/>
                <w:lang w:val="en-US" w:eastAsia="zh-CN" w:bidi="ar-SA"/>
              </w:rPr>
              <w:t>N</w:t>
            </w:r>
          </w:p>
        </w:tc>
        <w:tc>
          <w:tcPr>
            <w:tcW w:w="8545" w:type="dxa"/>
            <w:gridSpan w:val="2"/>
            <w:tcBorders>
              <w:top w:val="single" w:color="auto" w:sz="4" w:space="0"/>
              <w:left w:val="single" w:color="auto" w:sz="4" w:space="0"/>
              <w:bottom w:val="single" w:color="auto" w:sz="4" w:space="0"/>
              <w:right w:val="single" w:color="auto" w:sz="4" w:space="0"/>
            </w:tcBorders>
            <w:noWrap w:val="0"/>
            <w:vAlign w:val="center"/>
          </w:tcPr>
          <w:p w14:paraId="64280C00">
            <w:pPr>
              <w:wordWrap w:val="0"/>
              <w:adjustRightInd w:val="0"/>
              <w:snapToGrid w:val="0"/>
              <w:spacing w:line="400" w:lineRule="exact"/>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采用内插法计算某投标人的投标报价得分</w:t>
            </w:r>
            <w:r>
              <w:rPr>
                <w:rFonts w:hint="eastAsia" w:ascii="宋体" w:hAnsi="宋体" w:cs="宋体"/>
                <w:b w:val="0"/>
                <w:bCs w:val="0"/>
                <w:color w:val="auto"/>
                <w:kern w:val="2"/>
                <w:sz w:val="21"/>
                <w:szCs w:val="21"/>
                <w:highlight w:val="none"/>
                <w:lang w:val="en-US" w:eastAsia="zh-CN" w:bidi="ar-SA"/>
              </w:rPr>
              <w:t>N</w:t>
            </w:r>
            <w:r>
              <w:rPr>
                <w:rFonts w:hint="eastAsia" w:ascii="宋体" w:hAnsi="宋体" w:eastAsia="宋体" w:cs="宋体"/>
                <w:b w:val="0"/>
                <w:bCs w:val="0"/>
                <w:color w:val="auto"/>
                <w:kern w:val="2"/>
                <w:sz w:val="21"/>
                <w:szCs w:val="21"/>
                <w:highlight w:val="none"/>
                <w:lang w:val="en-US" w:eastAsia="zh-CN" w:bidi="ar-SA"/>
              </w:rPr>
              <w:t>，即当投标人的投标总价等于评标基准价时得</w:t>
            </w:r>
            <w:r>
              <w:rPr>
                <w:rFonts w:hint="eastAsia" w:ascii="宋体" w:hAnsi="宋体" w:cs="宋体"/>
                <w:b w:val="0"/>
                <w:bCs w:val="0"/>
                <w:color w:val="auto"/>
                <w:kern w:val="2"/>
                <w:sz w:val="21"/>
                <w:szCs w:val="21"/>
                <w:highlight w:val="none"/>
                <w:lang w:val="en-US" w:eastAsia="zh-CN" w:bidi="ar-SA"/>
              </w:rPr>
              <w:t>10</w:t>
            </w:r>
            <w:r>
              <w:rPr>
                <w:rFonts w:hint="eastAsia" w:ascii="宋体" w:hAnsi="宋体" w:eastAsia="宋体" w:cs="宋体"/>
                <w:b w:val="0"/>
                <w:bCs w:val="0"/>
                <w:color w:val="auto"/>
                <w:kern w:val="2"/>
                <w:sz w:val="21"/>
                <w:szCs w:val="21"/>
                <w:highlight w:val="none"/>
                <w:lang w:val="en-US" w:eastAsia="zh-CN" w:bidi="ar-SA"/>
              </w:rPr>
              <w:t>分，每高于评标基准价一个百分点扣1分, 每低于评标基准价一个百分点扣0.5分，扣完为止。公式如下：</w:t>
            </w:r>
          </w:p>
          <w:p w14:paraId="14026FF0">
            <w:pPr>
              <w:wordWrap w:val="0"/>
              <w:adjustRightInd w:val="0"/>
              <w:snapToGrid w:val="0"/>
              <w:spacing w:line="400" w:lineRule="exact"/>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N</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10</w:t>
            </w:r>
            <w:r>
              <w:rPr>
                <w:rFonts w:hint="eastAsia" w:ascii="宋体" w:hAnsi="宋体" w:eastAsia="宋体" w:cs="宋体"/>
                <w:b w:val="0"/>
                <w:bCs w:val="0"/>
                <w:color w:val="auto"/>
                <w:kern w:val="2"/>
                <w:sz w:val="21"/>
                <w:szCs w:val="21"/>
                <w:highlight w:val="none"/>
                <w:lang w:val="en-US" w:eastAsia="zh-CN" w:bidi="ar-SA"/>
              </w:rPr>
              <w:t>－（| Di－D | ÷D）×100×E</w:t>
            </w:r>
          </w:p>
          <w:p w14:paraId="2281A879">
            <w:pPr>
              <w:wordWrap w:val="0"/>
              <w:adjustRightInd w:val="0"/>
              <w:snapToGrid w:val="0"/>
              <w:spacing w:line="400" w:lineRule="exact"/>
              <w:ind w:firstLine="420" w:firstLineChars="200"/>
              <w:jc w:val="left"/>
              <w:rPr>
                <w:rFonts w:hint="eastAsia" w:ascii="Times New Roman"/>
                <w:snapToGrid w:val="0"/>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式中：D为评标基准价；Di为某投标人的投标总价；E为扣分因子，当Di＞D时，E＝1；当Di＜D时，E＝0.5。</w:t>
            </w:r>
          </w:p>
        </w:tc>
      </w:tr>
    </w:tbl>
    <w:p w14:paraId="39458CF9">
      <w:pPr>
        <w:spacing w:line="360" w:lineRule="auto"/>
        <w:ind w:firstLine="480" w:firstLineChars="200"/>
        <w:rPr>
          <w:rFonts w:ascii="宋体" w:hAnsi="宋体" w:cs="宋体"/>
          <w:strike w:val="0"/>
          <w:color w:val="auto"/>
          <w:sz w:val="24"/>
          <w:highlight w:val="none"/>
        </w:rPr>
      </w:pPr>
      <w:r>
        <w:rPr>
          <w:rFonts w:hint="eastAsia" w:ascii="宋体" w:hAnsi="宋体" w:cs="宋体"/>
          <w:color w:val="auto"/>
          <w:sz w:val="24"/>
          <w:szCs w:val="24"/>
          <w:highlight w:val="none"/>
        </w:rPr>
        <w:t>备注：1.</w:t>
      </w:r>
      <w:r>
        <w:rPr>
          <w:rFonts w:hint="eastAsia" w:ascii="宋体" w:hAnsi="宋体" w:cs="宋体"/>
          <w:strike w:val="0"/>
          <w:color w:val="auto"/>
          <w:sz w:val="24"/>
          <w:highlight w:val="none"/>
        </w:rPr>
        <w:t>评分表中注明“原件核对”的证书、证明材料，如未能提供原件的，相应部分不能计分。</w:t>
      </w:r>
    </w:p>
    <w:p w14:paraId="179C229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2.</w:t>
      </w:r>
      <w:r>
        <w:rPr>
          <w:rFonts w:hint="eastAsia" w:ascii="宋体" w:hAnsi="宋体" w:cs="宋体"/>
          <w:color w:val="auto"/>
          <w:sz w:val="24"/>
          <w:szCs w:val="24"/>
          <w:highlight w:val="none"/>
        </w:rPr>
        <w:t>评分如出现小数点，则按“四舍五入”原则精确到两位小数。</w:t>
      </w:r>
    </w:p>
    <w:p w14:paraId="23198D89">
      <w:pPr>
        <w:spacing w:line="360" w:lineRule="auto"/>
        <w:ind w:firstLine="422" w:firstLineChars="175"/>
        <w:rPr>
          <w:rFonts w:ascii="宋体" w:hAnsi="宋体" w:cs="宋体"/>
          <w:snapToGrid w:val="0"/>
          <w:color w:val="auto"/>
          <w:kern w:val="0"/>
          <w:sz w:val="24"/>
          <w:szCs w:val="24"/>
          <w:highlight w:val="none"/>
        </w:rPr>
      </w:pPr>
      <w:bookmarkStart w:id="167" w:name="_Hlt69669771"/>
      <w:bookmarkEnd w:id="167"/>
      <w:bookmarkStart w:id="168" w:name="_Toc14036"/>
      <w:bookmarkStart w:id="169" w:name="_Hlt69698713"/>
      <w:bookmarkStart w:id="170" w:name="_Hlt69698765"/>
      <w:r>
        <w:rPr>
          <w:rFonts w:hint="eastAsia" w:ascii="宋体" w:hAnsi="宋体" w:cs="宋体"/>
          <w:b/>
          <w:bCs/>
          <w:snapToGrid w:val="0"/>
          <w:color w:val="auto"/>
          <w:kern w:val="0"/>
          <w:sz w:val="24"/>
          <w:szCs w:val="24"/>
          <w:highlight w:val="none"/>
        </w:rPr>
        <w:t>17.5.2</w:t>
      </w:r>
      <w:r>
        <w:rPr>
          <w:rFonts w:hint="eastAsia" w:ascii="宋体" w:hAnsi="宋体" w:cs="宋体"/>
          <w:snapToGrid w:val="0"/>
          <w:color w:val="auto"/>
          <w:kern w:val="0"/>
          <w:sz w:val="24"/>
          <w:szCs w:val="24"/>
          <w:highlight w:val="none"/>
        </w:rPr>
        <w:t>否决投标说明</w:t>
      </w:r>
    </w:p>
    <w:p w14:paraId="3683F7F0">
      <w:pPr>
        <w:wordWrap w:val="0"/>
        <w:adjustRightInd w:val="0"/>
        <w:snapToGrid w:val="0"/>
        <w:spacing w:line="360" w:lineRule="auto"/>
        <w:ind w:firstLine="56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详细评审阶段否决投标的全部条件，在本章第四节“否决投标条件”第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0D6E1523">
      <w:pPr>
        <w:wordWrap w:val="0"/>
        <w:adjustRightInd w:val="0"/>
        <w:snapToGrid w:val="0"/>
        <w:spacing w:line="360" w:lineRule="auto"/>
        <w:ind w:firstLine="482" w:firstLineChars="20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352DEB48">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71" w:name="_Toc32706"/>
      <w:bookmarkStart w:id="172" w:name="_Toc29578"/>
      <w:bookmarkStart w:id="173" w:name="_Toc18679"/>
      <w:r>
        <w:rPr>
          <w:rFonts w:hint="eastAsia" w:ascii="宋体" w:hAnsi="宋体" w:cs="宋体"/>
          <w:b/>
          <w:snapToGrid w:val="0"/>
          <w:color w:val="auto"/>
          <w:sz w:val="24"/>
          <w:highlight w:val="none"/>
        </w:rPr>
        <w:t>18.推荐中标候选人</w:t>
      </w:r>
      <w:bookmarkEnd w:id="171"/>
      <w:bookmarkEnd w:id="172"/>
      <w:bookmarkEnd w:id="173"/>
    </w:p>
    <w:p w14:paraId="2D7CC040">
      <w:pPr>
        <w:wordWrap w:val="0"/>
        <w:adjustRightInd w:val="0"/>
        <w:snapToGrid w:val="0"/>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18.1</w:t>
      </w:r>
      <w:r>
        <w:rPr>
          <w:rFonts w:hint="eastAsia" w:ascii="宋体" w:hAnsi="宋体" w:cs="宋体"/>
          <w:snapToGrid w:val="0"/>
          <w:color w:val="auto"/>
          <w:kern w:val="0"/>
          <w:sz w:val="24"/>
          <w:szCs w:val="24"/>
          <w:highlight w:val="none"/>
        </w:rPr>
        <w:t>确定排名</w:t>
      </w:r>
    </w:p>
    <w:p w14:paraId="1F5F6CA1">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2"/>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w:t>
      </w:r>
      <w:r>
        <w:rPr>
          <w:rFonts w:hint="eastAsia" w:ascii="宋体" w:hAnsi="宋体" w:cs="宋体"/>
          <w:snapToGrid w:val="0"/>
          <w:color w:val="auto"/>
          <w:kern w:val="0"/>
          <w:sz w:val="24"/>
          <w:szCs w:val="32"/>
          <w:highlight w:val="none"/>
        </w:rPr>
        <w:t>由评标委员会投票确定</w:t>
      </w:r>
      <w:r>
        <w:rPr>
          <w:rFonts w:hint="eastAsia" w:ascii="宋体" w:hAnsi="宋体" w:cs="宋体"/>
          <w:snapToGrid w:val="0"/>
          <w:color w:val="auto"/>
          <w:kern w:val="0"/>
          <w:sz w:val="24"/>
          <w:szCs w:val="24"/>
          <w:highlight w:val="none"/>
        </w:rPr>
        <w:t>。</w:t>
      </w:r>
    </w:p>
    <w:p w14:paraId="601146FC">
      <w:pPr>
        <w:wordWrap w:val="0"/>
        <w:adjustRightInd w:val="0"/>
        <w:snapToGrid w:val="0"/>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18.2</w:t>
      </w:r>
      <w:r>
        <w:rPr>
          <w:rFonts w:hint="eastAsia" w:ascii="宋体" w:hAnsi="宋体" w:cs="宋体"/>
          <w:snapToGrid w:val="0"/>
          <w:color w:val="auto"/>
          <w:kern w:val="0"/>
          <w:sz w:val="24"/>
          <w:szCs w:val="24"/>
          <w:highlight w:val="none"/>
        </w:rPr>
        <w:t>推荐方法</w:t>
      </w:r>
    </w:p>
    <w:p w14:paraId="26922699">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（1）有效投标人数量达到或超过3个的，评标委员会将前三名投标人作为中标候选人向招标人推荐，并标明排列顺序。</w:t>
      </w:r>
    </w:p>
    <w:p w14:paraId="016FE986">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50F0CD9F">
      <w:pPr>
        <w:wordWrap w:val="0"/>
        <w:adjustRightInd w:val="0"/>
        <w:snapToGrid w:val="0"/>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18.3</w:t>
      </w:r>
      <w:r>
        <w:rPr>
          <w:rFonts w:hint="eastAsia" w:ascii="宋体" w:hAnsi="宋体" w:cs="宋体"/>
          <w:snapToGrid w:val="0"/>
          <w:color w:val="auto"/>
          <w:kern w:val="0"/>
          <w:sz w:val="24"/>
          <w:szCs w:val="24"/>
          <w:highlight w:val="none"/>
        </w:rPr>
        <w:t>评标委员会完成评标后，应向招标人提交由全体评标委员会成员签字的评标报告和中标候选人名单。</w:t>
      </w:r>
    </w:p>
    <w:p w14:paraId="75F8E049">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74" w:name="_Toc163"/>
      <w:bookmarkStart w:id="175" w:name="_Toc26821"/>
      <w:bookmarkStart w:id="176" w:name="_Toc854"/>
      <w:r>
        <w:rPr>
          <w:rFonts w:hint="eastAsia" w:ascii="宋体" w:hAnsi="宋体" w:cs="宋体"/>
          <w:b/>
          <w:snapToGrid w:val="0"/>
          <w:color w:val="auto"/>
          <w:sz w:val="24"/>
          <w:highlight w:val="none"/>
        </w:rPr>
        <w:t>19.中标候选人公示</w:t>
      </w:r>
      <w:bookmarkEnd w:id="174"/>
      <w:bookmarkEnd w:id="175"/>
      <w:bookmarkEnd w:id="176"/>
    </w:p>
    <w:p w14:paraId="00B96AC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19.1 招标人自收到评标委员会提交的书面评标报告和中标候选人名单之日起3日内，将评标结果（即中标候选人名单）、中标候选人投标文件（指商务经济标书分册）、评标过程（评标专家姓名用代码标记）一并在广东省招标投标监管网（https://www.gdzwfw.gov.cn/ztbjg-portal/#/index）、全国公共资源交易平台（广东省·韶关市）（https://ygp.gdzwfw.gov.cn/ggzy-portal/#/440200/index）进行公示，公示期不得少于3天。</w:t>
      </w:r>
    </w:p>
    <w:p w14:paraId="619491D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19.2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 号）执行。如通过“韶关市公共资源交易服务平台”提出异议，投标人必须上传提交异议书扫描件（作为附件），异议书格式内容按照《韶关市工程建设项目招标投标活动异议和投诉处理办法》（韶发改〔2021〕44 号）执行，否则招标人不予受理。投标人提出异议后，必须及时通知招标人查收，否则，由此造成的超出法律规定时限的后果，由投标人自行承担。招标人受理异议后，投标人须及时向招标人提交书面异议。</w:t>
      </w:r>
    </w:p>
    <w:p w14:paraId="177D681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19.3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5D18B6AF">
      <w:pPr>
        <w:pStyle w:val="3"/>
        <w:wordWrap w:val="0"/>
        <w:autoSpaceDE/>
        <w:autoSpaceDN/>
        <w:snapToGrid w:val="0"/>
        <w:spacing w:before="260" w:after="260"/>
        <w:jc w:val="both"/>
        <w:rPr>
          <w:rFonts w:ascii="宋体" w:hAnsi="宋体" w:cs="宋体"/>
          <w:b/>
          <w:snapToGrid w:val="0"/>
          <w:color w:val="auto"/>
          <w:sz w:val="24"/>
          <w:highlight w:val="none"/>
        </w:rPr>
      </w:pPr>
      <w:bookmarkStart w:id="177" w:name="_Toc32190"/>
      <w:bookmarkStart w:id="178" w:name="_Toc2752"/>
      <w:bookmarkStart w:id="179" w:name="_Toc31980"/>
      <w:bookmarkStart w:id="180" w:name="_Toc8763"/>
      <w:r>
        <w:rPr>
          <w:rFonts w:hint="eastAsia" w:ascii="宋体" w:hAnsi="宋体" w:cs="宋体"/>
          <w:b/>
          <w:snapToGrid w:val="0"/>
          <w:color w:val="auto"/>
          <w:sz w:val="24"/>
          <w:highlight w:val="none"/>
        </w:rPr>
        <w:t>第四节   否决投标条件</w:t>
      </w:r>
      <w:bookmarkEnd w:id="177"/>
      <w:bookmarkEnd w:id="178"/>
      <w:bookmarkEnd w:id="179"/>
      <w:bookmarkEnd w:id="180"/>
    </w:p>
    <w:p w14:paraId="637EDBAC">
      <w:pPr>
        <w:wordWrap w:val="0"/>
        <w:adjustRightInd w:val="0"/>
        <w:snapToGrid w:val="0"/>
        <w:spacing w:line="360" w:lineRule="auto"/>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本节所集中列示的否决投标条件，是本章第三节“投标人须知正文”的组成部分，是对本章第三节所规定的否决投标条件的总结和补充。</w:t>
      </w:r>
      <w:r>
        <w:rPr>
          <w:rFonts w:hint="eastAsia" w:ascii="宋体" w:hAnsi="宋体" w:cs="宋体"/>
          <w:b/>
          <w:bCs/>
          <w:snapToGrid w:val="0"/>
          <w:color w:val="auto"/>
          <w:kern w:val="0"/>
          <w:sz w:val="24"/>
          <w:szCs w:val="22"/>
          <w:highlight w:val="none"/>
        </w:rPr>
        <w:t>投标人未有列入本节情形的，评标时一律不得否决其投标。</w:t>
      </w:r>
      <w:r>
        <w:rPr>
          <w:rFonts w:hint="eastAsia" w:ascii="宋体" w:hAnsi="宋体" w:cs="宋体"/>
          <w:snapToGrid w:val="0"/>
          <w:color w:val="auto"/>
          <w:kern w:val="0"/>
          <w:sz w:val="24"/>
          <w:szCs w:val="22"/>
          <w:highlight w:val="none"/>
        </w:rPr>
        <w:t>本节所称“规定”均指招标文件的规定。</w:t>
      </w:r>
    </w:p>
    <w:p w14:paraId="116463A1">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81" w:name="_Toc11881"/>
      <w:bookmarkStart w:id="182" w:name="_Toc4139"/>
      <w:bookmarkStart w:id="183" w:name="_Toc12045"/>
      <w:r>
        <w:rPr>
          <w:rFonts w:hint="eastAsia" w:ascii="宋体" w:hAnsi="宋体" w:cs="宋体"/>
          <w:b/>
          <w:snapToGrid w:val="0"/>
          <w:color w:val="auto"/>
          <w:sz w:val="24"/>
          <w:highlight w:val="none"/>
        </w:rPr>
        <w:t>1.资格评审环节</w:t>
      </w:r>
      <w:bookmarkEnd w:id="181"/>
      <w:bookmarkEnd w:id="182"/>
      <w:bookmarkEnd w:id="183"/>
    </w:p>
    <w:p w14:paraId="19BA5B25">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投标人有下列情形之一的，评标委员会应否决其投标。被否决的投标，不进入形式评审环节。</w:t>
      </w:r>
    </w:p>
    <w:p w14:paraId="2F0DF733">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（1）有本章第三节第</w:t>
      </w:r>
      <w:r>
        <w:rPr>
          <w:rFonts w:hint="eastAsia" w:ascii="宋体" w:hAnsi="宋体" w:cs="宋体"/>
          <w:b/>
          <w:bCs/>
          <w:snapToGrid w:val="0"/>
          <w:color w:val="auto"/>
          <w:kern w:val="0"/>
          <w:sz w:val="24"/>
          <w:szCs w:val="22"/>
          <w:highlight w:val="none"/>
        </w:rPr>
        <w:t>4.4</w:t>
      </w:r>
      <w:r>
        <w:rPr>
          <w:rFonts w:hint="eastAsia" w:ascii="宋体" w:hAnsi="宋体" w:cs="宋体"/>
          <w:snapToGrid w:val="0"/>
          <w:color w:val="auto"/>
          <w:kern w:val="0"/>
          <w:sz w:val="24"/>
          <w:szCs w:val="22"/>
          <w:highlight w:val="none"/>
        </w:rPr>
        <w:t>条“禁止投标条款”规定的任何一种情形；</w:t>
      </w:r>
    </w:p>
    <w:p w14:paraId="6B5D2883">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（2）投标人资质不符合</w:t>
      </w:r>
      <w:r>
        <w:rPr>
          <w:rFonts w:hint="eastAsia" w:ascii="宋体" w:hAnsi="宋体" w:cs="宋体"/>
          <w:snapToGrid w:val="0"/>
          <w:color w:val="auto"/>
          <w:kern w:val="0"/>
          <w:sz w:val="24"/>
          <w:szCs w:val="21"/>
          <w:highlight w:val="none"/>
        </w:rPr>
        <w:t>规定的；</w:t>
      </w:r>
    </w:p>
    <w:p w14:paraId="35D6139C">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（3）投标人名称与营业执照、资质证书上的企业名称相互不一致的；其资质证书不是由住房城乡建设主管部门颁发的；营业执照、资质证书被吊销、暂扣或不在有效期内的；</w:t>
      </w:r>
    </w:p>
    <w:p w14:paraId="774CFC0A">
      <w:pPr>
        <w:wordWrap w:val="0"/>
        <w:adjustRightInd w:val="0"/>
        <w:snapToGrid w:val="0"/>
        <w:spacing w:line="360" w:lineRule="auto"/>
        <w:ind w:firstLine="480"/>
        <w:rPr>
          <w:rFonts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注：投标人已经工商变更，但其企业资质证书的企业名称未完成变更的，不得否决其投标；投标人营业执照、资质证书之间登记的信息不一致，应当允许投标人澄清，不得直接否决其投标。</w:t>
      </w:r>
    </w:p>
    <w:p w14:paraId="757998B8">
      <w:pPr>
        <w:pStyle w:val="33"/>
        <w:ind w:firstLine="482" w:firstLineChars="200"/>
        <w:rPr>
          <w:rFonts w:hAnsi="宋体" w:cs="宋体"/>
          <w:color w:val="auto"/>
          <w:highlight w:val="none"/>
        </w:rPr>
      </w:pPr>
      <w:r>
        <w:rPr>
          <w:rFonts w:hint="eastAsia" w:hAnsi="宋体" w:cs="宋体"/>
          <w:b/>
          <w:bCs/>
          <w:snapToGrid w:val="0"/>
          <w:color w:val="auto"/>
          <w:kern w:val="0"/>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p>
    <w:p w14:paraId="6E013AA1">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（4）投标文件中拟派</w:t>
      </w:r>
      <w:r>
        <w:rPr>
          <w:rFonts w:hint="eastAsia" w:ascii="宋体" w:hAnsi="宋体" w:cs="宋体"/>
          <w:color w:val="auto"/>
          <w:kern w:val="0"/>
          <w:sz w:val="24"/>
          <w:highlight w:val="none"/>
        </w:rPr>
        <w:t>项目负责人（即设计负责人）</w:t>
      </w:r>
      <w:r>
        <w:rPr>
          <w:rFonts w:hint="eastAsia" w:ascii="宋体" w:hAnsi="宋体" w:cs="宋体"/>
          <w:snapToGrid w:val="0"/>
          <w:color w:val="auto"/>
          <w:kern w:val="0"/>
          <w:sz w:val="24"/>
          <w:szCs w:val="22"/>
          <w:highlight w:val="none"/>
        </w:rPr>
        <w:t>的条件不符合规定的；</w:t>
      </w:r>
    </w:p>
    <w:p w14:paraId="094B476E">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（5）拟派人员的各类证书、证件、证明不在有效期内的；或注册单位与投标人不一致的；</w:t>
      </w:r>
    </w:p>
    <w:p w14:paraId="1E2210E9">
      <w:pPr>
        <w:wordWrap w:val="0"/>
        <w:adjustRightInd w:val="0"/>
        <w:snapToGrid w:val="0"/>
        <w:spacing w:line="360" w:lineRule="auto"/>
        <w:ind w:firstLine="480"/>
        <w:rPr>
          <w:rFonts w:ascii="宋体" w:hAnsi="宋体" w:cs="宋体"/>
          <w:color w:val="auto"/>
          <w:highlight w:val="none"/>
        </w:rPr>
      </w:pPr>
      <w:r>
        <w:rPr>
          <w:rFonts w:hint="eastAsia" w:ascii="宋体" w:hAnsi="宋体" w:cs="宋体"/>
          <w:b/>
          <w:bCs/>
          <w:snapToGrid w:val="0"/>
          <w:color w:val="auto"/>
          <w:kern w:val="0"/>
          <w:sz w:val="24"/>
          <w:szCs w:val="22"/>
          <w:highlight w:val="none"/>
        </w:rPr>
        <w:t>注：投标人已经工商变更，但其员工执业资格注册证书的注册单位名称未完成变更的，不得否决其投标。</w:t>
      </w:r>
    </w:p>
    <w:p w14:paraId="74A47822">
      <w:pPr>
        <w:pStyle w:val="25"/>
        <w:ind w:firstLine="480" w:firstLineChars="200"/>
        <w:rPr>
          <w:rFonts w:hAnsi="宋体" w:cs="宋体"/>
          <w:color w:val="auto"/>
          <w:highlight w:val="none"/>
        </w:rPr>
      </w:pPr>
      <w:r>
        <w:rPr>
          <w:rFonts w:hint="eastAsia" w:hAnsi="宋体" w:cs="宋体"/>
          <w:snapToGrid w:val="0"/>
          <w:color w:val="auto"/>
          <w:kern w:val="0"/>
          <w:szCs w:val="22"/>
          <w:highlight w:val="none"/>
        </w:rPr>
        <w:t>（6）联合体投标，未提交</w:t>
      </w:r>
      <w:r>
        <w:rPr>
          <w:rFonts w:hint="eastAsia" w:hAnsi="宋体" w:cs="宋体"/>
          <w:snapToGrid w:val="0"/>
          <w:color w:val="auto"/>
          <w:kern w:val="0"/>
          <w:szCs w:val="21"/>
          <w:highlight w:val="none"/>
        </w:rPr>
        <w:t>《联合体协议书》的；</w:t>
      </w:r>
      <w:r>
        <w:rPr>
          <w:rFonts w:hint="eastAsia" w:hAnsi="宋体" w:cs="宋体"/>
          <w:snapToGrid w:val="0"/>
          <w:color w:val="auto"/>
          <w:kern w:val="0"/>
          <w:szCs w:val="22"/>
          <w:highlight w:val="none"/>
        </w:rPr>
        <w:t>擅自修改、遗漏</w:t>
      </w:r>
      <w:r>
        <w:rPr>
          <w:rFonts w:hint="eastAsia" w:hAnsi="宋体" w:cs="宋体"/>
          <w:snapToGrid w:val="0"/>
          <w:color w:val="auto"/>
          <w:kern w:val="0"/>
          <w:szCs w:val="21"/>
          <w:highlight w:val="none"/>
        </w:rPr>
        <w:t>《联合体协议书》</w:t>
      </w:r>
      <w:r>
        <w:rPr>
          <w:rFonts w:hint="eastAsia" w:hAnsi="宋体" w:cs="宋体"/>
          <w:snapToGrid w:val="0"/>
          <w:color w:val="auto"/>
          <w:kern w:val="0"/>
          <w:szCs w:val="22"/>
          <w:highlight w:val="none"/>
        </w:rPr>
        <w:t>实质性内容的；</w:t>
      </w:r>
      <w:r>
        <w:rPr>
          <w:rFonts w:hint="eastAsia" w:hAnsi="宋体" w:cs="宋体"/>
          <w:snapToGrid w:val="0"/>
          <w:color w:val="auto"/>
          <w:kern w:val="0"/>
          <w:szCs w:val="21"/>
          <w:highlight w:val="none"/>
        </w:rPr>
        <w:t>联合体成员的数量、资质不符合规定的；联合体成员同时以自己名义单独投标或者参加其他联合体投标的；</w:t>
      </w:r>
      <w:r>
        <w:rPr>
          <w:rFonts w:hint="eastAsia" w:hAnsi="宋体" w:cs="宋体"/>
          <w:b/>
          <w:bCs/>
          <w:snapToGrid w:val="0"/>
          <w:color w:val="auto"/>
          <w:kern w:val="0"/>
          <w:highlight w:val="none"/>
        </w:rPr>
        <w:t>（本项目不适用）</w:t>
      </w:r>
    </w:p>
    <w:p w14:paraId="6360DEBD">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（7）投标人为外省企业，但未提供“进粤企业和人员诚信信息登记平台”企业信息和拟派人员情况的。</w:t>
      </w:r>
    </w:p>
    <w:p w14:paraId="3B100578">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84" w:name="_Toc4468"/>
      <w:bookmarkStart w:id="185" w:name="_Toc32171"/>
      <w:bookmarkStart w:id="186" w:name="_Toc22692"/>
      <w:r>
        <w:rPr>
          <w:rFonts w:hint="eastAsia" w:ascii="宋体" w:hAnsi="宋体" w:cs="宋体"/>
          <w:b/>
          <w:snapToGrid w:val="0"/>
          <w:color w:val="auto"/>
          <w:sz w:val="24"/>
          <w:highlight w:val="none"/>
        </w:rPr>
        <w:t>2.形式评审环节</w:t>
      </w:r>
      <w:bookmarkEnd w:id="184"/>
      <w:bookmarkEnd w:id="185"/>
      <w:bookmarkEnd w:id="186"/>
    </w:p>
    <w:p w14:paraId="2F1CE89E">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投标人有下列情形之一的，评标委员会应否决其投标。被否决的投标，不进入响应性评审环节。</w:t>
      </w:r>
    </w:p>
    <w:p w14:paraId="73AD6658">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（8）本章第三节第</w:t>
      </w:r>
      <w:r>
        <w:rPr>
          <w:rFonts w:hint="eastAsia" w:ascii="宋体" w:hAnsi="宋体" w:cs="宋体"/>
          <w:b/>
          <w:bCs/>
          <w:snapToGrid w:val="0"/>
          <w:color w:val="auto"/>
          <w:kern w:val="0"/>
          <w:sz w:val="24"/>
          <w:szCs w:val="21"/>
          <w:highlight w:val="none"/>
        </w:rPr>
        <w:t>10.2.2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第</w:t>
      </w:r>
      <w:r>
        <w:rPr>
          <w:rFonts w:hint="eastAsia" w:ascii="宋体" w:hAnsi="宋体" w:cs="宋体"/>
          <w:b/>
          <w:bCs/>
          <w:snapToGrid w:val="0"/>
          <w:color w:val="auto"/>
          <w:kern w:val="0"/>
          <w:sz w:val="24"/>
          <w:szCs w:val="22"/>
          <w:highlight w:val="none"/>
        </w:rPr>
        <w:t>10</w:t>
      </w:r>
      <w:r>
        <w:rPr>
          <w:rFonts w:hint="eastAsia" w:ascii="宋体" w:hAnsi="宋体" w:cs="宋体"/>
          <w:b/>
          <w:bCs/>
          <w:snapToGrid w:val="0"/>
          <w:color w:val="auto"/>
          <w:kern w:val="0"/>
          <w:sz w:val="24"/>
          <w:szCs w:val="21"/>
          <w:highlight w:val="none"/>
        </w:rPr>
        <w:t>.3.2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中规定的“</w:t>
      </w:r>
      <w:r>
        <w:rPr>
          <w:rFonts w:hint="eastAsia" w:ascii="宋体" w:hAnsi="宋体" w:cs="宋体"/>
          <w:snapToGrid w:val="0"/>
          <w:color w:val="auto"/>
          <w:kern w:val="0"/>
          <w:sz w:val="24"/>
          <w:szCs w:val="21"/>
          <w:highlight w:val="none"/>
        </w:rPr>
        <w:t>所有投标人均应提供</w:t>
      </w:r>
      <w:r>
        <w:rPr>
          <w:rFonts w:hint="eastAsia" w:ascii="宋体" w:hAnsi="宋体" w:cs="宋体"/>
          <w:snapToGrid w:val="0"/>
          <w:color w:val="auto"/>
          <w:kern w:val="0"/>
          <w:sz w:val="24"/>
          <w:szCs w:val="22"/>
          <w:highlight w:val="none"/>
        </w:rPr>
        <w:t>”的组成内容（包括该组成内容的所附资料）中，任何一项有缺漏的；</w:t>
      </w:r>
    </w:p>
    <w:p w14:paraId="135B69B7">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（9）关键字迹模糊、无法辨认，</w:t>
      </w:r>
      <w:r>
        <w:rPr>
          <w:rFonts w:hint="eastAsia" w:ascii="宋体" w:hAnsi="宋体" w:cs="宋体"/>
          <w:b w:val="0"/>
          <w:bCs w:val="0"/>
          <w:snapToGrid w:val="0"/>
          <w:color w:val="auto"/>
          <w:kern w:val="0"/>
          <w:sz w:val="24"/>
          <w:szCs w:val="22"/>
          <w:highlight w:val="none"/>
        </w:rPr>
        <w:t>且该种过错将导致评标委员会无法作出投标文件是否响应招标文件实质性要求的</w:t>
      </w:r>
      <w:r>
        <w:rPr>
          <w:rFonts w:hint="eastAsia" w:ascii="宋体" w:hAnsi="宋体" w:cs="宋体"/>
          <w:snapToGrid w:val="0"/>
          <w:color w:val="auto"/>
          <w:kern w:val="0"/>
          <w:sz w:val="24"/>
          <w:szCs w:val="22"/>
          <w:highlight w:val="none"/>
        </w:rPr>
        <w:t>；出现手工涂改、行间插字或删除，但未加盖单位章或由投标人的法定代表人或其委托代理人签字确认的；</w:t>
      </w:r>
    </w:p>
    <w:p w14:paraId="0D9F68C2">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（10）投标文件未按规定签字、盖章的；</w:t>
      </w:r>
    </w:p>
    <w:p w14:paraId="6D40A10F">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87" w:name="_Toc30362"/>
      <w:bookmarkStart w:id="188" w:name="_Toc26983"/>
      <w:bookmarkStart w:id="189" w:name="_Toc29122"/>
      <w:r>
        <w:rPr>
          <w:rFonts w:hint="eastAsia" w:ascii="宋体" w:hAnsi="宋体" w:cs="宋体"/>
          <w:b/>
          <w:snapToGrid w:val="0"/>
          <w:color w:val="auto"/>
          <w:sz w:val="24"/>
          <w:highlight w:val="none"/>
        </w:rPr>
        <w:t>3.响应性评审环节</w:t>
      </w:r>
      <w:bookmarkEnd w:id="187"/>
      <w:bookmarkEnd w:id="188"/>
      <w:bookmarkEnd w:id="189"/>
    </w:p>
    <w:p w14:paraId="69168F87">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投标人有下列情形之一的，评标委员会应否决其投标。被否决的投标，不进入详细评审阶段。</w:t>
      </w:r>
    </w:p>
    <w:p w14:paraId="1FF2280C">
      <w:pPr>
        <w:wordWrap w:val="0"/>
        <w:adjustRightInd w:val="0"/>
        <w:snapToGrid w:val="0"/>
        <w:spacing w:line="360" w:lineRule="auto"/>
        <w:ind w:firstLine="480"/>
        <w:rPr>
          <w:rFonts w:ascii="宋体" w:hAnsi="宋体" w:cs="宋体"/>
          <w:snapToGrid w:val="0"/>
          <w:color w:val="auto"/>
          <w:kern w:val="0"/>
          <w:sz w:val="24"/>
          <w:szCs w:val="22"/>
          <w:highlight w:val="none"/>
        </w:rPr>
      </w:pPr>
      <w:bookmarkStart w:id="190" w:name="_Toc6331"/>
      <w:bookmarkStart w:id="191" w:name="_Toc19353"/>
      <w:r>
        <w:rPr>
          <w:rFonts w:hint="eastAsia" w:ascii="宋体" w:hAnsi="宋体" w:cs="宋体"/>
          <w:snapToGrid w:val="0"/>
          <w:color w:val="auto"/>
          <w:kern w:val="0"/>
          <w:sz w:val="24"/>
          <w:szCs w:val="22"/>
          <w:highlight w:val="none"/>
        </w:rPr>
        <w:t>（11）承诺的投标有效期短于规定的；质量标准低于规定的；工期超出规定的；擅自修改、遗漏《投标函》《各项承诺一览表》实质性内容的；</w:t>
      </w:r>
    </w:p>
    <w:p w14:paraId="2FAFD5AD">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（12）出现两个或两个以上投标总价的（同一个投标总价大、小写不一致的除外）；投标总价超出最高投标限价的。</w:t>
      </w:r>
    </w:p>
    <w:p w14:paraId="3E595ADE">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（13）在技术标书评审中，评标委员会认定质量、保障措施与国家和省市现行有关规范、规定、标准有重大偏差，且该种过错将导致工程质量、进度管理目标无法实现的。</w:t>
      </w:r>
    </w:p>
    <w:p w14:paraId="73B6E564">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92" w:name="_Toc27980"/>
      <w:r>
        <w:rPr>
          <w:rFonts w:hint="eastAsia" w:ascii="宋体" w:hAnsi="宋体" w:cs="宋体"/>
          <w:b/>
          <w:snapToGrid w:val="0"/>
          <w:color w:val="auto"/>
          <w:sz w:val="24"/>
          <w:highlight w:val="none"/>
        </w:rPr>
        <w:t>4.其他</w:t>
      </w:r>
      <w:bookmarkEnd w:id="190"/>
      <w:bookmarkEnd w:id="191"/>
      <w:bookmarkEnd w:id="192"/>
    </w:p>
    <w:p w14:paraId="417E98C8">
      <w:pPr>
        <w:wordWrap w:val="0"/>
        <w:adjustRightInd w:val="0"/>
        <w:snapToGrid w:val="0"/>
        <w:spacing w:line="360" w:lineRule="auto"/>
        <w:ind w:firstLine="480"/>
        <w:rPr>
          <w:rFonts w:ascii="宋体" w:hAnsi="宋体" w:cs="宋体"/>
          <w:snapToGrid w:val="0"/>
          <w:color w:val="auto"/>
          <w:kern w:val="0"/>
          <w:sz w:val="24"/>
          <w:szCs w:val="28"/>
          <w:highlight w:val="none"/>
        </w:rPr>
      </w:pPr>
      <w:r>
        <w:rPr>
          <w:rFonts w:hint="eastAsia" w:ascii="宋体" w:hAnsi="宋体" w:cs="宋体"/>
          <w:snapToGrid w:val="0"/>
          <w:color w:val="auto"/>
          <w:kern w:val="0"/>
          <w:sz w:val="24"/>
          <w:szCs w:val="22"/>
          <w:highlight w:val="none"/>
        </w:rPr>
        <w:t>在任何评标环节（或阶段），投标人有下列情形之一的，评标委员会应否决其投标。</w:t>
      </w:r>
      <w:r>
        <w:rPr>
          <w:rFonts w:hint="eastAsia" w:ascii="宋体" w:hAnsi="宋体" w:cs="宋体"/>
          <w:snapToGrid w:val="0"/>
          <w:color w:val="auto"/>
          <w:kern w:val="0"/>
          <w:sz w:val="24"/>
          <w:szCs w:val="28"/>
          <w:highlight w:val="none"/>
        </w:rPr>
        <w:t>被否决的投标，不进入下一环节（或阶段）。</w:t>
      </w:r>
    </w:p>
    <w:p w14:paraId="56514DDF">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（14）不按评标委员会要求澄清、说明或补正的；</w:t>
      </w:r>
    </w:p>
    <w:p w14:paraId="78B725E7">
      <w:pPr>
        <w:wordWrap w:val="0"/>
        <w:adjustRightInd w:val="0"/>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（15）有下列情形之一，被评标委员会认定属于串通投标的：</w:t>
      </w:r>
    </w:p>
    <w:p w14:paraId="79859E71">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①不同投标人的投标文件两处以上（含两处）错、漏一致；</w:t>
      </w:r>
    </w:p>
    <w:p w14:paraId="1543F0C4">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②不同投标人的投标各项报价存在异常一致或者呈规律性变化；</w:t>
      </w:r>
    </w:p>
    <w:p w14:paraId="7FF45CEF">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③不同投标人的投标文件由同一单位或者同一个人编制；</w:t>
      </w:r>
    </w:p>
    <w:p w14:paraId="32E38F25">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④不同投标人的投标文件中投标资料（包括电子资料）相互混装或项目班子成员出现同一人；</w:t>
      </w:r>
    </w:p>
    <w:p w14:paraId="576587CA">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⑤不同投标人的投标文件由同一电脑编制或同一台附属设备打印；</w:t>
      </w:r>
    </w:p>
    <w:p w14:paraId="5CBFE111">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⑥不同投标人的投标保证由同一企业或同一账户资金缴纳；</w:t>
      </w:r>
    </w:p>
    <w:p w14:paraId="6014AE56">
      <w:pPr>
        <w:wordWrap w:val="0"/>
        <w:adjustRightInd w:val="0"/>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⑦不同投标人委托同一个人或注册在同一家企业的注册人员或同一家企业为其投标提供投标咨询、商务报价、技术咨询（招标项目本身要求采用专有技术的除外）等服务。</w:t>
      </w:r>
    </w:p>
    <w:p w14:paraId="025BF32D">
      <w:pPr>
        <w:rPr>
          <w:rFonts w:ascii="宋体" w:hAnsi="宋体" w:cs="宋体"/>
          <w:color w:val="auto"/>
          <w:highlight w:val="none"/>
        </w:rPr>
      </w:pPr>
    </w:p>
    <w:p w14:paraId="5D37CB83">
      <w:pPr>
        <w:rPr>
          <w:rFonts w:ascii="宋体" w:hAnsi="宋体" w:cs="宋体"/>
          <w:color w:val="auto"/>
          <w:highlight w:val="none"/>
        </w:rPr>
      </w:pPr>
    </w:p>
    <w:p w14:paraId="11E84FFC">
      <w:pPr>
        <w:rPr>
          <w:rFonts w:ascii="宋体" w:hAnsi="宋体" w:cs="宋体"/>
          <w:color w:val="auto"/>
          <w:highlight w:val="none"/>
        </w:rPr>
      </w:pPr>
    </w:p>
    <w:p w14:paraId="1F0ADC99">
      <w:pPr>
        <w:pStyle w:val="2"/>
        <w:wordWrap w:val="0"/>
        <w:autoSpaceDE/>
        <w:autoSpaceDN/>
        <w:snapToGrid w:val="0"/>
        <w:spacing w:line="440" w:lineRule="exact"/>
        <w:jc w:val="center"/>
        <w:rPr>
          <w:rFonts w:ascii="宋体" w:hAnsi="宋体" w:cs="宋体"/>
          <w:b/>
          <w:snapToGrid w:val="0"/>
          <w:color w:val="auto"/>
          <w:sz w:val="24"/>
          <w:highlight w:val="none"/>
        </w:rPr>
      </w:pPr>
      <w:bookmarkStart w:id="193" w:name="_Toc30007"/>
      <w:bookmarkStart w:id="194" w:name="_Toc32329"/>
      <w:r>
        <w:rPr>
          <w:rFonts w:hint="eastAsia" w:ascii="宋体" w:hAnsi="宋体" w:cs="宋体"/>
          <w:b/>
          <w:snapToGrid w:val="0"/>
          <w:color w:val="auto"/>
          <w:sz w:val="24"/>
          <w:highlight w:val="none"/>
        </w:rPr>
        <w:t>第二章</w:t>
      </w:r>
      <w:bookmarkEnd w:id="168"/>
      <w:bookmarkStart w:id="195" w:name="_Hlt87793831"/>
      <w:bookmarkEnd w:id="195"/>
      <w:r>
        <w:rPr>
          <w:rFonts w:hint="eastAsia" w:ascii="宋体" w:hAnsi="宋体" w:cs="宋体"/>
          <w:b/>
          <w:snapToGrid w:val="0"/>
          <w:color w:val="auto"/>
          <w:sz w:val="24"/>
          <w:highlight w:val="none"/>
        </w:rPr>
        <w:t xml:space="preserve">   拟签订合同的主要条款</w:t>
      </w:r>
      <w:bookmarkEnd w:id="193"/>
    </w:p>
    <w:bookmarkEnd w:id="169"/>
    <w:bookmarkEnd w:id="170"/>
    <w:bookmarkEnd w:id="194"/>
    <w:p w14:paraId="4D4F56AB">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196" w:name="_Toc18268"/>
      <w:bookmarkStart w:id="197" w:name="_Toc143766475"/>
      <w:bookmarkStart w:id="198" w:name="_Toc371968727"/>
      <w:bookmarkStart w:id="199" w:name="_Toc24616749"/>
      <w:bookmarkStart w:id="200" w:name="_Toc353462211"/>
      <w:bookmarkStart w:id="201" w:name="_Toc9718"/>
      <w:bookmarkStart w:id="202" w:name="_Toc143765509"/>
      <w:bookmarkStart w:id="203" w:name="_Toc353462320"/>
      <w:bookmarkStart w:id="204" w:name="_Toc15907"/>
      <w:bookmarkStart w:id="205" w:name="_Toc322793288"/>
      <w:bookmarkStart w:id="206" w:name="_Hlt87951777"/>
      <w:bookmarkStart w:id="207" w:name="_Toc326916629"/>
      <w:bookmarkStart w:id="208" w:name="_Toc26730"/>
      <w:bookmarkStart w:id="209" w:name="_Hlt69698741"/>
      <w:bookmarkStart w:id="210" w:name="_Hlt69698722"/>
      <w:bookmarkStart w:id="211" w:name="_Hlt69698769"/>
      <w:r>
        <w:rPr>
          <w:rFonts w:hint="eastAsia" w:ascii="宋体" w:hAnsi="宋体" w:cs="宋体"/>
          <w:b/>
          <w:snapToGrid w:val="0"/>
          <w:color w:val="auto"/>
          <w:sz w:val="24"/>
          <w:highlight w:val="none"/>
        </w:rPr>
        <w:t>1.承包方式</w:t>
      </w:r>
      <w:bookmarkEnd w:id="196"/>
      <w:bookmarkEnd w:id="197"/>
      <w:bookmarkEnd w:id="198"/>
      <w:bookmarkEnd w:id="199"/>
      <w:bookmarkEnd w:id="200"/>
      <w:bookmarkEnd w:id="201"/>
      <w:bookmarkEnd w:id="202"/>
      <w:bookmarkEnd w:id="203"/>
      <w:bookmarkEnd w:id="204"/>
    </w:p>
    <w:p w14:paraId="64996D26">
      <w:pPr>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中标人以中标下浮率报价按合同约定和招标文件内容要求，法律法规及国家强制性标准要求，提供完整的最新工程地形图、初步设计及概算、施工图设计文件和建设期的服务内容，不允许转包和分包。</w:t>
      </w:r>
    </w:p>
    <w:p w14:paraId="580FBE18">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212" w:name="_Hlt112206782"/>
      <w:bookmarkEnd w:id="212"/>
      <w:bookmarkStart w:id="213" w:name="_Toc353462321"/>
      <w:bookmarkStart w:id="214" w:name="_Toc371968728"/>
      <w:bookmarkStart w:id="215" w:name="_Toc143765510"/>
      <w:bookmarkStart w:id="216" w:name="_Toc143766476"/>
      <w:bookmarkStart w:id="217" w:name="_Toc353462212"/>
      <w:bookmarkStart w:id="218" w:name="_Toc19364"/>
      <w:bookmarkStart w:id="219" w:name="_Toc4938"/>
      <w:bookmarkStart w:id="220" w:name="_Toc24616750"/>
      <w:bookmarkStart w:id="221" w:name="_Toc15349"/>
      <w:r>
        <w:rPr>
          <w:rFonts w:hint="eastAsia" w:ascii="宋体" w:hAnsi="宋体" w:cs="宋体"/>
          <w:b/>
          <w:snapToGrid w:val="0"/>
          <w:color w:val="auto"/>
          <w:sz w:val="24"/>
          <w:highlight w:val="none"/>
        </w:rPr>
        <w:t>2.合同价款支付办法</w:t>
      </w:r>
      <w:bookmarkEnd w:id="213"/>
      <w:bookmarkEnd w:id="214"/>
      <w:bookmarkEnd w:id="215"/>
      <w:bookmarkEnd w:id="216"/>
      <w:bookmarkEnd w:id="217"/>
      <w:r>
        <w:rPr>
          <w:rFonts w:hint="eastAsia" w:ascii="宋体" w:hAnsi="宋体" w:cs="宋体"/>
          <w:b/>
          <w:snapToGrid w:val="0"/>
          <w:color w:val="auto"/>
          <w:sz w:val="24"/>
          <w:highlight w:val="none"/>
        </w:rPr>
        <w:t>及结算原则</w:t>
      </w:r>
      <w:bookmarkEnd w:id="218"/>
      <w:bookmarkEnd w:id="219"/>
      <w:bookmarkEnd w:id="220"/>
      <w:bookmarkEnd w:id="221"/>
    </w:p>
    <w:p w14:paraId="25AF85F6">
      <w:pPr>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2.1本合同工程按中标人的投标下浮率报价，中标下浮率即为签约合同下浮率。</w:t>
      </w:r>
    </w:p>
    <w:p w14:paraId="7FEE8E66">
      <w:pPr>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2.2</w:t>
      </w:r>
      <w:r>
        <w:rPr>
          <w:rFonts w:hint="eastAsia" w:ascii="宋体" w:hAnsi="宋体" w:cs="宋体"/>
          <w:color w:val="auto"/>
          <w:sz w:val="24"/>
          <w:szCs w:val="22"/>
          <w:highlight w:val="none"/>
        </w:rPr>
        <w:t>合同价款支付方式</w:t>
      </w:r>
    </w:p>
    <w:p w14:paraId="3E198BC2">
      <w:pPr>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2.2.1设计费支付：</w:t>
      </w:r>
    </w:p>
    <w:p w14:paraId="55044C21">
      <w:pPr>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（1）本项目不支付预付款；</w:t>
      </w:r>
    </w:p>
    <w:p w14:paraId="57EC86E6">
      <w:pPr>
        <w:snapToGrid w:val="0"/>
        <w:spacing w:line="36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22"/>
          <w:highlight w:val="none"/>
          <w:lang w:val="en-US" w:eastAsia="zh-CN"/>
        </w:rPr>
        <w:t>（2）完成初步设计和概算并经审查合格后15个工作日内，</w:t>
      </w:r>
      <w:r>
        <w:rPr>
          <w:rFonts w:hint="eastAsia" w:ascii="宋体" w:hAnsi="宋体" w:cs="宋体"/>
          <w:color w:val="auto"/>
          <w:sz w:val="24"/>
          <w:szCs w:val="32"/>
          <w:highlight w:val="none"/>
        </w:rPr>
        <w:t>支付至合同价款的30%</w:t>
      </w:r>
      <w:r>
        <w:rPr>
          <w:rFonts w:hint="eastAsia" w:ascii="宋体" w:hAnsi="宋体" w:cs="宋体"/>
          <w:color w:val="auto"/>
          <w:sz w:val="24"/>
          <w:szCs w:val="32"/>
          <w:highlight w:val="none"/>
          <w:lang w:eastAsia="zh-CN"/>
        </w:rPr>
        <w:t>；</w:t>
      </w:r>
    </w:p>
    <w:p w14:paraId="0AD9B1BF">
      <w:pPr>
        <w:snapToGrid w:val="0"/>
        <w:spacing w:line="360" w:lineRule="auto"/>
        <w:ind w:firstLine="480" w:firstLineChars="200"/>
        <w:rPr>
          <w:rFonts w:hint="eastAsia" w:ascii="宋体" w:hAnsi="宋体" w:cs="宋体"/>
          <w:color w:val="auto"/>
          <w:sz w:val="24"/>
          <w:szCs w:val="32"/>
          <w:highlight w:val="none"/>
        </w:rPr>
      </w:pPr>
      <w:r>
        <w:rPr>
          <w:rFonts w:hint="eastAsia" w:ascii="宋体" w:hAnsi="宋体" w:eastAsia="宋体" w:cs="宋体"/>
          <w:color w:val="auto"/>
          <w:sz w:val="24"/>
          <w:szCs w:val="22"/>
          <w:highlight w:val="none"/>
          <w:lang w:val="en-US" w:eastAsia="zh-CN"/>
        </w:rPr>
        <w:t>（3）完成施工图设计并经审查合格后15个工作日内，</w:t>
      </w:r>
      <w:r>
        <w:rPr>
          <w:rFonts w:hint="eastAsia" w:ascii="宋体" w:hAnsi="宋体" w:cs="宋体"/>
          <w:color w:val="auto"/>
          <w:sz w:val="24"/>
          <w:szCs w:val="32"/>
          <w:highlight w:val="none"/>
        </w:rPr>
        <w:t>支付至合同价款的</w:t>
      </w:r>
      <w:r>
        <w:rPr>
          <w:rFonts w:hint="eastAsia" w:ascii="宋体" w:hAnsi="宋体" w:cs="宋体"/>
          <w:color w:val="auto"/>
          <w:sz w:val="24"/>
          <w:szCs w:val="32"/>
          <w:highlight w:val="none"/>
          <w:lang w:val="en-US" w:eastAsia="zh-CN"/>
        </w:rPr>
        <w:t>6</w:t>
      </w:r>
      <w:r>
        <w:rPr>
          <w:rFonts w:hint="eastAsia" w:ascii="宋体" w:hAnsi="宋体" w:cs="宋体"/>
          <w:color w:val="auto"/>
          <w:sz w:val="24"/>
          <w:szCs w:val="32"/>
          <w:highlight w:val="none"/>
        </w:rPr>
        <w:t>0%</w:t>
      </w:r>
      <w:r>
        <w:rPr>
          <w:rFonts w:hint="eastAsia" w:ascii="宋体" w:hAnsi="宋体" w:eastAsia="宋体" w:cs="宋体"/>
          <w:color w:val="auto"/>
          <w:sz w:val="24"/>
          <w:szCs w:val="22"/>
          <w:highlight w:val="none"/>
          <w:lang w:val="en-US" w:eastAsia="zh-CN"/>
        </w:rPr>
        <w:t>；</w:t>
      </w:r>
    </w:p>
    <w:p w14:paraId="107C168B">
      <w:pPr>
        <w:snapToGrid w:val="0"/>
        <w:spacing w:line="360" w:lineRule="auto"/>
        <w:ind w:firstLine="480" w:firstLineChars="200"/>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（4）施工进度产值完成到50%，</w:t>
      </w:r>
      <w:r>
        <w:rPr>
          <w:rFonts w:hint="eastAsia" w:ascii="宋体" w:hAnsi="宋体" w:eastAsia="宋体" w:cs="宋体"/>
          <w:color w:val="auto"/>
          <w:sz w:val="24"/>
          <w:szCs w:val="22"/>
          <w:highlight w:val="none"/>
          <w:lang w:val="en-US" w:eastAsia="zh-CN"/>
        </w:rPr>
        <w:t>并经</w:t>
      </w:r>
      <w:r>
        <w:rPr>
          <w:rFonts w:hint="eastAsia" w:ascii="宋体" w:hAnsi="宋体" w:cs="宋体"/>
          <w:color w:val="auto"/>
          <w:sz w:val="24"/>
          <w:szCs w:val="22"/>
          <w:highlight w:val="none"/>
          <w:lang w:val="en-US" w:eastAsia="zh-CN"/>
        </w:rPr>
        <w:t>招标人及监理单位审核确认</w:t>
      </w:r>
      <w:r>
        <w:rPr>
          <w:rFonts w:hint="eastAsia" w:ascii="宋体" w:hAnsi="宋体" w:eastAsia="宋体" w:cs="宋体"/>
          <w:color w:val="auto"/>
          <w:sz w:val="24"/>
          <w:szCs w:val="22"/>
          <w:highlight w:val="none"/>
          <w:lang w:val="en-US" w:eastAsia="zh-CN"/>
        </w:rPr>
        <w:t>后15个工作日内，</w:t>
      </w:r>
      <w:r>
        <w:rPr>
          <w:rFonts w:hint="eastAsia" w:ascii="宋体" w:hAnsi="宋体" w:cs="宋体"/>
          <w:color w:val="auto"/>
          <w:sz w:val="24"/>
          <w:szCs w:val="32"/>
          <w:highlight w:val="none"/>
        </w:rPr>
        <w:t>支付至合同价款的</w:t>
      </w: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rPr>
        <w:t>0%</w:t>
      </w:r>
      <w:r>
        <w:rPr>
          <w:rFonts w:hint="eastAsia" w:ascii="宋体" w:hAnsi="宋体" w:eastAsia="宋体" w:cs="宋体"/>
          <w:color w:val="auto"/>
          <w:sz w:val="24"/>
          <w:szCs w:val="22"/>
          <w:highlight w:val="none"/>
          <w:lang w:val="en-US" w:eastAsia="zh-CN"/>
        </w:rPr>
        <w:t>；</w:t>
      </w:r>
    </w:p>
    <w:p w14:paraId="43319278">
      <w:pPr>
        <w:snapToGrid w:val="0"/>
        <w:spacing w:line="360" w:lineRule="auto"/>
        <w:ind w:firstLine="480" w:firstLineChars="200"/>
        <w:rPr>
          <w:rFonts w:ascii="宋体" w:hAnsi="宋体" w:cs="宋体"/>
          <w:color w:val="auto"/>
          <w:sz w:val="24"/>
          <w:szCs w:val="32"/>
          <w:highlight w:val="none"/>
        </w:rPr>
      </w:pPr>
      <w:r>
        <w:rPr>
          <w:rFonts w:hint="eastAsia" w:ascii="宋体" w:hAnsi="宋体" w:eastAsia="宋体" w:cs="宋体"/>
          <w:color w:val="auto"/>
          <w:sz w:val="24"/>
          <w:szCs w:val="22"/>
          <w:highlight w:val="none"/>
          <w:lang w:val="en-US" w:eastAsia="zh-CN"/>
        </w:rPr>
        <w:t>（4）竣工验收后15个工作日内，</w:t>
      </w:r>
      <w:r>
        <w:rPr>
          <w:rFonts w:hint="eastAsia" w:ascii="宋体" w:hAnsi="宋体" w:cs="宋体"/>
          <w:color w:val="auto"/>
          <w:sz w:val="24"/>
          <w:szCs w:val="32"/>
          <w:highlight w:val="none"/>
        </w:rPr>
        <w:t>支付至合同价款的</w:t>
      </w: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0%</w:t>
      </w:r>
      <w:r>
        <w:rPr>
          <w:rFonts w:hint="eastAsia" w:ascii="宋体" w:hAnsi="宋体" w:eastAsia="宋体" w:cs="宋体"/>
          <w:color w:val="auto"/>
          <w:sz w:val="24"/>
          <w:szCs w:val="22"/>
          <w:highlight w:val="none"/>
          <w:lang w:val="en-US" w:eastAsia="zh-CN"/>
        </w:rPr>
        <w:t>。</w:t>
      </w:r>
    </w:p>
    <w:p w14:paraId="0E451FFB">
      <w:pPr>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2.2.2在每次支付合同价款时，由中标人缴纳相应阶段的违约金（若有）。</w:t>
      </w:r>
    </w:p>
    <w:p w14:paraId="36D7E1EA">
      <w:pPr>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2.2.3承包人提供的工程款发票必须按照发包人要求提供相应增值税普通发票给发包人，发包人收到符合要求的发票后方可支付工程款。</w:t>
      </w:r>
    </w:p>
    <w:p w14:paraId="61545131">
      <w:pPr>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2.3结算原则：</w:t>
      </w:r>
    </w:p>
    <w:p w14:paraId="0E83E99B">
      <w:pPr>
        <w:widowControl/>
        <w:wordWrap w:val="0"/>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32"/>
          <w:highlight w:val="none"/>
        </w:rPr>
        <w:t>设计费用结算原则：以县财政审核预算后的建安费用为基数，根据计价格【2002】10号计算后根据乳府办【2022】106号文下浮</w:t>
      </w:r>
      <w:r>
        <w:rPr>
          <w:rFonts w:hint="eastAsia" w:ascii="宋体" w:hAnsi="宋体" w:cs="宋体"/>
          <w:color w:val="auto"/>
          <w:sz w:val="24"/>
          <w:szCs w:val="32"/>
          <w:highlight w:val="none"/>
          <w:lang w:val="en-US" w:eastAsia="zh-CN"/>
        </w:rPr>
        <w:t>4</w:t>
      </w:r>
      <w:r>
        <w:rPr>
          <w:rFonts w:hint="eastAsia" w:ascii="宋体" w:hAnsi="宋体" w:cs="宋体"/>
          <w:color w:val="auto"/>
          <w:sz w:val="24"/>
          <w:szCs w:val="32"/>
          <w:highlight w:val="none"/>
        </w:rPr>
        <w:t>0%再乘以（1-中标下浮率）为最终结算价</w:t>
      </w:r>
      <w:r>
        <w:rPr>
          <w:rFonts w:hint="eastAsia" w:ascii="宋体" w:hAnsi="宋体" w:cs="宋体"/>
          <w:color w:val="auto"/>
          <w:sz w:val="24"/>
          <w:szCs w:val="24"/>
          <w:highlight w:val="none"/>
        </w:rPr>
        <w:t>。</w:t>
      </w:r>
      <w:r>
        <w:rPr>
          <w:rFonts w:hint="eastAsia" w:ascii="宋体" w:hAnsi="宋体" w:cs="宋体"/>
          <w:snapToGrid w:val="0"/>
          <w:color w:val="auto"/>
          <w:sz w:val="24"/>
          <w:szCs w:val="24"/>
          <w:highlight w:val="none"/>
          <w:lang w:val="en-US" w:eastAsia="zh-CN"/>
        </w:rPr>
        <w:t>结算价超过合同价，则以合同价结算。</w:t>
      </w:r>
    </w:p>
    <w:p w14:paraId="1C8D4B92">
      <w:pPr>
        <w:pStyle w:val="7"/>
        <w:rPr>
          <w:color w:val="auto"/>
          <w:highlight w:val="none"/>
        </w:rPr>
      </w:pPr>
    </w:p>
    <w:p w14:paraId="5D76A762">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222" w:name="_Toc20031"/>
      <w:bookmarkStart w:id="223" w:name="_Toc30738"/>
      <w:r>
        <w:rPr>
          <w:rFonts w:hint="eastAsia" w:ascii="宋体" w:hAnsi="宋体" w:cs="宋体"/>
          <w:b/>
          <w:snapToGrid w:val="0"/>
          <w:color w:val="auto"/>
          <w:sz w:val="24"/>
          <w:highlight w:val="none"/>
        </w:rPr>
        <w:t>3.最终以合同签订为准（由招标人自行补充）</w:t>
      </w:r>
      <w:bookmarkEnd w:id="222"/>
      <w:bookmarkEnd w:id="223"/>
    </w:p>
    <w:p w14:paraId="20237EBE">
      <w:pPr>
        <w:rPr>
          <w:rFonts w:ascii="宋体" w:hAnsi="宋体" w:cs="宋体"/>
          <w:color w:val="auto"/>
          <w:highlight w:val="none"/>
        </w:rPr>
      </w:pPr>
    </w:p>
    <w:p w14:paraId="0AB6697F">
      <w:pPr>
        <w:rPr>
          <w:rFonts w:ascii="宋体" w:hAnsi="宋体" w:cs="宋体"/>
          <w:color w:val="auto"/>
          <w:highlight w:val="none"/>
        </w:rPr>
      </w:pPr>
    </w:p>
    <w:p w14:paraId="28BA607D">
      <w:pPr>
        <w:rPr>
          <w:rFonts w:ascii="宋体" w:hAnsi="宋体" w:cs="宋体"/>
          <w:color w:val="auto"/>
          <w:highlight w:val="none"/>
        </w:rPr>
      </w:pPr>
    </w:p>
    <w:p w14:paraId="7323848A">
      <w:pPr>
        <w:rPr>
          <w:rFonts w:ascii="宋体" w:hAnsi="宋体" w:cs="宋体"/>
          <w:color w:val="auto"/>
          <w:highlight w:val="none"/>
        </w:rPr>
      </w:pPr>
    </w:p>
    <w:p w14:paraId="05184A05">
      <w:pPr>
        <w:rPr>
          <w:rFonts w:ascii="宋体" w:hAnsi="宋体" w:cs="宋体"/>
          <w:color w:val="auto"/>
          <w:highlight w:val="none"/>
        </w:rPr>
      </w:pPr>
    </w:p>
    <w:p w14:paraId="32A8BAFD">
      <w:pPr>
        <w:rPr>
          <w:rFonts w:ascii="宋体" w:hAnsi="宋体" w:cs="宋体"/>
          <w:color w:val="auto"/>
          <w:highlight w:val="none"/>
        </w:rPr>
      </w:pPr>
    </w:p>
    <w:bookmarkEnd w:id="205"/>
    <w:bookmarkEnd w:id="206"/>
    <w:bookmarkEnd w:id="207"/>
    <w:p w14:paraId="3FD156AE">
      <w:pPr>
        <w:rPr>
          <w:rFonts w:hint="eastAsia" w:ascii="宋体" w:hAnsi="宋体" w:cs="宋体"/>
          <w:b/>
          <w:snapToGrid w:val="0"/>
          <w:color w:val="auto"/>
          <w:sz w:val="24"/>
          <w:highlight w:val="none"/>
        </w:rPr>
      </w:pPr>
      <w:bookmarkStart w:id="224" w:name="_Toc6622"/>
      <w:bookmarkStart w:id="225" w:name="_Toc20372"/>
      <w:r>
        <w:rPr>
          <w:rFonts w:hint="eastAsia" w:ascii="宋体" w:hAnsi="宋体" w:cs="宋体"/>
          <w:b/>
          <w:snapToGrid w:val="0"/>
          <w:color w:val="auto"/>
          <w:sz w:val="24"/>
          <w:highlight w:val="none"/>
        </w:rPr>
        <w:br w:type="page"/>
      </w:r>
    </w:p>
    <w:p w14:paraId="249C28AF">
      <w:pPr>
        <w:pStyle w:val="2"/>
        <w:wordWrap w:val="0"/>
        <w:autoSpaceDE/>
        <w:autoSpaceDN/>
        <w:snapToGrid w:val="0"/>
        <w:spacing w:line="440" w:lineRule="exact"/>
        <w:jc w:val="center"/>
        <w:rPr>
          <w:rFonts w:ascii="宋体" w:hAnsi="宋体" w:cs="宋体"/>
          <w:b/>
          <w:snapToGrid w:val="0"/>
          <w:color w:val="auto"/>
          <w:sz w:val="24"/>
          <w:highlight w:val="none"/>
        </w:rPr>
      </w:pPr>
      <w:r>
        <w:rPr>
          <w:rFonts w:hint="eastAsia" w:ascii="宋体" w:hAnsi="宋体" w:cs="宋体"/>
          <w:b/>
          <w:snapToGrid w:val="0"/>
          <w:color w:val="auto"/>
          <w:sz w:val="24"/>
          <w:highlight w:val="none"/>
        </w:rPr>
        <w:t>第</w:t>
      </w:r>
      <w:bookmarkStart w:id="226" w:name="_Hlt69669171"/>
      <w:bookmarkEnd w:id="226"/>
      <w:r>
        <w:rPr>
          <w:rFonts w:hint="eastAsia" w:ascii="宋体" w:hAnsi="宋体" w:cs="宋体"/>
          <w:b/>
          <w:snapToGrid w:val="0"/>
          <w:color w:val="auto"/>
          <w:sz w:val="24"/>
          <w:highlight w:val="none"/>
        </w:rPr>
        <w:t>三章</w:t>
      </w:r>
      <w:bookmarkStart w:id="227" w:name="_Hlt87793839"/>
      <w:bookmarkEnd w:id="227"/>
      <w:r>
        <w:rPr>
          <w:rFonts w:hint="eastAsia" w:ascii="宋体" w:hAnsi="宋体" w:cs="宋体"/>
          <w:b/>
          <w:snapToGrid w:val="0"/>
          <w:color w:val="auto"/>
          <w:sz w:val="24"/>
          <w:highlight w:val="none"/>
        </w:rPr>
        <w:t xml:space="preserve">   中标人须知</w:t>
      </w:r>
      <w:bookmarkEnd w:id="208"/>
      <w:bookmarkEnd w:id="224"/>
      <w:bookmarkEnd w:id="225"/>
    </w:p>
    <w:bookmarkEnd w:id="209"/>
    <w:bookmarkEnd w:id="210"/>
    <w:bookmarkEnd w:id="211"/>
    <w:p w14:paraId="7711274F">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228" w:name="_Toc20651"/>
      <w:bookmarkStart w:id="229" w:name="_Hlt69698776"/>
      <w:r>
        <w:rPr>
          <w:rFonts w:hint="eastAsia" w:ascii="宋体" w:hAnsi="宋体" w:cs="宋体"/>
          <w:b/>
          <w:snapToGrid w:val="0"/>
          <w:color w:val="auto"/>
          <w:sz w:val="24"/>
          <w:highlight w:val="none"/>
        </w:rPr>
        <w:t>1.中标通知书</w:t>
      </w:r>
      <w:bookmarkEnd w:id="228"/>
    </w:p>
    <w:p w14:paraId="770E43A4">
      <w:pPr>
        <w:wordWrap w:val="0"/>
        <w:adjustRightInd w:val="0"/>
        <w:snapToGrid w:val="0"/>
        <w:spacing w:line="360" w:lineRule="auto"/>
        <w:ind w:firstLine="56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60D43472">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230" w:name="_Toc11025"/>
      <w:r>
        <w:rPr>
          <w:rFonts w:hint="eastAsia" w:ascii="宋体" w:hAnsi="宋体" w:cs="宋体"/>
          <w:b/>
          <w:snapToGrid w:val="0"/>
          <w:color w:val="auto"/>
          <w:sz w:val="24"/>
          <w:highlight w:val="none"/>
        </w:rPr>
        <w:t>2.中标结果公示</w:t>
      </w:r>
      <w:bookmarkEnd w:id="230"/>
    </w:p>
    <w:p w14:paraId="3A654EAA">
      <w:pPr>
        <w:wordWrap w:val="0"/>
        <w:adjustRightInd w:val="0"/>
        <w:snapToGrid w:val="0"/>
        <w:spacing w:line="360" w:lineRule="auto"/>
        <w:ind w:firstLine="561"/>
        <w:jc w:val="left"/>
        <w:rPr>
          <w:rFonts w:ascii="宋体" w:hAnsi="宋体" w:cs="宋体"/>
          <w:color w:val="auto"/>
          <w:highlight w:val="none"/>
        </w:rPr>
      </w:pPr>
      <w:r>
        <w:rPr>
          <w:rFonts w:hint="eastAsia" w:ascii="宋体" w:hAnsi="宋体" w:cs="宋体"/>
          <w:snapToGrid w:val="0"/>
          <w:color w:val="auto"/>
          <w:kern w:val="0"/>
          <w:sz w:val="24"/>
          <w:szCs w:val="24"/>
          <w:highlight w:val="none"/>
        </w:rPr>
        <w:t>中标通知书发出后15日内，招标人应将中标结果在广东省招标投标监管网（http://zbtb.gd.gov.cn）及全国公共资源交易平台（广东省·韶关市）（https://ygp.gdzwfw.gov.cn/ggzy-portal/#/440200/index）进行公示。</w:t>
      </w:r>
    </w:p>
    <w:p w14:paraId="5019E529">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231" w:name="_Toc31754"/>
      <w:r>
        <w:rPr>
          <w:rFonts w:hint="eastAsia" w:ascii="宋体" w:hAnsi="宋体" w:cs="宋体"/>
          <w:b/>
          <w:snapToGrid w:val="0"/>
          <w:color w:val="auto"/>
          <w:sz w:val="24"/>
          <w:highlight w:val="none"/>
        </w:rPr>
        <w:t>3.履约保证</w:t>
      </w:r>
      <w:bookmarkEnd w:id="231"/>
    </w:p>
    <w:p w14:paraId="22BB1F3C">
      <w:pPr>
        <w:adjustRightInd w:val="0"/>
        <w:snapToGrid w:val="0"/>
        <w:spacing w:line="360"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3.1中标人须在领取中标通知书之日起</w:t>
      </w:r>
      <w:r>
        <w:rPr>
          <w:rFonts w:hint="eastAsia" w:ascii="宋体" w:hAnsi="宋体" w:cs="宋体"/>
          <w:snapToGrid w:val="0"/>
          <w:color w:val="auto"/>
          <w:kern w:val="0"/>
          <w:sz w:val="24"/>
          <w:szCs w:val="24"/>
          <w:highlight w:val="none"/>
          <w:u w:val="single"/>
        </w:rPr>
        <w:t>10</w:t>
      </w:r>
      <w:r>
        <w:rPr>
          <w:rFonts w:hint="eastAsia" w:ascii="宋体" w:hAnsi="宋体" w:cs="宋体"/>
          <w:snapToGrid w:val="0"/>
          <w:color w:val="auto"/>
          <w:kern w:val="0"/>
          <w:sz w:val="24"/>
          <w:szCs w:val="24"/>
          <w:highlight w:val="none"/>
        </w:rPr>
        <w:t>个工作日内、签订合同前向招标人提交金额为中标价</w:t>
      </w:r>
      <w:r>
        <w:rPr>
          <w:rFonts w:hint="eastAsia" w:ascii="宋体" w:hAnsi="宋体" w:cs="宋体"/>
          <w:snapToGrid w:val="0"/>
          <w:color w:val="auto"/>
          <w:kern w:val="0"/>
          <w:sz w:val="24"/>
          <w:szCs w:val="24"/>
          <w:highlight w:val="none"/>
          <w:u w:val="single"/>
        </w:rPr>
        <w:t>3%</w:t>
      </w:r>
      <w:r>
        <w:rPr>
          <w:rFonts w:hint="eastAsia" w:ascii="宋体" w:hAnsi="宋体" w:cs="宋体"/>
          <w:snapToGrid w:val="0"/>
          <w:color w:val="auto"/>
          <w:kern w:val="0"/>
          <w:sz w:val="24"/>
          <w:szCs w:val="24"/>
          <w:highlight w:val="none"/>
        </w:rPr>
        <w:t>的履约保证。</w:t>
      </w:r>
    </w:p>
    <w:p w14:paraId="29EA5732">
      <w:pPr>
        <w:spacing w:line="520" w:lineRule="exact"/>
        <w:ind w:firstLine="480" w:firstLineChars="200"/>
        <w:rPr>
          <w:rFonts w:hint="eastAsia" w:ascii="宋体" w:hAnsi="宋体" w:eastAsia="宋体" w:cs="Arial"/>
          <w:color w:val="auto"/>
          <w:sz w:val="24"/>
          <w:szCs w:val="24"/>
          <w:highlight w:val="none"/>
        </w:rPr>
      </w:pPr>
      <w:r>
        <w:rPr>
          <w:rFonts w:hint="eastAsia" w:ascii="宋体" w:hAnsi="宋体" w:cs="Arial"/>
          <w:color w:val="auto"/>
          <w:sz w:val="24"/>
          <w:szCs w:val="24"/>
          <w:highlight w:val="none"/>
        </w:rPr>
        <w:t>3.2 中标人</w:t>
      </w:r>
      <w:r>
        <w:rPr>
          <w:rFonts w:hint="eastAsia" w:ascii="宋体" w:hAnsi="宋体" w:eastAsia="宋体" w:cs="Arial"/>
          <w:color w:val="auto"/>
          <w:sz w:val="24"/>
          <w:szCs w:val="24"/>
          <w:highlight w:val="none"/>
        </w:rPr>
        <w:t>根据《关于统一在市公共资源交易一体化服务平台缴退工程建设项目履约保证金的通知》办理相关手续，履约保证的形式包括履约保证金、履约保证担保、履约保证保险三种，由中标人在建设工程交易系统中自主选择一种进行缴交。项目竣工后，由招标人发起退保。</w:t>
      </w:r>
    </w:p>
    <w:p w14:paraId="3F4130E8">
      <w:pPr>
        <w:spacing w:line="520" w:lineRule="exact"/>
        <w:ind w:firstLine="480" w:firstLineChars="200"/>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rPr>
        <w:t>3.3 中标人在工程建设交易系统约定的时间内未提交履约保证的，视其放弃中标，并由招标人通报建设行政管理部门。</w:t>
      </w:r>
    </w:p>
    <w:p w14:paraId="367A9F49">
      <w:pPr>
        <w:spacing w:line="520" w:lineRule="exact"/>
        <w:ind w:firstLine="480" w:firstLineChars="200"/>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rPr>
        <w:t>3.4 在工程实施过程中，如果中标人（即招标阶段的中标人，下同）由于自身的资金、技术、质量、非不可抗力等原因给招标人（即招标阶段的招标人，下同）造成经济损失，扣除相应履约保证。</w:t>
      </w:r>
    </w:p>
    <w:p w14:paraId="6C9C1C1C">
      <w:pPr>
        <w:spacing w:line="520" w:lineRule="exact"/>
        <w:ind w:firstLine="480" w:firstLineChars="200"/>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rPr>
        <w:t>3.5 项目通过竣工验收之日后28天内，招标人在交易一体化平台中发起将履约保证或全部履约保证金（不计算利息）退还给中标人。</w:t>
      </w:r>
    </w:p>
    <w:p w14:paraId="4B7361AF">
      <w:pPr>
        <w:spacing w:line="520" w:lineRule="exact"/>
        <w:ind w:firstLine="480" w:firstLineChars="200"/>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rPr>
        <w:t>3.6项目延期竣工的，中标人应登录韶关市公共资源一体化平台办理延长履约保证期限。</w:t>
      </w:r>
    </w:p>
    <w:p w14:paraId="4258CE5B">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232" w:name="_Toc15633"/>
      <w:r>
        <w:rPr>
          <w:rFonts w:hint="eastAsia" w:ascii="宋体" w:hAnsi="宋体" w:cs="宋体"/>
          <w:b/>
          <w:snapToGrid w:val="0"/>
          <w:color w:val="auto"/>
          <w:sz w:val="24"/>
          <w:highlight w:val="none"/>
        </w:rPr>
        <w:t>4.合同订立</w:t>
      </w:r>
      <w:bookmarkEnd w:id="232"/>
    </w:p>
    <w:p w14:paraId="7D801507">
      <w:pPr>
        <w:adjustRightInd w:val="0"/>
        <w:snapToGrid w:val="0"/>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4.1招标人应当自中标通知书发出之日起</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日内，按照招标文件、中标人的投标文件与中标人订立书面合同。</w:t>
      </w:r>
    </w:p>
    <w:p w14:paraId="40F8A4BE">
      <w:pPr>
        <w:adjustRightInd w:val="0"/>
        <w:snapToGrid w:val="0"/>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4.2本招标项目合同计价方式为：</w:t>
      </w:r>
      <w:r>
        <w:rPr>
          <w:rFonts w:hint="eastAsia" w:ascii="宋体" w:hAnsi="宋体" w:cs="宋体"/>
          <w:color w:val="auto"/>
          <w:sz w:val="24"/>
          <w:szCs w:val="24"/>
          <w:highlight w:val="none"/>
          <w:u w:val="single"/>
        </w:rPr>
        <w:t>总价合同</w:t>
      </w:r>
      <w:r>
        <w:rPr>
          <w:rFonts w:hint="eastAsia" w:ascii="宋体" w:hAnsi="宋体" w:cs="宋体"/>
          <w:color w:val="auto"/>
          <w:sz w:val="24"/>
          <w:szCs w:val="24"/>
          <w:highlight w:val="none"/>
        </w:rPr>
        <w:t>。</w:t>
      </w:r>
    </w:p>
    <w:p w14:paraId="5712EE40">
      <w:pPr>
        <w:adjustRightInd w:val="0"/>
        <w:snapToGrid w:val="0"/>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4.3合同的标的、质量、履行期限条款和合同的价款、单价、比例条款等主要条款，应当与招标文件、中标人的投标文件的内容一致。中标人在签订合同时不得向招标人提出附加条件。</w:t>
      </w:r>
    </w:p>
    <w:p w14:paraId="45554EBE">
      <w:pPr>
        <w:adjustRightInd w:val="0"/>
        <w:snapToGrid w:val="0"/>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4.4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743CF8">
      <w:pPr>
        <w:adjustRightInd w:val="0"/>
        <w:snapToGrid w:val="0"/>
        <w:spacing w:line="360" w:lineRule="auto"/>
        <w:ind w:firstLine="560"/>
        <w:rPr>
          <w:rFonts w:ascii="宋体" w:hAnsi="宋体" w:cs="宋体"/>
          <w:color w:val="auto"/>
          <w:highlight w:val="none"/>
        </w:rPr>
      </w:pPr>
      <w:r>
        <w:rPr>
          <w:rFonts w:hint="eastAsia" w:ascii="宋体" w:hAnsi="宋体" w:cs="宋体"/>
          <w:color w:val="auto"/>
          <w:sz w:val="24"/>
          <w:szCs w:val="24"/>
          <w:highlight w:val="none"/>
        </w:rPr>
        <w:t>4.5在书面合同订立之日起2个工作日内，由招标人授权的招标代理机构将合同上传至建设工程交易系统，并发起退还投标保证的申请。韶关市公共资源交易中心在收到申请之日起3个工作日内，将投标保证金（或银行保函）退还给中标人和其他中标候选人。</w:t>
      </w:r>
    </w:p>
    <w:p w14:paraId="458FA77B">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233" w:name="_Toc8409"/>
      <w:r>
        <w:rPr>
          <w:rFonts w:hint="eastAsia" w:ascii="宋体" w:hAnsi="宋体" w:cs="宋体"/>
          <w:b/>
          <w:snapToGrid w:val="0"/>
          <w:color w:val="auto"/>
          <w:sz w:val="24"/>
          <w:highlight w:val="none"/>
        </w:rPr>
        <w:t>5.放弃中标的处理</w:t>
      </w:r>
      <w:bookmarkEnd w:id="233"/>
    </w:p>
    <w:p w14:paraId="5C0439C1">
      <w:pPr>
        <w:adjustRightInd w:val="0"/>
        <w:snapToGrid w:val="0"/>
        <w:spacing w:line="360" w:lineRule="auto"/>
        <w:ind w:firstLine="560"/>
        <w:rPr>
          <w:rFonts w:ascii="宋体" w:hAnsi="宋体" w:cs="宋体"/>
          <w:bCs/>
          <w:color w:val="auto"/>
          <w:sz w:val="24"/>
          <w:szCs w:val="24"/>
          <w:highlight w:val="none"/>
        </w:rPr>
      </w:pPr>
      <w:r>
        <w:rPr>
          <w:rFonts w:hint="eastAsia" w:ascii="宋体" w:hAnsi="宋体" w:cs="宋体"/>
          <w:bCs/>
          <w:color w:val="auto"/>
          <w:sz w:val="24"/>
          <w:szCs w:val="24"/>
          <w:highlight w:val="none"/>
        </w:rPr>
        <w:t>5.1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1C82AEDF">
      <w:pPr>
        <w:adjustRightInd w:val="0"/>
        <w:snapToGrid w:val="0"/>
        <w:spacing w:line="360" w:lineRule="auto"/>
        <w:ind w:firstLine="560"/>
        <w:rPr>
          <w:rFonts w:ascii="宋体" w:hAnsi="宋体" w:cs="宋体"/>
          <w:color w:val="auto"/>
          <w:highlight w:val="none"/>
        </w:rPr>
      </w:pPr>
      <w:r>
        <w:rPr>
          <w:rFonts w:hint="eastAsia" w:ascii="宋体" w:hAnsi="宋体" w:cs="宋体"/>
          <w:bCs/>
          <w:color w:val="auto"/>
          <w:sz w:val="24"/>
          <w:szCs w:val="24"/>
          <w:highlight w:val="none"/>
        </w:rPr>
        <w:t>5.2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bookmarkEnd w:id="0"/>
    <w:bookmarkEnd w:id="229"/>
    <w:p w14:paraId="14D2DA66">
      <w:pPr>
        <w:pStyle w:val="3"/>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234" w:name="_Toc20230"/>
      <w:bookmarkStart w:id="235" w:name="_Toc30903"/>
      <w:bookmarkStart w:id="236" w:name="_Toc28264"/>
      <w:bookmarkStart w:id="237" w:name="_Toc466640610"/>
      <w:r>
        <w:rPr>
          <w:rFonts w:hint="eastAsia" w:ascii="宋体" w:hAnsi="宋体" w:eastAsia="宋体" w:cs="宋体"/>
          <w:b/>
          <w:snapToGrid w:val="0"/>
          <w:color w:val="auto"/>
          <w:sz w:val="24"/>
          <w:highlight w:val="none"/>
        </w:rPr>
        <w:t>6．专业工程分包</w:t>
      </w:r>
      <w:bookmarkEnd w:id="234"/>
      <w:bookmarkEnd w:id="235"/>
    </w:p>
    <w:p w14:paraId="53FAF75E">
      <w:pPr>
        <w:adjustRightInd w:val="0"/>
        <w:snapToGrid w:val="0"/>
        <w:spacing w:line="360" w:lineRule="auto"/>
        <w:ind w:firstLine="560"/>
        <w:rPr>
          <w:rFonts w:ascii="宋体" w:hAnsi="宋体" w:cs="宋体"/>
          <w:bCs/>
          <w:color w:val="auto"/>
          <w:sz w:val="24"/>
          <w:szCs w:val="24"/>
          <w:highlight w:val="none"/>
        </w:rPr>
      </w:pPr>
      <w:r>
        <w:rPr>
          <w:rFonts w:hint="eastAsia" w:ascii="宋体" w:hAnsi="宋体" w:cs="Arial"/>
          <w:color w:val="auto"/>
          <w:sz w:val="24"/>
          <w:szCs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6EBFF405">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238" w:name="_Toc16124"/>
      <w:r>
        <w:rPr>
          <w:rFonts w:hint="eastAsia" w:ascii="宋体" w:hAnsi="宋体" w:cs="宋体"/>
          <w:b/>
          <w:snapToGrid w:val="0"/>
          <w:color w:val="auto"/>
          <w:sz w:val="24"/>
          <w:highlight w:val="none"/>
        </w:rPr>
        <w:t>7.项目管理机构</w:t>
      </w:r>
      <w:bookmarkEnd w:id="238"/>
    </w:p>
    <w:p w14:paraId="5346CE45">
      <w:pPr>
        <w:adjustRightInd w:val="0"/>
        <w:snapToGrid w:val="0"/>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.1 承包人派驻的项目管理班子成员必须为其投标文件确定的人员，否则发包人有权终止合同。</w:t>
      </w:r>
    </w:p>
    <w:p w14:paraId="513FC52F">
      <w:pPr>
        <w:adjustRightInd w:val="0"/>
        <w:snapToGrid w:val="0"/>
        <w:spacing w:line="360" w:lineRule="auto"/>
        <w:ind w:firstLine="5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.2 承包人应保证该项目拟投入人员的的相对稳定，</w:t>
      </w:r>
      <w:r>
        <w:rPr>
          <w:rFonts w:hint="eastAsia" w:ascii="宋体" w:hAnsi="宋体" w:eastAsia="宋体" w:cs="宋体"/>
          <w:bCs/>
          <w:color w:val="auto"/>
          <w:sz w:val="24"/>
          <w:szCs w:val="24"/>
          <w:highlight w:val="none"/>
          <w:lang w:eastAsia="zh-CN"/>
        </w:rPr>
        <w:t>测绘</w:t>
      </w:r>
      <w:r>
        <w:rPr>
          <w:rFonts w:hint="eastAsia" w:ascii="宋体" w:hAnsi="宋体" w:eastAsia="宋体" w:cs="宋体"/>
          <w:bCs/>
          <w:color w:val="auto"/>
          <w:sz w:val="24"/>
          <w:szCs w:val="24"/>
          <w:highlight w:val="none"/>
        </w:rPr>
        <w:t>/设计负责人确需变更的，要根据国家相关法律法规及发包人的要求提供相关证明资料，经发包人审核同意后方可变更。</w:t>
      </w:r>
    </w:p>
    <w:p w14:paraId="5140F88B">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239" w:name="_Toc12700"/>
      <w:bookmarkStart w:id="240" w:name="_Toc14737"/>
      <w:r>
        <w:rPr>
          <w:rFonts w:hint="eastAsia" w:ascii="宋体" w:hAnsi="宋体" w:cs="宋体"/>
          <w:b/>
          <w:snapToGrid w:val="0"/>
          <w:color w:val="auto"/>
          <w:sz w:val="24"/>
          <w:highlight w:val="none"/>
        </w:rPr>
        <w:t>8.监督实施</w:t>
      </w:r>
      <w:bookmarkEnd w:id="239"/>
      <w:bookmarkEnd w:id="240"/>
    </w:p>
    <w:p w14:paraId="2D144415">
      <w:pPr>
        <w:pStyle w:val="34"/>
        <w:spacing w:line="360" w:lineRule="auto"/>
        <w:ind w:firstLine="480" w:firstLineChars="200"/>
        <w:jc w:val="both"/>
        <w:rPr>
          <w:rFonts w:ascii="宋体" w:hAnsi="宋体" w:cs="宋体"/>
          <w:bCs/>
          <w:snapToGrid w:val="0"/>
          <w:color w:val="auto"/>
          <w:kern w:val="0"/>
          <w:highlight w:val="none"/>
        </w:rPr>
      </w:pPr>
      <w:r>
        <w:rPr>
          <w:rFonts w:hint="eastAsia" w:ascii="宋体" w:hAnsi="宋体" w:cs="宋体"/>
          <w:b w:val="0"/>
          <w:bCs/>
          <w:color w:val="auto"/>
          <w:sz w:val="24"/>
          <w:highlight w:val="none"/>
        </w:rPr>
        <w:t>承包人须服从发包人对工程质量、进度、成本的全方位的监督，项目资料应及时报送招标人审查备案。</w:t>
      </w:r>
    </w:p>
    <w:p w14:paraId="2449C1E3">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241" w:name="_Toc31889"/>
      <w:bookmarkStart w:id="242" w:name="_Toc14276"/>
      <w:r>
        <w:rPr>
          <w:rFonts w:hint="eastAsia" w:ascii="宋体" w:hAnsi="宋体" w:cs="宋体"/>
          <w:b/>
          <w:snapToGrid w:val="0"/>
          <w:color w:val="auto"/>
          <w:sz w:val="24"/>
          <w:highlight w:val="none"/>
        </w:rPr>
        <w:t>9.其他事项</w:t>
      </w:r>
      <w:bookmarkEnd w:id="241"/>
      <w:bookmarkEnd w:id="242"/>
    </w:p>
    <w:p w14:paraId="4DD10FEB">
      <w:pPr>
        <w:pStyle w:val="34"/>
        <w:spacing w:line="360" w:lineRule="auto"/>
        <w:ind w:firstLine="480" w:firstLineChars="200"/>
        <w:jc w:val="both"/>
        <w:rPr>
          <w:rFonts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9.1中标人须在收到中标通知书之日</w:t>
      </w:r>
      <w:r>
        <w:rPr>
          <w:rFonts w:hint="eastAsia" w:ascii="宋体" w:hAnsi="宋体" w:cs="宋体"/>
          <w:b w:val="0"/>
          <w:snapToGrid w:val="0"/>
          <w:color w:val="auto"/>
          <w:kern w:val="0"/>
          <w:sz w:val="24"/>
          <w:highlight w:val="none"/>
          <w:lang w:val="en-US" w:eastAsia="zh-CN"/>
        </w:rPr>
        <w:t>2</w:t>
      </w:r>
      <w:r>
        <w:rPr>
          <w:rFonts w:hint="eastAsia" w:ascii="宋体" w:hAnsi="宋体" w:cs="宋体"/>
          <w:b w:val="0"/>
          <w:snapToGrid w:val="0"/>
          <w:color w:val="auto"/>
          <w:kern w:val="0"/>
          <w:sz w:val="24"/>
          <w:highlight w:val="none"/>
        </w:rPr>
        <w:t>天内向招标人提交各阶段详细的工期计划承诺书。</w:t>
      </w:r>
    </w:p>
    <w:p w14:paraId="43A247BF">
      <w:pPr>
        <w:pStyle w:val="34"/>
        <w:spacing w:line="360" w:lineRule="auto"/>
        <w:ind w:firstLine="480" w:firstLineChars="200"/>
        <w:jc w:val="both"/>
        <w:rPr>
          <w:rFonts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9.2签订合同后，中标人的法人代表或其授权委托人、项目设计负责人须参加招标人组织的廉政谈话。</w:t>
      </w:r>
    </w:p>
    <w:p w14:paraId="1BC01234">
      <w:pPr>
        <w:pStyle w:val="34"/>
        <w:spacing w:line="360" w:lineRule="auto"/>
        <w:ind w:firstLine="480" w:firstLineChars="200"/>
        <w:jc w:val="both"/>
        <w:rPr>
          <w:rFonts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9.3本项目各个阶段的设计成果必须经招标人及有关审批部门同意后方可进行下一工序的设计工作，设计工程中，中标人需对接县各职能部门了解相关设施的设计要求（如道路、给水、管网等），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应予以顺延，招标人不再支付由此而增加的设计费。</w:t>
      </w:r>
    </w:p>
    <w:p w14:paraId="0AAB42F0">
      <w:pPr>
        <w:pStyle w:val="34"/>
        <w:spacing w:line="360" w:lineRule="auto"/>
        <w:ind w:firstLine="480" w:firstLineChars="200"/>
        <w:jc w:val="both"/>
        <w:rPr>
          <w:rFonts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9.4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设计工期应予以顺延，招标人不再支付由此而增加的设计费用。</w:t>
      </w:r>
    </w:p>
    <w:p w14:paraId="3B3086EC">
      <w:pPr>
        <w:pStyle w:val="34"/>
        <w:spacing w:line="360" w:lineRule="auto"/>
        <w:ind w:firstLine="480" w:firstLineChars="200"/>
        <w:jc w:val="both"/>
        <w:rPr>
          <w:rFonts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9.5设计人必须严格按有关设计规范设计图纸，设计人须秉承合理、经济、环保、适用等原则进行施工图设计，发包人有权委托第三方对设计人每阶段的设计成果文件（含节能、结构计算模型等）进行精细化审图、各专业优化工作，发包人将根据第三方出具的有关报告及优化金额，以优化金额的10%从设计费用中扣取违约金（违约金总额以设计费为限，扣取的违约金作为第三方的咨询费），设计人需无条件根据经发包人确认的精细化审图、结构优化报告进行设计文件修改，费用不另计；如设计人成果的建安投资与优化金额（各分项工程进行对比）误差率在3%范围内（含3%），不作处罚。</w:t>
      </w:r>
    </w:p>
    <w:p w14:paraId="4DE4A4D0">
      <w:pPr>
        <w:pStyle w:val="34"/>
        <w:spacing w:line="360" w:lineRule="auto"/>
        <w:ind w:firstLine="480" w:firstLineChars="200"/>
        <w:jc w:val="both"/>
        <w:rPr>
          <w:rFonts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9.6中标人在项目设计过程中</w:t>
      </w:r>
      <w:r>
        <w:rPr>
          <w:rFonts w:hint="eastAsia" w:ascii="宋体" w:hAnsi="宋体" w:cs="宋体"/>
          <w:b w:val="0"/>
          <w:snapToGrid w:val="0"/>
          <w:color w:val="auto"/>
          <w:kern w:val="0"/>
          <w:sz w:val="24"/>
          <w:highlight w:val="none"/>
          <w:lang w:eastAsia="zh-CN"/>
        </w:rPr>
        <w:t>须</w:t>
      </w:r>
      <w:r>
        <w:rPr>
          <w:rFonts w:hint="eastAsia" w:ascii="宋体" w:hAnsi="宋体" w:cs="宋体"/>
          <w:b w:val="0"/>
          <w:snapToGrid w:val="0"/>
          <w:color w:val="auto"/>
          <w:kern w:val="0"/>
          <w:sz w:val="24"/>
          <w:highlight w:val="none"/>
        </w:rPr>
        <w:t>派1名</w:t>
      </w:r>
      <w:r>
        <w:rPr>
          <w:rFonts w:hint="eastAsia" w:ascii="宋体" w:hAnsi="宋体" w:cs="宋体"/>
          <w:b w:val="0"/>
          <w:snapToGrid w:val="0"/>
          <w:color w:val="auto"/>
          <w:kern w:val="0"/>
          <w:sz w:val="24"/>
          <w:highlight w:val="none"/>
          <w:lang w:val="en-US" w:eastAsia="zh-CN"/>
        </w:rPr>
        <w:t>设计专业技术人员（中级职称或以上）</w:t>
      </w:r>
      <w:r>
        <w:rPr>
          <w:rFonts w:hint="eastAsia" w:ascii="宋体" w:hAnsi="宋体" w:cs="宋体"/>
          <w:b w:val="0"/>
          <w:snapToGrid w:val="0"/>
          <w:color w:val="auto"/>
          <w:kern w:val="0"/>
          <w:sz w:val="24"/>
          <w:highlight w:val="none"/>
        </w:rPr>
        <w:t>常驻项目现场，随时为项目业主提供所需的技术指导。</w:t>
      </w:r>
    </w:p>
    <w:p w14:paraId="025EDBB8">
      <w:pPr>
        <w:pStyle w:val="34"/>
        <w:spacing w:line="360" w:lineRule="auto"/>
        <w:ind w:firstLine="480" w:firstLineChars="200"/>
        <w:jc w:val="both"/>
        <w:rPr>
          <w:rFonts w:ascii="宋体" w:hAnsi="宋体" w:cs="宋体"/>
          <w:b w:val="0"/>
          <w:snapToGrid w:val="0"/>
          <w:color w:val="auto"/>
          <w:kern w:val="0"/>
          <w:sz w:val="24"/>
          <w:highlight w:val="none"/>
        </w:rPr>
      </w:pPr>
    </w:p>
    <w:p w14:paraId="7B0FB9A9">
      <w:pPr>
        <w:rPr>
          <w:rFonts w:ascii="宋体" w:hAnsi="宋体" w:cs="宋体"/>
          <w:snapToGrid w:val="0"/>
          <w:color w:val="auto"/>
          <w:kern w:val="0"/>
          <w:sz w:val="24"/>
          <w:highlight w:val="none"/>
        </w:rPr>
      </w:pPr>
    </w:p>
    <w:p w14:paraId="76EA189E">
      <w:pPr>
        <w:rPr>
          <w:rFonts w:ascii="宋体" w:hAnsi="宋体" w:cs="宋体"/>
          <w:snapToGrid w:val="0"/>
          <w:color w:val="auto"/>
          <w:kern w:val="0"/>
          <w:sz w:val="24"/>
          <w:highlight w:val="none"/>
        </w:rPr>
      </w:pPr>
    </w:p>
    <w:p w14:paraId="4C12BE77">
      <w:pPr>
        <w:pStyle w:val="34"/>
        <w:spacing w:line="360" w:lineRule="auto"/>
        <w:ind w:firstLine="482" w:firstLineChars="200"/>
        <w:outlineLvl w:val="0"/>
        <w:rPr>
          <w:rFonts w:ascii="宋体" w:hAnsi="宋体" w:cs="宋体"/>
          <w:b w:val="0"/>
          <w:color w:val="auto"/>
          <w:kern w:val="44"/>
          <w:sz w:val="30"/>
          <w:szCs w:val="30"/>
          <w:highlight w:val="none"/>
        </w:rPr>
      </w:pPr>
      <w:bookmarkStart w:id="243" w:name="_Toc192"/>
      <w:bookmarkStart w:id="244" w:name="_Toc3650"/>
      <w:r>
        <w:rPr>
          <w:rFonts w:hint="eastAsia" w:ascii="宋体" w:hAnsi="宋体" w:cs="宋体"/>
          <w:snapToGrid w:val="0"/>
          <w:color w:val="auto"/>
          <w:kern w:val="0"/>
          <w:sz w:val="24"/>
          <w:highlight w:val="none"/>
        </w:rPr>
        <w:t>第四章</w:t>
      </w:r>
      <w:bookmarkEnd w:id="236"/>
      <w:bookmarkEnd w:id="237"/>
      <w:r>
        <w:rPr>
          <w:rFonts w:hint="eastAsia" w:ascii="宋体" w:hAnsi="宋体" w:cs="宋体"/>
          <w:snapToGrid w:val="0"/>
          <w:color w:val="auto"/>
          <w:kern w:val="0"/>
          <w:sz w:val="24"/>
          <w:highlight w:val="none"/>
        </w:rPr>
        <w:t xml:space="preserve">   招标项目的设计要求</w:t>
      </w:r>
      <w:bookmarkEnd w:id="243"/>
      <w:bookmarkEnd w:id="244"/>
    </w:p>
    <w:p w14:paraId="2D2B4876">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245" w:name="_Hlt87793346"/>
      <w:bookmarkEnd w:id="245"/>
      <w:bookmarkStart w:id="246" w:name="_Hlt69116854"/>
      <w:bookmarkEnd w:id="246"/>
      <w:bookmarkStart w:id="247" w:name="_Hlt69359335"/>
      <w:bookmarkEnd w:id="247"/>
      <w:bookmarkStart w:id="248" w:name="_Hlt68774758"/>
      <w:bookmarkEnd w:id="248"/>
      <w:bookmarkStart w:id="249" w:name="_Hlt66104926"/>
      <w:bookmarkEnd w:id="249"/>
      <w:bookmarkStart w:id="250" w:name="_Hlt80411122"/>
      <w:bookmarkEnd w:id="250"/>
      <w:bookmarkStart w:id="251" w:name="_Hlt75685840"/>
      <w:bookmarkEnd w:id="251"/>
      <w:bookmarkStart w:id="252" w:name="_Hlt69358207"/>
      <w:bookmarkEnd w:id="252"/>
      <w:bookmarkStart w:id="253" w:name="_Hlt87793370"/>
      <w:bookmarkEnd w:id="253"/>
      <w:bookmarkStart w:id="254" w:name="_Hlt69357851"/>
      <w:bookmarkEnd w:id="254"/>
      <w:bookmarkStart w:id="255" w:name="_Hlt69265216"/>
      <w:bookmarkEnd w:id="255"/>
      <w:bookmarkStart w:id="256" w:name="_Toc4029"/>
      <w:bookmarkStart w:id="257" w:name="_Toc9294"/>
      <w:bookmarkStart w:id="258" w:name="_Toc15165"/>
      <w:bookmarkStart w:id="259" w:name="_Toc22720"/>
      <w:bookmarkStart w:id="260" w:name="_Toc12369"/>
      <w:bookmarkStart w:id="261" w:name="_Toc27527"/>
      <w:bookmarkStart w:id="262" w:name="_Toc27055"/>
      <w:bookmarkStart w:id="263" w:name="_Toc15661"/>
      <w:bookmarkStart w:id="264" w:name="_Toc466640612"/>
      <w:r>
        <w:rPr>
          <w:rFonts w:hint="eastAsia" w:ascii="宋体" w:hAnsi="宋体" w:cs="宋体"/>
          <w:b/>
          <w:snapToGrid w:val="0"/>
          <w:color w:val="auto"/>
          <w:sz w:val="24"/>
          <w:highlight w:val="none"/>
        </w:rPr>
        <w:t>1.工程的技术要求</w:t>
      </w:r>
      <w:bookmarkEnd w:id="256"/>
      <w:bookmarkEnd w:id="257"/>
      <w:bookmarkEnd w:id="258"/>
      <w:bookmarkEnd w:id="259"/>
      <w:bookmarkEnd w:id="260"/>
      <w:bookmarkEnd w:id="261"/>
      <w:bookmarkEnd w:id="262"/>
      <w:bookmarkEnd w:id="263"/>
    </w:p>
    <w:p w14:paraId="4CA1022A">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textAlignment w:val="auto"/>
        <w:rPr>
          <w:rFonts w:hint="eastAsia" w:ascii="Times New Roman" w:hAnsi="Times New Roman" w:cs="Times New Roman"/>
          <w:b/>
          <w:bCs w:val="0"/>
          <w:caps w:val="0"/>
          <w:smallCaps w:val="0"/>
          <w:snapToGrid w:val="0"/>
          <w:color w:val="auto"/>
          <w:spacing w:val="0"/>
          <w:kern w:val="0"/>
          <w:sz w:val="24"/>
          <w:szCs w:val="22"/>
          <w:highlight w:val="none"/>
        </w:rPr>
      </w:pPr>
      <w:r>
        <w:rPr>
          <w:rFonts w:hint="eastAsia" w:ascii="Times New Roman" w:hAnsi="Times New Roman" w:cs="Times New Roman"/>
          <w:b/>
          <w:bCs w:val="0"/>
          <w:caps w:val="0"/>
          <w:smallCaps w:val="0"/>
          <w:snapToGrid w:val="0"/>
          <w:color w:val="auto"/>
          <w:spacing w:val="0"/>
          <w:kern w:val="0"/>
          <w:sz w:val="24"/>
          <w:szCs w:val="22"/>
          <w:highlight w:val="none"/>
          <w:lang w:eastAsia="zh-CN"/>
        </w:rPr>
        <w:t>房屋建筑工程建设项目</w:t>
      </w:r>
    </w:p>
    <w:p w14:paraId="7B81C790">
      <w:pPr>
        <w:pStyle w:val="34"/>
        <w:spacing w:line="360" w:lineRule="auto"/>
        <w:ind w:firstLine="480" w:firstLineChars="200"/>
        <w:jc w:val="both"/>
        <w:rPr>
          <w:rFonts w:hint="eastAsia" w:ascii="宋体" w:hAnsi="宋体" w:eastAsia="宋体" w:cs="宋体"/>
          <w:b w:val="0"/>
          <w:snapToGrid w:val="0"/>
          <w:color w:val="auto"/>
          <w:kern w:val="0"/>
          <w:sz w:val="24"/>
          <w:highlight w:val="none"/>
          <w:lang w:eastAsia="zh-CN"/>
        </w:rPr>
      </w:pPr>
      <w:bookmarkStart w:id="265" w:name="_Hlt69116858"/>
      <w:bookmarkEnd w:id="265"/>
      <w:bookmarkStart w:id="266" w:name="_Hlt69635252"/>
      <w:bookmarkEnd w:id="266"/>
      <w:bookmarkStart w:id="267" w:name="_Hlt69359243"/>
      <w:bookmarkEnd w:id="267"/>
      <w:bookmarkStart w:id="268" w:name="_Hlt69359086"/>
      <w:bookmarkEnd w:id="268"/>
      <w:bookmarkStart w:id="269" w:name="_Hlt69359245"/>
      <w:bookmarkEnd w:id="269"/>
      <w:bookmarkStart w:id="270" w:name="_Hlt69358458"/>
      <w:bookmarkEnd w:id="270"/>
      <w:bookmarkStart w:id="271" w:name="_Hlt78709799"/>
      <w:bookmarkEnd w:id="271"/>
      <w:r>
        <w:rPr>
          <w:rFonts w:hint="eastAsia" w:ascii="宋体" w:hAnsi="宋体" w:eastAsia="宋体" w:cs="宋体"/>
          <w:b w:val="0"/>
          <w:snapToGrid w:val="0"/>
          <w:color w:val="auto"/>
          <w:kern w:val="0"/>
          <w:sz w:val="24"/>
          <w:highlight w:val="none"/>
          <w:lang w:eastAsia="zh-CN"/>
        </w:rPr>
        <w:t>房屋建筑工程建设项目必须执行的现行技术规范，包括且不限于：</w:t>
      </w:r>
    </w:p>
    <w:p w14:paraId="3E829CC1">
      <w:pPr>
        <w:pStyle w:val="34"/>
        <w:spacing w:line="360" w:lineRule="auto"/>
        <w:ind w:firstLine="480" w:firstLineChars="200"/>
        <w:jc w:val="both"/>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1</w:t>
      </w: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rPr>
        <w:t>《建筑工程施工质量验收统一标准》；</w:t>
      </w:r>
    </w:p>
    <w:p w14:paraId="616B778C">
      <w:pPr>
        <w:pStyle w:val="34"/>
        <w:spacing w:line="360" w:lineRule="auto"/>
        <w:ind w:firstLine="480" w:firstLineChars="200"/>
        <w:jc w:val="both"/>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2</w:t>
      </w: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rPr>
        <w:t>《建筑地基基础工程施工质量验收规范》；</w:t>
      </w:r>
    </w:p>
    <w:p w14:paraId="7998D1FA">
      <w:pPr>
        <w:pStyle w:val="34"/>
        <w:spacing w:line="360" w:lineRule="auto"/>
        <w:ind w:firstLine="480" w:firstLineChars="200"/>
        <w:jc w:val="both"/>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3</w:t>
      </w: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rPr>
        <w:t>《砌体工程施工质量验收规范》；</w:t>
      </w:r>
    </w:p>
    <w:p w14:paraId="6F4FFF79">
      <w:pPr>
        <w:pStyle w:val="34"/>
        <w:spacing w:line="360" w:lineRule="auto"/>
        <w:ind w:firstLine="480" w:firstLineChars="200"/>
        <w:jc w:val="both"/>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4</w:t>
      </w: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rPr>
        <w:t>《混凝土结构工程施工质量验收规范》；</w:t>
      </w:r>
    </w:p>
    <w:p w14:paraId="75B4AA0E">
      <w:pPr>
        <w:pStyle w:val="34"/>
        <w:spacing w:line="360" w:lineRule="auto"/>
        <w:ind w:firstLine="480" w:firstLineChars="200"/>
        <w:jc w:val="both"/>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5</w:t>
      </w: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rPr>
        <w:t>《屋面工程质量验收规范》；</w:t>
      </w:r>
    </w:p>
    <w:p w14:paraId="1A417AEB">
      <w:pPr>
        <w:pStyle w:val="34"/>
        <w:spacing w:line="360" w:lineRule="auto"/>
        <w:ind w:firstLine="480" w:firstLineChars="200"/>
        <w:jc w:val="both"/>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6</w:t>
      </w: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rPr>
        <w:t>《地下防水工程质量验收规范》；</w:t>
      </w:r>
    </w:p>
    <w:p w14:paraId="18C6F81E">
      <w:pPr>
        <w:pStyle w:val="34"/>
        <w:spacing w:line="360" w:lineRule="auto"/>
        <w:ind w:firstLine="480" w:firstLineChars="200"/>
        <w:jc w:val="both"/>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7</w:t>
      </w:r>
      <w:r>
        <w:rPr>
          <w:rFonts w:hint="eastAsia" w:ascii="宋体" w:hAnsi="宋体" w:eastAsia="宋体" w:cs="宋体"/>
          <w:b w:val="0"/>
          <w:snapToGrid w:val="0"/>
          <w:color w:val="auto"/>
          <w:kern w:val="0"/>
          <w:sz w:val="24"/>
          <w:highlight w:val="none"/>
          <w:lang w:eastAsia="zh-CN"/>
        </w:rPr>
        <w:t>）</w:t>
      </w:r>
      <w:bookmarkStart w:id="272" w:name="_Hlt78795211"/>
      <w:bookmarkEnd w:id="272"/>
      <w:r>
        <w:rPr>
          <w:rFonts w:hint="eastAsia" w:ascii="宋体" w:hAnsi="宋体" w:eastAsia="宋体" w:cs="宋体"/>
          <w:b w:val="0"/>
          <w:snapToGrid w:val="0"/>
          <w:color w:val="auto"/>
          <w:kern w:val="0"/>
          <w:sz w:val="24"/>
          <w:highlight w:val="none"/>
        </w:rPr>
        <w:t>《建筑地面工程施工质量验收规范》；</w:t>
      </w:r>
    </w:p>
    <w:p w14:paraId="1B7E0CFA">
      <w:pPr>
        <w:pStyle w:val="34"/>
        <w:spacing w:line="360" w:lineRule="auto"/>
        <w:ind w:firstLine="480" w:firstLineChars="200"/>
        <w:jc w:val="both"/>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8</w:t>
      </w: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rPr>
        <w:t>《建筑装饰装修工程施工质量验收规范》；</w:t>
      </w:r>
    </w:p>
    <w:p w14:paraId="028D6E17">
      <w:pPr>
        <w:pStyle w:val="34"/>
        <w:spacing w:line="360" w:lineRule="auto"/>
        <w:ind w:firstLine="480" w:firstLineChars="200"/>
        <w:jc w:val="both"/>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9</w:t>
      </w: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rPr>
        <w:t>《建筑给排水及采暖工程施工质量验收规范》；</w:t>
      </w:r>
    </w:p>
    <w:p w14:paraId="4A130B73">
      <w:pPr>
        <w:pStyle w:val="34"/>
        <w:spacing w:line="360" w:lineRule="auto"/>
        <w:ind w:firstLine="480" w:firstLineChars="200"/>
        <w:jc w:val="both"/>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10</w:t>
      </w: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rPr>
        <w:t>《建筑电气工程施工质量验收规范》；</w:t>
      </w:r>
    </w:p>
    <w:p w14:paraId="75A652AE">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（11）《住建部绿色建筑评价标准》；</w:t>
      </w:r>
    </w:p>
    <w:p w14:paraId="4281BE81">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（12）《建筑节能与可再生能源利用通用规范》（GB55015-2021）；</w:t>
      </w:r>
    </w:p>
    <w:p w14:paraId="71C0C213">
      <w:pPr>
        <w:pStyle w:val="34"/>
        <w:spacing w:line="360" w:lineRule="auto"/>
        <w:ind w:firstLine="480" w:firstLineChars="200"/>
        <w:jc w:val="both"/>
        <w:rPr>
          <w:rFonts w:hint="default"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（13）《建筑环境通用规范》；</w:t>
      </w:r>
    </w:p>
    <w:p w14:paraId="11F0CBF6">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14</w:t>
      </w:r>
      <w:r>
        <w:rPr>
          <w:rFonts w:hint="eastAsia" w:ascii="宋体" w:hAnsi="宋体" w:eastAsia="宋体" w:cs="宋体"/>
          <w:b w:val="0"/>
          <w:snapToGrid w:val="0"/>
          <w:color w:val="auto"/>
          <w:kern w:val="0"/>
          <w:sz w:val="24"/>
          <w:highlight w:val="none"/>
          <w:lang w:eastAsia="zh-CN"/>
        </w:rPr>
        <w:t>）《广东省住房和城乡建设厅绿色施工导则》；</w:t>
      </w:r>
    </w:p>
    <w:p w14:paraId="7DD6DD1D">
      <w:pPr>
        <w:pStyle w:val="34"/>
        <w:spacing w:line="360" w:lineRule="auto"/>
        <w:ind w:firstLine="480" w:firstLineChars="200"/>
        <w:jc w:val="both"/>
        <w:rPr>
          <w:rFonts w:hint="eastAsia" w:ascii="宋体" w:hAnsi="宋体" w:eastAsia="宋体" w:cs="宋体"/>
          <w:b w:val="0"/>
          <w:snapToGrid w:val="0"/>
          <w:color w:val="auto"/>
          <w:kern w:val="0"/>
          <w:sz w:val="24"/>
          <w:highlight w:val="none"/>
          <w:lang w:eastAsia="zh-CN"/>
        </w:rPr>
      </w:pP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15</w:t>
      </w:r>
      <w:r>
        <w:rPr>
          <w:rFonts w:hint="eastAsia" w:ascii="宋体" w:hAnsi="宋体" w:eastAsia="宋体" w:cs="宋体"/>
          <w:b w:val="0"/>
          <w:snapToGrid w:val="0"/>
          <w:color w:val="auto"/>
          <w:kern w:val="0"/>
          <w:sz w:val="24"/>
          <w:highlight w:val="none"/>
          <w:lang w:eastAsia="zh-CN"/>
        </w:rPr>
        <w:t>）《广东省建筑工程绿色施工评价标准》；</w:t>
      </w:r>
    </w:p>
    <w:p w14:paraId="3953452C">
      <w:pPr>
        <w:pStyle w:val="34"/>
        <w:spacing w:line="360" w:lineRule="auto"/>
        <w:ind w:firstLine="480" w:firstLineChars="200"/>
        <w:jc w:val="both"/>
        <w:rPr>
          <w:rFonts w:hint="default"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（16）《广东省建筑节能与绿色建筑工程施工质量验收规范》</w:t>
      </w:r>
    </w:p>
    <w:p w14:paraId="675843B9">
      <w:pPr>
        <w:pStyle w:val="34"/>
        <w:spacing w:line="360" w:lineRule="auto"/>
        <w:ind w:firstLine="480" w:firstLineChars="200"/>
        <w:jc w:val="both"/>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17</w:t>
      </w: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rPr>
        <w:t>其他现行国家</w:t>
      </w:r>
      <w:r>
        <w:rPr>
          <w:rFonts w:hint="eastAsia" w:ascii="宋体" w:hAnsi="宋体" w:eastAsia="宋体" w:cs="宋体"/>
          <w:b w:val="0"/>
          <w:snapToGrid w:val="0"/>
          <w:color w:val="auto"/>
          <w:kern w:val="0"/>
          <w:sz w:val="24"/>
          <w:highlight w:val="none"/>
          <w:lang w:eastAsia="zh-CN"/>
        </w:rPr>
        <w:t>、广东省关于房建工程的</w:t>
      </w:r>
      <w:r>
        <w:rPr>
          <w:rFonts w:hint="eastAsia" w:ascii="宋体" w:hAnsi="宋体" w:eastAsia="宋体" w:cs="宋体"/>
          <w:b w:val="0"/>
          <w:snapToGrid w:val="0"/>
          <w:color w:val="auto"/>
          <w:kern w:val="0"/>
          <w:sz w:val="24"/>
          <w:highlight w:val="none"/>
        </w:rPr>
        <w:t>施工</w:t>
      </w:r>
      <w:r>
        <w:rPr>
          <w:rFonts w:hint="eastAsia" w:ascii="宋体" w:hAnsi="宋体" w:eastAsia="宋体" w:cs="宋体"/>
          <w:b w:val="0"/>
          <w:snapToGrid w:val="0"/>
          <w:color w:val="auto"/>
          <w:kern w:val="0"/>
          <w:sz w:val="24"/>
          <w:highlight w:val="none"/>
          <w:lang w:eastAsia="zh-CN"/>
        </w:rPr>
        <w:t>及验收</w:t>
      </w:r>
      <w:r>
        <w:rPr>
          <w:rFonts w:hint="eastAsia" w:ascii="宋体" w:hAnsi="宋体" w:eastAsia="宋体" w:cs="宋体"/>
          <w:b w:val="0"/>
          <w:snapToGrid w:val="0"/>
          <w:color w:val="auto"/>
          <w:kern w:val="0"/>
          <w:sz w:val="24"/>
          <w:highlight w:val="none"/>
        </w:rPr>
        <w:t>规范</w:t>
      </w:r>
      <w:r>
        <w:rPr>
          <w:rFonts w:hint="eastAsia" w:ascii="宋体" w:hAnsi="宋体" w:eastAsia="宋体" w:cs="宋体"/>
          <w:b w:val="0"/>
          <w:snapToGrid w:val="0"/>
          <w:color w:val="auto"/>
          <w:kern w:val="0"/>
          <w:sz w:val="24"/>
          <w:highlight w:val="none"/>
          <w:lang w:eastAsia="zh-CN"/>
        </w:rPr>
        <w:t>、</w:t>
      </w:r>
      <w:r>
        <w:rPr>
          <w:rFonts w:hint="eastAsia" w:ascii="宋体" w:hAnsi="宋体" w:eastAsia="宋体" w:cs="宋体"/>
          <w:b w:val="0"/>
          <w:snapToGrid w:val="0"/>
          <w:color w:val="auto"/>
          <w:kern w:val="0"/>
          <w:sz w:val="24"/>
          <w:highlight w:val="none"/>
          <w:lang w:val="en-US" w:eastAsia="zh-CN"/>
        </w:rPr>
        <w:t>定额、</w:t>
      </w:r>
      <w:r>
        <w:rPr>
          <w:rFonts w:hint="eastAsia" w:ascii="宋体" w:hAnsi="宋体" w:eastAsia="宋体" w:cs="宋体"/>
          <w:b w:val="0"/>
          <w:snapToGrid w:val="0"/>
          <w:color w:val="auto"/>
          <w:kern w:val="0"/>
          <w:sz w:val="24"/>
          <w:highlight w:val="none"/>
          <w:lang w:eastAsia="zh-CN"/>
        </w:rPr>
        <w:t>规程、</w:t>
      </w:r>
      <w:r>
        <w:rPr>
          <w:rFonts w:hint="eastAsia" w:ascii="宋体" w:hAnsi="宋体" w:eastAsia="宋体" w:cs="宋体"/>
          <w:b w:val="0"/>
          <w:snapToGrid w:val="0"/>
          <w:color w:val="auto"/>
          <w:kern w:val="0"/>
          <w:sz w:val="24"/>
          <w:highlight w:val="none"/>
        </w:rPr>
        <w:t>标准。</w:t>
      </w:r>
    </w:p>
    <w:p w14:paraId="63099B02">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2" w:firstLineChars="200"/>
        <w:jc w:val="both"/>
        <w:textAlignment w:val="auto"/>
        <w:outlineLvl w:val="9"/>
        <w:rPr>
          <w:rFonts w:hint="eastAsia" w:ascii="Times New Roman" w:hAnsi="Times New Roman" w:cs="Times New Roman"/>
          <w:b w:val="0"/>
          <w:bCs/>
          <w:caps w:val="0"/>
          <w:smallCaps w:val="0"/>
          <w:snapToGrid w:val="0"/>
          <w:color w:val="auto"/>
          <w:spacing w:val="0"/>
          <w:kern w:val="0"/>
          <w:sz w:val="24"/>
          <w:szCs w:val="22"/>
          <w:highlight w:val="none"/>
        </w:rPr>
      </w:pPr>
      <w:r>
        <w:rPr>
          <w:rFonts w:hint="eastAsia" w:ascii="Times New Roman" w:hAnsi="Times New Roman" w:cs="Times New Roman"/>
          <w:b/>
          <w:bCs w:val="0"/>
          <w:caps w:val="0"/>
          <w:smallCaps w:val="0"/>
          <w:snapToGrid w:val="0"/>
          <w:color w:val="auto"/>
          <w:spacing w:val="0"/>
          <w:kern w:val="0"/>
          <w:sz w:val="24"/>
          <w:szCs w:val="22"/>
          <w:highlight w:val="none"/>
          <w:lang w:eastAsia="zh-CN"/>
        </w:rPr>
        <w:t>市政基础设施工程建设项目</w:t>
      </w:r>
    </w:p>
    <w:p w14:paraId="4939B8BE">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市政基础设施工程建设项目必须执行的现行技术规范，包括且不限于：</w:t>
      </w:r>
    </w:p>
    <w:p w14:paraId="334D0CA9">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（1）《公路路基施工技术规范》；</w:t>
      </w:r>
    </w:p>
    <w:p w14:paraId="005DE93B">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（2）《市政道路工程质量检验评定标准》；</w:t>
      </w:r>
    </w:p>
    <w:p w14:paraId="5899E7C4">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（3）《市政排水管渠工程质量检验评定标准》；</w:t>
      </w:r>
    </w:p>
    <w:p w14:paraId="6A87B46B">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（4）《给水排水管道工程施工及验收规范》；</w:t>
      </w:r>
    </w:p>
    <w:p w14:paraId="38BABB78">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（5）《城市道路路基工程施工及验收规范》；</w:t>
      </w:r>
    </w:p>
    <w:p w14:paraId="6C967A2F">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（6）《水泥砼路面施工及验收规范》；</w:t>
      </w:r>
    </w:p>
    <w:p w14:paraId="08E5B0C6">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（7）《公路水泥砼路面施工技术规范》；</w:t>
      </w:r>
    </w:p>
    <w:p w14:paraId="334FF58E">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（8）《埋地硬聚氯乙烯排水管道工程技术规程》；</w:t>
      </w:r>
    </w:p>
    <w:p w14:paraId="049B18F4">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（9）《沥青路面施工及验收规范》；</w:t>
      </w:r>
    </w:p>
    <w:p w14:paraId="5288370D">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（10）《广东省市政工程施工质量技术资料统一用表》。</w:t>
      </w:r>
    </w:p>
    <w:p w14:paraId="3B9B4ABF">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（11）《城市道路照明设计标准》（CJJ45-2015）；</w:t>
      </w:r>
    </w:p>
    <w:p w14:paraId="29AF1E64">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（12）《低压配电设计规范》（GB50054-2011）；</w:t>
      </w:r>
    </w:p>
    <w:p w14:paraId="2D5CA3E4">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（13）《城市道路照明工程施工及验收规程》（CJJ89-2012）；</w:t>
      </w:r>
    </w:p>
    <w:p w14:paraId="313D0370">
      <w:pPr>
        <w:pStyle w:val="34"/>
        <w:spacing w:line="360" w:lineRule="auto"/>
        <w:ind w:firstLine="480" w:firstLineChars="200"/>
        <w:jc w:val="both"/>
        <w:rPr>
          <w:rFonts w:hint="default"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（14）《LED道路照明工程技术规范》（DB44/T 1898-2016）；</w:t>
      </w:r>
    </w:p>
    <w:p w14:paraId="19F1A614">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（15）《灯具第1部分：一般要求与试验》（GB7000.1-2015）；</w:t>
      </w:r>
    </w:p>
    <w:p w14:paraId="66887769">
      <w:pPr>
        <w:pStyle w:val="34"/>
        <w:spacing w:line="360" w:lineRule="auto"/>
        <w:ind w:firstLine="480" w:firstLineChars="200"/>
        <w:jc w:val="both"/>
        <w:rPr>
          <w:rFonts w:hint="default"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（16）《电缆工程电缆设计标准》（GB50217-2018）；</w:t>
      </w:r>
    </w:p>
    <w:p w14:paraId="277D6491">
      <w:pPr>
        <w:pStyle w:val="34"/>
        <w:spacing w:line="360" w:lineRule="auto"/>
        <w:ind w:firstLine="480" w:firstLineChars="200"/>
        <w:jc w:val="both"/>
        <w:rPr>
          <w:rFonts w:hint="eastAsia" w:ascii="宋体" w:hAnsi="宋体" w:eastAsia="宋体" w:cs="宋体"/>
          <w:b w:val="0"/>
          <w:snapToGrid w:val="0"/>
          <w:color w:val="auto"/>
          <w:kern w:val="0"/>
          <w:sz w:val="24"/>
          <w:highlight w:val="none"/>
          <w:lang w:val="en-US" w:eastAsia="zh-CN"/>
        </w:rPr>
      </w:pPr>
      <w:r>
        <w:rPr>
          <w:rFonts w:hint="eastAsia" w:ascii="宋体" w:hAnsi="宋体" w:eastAsia="宋体" w:cs="宋体"/>
          <w:b w:val="0"/>
          <w:snapToGrid w:val="0"/>
          <w:color w:val="auto"/>
          <w:kern w:val="0"/>
          <w:sz w:val="24"/>
          <w:highlight w:val="none"/>
          <w:lang w:val="en-US" w:eastAsia="zh-CN"/>
        </w:rPr>
        <w:t>（17）其他现行国家、广东省关于市政工程的技术及验收规范、定额、规程、标准。</w:t>
      </w:r>
    </w:p>
    <w:p w14:paraId="357F0D11">
      <w:pPr>
        <w:pStyle w:val="3"/>
        <w:wordWrap w:val="0"/>
        <w:autoSpaceDE/>
        <w:autoSpaceDN/>
        <w:snapToGrid w:val="0"/>
        <w:spacing w:line="360" w:lineRule="auto"/>
        <w:ind w:firstLine="480"/>
        <w:jc w:val="both"/>
        <w:rPr>
          <w:rFonts w:ascii="宋体" w:hAnsi="宋体" w:cs="宋体"/>
          <w:b/>
          <w:snapToGrid w:val="0"/>
          <w:color w:val="auto"/>
          <w:sz w:val="24"/>
          <w:highlight w:val="none"/>
        </w:rPr>
      </w:pPr>
      <w:bookmarkStart w:id="273" w:name="_Toc20275"/>
      <w:r>
        <w:rPr>
          <w:rFonts w:hint="eastAsia" w:ascii="宋体" w:hAnsi="宋体" w:cs="宋体"/>
          <w:b/>
          <w:snapToGrid w:val="0"/>
          <w:color w:val="auto"/>
          <w:sz w:val="24"/>
          <w:highlight w:val="none"/>
        </w:rPr>
        <w:t>2.备查要求</w:t>
      </w:r>
      <w:bookmarkEnd w:id="273"/>
    </w:p>
    <w:p w14:paraId="4040F8E8">
      <w:pPr>
        <w:wordWrap w:val="0"/>
        <w:adjustRightInd w:val="0"/>
        <w:snapToGrid w:val="0"/>
        <w:spacing w:line="360" w:lineRule="auto"/>
        <w:ind w:firstLine="560"/>
        <w:rPr>
          <w:rFonts w:ascii="宋体" w:hAnsi="宋体" w:cs="宋体"/>
          <w:color w:val="auto"/>
          <w:sz w:val="24"/>
          <w:szCs w:val="28"/>
          <w:highlight w:val="none"/>
        </w:rPr>
      </w:pPr>
      <w:r>
        <w:rPr>
          <w:rFonts w:hint="eastAsia" w:ascii="宋体" w:hAnsi="宋体" w:cs="宋体"/>
          <w:color w:val="auto"/>
          <w:sz w:val="24"/>
          <w:szCs w:val="28"/>
          <w:highlight w:val="none"/>
        </w:rPr>
        <w:t>以上所列规范和标准仅供参考，中标人必须准备至少一套现行的国家和广东省的有关技术规范及现行标准，招标人和监理单位可随时检查中标人的规范和标准，并监督中标人按规范和标准要求执行。</w:t>
      </w:r>
      <w:bookmarkStart w:id="274" w:name="_Hlt69670335"/>
      <w:bookmarkEnd w:id="274"/>
    </w:p>
    <w:p w14:paraId="2271E4B2">
      <w:pPr>
        <w:rPr>
          <w:rFonts w:ascii="宋体" w:hAnsi="宋体" w:cs="宋体"/>
          <w:color w:val="auto"/>
          <w:highlight w:val="none"/>
        </w:rPr>
        <w:sectPr>
          <w:endnotePr>
            <w:numFmt w:val="decimal"/>
          </w:endnotePr>
          <w:pgSz w:w="11907" w:h="16840"/>
          <w:pgMar w:top="1134" w:right="1134" w:bottom="1134" w:left="1134" w:header="850" w:footer="850" w:gutter="0"/>
          <w:cols w:space="720" w:num="1"/>
          <w:docGrid w:type="lines" w:linePitch="272" w:charSpace="0"/>
        </w:sectPr>
      </w:pPr>
    </w:p>
    <w:p w14:paraId="64269597">
      <w:pPr>
        <w:pStyle w:val="20"/>
      </w:pPr>
    </w:p>
    <w:p w14:paraId="6A5509FD">
      <w:pPr>
        <w:rPr>
          <w:rFonts w:ascii="宋体" w:hAnsi="宋体" w:cs="宋体"/>
          <w:color w:val="auto"/>
          <w:highlight w:val="none"/>
        </w:rPr>
      </w:pPr>
    </w:p>
    <w:bookmarkEnd w:id="264"/>
    <w:p w14:paraId="471FC538">
      <w:pPr>
        <w:pStyle w:val="36"/>
        <w:jc w:val="center"/>
        <w:outlineLvl w:val="0"/>
        <w:rPr>
          <w:rFonts w:ascii="宋体" w:hAnsi="宋体" w:cs="宋体"/>
          <w:b/>
          <w:snapToGrid w:val="0"/>
          <w:color w:val="auto"/>
          <w:sz w:val="24"/>
          <w:szCs w:val="24"/>
          <w:highlight w:val="none"/>
        </w:rPr>
      </w:pPr>
      <w:bookmarkStart w:id="275" w:name="_Toc651"/>
      <w:bookmarkStart w:id="276" w:name="_Toc1035"/>
      <w:bookmarkStart w:id="277" w:name="_Hlt69698785"/>
      <w:r>
        <w:rPr>
          <w:rFonts w:hint="eastAsia" w:ascii="宋体" w:hAnsi="宋体" w:cs="宋体"/>
          <w:b/>
          <w:snapToGrid w:val="0"/>
          <w:color w:val="auto"/>
          <w:sz w:val="24"/>
          <w:szCs w:val="24"/>
          <w:highlight w:val="none"/>
        </w:rPr>
        <w:t>第五章   投标文件格式</w:t>
      </w:r>
      <w:bookmarkEnd w:id="275"/>
      <w:bookmarkEnd w:id="276"/>
    </w:p>
    <w:p w14:paraId="72768BE5">
      <w:pPr>
        <w:pStyle w:val="3"/>
        <w:wordWrap w:val="0"/>
        <w:autoSpaceDE/>
        <w:autoSpaceDN/>
        <w:snapToGrid w:val="0"/>
        <w:spacing w:line="480" w:lineRule="auto"/>
        <w:ind w:firstLine="480"/>
        <w:jc w:val="both"/>
        <w:rPr>
          <w:rFonts w:ascii="宋体" w:hAnsi="宋体" w:cs="宋体"/>
          <w:b/>
          <w:snapToGrid w:val="0"/>
          <w:color w:val="auto"/>
          <w:sz w:val="24"/>
          <w:highlight w:val="none"/>
        </w:rPr>
      </w:pPr>
      <w:bookmarkStart w:id="278" w:name="_Toc19464"/>
      <w:bookmarkStart w:id="279" w:name="_Toc14506"/>
      <w:bookmarkStart w:id="280" w:name="_Toc464768767"/>
      <w:bookmarkStart w:id="281" w:name="_Toc71813716"/>
      <w:bookmarkStart w:id="282" w:name="_Toc396982994"/>
      <w:bookmarkStart w:id="283" w:name="_Toc71811193"/>
      <w:bookmarkStart w:id="284" w:name="_Toc415171883"/>
      <w:bookmarkStart w:id="285" w:name="_Toc396813629"/>
      <w:bookmarkStart w:id="286" w:name="_Toc14561"/>
      <w:bookmarkStart w:id="287" w:name="_Toc15295"/>
      <w:bookmarkStart w:id="288" w:name="_Toc3833"/>
      <w:bookmarkStart w:id="289" w:name="_Toc71811326"/>
      <w:r>
        <w:rPr>
          <w:rFonts w:hint="eastAsia" w:ascii="宋体" w:hAnsi="宋体" w:cs="宋体"/>
          <w:b/>
          <w:snapToGrid w:val="0"/>
          <w:color w:val="auto"/>
          <w:sz w:val="24"/>
          <w:highlight w:val="none"/>
        </w:rPr>
        <w:t>格式一</w:t>
      </w:r>
      <w:bookmarkEnd w:id="278"/>
      <w:bookmarkEnd w:id="279"/>
      <w:bookmarkEnd w:id="280"/>
      <w:r>
        <w:rPr>
          <w:rFonts w:hint="eastAsia" w:ascii="宋体" w:hAnsi="宋体" w:cs="宋体"/>
          <w:b/>
          <w:snapToGrid w:val="0"/>
          <w:color w:val="auto"/>
          <w:sz w:val="24"/>
          <w:highlight w:val="none"/>
        </w:rPr>
        <w:t xml:space="preserve">   封面</w:t>
      </w:r>
      <w:bookmarkEnd w:id="281"/>
      <w:bookmarkEnd w:id="282"/>
      <w:bookmarkEnd w:id="283"/>
      <w:bookmarkEnd w:id="284"/>
      <w:bookmarkEnd w:id="285"/>
      <w:bookmarkEnd w:id="286"/>
      <w:bookmarkEnd w:id="287"/>
      <w:bookmarkEnd w:id="288"/>
      <w:bookmarkEnd w:id="289"/>
    </w:p>
    <w:p w14:paraId="777562AC">
      <w:pPr>
        <w:rPr>
          <w:rFonts w:ascii="宋体" w:hAnsi="宋体" w:cs="宋体"/>
          <w:color w:val="auto"/>
          <w:highlight w:val="none"/>
        </w:rPr>
      </w:pPr>
    </w:p>
    <w:p w14:paraId="4EBCFBAA">
      <w:pPr>
        <w:rPr>
          <w:rFonts w:ascii="宋体" w:hAnsi="宋体" w:cs="宋体"/>
          <w:color w:val="auto"/>
          <w:highlight w:val="none"/>
        </w:rPr>
      </w:pPr>
      <w:bookmarkStart w:id="290" w:name="_Toc9423"/>
      <w:bookmarkStart w:id="291" w:name="_Toc396813630"/>
      <w:bookmarkStart w:id="292" w:name="_Toc464768768"/>
      <w:bookmarkStart w:id="293" w:name="_Toc415171884"/>
      <w:bookmarkStart w:id="294" w:name="_Toc396982995"/>
      <w:bookmarkStart w:id="295" w:name="_Toc32042"/>
    </w:p>
    <w:p w14:paraId="744BB4C7">
      <w:pPr>
        <w:rPr>
          <w:rFonts w:ascii="宋体" w:hAnsi="宋体" w:cs="宋体"/>
          <w:color w:val="auto"/>
          <w:highlight w:val="none"/>
        </w:rPr>
      </w:pPr>
    </w:p>
    <w:p w14:paraId="2B3666F9">
      <w:pPr>
        <w:rPr>
          <w:rFonts w:ascii="宋体" w:hAnsi="宋体" w:cs="宋体"/>
          <w:color w:val="auto"/>
          <w:highlight w:val="none"/>
        </w:rPr>
      </w:pPr>
    </w:p>
    <w:p w14:paraId="2EE0B118">
      <w:pPr>
        <w:pStyle w:val="37"/>
        <w:widowControl w:val="0"/>
        <w:wordWrap w:val="0"/>
        <w:adjustRightInd w:val="0"/>
        <w:snapToGrid w:val="0"/>
        <w:ind w:firstLine="0"/>
        <w:jc w:val="center"/>
        <w:rPr>
          <w:rFonts w:ascii="宋体" w:hAnsi="宋体" w:eastAsia="宋体" w:cs="宋体"/>
          <w:b/>
          <w:snapToGrid w:val="0"/>
          <w:color w:val="auto"/>
          <w:sz w:val="48"/>
          <w:szCs w:val="48"/>
          <w:highlight w:val="none"/>
        </w:rPr>
      </w:pPr>
      <w:bookmarkStart w:id="296" w:name="_Toc17225"/>
      <w:bookmarkStart w:id="297" w:name="_Toc10931_WPSOffice_Level2"/>
      <w:bookmarkStart w:id="298" w:name="_Toc19515_WPSOffice_Level2"/>
      <w:bookmarkStart w:id="299" w:name="_Toc14006"/>
      <w:bookmarkStart w:id="300" w:name="_Toc24590_WPSOffice_Level2"/>
      <w:bookmarkStart w:id="301" w:name="_Toc15910_WPSOffice_Level2"/>
      <w:bookmarkStart w:id="302" w:name="_Toc11141"/>
      <w:bookmarkStart w:id="303" w:name="_Toc14783"/>
      <w:bookmarkStart w:id="304" w:name="_Toc29993"/>
      <w:r>
        <w:rPr>
          <w:rFonts w:hint="eastAsia" w:ascii="宋体" w:hAnsi="宋体" w:eastAsia="宋体" w:cs="宋体"/>
          <w:b/>
          <w:snapToGrid w:val="0"/>
          <w:color w:val="auto"/>
          <w:sz w:val="48"/>
          <w:szCs w:val="48"/>
          <w:highlight w:val="none"/>
          <w:u w:val="single"/>
        </w:rPr>
        <w:t xml:space="preserve">   （项目名称）</w:t>
      </w:r>
      <w:bookmarkEnd w:id="296"/>
      <w:bookmarkEnd w:id="297"/>
      <w:bookmarkEnd w:id="298"/>
      <w:bookmarkEnd w:id="299"/>
      <w:bookmarkEnd w:id="300"/>
      <w:bookmarkEnd w:id="301"/>
      <w:bookmarkEnd w:id="302"/>
      <w:r>
        <w:rPr>
          <w:rFonts w:hint="eastAsia" w:ascii="宋体" w:hAnsi="宋体" w:eastAsia="宋体" w:cs="宋体"/>
          <w:b/>
          <w:snapToGrid w:val="0"/>
          <w:color w:val="auto"/>
          <w:sz w:val="48"/>
          <w:szCs w:val="48"/>
          <w:highlight w:val="none"/>
          <w:u w:val="single"/>
        </w:rPr>
        <w:t xml:space="preserve">  </w:t>
      </w:r>
      <w:bookmarkEnd w:id="303"/>
      <w:bookmarkEnd w:id="304"/>
      <w:r>
        <w:rPr>
          <w:rFonts w:hint="eastAsia" w:ascii="宋体" w:hAnsi="宋体" w:eastAsia="宋体" w:cs="宋体"/>
          <w:b/>
          <w:snapToGrid w:val="0"/>
          <w:color w:val="auto"/>
          <w:sz w:val="48"/>
          <w:szCs w:val="48"/>
          <w:highlight w:val="none"/>
        </w:rPr>
        <w:t>招标</w:t>
      </w:r>
    </w:p>
    <w:p w14:paraId="5C7FF5B8">
      <w:pPr>
        <w:rPr>
          <w:rFonts w:ascii="宋体" w:hAnsi="宋体" w:cs="宋体"/>
          <w:color w:val="auto"/>
          <w:highlight w:val="none"/>
        </w:rPr>
      </w:pPr>
    </w:p>
    <w:p w14:paraId="5FC8C3C1">
      <w:pPr>
        <w:rPr>
          <w:rFonts w:ascii="宋体" w:hAnsi="宋体" w:cs="宋体"/>
          <w:color w:val="auto"/>
          <w:highlight w:val="none"/>
        </w:rPr>
      </w:pPr>
    </w:p>
    <w:p w14:paraId="444DF947">
      <w:pPr>
        <w:pStyle w:val="37"/>
        <w:widowControl w:val="0"/>
        <w:wordWrap w:val="0"/>
        <w:adjustRightInd w:val="0"/>
        <w:snapToGrid w:val="0"/>
        <w:ind w:firstLine="0"/>
        <w:jc w:val="center"/>
        <w:rPr>
          <w:rFonts w:ascii="宋体" w:hAnsi="宋体" w:eastAsia="宋体" w:cs="宋体"/>
          <w:b/>
          <w:snapToGrid w:val="0"/>
          <w:color w:val="auto"/>
          <w:sz w:val="72"/>
          <w:highlight w:val="none"/>
        </w:rPr>
      </w:pPr>
      <w:bookmarkStart w:id="305" w:name="_Toc8798_WPSOffice_Level3"/>
      <w:bookmarkStart w:id="306" w:name="_Toc5301_WPSOffice_Level3"/>
      <w:r>
        <w:rPr>
          <w:rFonts w:hint="eastAsia" w:ascii="宋体" w:hAnsi="宋体" w:eastAsia="宋体" w:cs="宋体"/>
          <w:b/>
          <w:snapToGrid w:val="0"/>
          <w:color w:val="auto"/>
          <w:sz w:val="72"/>
          <w:highlight w:val="none"/>
        </w:rPr>
        <w:t>投  标  文  件</w:t>
      </w:r>
      <w:bookmarkEnd w:id="305"/>
      <w:bookmarkEnd w:id="306"/>
    </w:p>
    <w:p w14:paraId="78AC244F">
      <w:pPr>
        <w:rPr>
          <w:rFonts w:ascii="宋体" w:hAnsi="宋体" w:cs="宋体"/>
          <w:color w:val="auto"/>
          <w:highlight w:val="none"/>
        </w:rPr>
      </w:pPr>
    </w:p>
    <w:p w14:paraId="1B53804E">
      <w:pPr>
        <w:rPr>
          <w:rFonts w:ascii="宋体" w:hAnsi="宋体" w:cs="宋体"/>
          <w:color w:val="auto"/>
          <w:highlight w:val="none"/>
        </w:rPr>
      </w:pPr>
    </w:p>
    <w:p w14:paraId="1AF65245">
      <w:pPr>
        <w:pStyle w:val="37"/>
        <w:widowControl w:val="0"/>
        <w:wordWrap w:val="0"/>
        <w:adjustRightInd w:val="0"/>
        <w:snapToGrid w:val="0"/>
        <w:ind w:firstLine="0"/>
        <w:jc w:val="center"/>
        <w:rPr>
          <w:rFonts w:ascii="宋体" w:hAnsi="宋体" w:eastAsia="宋体" w:cs="宋体"/>
          <w:b/>
          <w:snapToGrid w:val="0"/>
          <w:color w:val="auto"/>
          <w:sz w:val="48"/>
          <w:szCs w:val="48"/>
          <w:highlight w:val="none"/>
        </w:rPr>
      </w:pPr>
      <w:bookmarkStart w:id="307" w:name="_Toc2104"/>
      <w:bookmarkStart w:id="308" w:name="_Toc24704"/>
      <w:bookmarkStart w:id="309" w:name="_Toc18349_WPSOffice_Level2"/>
      <w:bookmarkStart w:id="310" w:name="_Toc23773"/>
      <w:bookmarkStart w:id="311" w:name="_Toc8292"/>
      <w:bookmarkStart w:id="312" w:name="_Toc14127"/>
      <w:bookmarkStart w:id="313" w:name="_Toc639_WPSOffice_Level2"/>
      <w:bookmarkStart w:id="314" w:name="_Toc7210_WPSOffice_Level2"/>
      <w:bookmarkStart w:id="315" w:name="_Toc6046_WPSOffice_Level2"/>
      <w:r>
        <w:rPr>
          <w:rFonts w:hint="eastAsia" w:ascii="宋体" w:hAnsi="宋体" w:eastAsia="宋体" w:cs="宋体"/>
          <w:b/>
          <w:snapToGrid w:val="0"/>
          <w:color w:val="auto"/>
          <w:sz w:val="48"/>
          <w:szCs w:val="48"/>
          <w:highlight w:val="none"/>
        </w:rPr>
        <w:t>（商务经济标书／技术标书）</w:t>
      </w:r>
      <w:bookmarkEnd w:id="307"/>
      <w:bookmarkEnd w:id="308"/>
      <w:bookmarkEnd w:id="309"/>
      <w:bookmarkEnd w:id="310"/>
      <w:bookmarkEnd w:id="311"/>
      <w:bookmarkEnd w:id="312"/>
      <w:bookmarkEnd w:id="313"/>
      <w:bookmarkEnd w:id="314"/>
      <w:bookmarkEnd w:id="315"/>
    </w:p>
    <w:p w14:paraId="2BA416D5">
      <w:pPr>
        <w:rPr>
          <w:rFonts w:ascii="宋体" w:hAnsi="宋体" w:cs="宋体"/>
          <w:color w:val="auto"/>
          <w:highlight w:val="none"/>
        </w:rPr>
      </w:pPr>
    </w:p>
    <w:p w14:paraId="1F9EB989">
      <w:pPr>
        <w:rPr>
          <w:rFonts w:ascii="宋体" w:hAnsi="宋体" w:cs="宋体"/>
          <w:color w:val="auto"/>
          <w:highlight w:val="none"/>
        </w:rPr>
      </w:pPr>
    </w:p>
    <w:p w14:paraId="429E1A71">
      <w:pPr>
        <w:rPr>
          <w:rFonts w:ascii="宋体" w:hAnsi="宋体" w:cs="宋体"/>
          <w:color w:val="auto"/>
          <w:highlight w:val="none"/>
        </w:rPr>
      </w:pPr>
    </w:p>
    <w:p w14:paraId="50DF8E07">
      <w:pPr>
        <w:rPr>
          <w:rFonts w:ascii="宋体" w:hAnsi="宋体" w:cs="宋体"/>
          <w:color w:val="auto"/>
          <w:highlight w:val="none"/>
        </w:rPr>
      </w:pPr>
    </w:p>
    <w:p w14:paraId="51439587">
      <w:pPr>
        <w:pStyle w:val="37"/>
        <w:widowControl w:val="0"/>
        <w:wordWrap w:val="0"/>
        <w:adjustRightInd w:val="0"/>
        <w:snapToGrid w:val="0"/>
        <w:ind w:firstLine="0"/>
        <w:jc w:val="center"/>
        <w:rPr>
          <w:rFonts w:ascii="宋体" w:hAnsi="宋体" w:eastAsia="宋体" w:cs="宋体"/>
          <w:bCs/>
          <w:snapToGrid w:val="0"/>
          <w:color w:val="auto"/>
          <w:sz w:val="32"/>
          <w:highlight w:val="none"/>
        </w:rPr>
      </w:pPr>
      <w:bookmarkStart w:id="316" w:name="_Toc10578_WPSOffice_Level2"/>
      <w:bookmarkStart w:id="317" w:name="_Toc15825_WPSOffice_Level2"/>
      <w:bookmarkStart w:id="318" w:name="_Toc9798"/>
      <w:bookmarkStart w:id="319" w:name="_Toc3918_WPSOffice_Level2"/>
      <w:bookmarkStart w:id="320" w:name="_Toc881_WPSOffice_Level2"/>
      <w:bookmarkStart w:id="321" w:name="_Toc695"/>
      <w:bookmarkStart w:id="322" w:name="_Toc1506"/>
      <w:bookmarkStart w:id="323" w:name="_Toc7044"/>
      <w:bookmarkStart w:id="324" w:name="_Toc23809"/>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bookmarkEnd w:id="316"/>
      <w:bookmarkEnd w:id="317"/>
      <w:bookmarkEnd w:id="318"/>
      <w:bookmarkEnd w:id="319"/>
      <w:bookmarkEnd w:id="320"/>
      <w:bookmarkEnd w:id="321"/>
      <w:bookmarkEnd w:id="322"/>
      <w:bookmarkEnd w:id="323"/>
      <w:bookmarkEnd w:id="324"/>
    </w:p>
    <w:p w14:paraId="244027D8">
      <w:pPr>
        <w:rPr>
          <w:rFonts w:ascii="宋体" w:hAnsi="宋体" w:cs="宋体"/>
          <w:color w:val="auto"/>
          <w:highlight w:val="none"/>
        </w:rPr>
      </w:pPr>
    </w:p>
    <w:p w14:paraId="008F1D71">
      <w:pPr>
        <w:rPr>
          <w:rFonts w:ascii="宋体" w:hAnsi="宋体" w:cs="宋体"/>
          <w:color w:val="auto"/>
          <w:highlight w:val="none"/>
        </w:rPr>
      </w:pPr>
    </w:p>
    <w:p w14:paraId="7B355D33">
      <w:pPr>
        <w:pStyle w:val="37"/>
        <w:widowControl w:val="0"/>
        <w:wordWrap w:val="0"/>
        <w:adjustRightInd w:val="0"/>
        <w:snapToGrid w:val="0"/>
        <w:ind w:firstLine="0"/>
        <w:jc w:val="center"/>
        <w:rPr>
          <w:rFonts w:ascii="宋体" w:hAnsi="宋体" w:eastAsia="宋体" w:cs="宋体"/>
          <w:bCs/>
          <w:snapToGrid w:val="0"/>
          <w:color w:val="auto"/>
          <w:sz w:val="32"/>
          <w:highlight w:val="none"/>
        </w:rPr>
      </w:pPr>
      <w:bookmarkStart w:id="325" w:name="_Toc24086"/>
      <w:bookmarkStart w:id="326" w:name="_Toc32628_WPSOffice_Level2"/>
      <w:bookmarkStart w:id="327" w:name="_Toc29706"/>
      <w:bookmarkStart w:id="328" w:name="_Toc27613_WPSOffice_Level2"/>
      <w:bookmarkStart w:id="329" w:name="_Toc13744_WPSOffice_Level2"/>
      <w:bookmarkStart w:id="330" w:name="_Toc12474"/>
      <w:bookmarkStart w:id="331" w:name="_Toc2370"/>
      <w:bookmarkStart w:id="332" w:name="_Toc27630_WPSOffice_Level2"/>
      <w:bookmarkStart w:id="333" w:name="_Toc31144"/>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bookmarkEnd w:id="325"/>
      <w:bookmarkEnd w:id="326"/>
      <w:bookmarkEnd w:id="327"/>
      <w:bookmarkEnd w:id="328"/>
      <w:bookmarkEnd w:id="329"/>
      <w:bookmarkEnd w:id="330"/>
      <w:bookmarkEnd w:id="331"/>
      <w:bookmarkEnd w:id="332"/>
      <w:bookmarkEnd w:id="333"/>
    </w:p>
    <w:p w14:paraId="348F0871">
      <w:pPr>
        <w:rPr>
          <w:rFonts w:ascii="宋体" w:hAnsi="宋体" w:cs="宋体"/>
          <w:color w:val="auto"/>
          <w:highlight w:val="none"/>
        </w:rPr>
      </w:pPr>
    </w:p>
    <w:p w14:paraId="08FC8E44">
      <w:pPr>
        <w:rPr>
          <w:rFonts w:ascii="宋体" w:hAnsi="宋体" w:cs="宋体"/>
          <w:color w:val="auto"/>
          <w:highlight w:val="none"/>
        </w:rPr>
      </w:pPr>
    </w:p>
    <w:p w14:paraId="6221FA6E">
      <w:pPr>
        <w:pStyle w:val="37"/>
        <w:widowControl w:val="0"/>
        <w:wordWrap w:val="0"/>
        <w:adjustRightInd w:val="0"/>
        <w:snapToGrid w:val="0"/>
        <w:ind w:firstLine="0"/>
        <w:jc w:val="center"/>
        <w:rPr>
          <w:rFonts w:ascii="宋体" w:hAnsi="宋体" w:eastAsia="宋体" w:cs="宋体"/>
          <w:color w:val="auto"/>
          <w:highlight w:val="none"/>
        </w:rPr>
      </w:pPr>
      <w:bookmarkStart w:id="334" w:name="_Toc15044_WPSOffice_Level2"/>
      <w:bookmarkStart w:id="335" w:name="_Toc25506"/>
      <w:bookmarkStart w:id="336" w:name="_Toc7063"/>
      <w:bookmarkStart w:id="337" w:name="_Toc4261_WPSOffice_Level2"/>
      <w:bookmarkStart w:id="338" w:name="_Toc6799"/>
      <w:bookmarkStart w:id="339" w:name="_Toc23570"/>
      <w:bookmarkStart w:id="340" w:name="_Toc28423_WPSOffice_Level2"/>
      <w:bookmarkStart w:id="341" w:name="_Toc1745_WPSOffice_Level2"/>
      <w:bookmarkStart w:id="342" w:name="_Toc28896"/>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bookmarkEnd w:id="334"/>
      <w:bookmarkEnd w:id="335"/>
      <w:bookmarkEnd w:id="336"/>
      <w:bookmarkEnd w:id="337"/>
      <w:bookmarkEnd w:id="338"/>
      <w:bookmarkEnd w:id="339"/>
      <w:bookmarkEnd w:id="340"/>
      <w:bookmarkEnd w:id="341"/>
      <w:bookmarkEnd w:id="342"/>
    </w:p>
    <w:p w14:paraId="079563C3">
      <w:pPr>
        <w:pStyle w:val="3"/>
        <w:wordWrap w:val="0"/>
        <w:autoSpaceDE/>
        <w:autoSpaceDN/>
        <w:snapToGrid w:val="0"/>
        <w:spacing w:line="480" w:lineRule="auto"/>
        <w:jc w:val="both"/>
        <w:rPr>
          <w:rFonts w:ascii="宋体" w:hAnsi="宋体" w:cs="宋体"/>
          <w:b/>
          <w:snapToGrid w:val="0"/>
          <w:color w:val="auto"/>
          <w:sz w:val="24"/>
          <w:highlight w:val="none"/>
        </w:rPr>
      </w:pPr>
      <w:bookmarkStart w:id="343" w:name="_Toc8818"/>
      <w:bookmarkStart w:id="344" w:name="_Toc71811194"/>
      <w:bookmarkStart w:id="345" w:name="_Toc71811327"/>
      <w:bookmarkStart w:id="346" w:name="_Toc71813717"/>
      <w:bookmarkStart w:id="347" w:name="_Toc6148"/>
      <w:bookmarkStart w:id="348" w:name="_Toc18554"/>
      <w:r>
        <w:rPr>
          <w:rFonts w:hint="eastAsia" w:ascii="宋体" w:hAnsi="宋体" w:cs="宋体"/>
          <w:b/>
          <w:snapToGrid w:val="0"/>
          <w:color w:val="auto"/>
          <w:sz w:val="24"/>
          <w:highlight w:val="none"/>
        </w:rPr>
        <w:t>格式二</w:t>
      </w:r>
      <w:bookmarkEnd w:id="290"/>
      <w:bookmarkEnd w:id="291"/>
      <w:bookmarkEnd w:id="292"/>
      <w:bookmarkEnd w:id="293"/>
      <w:bookmarkEnd w:id="294"/>
      <w:bookmarkEnd w:id="295"/>
      <w:bookmarkEnd w:id="343"/>
      <w:bookmarkEnd w:id="344"/>
      <w:bookmarkEnd w:id="345"/>
      <w:bookmarkEnd w:id="346"/>
      <w:r>
        <w:rPr>
          <w:rFonts w:hint="eastAsia" w:ascii="宋体" w:hAnsi="宋体" w:cs="宋体"/>
          <w:b/>
          <w:snapToGrid w:val="0"/>
          <w:color w:val="auto"/>
          <w:sz w:val="24"/>
          <w:highlight w:val="none"/>
        </w:rPr>
        <w:t xml:space="preserve">   投标函</w:t>
      </w:r>
      <w:bookmarkEnd w:id="347"/>
      <w:bookmarkEnd w:id="348"/>
    </w:p>
    <w:p w14:paraId="12A0F846">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投  标  函</w:t>
      </w:r>
    </w:p>
    <w:p w14:paraId="19E657F6">
      <w:pPr>
        <w:wordWrap w:val="0"/>
        <w:adjustRightInd w:val="0"/>
        <w:snapToGrid w:val="0"/>
        <w:spacing w:line="440" w:lineRule="exac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（招标人名称）</w:t>
      </w:r>
    </w:p>
    <w:p w14:paraId="412EFF96">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1、经分析研究了贵方提供的</w:t>
      </w:r>
      <w:r>
        <w:rPr>
          <w:rFonts w:hint="eastAsia" w:ascii="宋体" w:hAnsi="宋体" w:cs="宋体"/>
          <w:snapToGrid w:val="0"/>
          <w:color w:val="auto"/>
          <w:kern w:val="0"/>
          <w:sz w:val="24"/>
          <w:szCs w:val="22"/>
          <w:highlight w:val="none"/>
          <w:u w:val="single"/>
        </w:rPr>
        <w:t xml:space="preserve">        （项目名称）      </w:t>
      </w:r>
      <w:r>
        <w:rPr>
          <w:rFonts w:hint="eastAsia" w:ascii="宋体" w:hAnsi="宋体" w:cs="宋体"/>
          <w:snapToGrid w:val="0"/>
          <w:color w:val="auto"/>
          <w:kern w:val="0"/>
          <w:sz w:val="24"/>
          <w:szCs w:val="22"/>
          <w:highlight w:val="none"/>
        </w:rPr>
        <w:t>（以下简称“本项目”）招标文件中的投标须知、拟签订合同的主要条款、项目介绍、本次招标答疑后，我方（即文末签名人），考虑了本企业的实力和特点，愿意接受招标文件的全部内容和条件，愿以投标报价（人民币大写）：</w:t>
      </w:r>
      <w:r>
        <w:rPr>
          <w:rFonts w:hint="eastAsia" w:ascii="宋体" w:hAnsi="宋体" w:cs="宋体"/>
          <w:snapToGrid w:val="0"/>
          <w:color w:val="auto"/>
          <w:kern w:val="0"/>
          <w:sz w:val="24"/>
          <w:szCs w:val="22"/>
          <w:highlight w:val="none"/>
          <w:u w:val="single"/>
        </w:rPr>
        <w:t xml:space="preserve">             （小写）¥            </w:t>
      </w:r>
      <w:r>
        <w:rPr>
          <w:rFonts w:hint="eastAsia" w:ascii="宋体" w:hAnsi="宋体" w:cs="宋体"/>
          <w:snapToGrid w:val="0"/>
          <w:color w:val="auto"/>
          <w:kern w:val="0"/>
          <w:sz w:val="24"/>
          <w:szCs w:val="22"/>
          <w:highlight w:val="none"/>
        </w:rPr>
        <w:t>元，投标下浮率（大写）：</w:t>
      </w:r>
      <w:r>
        <w:rPr>
          <w:rFonts w:hint="eastAsia" w:ascii="宋体" w:hAnsi="宋体" w:cs="宋体"/>
          <w:snapToGrid w:val="0"/>
          <w:color w:val="auto"/>
          <w:kern w:val="0"/>
          <w:sz w:val="24"/>
          <w:szCs w:val="22"/>
          <w:highlight w:val="none"/>
          <w:u w:val="single"/>
        </w:rPr>
        <w:t xml:space="preserve">             （小写）            </w:t>
      </w:r>
      <w:r>
        <w:rPr>
          <w:rFonts w:hint="eastAsia" w:ascii="宋体" w:hAnsi="宋体" w:cs="宋体"/>
          <w:snapToGrid w:val="0"/>
          <w:color w:val="auto"/>
          <w:kern w:val="0"/>
          <w:sz w:val="24"/>
          <w:szCs w:val="22"/>
          <w:highlight w:val="none"/>
        </w:rPr>
        <w:t>，竞投承包上述工程。</w:t>
      </w:r>
    </w:p>
    <w:p w14:paraId="7DF114B3">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2、如我方中标，我方保证按合同条款、规范和附件要求，实施并完成上述工程设计</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个日历天内完成合同约定的内容，并确保设计文件质量</w:t>
      </w:r>
      <w:r>
        <w:rPr>
          <w:rFonts w:hint="eastAsia" w:ascii="宋体" w:hAnsi="宋体" w:cs="宋体"/>
          <w:snapToGrid w:val="0"/>
          <w:color w:val="auto"/>
          <w:kern w:val="0"/>
          <w:sz w:val="24"/>
          <w:szCs w:val="22"/>
          <w:highlight w:val="none"/>
          <w:u w:val="single"/>
        </w:rPr>
        <w:t>必须满足招标文件相关要求</w:t>
      </w:r>
      <w:r>
        <w:rPr>
          <w:rFonts w:hint="eastAsia" w:ascii="宋体" w:hAnsi="宋体" w:cs="宋体"/>
          <w:snapToGrid w:val="0"/>
          <w:color w:val="auto"/>
          <w:kern w:val="0"/>
          <w:sz w:val="24"/>
          <w:szCs w:val="22"/>
          <w:highlight w:val="none"/>
        </w:rPr>
        <w:t>并修补其任何缺陷。</w:t>
      </w:r>
    </w:p>
    <w:p w14:paraId="212FDF3C">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3、本投标函在你方接收我方递交的投标文件之日起、到招标文件规定的投标有效期期满前对我方具有约束力。我方随时准备接受你方发出的中标通知书。</w:t>
      </w:r>
    </w:p>
    <w:p w14:paraId="6246652C">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4、我方在此声明，我方不存在本项目招标文件第一章第三节第4.4条“禁止投标条款”所列出的任何一种情形，并愿意承担因我方就此弄虚作假所引起的一切法律后果。</w:t>
      </w:r>
    </w:p>
    <w:p w14:paraId="5A70C45F">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5、我方在此承诺，所递交投标文件的全部内容均为真实、有效、准确的，并愿意承担因我方就此弄虚作假所引起的一切法律后果，同时理解和同意有可能被要求提供更多的资料。</w:t>
      </w:r>
    </w:p>
    <w:p w14:paraId="4E11CA5D">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bookmarkStart w:id="349" w:name="_Hlt68771070"/>
      <w:bookmarkEnd w:id="349"/>
      <w:r>
        <w:rPr>
          <w:rFonts w:hint="eastAsia" w:ascii="宋体" w:hAnsi="宋体" w:cs="宋体"/>
          <w:snapToGrid w:val="0"/>
          <w:color w:val="auto"/>
          <w:kern w:val="0"/>
          <w:sz w:val="24"/>
          <w:szCs w:val="22"/>
          <w:highlight w:val="none"/>
        </w:rPr>
        <w:t>6、我方理解你方不一定要接纳收到的最低投标总价或任何投标总价的投标人中标，也不要求你方解释我方是否中标的原因。</w:t>
      </w:r>
    </w:p>
    <w:p w14:paraId="7BFEB4DF">
      <w:pPr>
        <w:wordWrap w:val="0"/>
        <w:adjustRightInd w:val="0"/>
        <w:snapToGrid w:val="0"/>
        <w:spacing w:line="440" w:lineRule="exact"/>
        <w:rPr>
          <w:rFonts w:ascii="宋体" w:hAnsi="宋体" w:cs="宋体"/>
          <w:snapToGrid w:val="0"/>
          <w:color w:val="auto"/>
          <w:kern w:val="0"/>
          <w:sz w:val="24"/>
          <w:szCs w:val="22"/>
          <w:highlight w:val="none"/>
        </w:rPr>
      </w:pPr>
    </w:p>
    <w:p w14:paraId="1CBC9D5F">
      <w:pPr>
        <w:wordWrap w:val="0"/>
        <w:adjustRightInd w:val="0"/>
        <w:snapToGrid w:val="0"/>
        <w:spacing w:line="440" w:lineRule="exact"/>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投标人：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（盖单位章）</w:t>
      </w:r>
    </w:p>
    <w:p w14:paraId="733A9C7A">
      <w:pPr>
        <w:wordWrap w:val="0"/>
        <w:adjustRightInd w:val="0"/>
        <w:snapToGrid w:val="0"/>
        <w:spacing w:line="440" w:lineRule="exact"/>
        <w:ind w:firstLine="480" w:firstLineChars="200"/>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法定代表人或其委托代理人：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（签字或盖章）</w:t>
      </w:r>
    </w:p>
    <w:p w14:paraId="200E2433">
      <w:pPr>
        <w:wordWrap w:val="0"/>
        <w:adjustRightInd w:val="0"/>
        <w:snapToGrid w:val="0"/>
        <w:spacing w:line="440" w:lineRule="exact"/>
        <w:jc w:val="lef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月</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日</w:t>
      </w:r>
    </w:p>
    <w:p w14:paraId="431DF6B3">
      <w:pPr>
        <w:rPr>
          <w:rFonts w:ascii="宋体" w:hAnsi="宋体" w:cs="宋体"/>
          <w:color w:val="auto"/>
          <w:highlight w:val="none"/>
        </w:rPr>
      </w:pPr>
    </w:p>
    <w:p w14:paraId="6C70124C">
      <w:pPr>
        <w:rPr>
          <w:rFonts w:ascii="宋体" w:hAnsi="宋体" w:cs="宋体"/>
          <w:color w:val="auto"/>
          <w:highlight w:val="none"/>
        </w:rPr>
      </w:pPr>
    </w:p>
    <w:p w14:paraId="27596206">
      <w:pPr>
        <w:rPr>
          <w:rFonts w:ascii="宋体" w:hAnsi="宋体" w:cs="宋体"/>
          <w:color w:val="auto"/>
          <w:highlight w:val="none"/>
        </w:rPr>
      </w:pPr>
    </w:p>
    <w:p w14:paraId="2C87F438">
      <w:pPr>
        <w:rPr>
          <w:rFonts w:ascii="宋体" w:hAnsi="宋体" w:cs="宋体"/>
          <w:color w:val="auto"/>
          <w:highlight w:val="none"/>
        </w:rPr>
      </w:pPr>
    </w:p>
    <w:p w14:paraId="2E8337A5">
      <w:pPr>
        <w:rPr>
          <w:rFonts w:ascii="宋体" w:hAnsi="宋体" w:cs="宋体"/>
          <w:color w:val="auto"/>
          <w:highlight w:val="none"/>
        </w:rPr>
      </w:pPr>
    </w:p>
    <w:p w14:paraId="3E9965C8">
      <w:pPr>
        <w:rPr>
          <w:rFonts w:ascii="宋体" w:hAnsi="宋体" w:cs="宋体"/>
          <w:color w:val="auto"/>
          <w:highlight w:val="none"/>
        </w:rPr>
      </w:pPr>
    </w:p>
    <w:p w14:paraId="5AEB6782">
      <w:pPr>
        <w:rPr>
          <w:rFonts w:ascii="宋体" w:hAnsi="宋体" w:cs="宋体"/>
          <w:color w:val="auto"/>
          <w:highlight w:val="none"/>
        </w:rPr>
      </w:pPr>
    </w:p>
    <w:p w14:paraId="0B3AF45C">
      <w:pPr>
        <w:rPr>
          <w:rFonts w:ascii="宋体" w:hAnsi="宋体" w:cs="宋体"/>
          <w:color w:val="auto"/>
          <w:highlight w:val="none"/>
        </w:rPr>
        <w:sectPr>
          <w:endnotePr>
            <w:numFmt w:val="decimal"/>
          </w:endnotePr>
          <w:pgSz w:w="11907" w:h="16840"/>
          <w:pgMar w:top="1134" w:right="1134" w:bottom="1134" w:left="1134" w:header="850" w:footer="850" w:gutter="0"/>
          <w:cols w:space="720" w:num="1"/>
          <w:docGrid w:type="lines" w:linePitch="272" w:charSpace="0"/>
        </w:sectPr>
      </w:pPr>
      <w:bookmarkStart w:id="350" w:name="_Toc2099"/>
    </w:p>
    <w:p w14:paraId="087E05CC">
      <w:pPr>
        <w:pStyle w:val="3"/>
        <w:wordWrap w:val="0"/>
        <w:autoSpaceDE/>
        <w:autoSpaceDN/>
        <w:snapToGrid w:val="0"/>
        <w:spacing w:line="480" w:lineRule="auto"/>
        <w:jc w:val="both"/>
        <w:rPr>
          <w:rStyle w:val="39"/>
          <w:rFonts w:ascii="宋体" w:hAnsi="宋体" w:cs="宋体"/>
          <w:b/>
          <w:bCs/>
          <w:color w:val="auto"/>
          <w:sz w:val="24"/>
          <w:szCs w:val="22"/>
          <w:highlight w:val="none"/>
        </w:rPr>
      </w:pPr>
      <w:bookmarkStart w:id="351" w:name="_Toc19668"/>
      <w:r>
        <w:rPr>
          <w:rFonts w:hint="eastAsia" w:ascii="宋体" w:hAnsi="宋体" w:cs="宋体"/>
          <w:b/>
          <w:snapToGrid w:val="0"/>
          <w:color w:val="auto"/>
          <w:sz w:val="24"/>
          <w:highlight w:val="none"/>
        </w:rPr>
        <w:t>格式三   工程项目报价表</w:t>
      </w:r>
      <w:bookmarkEnd w:id="350"/>
      <w:bookmarkEnd w:id="351"/>
    </w:p>
    <w:p w14:paraId="36BA9B10">
      <w:pPr>
        <w:wordWrap w:val="0"/>
        <w:adjustRightInd w:val="0"/>
        <w:snapToGrid w:val="0"/>
        <w:jc w:val="center"/>
        <w:rPr>
          <w:rFonts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rPr>
        <w:t>工程项目报价表</w:t>
      </w:r>
    </w:p>
    <w:p w14:paraId="1DF42D37">
      <w:pPr>
        <w:rPr>
          <w:rFonts w:ascii="宋体" w:hAnsi="宋体" w:cs="宋体"/>
          <w:color w:val="auto"/>
          <w:highlight w:val="none"/>
        </w:rPr>
      </w:pPr>
    </w:p>
    <w:tbl>
      <w:tblPr>
        <w:tblStyle w:val="17"/>
        <w:tblW w:w="11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2154"/>
        <w:gridCol w:w="2352"/>
        <w:gridCol w:w="2352"/>
        <w:gridCol w:w="3095"/>
      </w:tblGrid>
      <w:tr w14:paraId="359C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57" w:type="dxa"/>
            <w:vAlign w:val="center"/>
          </w:tcPr>
          <w:p w14:paraId="6F322C4B">
            <w:pPr>
              <w:pStyle w:val="25"/>
              <w:spacing w:line="288" w:lineRule="auto"/>
              <w:jc w:val="center"/>
              <w:rPr>
                <w:rFonts w:hAnsi="宋体" w:cs="宋体"/>
                <w:color w:val="auto"/>
                <w:szCs w:val="24"/>
                <w:highlight w:val="none"/>
              </w:rPr>
            </w:pPr>
            <w:r>
              <w:rPr>
                <w:rFonts w:hint="eastAsia" w:hAnsi="宋体" w:cs="宋体"/>
                <w:color w:val="auto"/>
                <w:szCs w:val="24"/>
                <w:highlight w:val="none"/>
              </w:rPr>
              <w:t>序号</w:t>
            </w:r>
          </w:p>
        </w:tc>
        <w:tc>
          <w:tcPr>
            <w:tcW w:w="2154" w:type="dxa"/>
            <w:vAlign w:val="center"/>
          </w:tcPr>
          <w:p w14:paraId="42EA88A5">
            <w:pPr>
              <w:pStyle w:val="25"/>
              <w:spacing w:line="288" w:lineRule="auto"/>
              <w:jc w:val="center"/>
              <w:rPr>
                <w:rFonts w:hAnsi="宋体" w:cs="宋体"/>
                <w:color w:val="auto"/>
                <w:szCs w:val="24"/>
                <w:highlight w:val="none"/>
              </w:rPr>
            </w:pPr>
            <w:r>
              <w:rPr>
                <w:rFonts w:hint="eastAsia" w:hAnsi="宋体" w:cs="宋体"/>
                <w:color w:val="auto"/>
                <w:szCs w:val="24"/>
                <w:highlight w:val="none"/>
              </w:rPr>
              <w:t>项目名称</w:t>
            </w:r>
          </w:p>
        </w:tc>
        <w:tc>
          <w:tcPr>
            <w:tcW w:w="2352" w:type="dxa"/>
            <w:vAlign w:val="center"/>
          </w:tcPr>
          <w:p w14:paraId="60CF909A">
            <w:pPr>
              <w:pStyle w:val="25"/>
              <w:spacing w:line="288" w:lineRule="auto"/>
              <w:jc w:val="center"/>
              <w:rPr>
                <w:rFonts w:hAnsi="宋体" w:cs="宋体"/>
                <w:snapToGrid w:val="0"/>
                <w:color w:val="auto"/>
                <w:kern w:val="0"/>
                <w:szCs w:val="22"/>
                <w:highlight w:val="none"/>
              </w:rPr>
            </w:pPr>
            <w:r>
              <w:rPr>
                <w:rFonts w:hint="eastAsia" w:hAnsi="宋体" w:cs="宋体"/>
                <w:snapToGrid w:val="0"/>
                <w:color w:val="auto"/>
                <w:kern w:val="0"/>
                <w:szCs w:val="22"/>
                <w:highlight w:val="none"/>
              </w:rPr>
              <w:t>投标下浮率</w:t>
            </w:r>
          </w:p>
        </w:tc>
        <w:tc>
          <w:tcPr>
            <w:tcW w:w="2352" w:type="dxa"/>
            <w:vAlign w:val="center"/>
          </w:tcPr>
          <w:p w14:paraId="0ED0CE17">
            <w:pPr>
              <w:pStyle w:val="25"/>
              <w:spacing w:line="288" w:lineRule="auto"/>
              <w:jc w:val="center"/>
              <w:rPr>
                <w:rFonts w:hAnsi="宋体" w:cs="宋体"/>
                <w:color w:val="auto"/>
                <w:szCs w:val="24"/>
                <w:highlight w:val="none"/>
              </w:rPr>
            </w:pPr>
            <w:r>
              <w:rPr>
                <w:rFonts w:hint="eastAsia" w:hAnsi="宋体" w:cs="宋体"/>
                <w:snapToGrid w:val="0"/>
                <w:color w:val="auto"/>
                <w:kern w:val="0"/>
                <w:szCs w:val="22"/>
                <w:highlight w:val="none"/>
              </w:rPr>
              <w:t>投标报价（元）</w:t>
            </w:r>
          </w:p>
        </w:tc>
        <w:tc>
          <w:tcPr>
            <w:tcW w:w="3095" w:type="dxa"/>
            <w:vAlign w:val="center"/>
          </w:tcPr>
          <w:p w14:paraId="65751F38">
            <w:pPr>
              <w:pStyle w:val="25"/>
              <w:spacing w:line="288" w:lineRule="auto"/>
              <w:jc w:val="center"/>
              <w:rPr>
                <w:rFonts w:hAnsi="宋体" w:cs="宋体"/>
                <w:color w:val="auto"/>
                <w:szCs w:val="24"/>
                <w:highlight w:val="none"/>
              </w:rPr>
            </w:pPr>
            <w:r>
              <w:rPr>
                <w:rFonts w:hint="eastAsia" w:hAnsi="宋体" w:cs="宋体"/>
                <w:color w:val="auto"/>
                <w:szCs w:val="24"/>
                <w:highlight w:val="none"/>
              </w:rPr>
              <w:t>备注</w:t>
            </w:r>
          </w:p>
        </w:tc>
      </w:tr>
      <w:tr w14:paraId="4C86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157" w:type="dxa"/>
            <w:vAlign w:val="center"/>
          </w:tcPr>
          <w:p w14:paraId="7B2B1701">
            <w:pPr>
              <w:pStyle w:val="25"/>
              <w:spacing w:line="288" w:lineRule="auto"/>
              <w:jc w:val="center"/>
              <w:rPr>
                <w:rFonts w:hAnsi="宋体" w:cs="宋体"/>
                <w:color w:val="auto"/>
                <w:szCs w:val="24"/>
                <w:highlight w:val="none"/>
              </w:rPr>
            </w:pPr>
            <w:r>
              <w:rPr>
                <w:rFonts w:hint="eastAsia" w:hAnsi="宋体" w:cs="宋体"/>
                <w:color w:val="auto"/>
                <w:szCs w:val="24"/>
                <w:highlight w:val="none"/>
              </w:rPr>
              <w:t>1</w:t>
            </w:r>
          </w:p>
        </w:tc>
        <w:tc>
          <w:tcPr>
            <w:tcW w:w="2154" w:type="dxa"/>
            <w:vAlign w:val="center"/>
          </w:tcPr>
          <w:p w14:paraId="4D32DD6B">
            <w:pPr>
              <w:pStyle w:val="25"/>
              <w:spacing w:line="288" w:lineRule="auto"/>
              <w:jc w:val="center"/>
              <w:rPr>
                <w:rFonts w:hAnsi="宋体" w:cs="宋体"/>
                <w:color w:val="auto"/>
                <w:szCs w:val="24"/>
                <w:highlight w:val="none"/>
              </w:rPr>
            </w:pPr>
            <w:r>
              <w:rPr>
                <w:rFonts w:hint="eastAsia" w:hAnsi="宋体" w:cs="宋体"/>
                <w:color w:val="auto"/>
                <w:szCs w:val="24"/>
                <w:highlight w:val="none"/>
              </w:rPr>
              <w:t>设计费</w:t>
            </w:r>
          </w:p>
        </w:tc>
        <w:tc>
          <w:tcPr>
            <w:tcW w:w="2352" w:type="dxa"/>
            <w:vAlign w:val="center"/>
          </w:tcPr>
          <w:p w14:paraId="1A0FE047">
            <w:pPr>
              <w:pStyle w:val="25"/>
              <w:spacing w:line="288" w:lineRule="auto"/>
              <w:jc w:val="center"/>
              <w:rPr>
                <w:rFonts w:hint="default" w:hAnsi="宋体" w:eastAsia="宋体" w:cs="宋体"/>
                <w:color w:val="auto"/>
                <w:szCs w:val="24"/>
                <w:highlight w:val="none"/>
                <w:u w:val="single"/>
                <w:lang w:val="en-US" w:eastAsia="zh-CN"/>
              </w:rPr>
            </w:pPr>
            <w:r>
              <w:rPr>
                <w:rFonts w:hint="eastAsia" w:hAnsi="宋体" w:cs="宋体"/>
                <w:color w:val="auto"/>
                <w:szCs w:val="24"/>
                <w:highlight w:val="none"/>
                <w:u w:val="single"/>
                <w:lang w:val="en-US" w:eastAsia="zh-CN"/>
              </w:rPr>
              <w:t xml:space="preserve">     %</w:t>
            </w:r>
          </w:p>
        </w:tc>
        <w:tc>
          <w:tcPr>
            <w:tcW w:w="2352" w:type="dxa"/>
            <w:vAlign w:val="center"/>
          </w:tcPr>
          <w:p w14:paraId="4BB3607C">
            <w:pPr>
              <w:pStyle w:val="25"/>
              <w:spacing w:line="288" w:lineRule="auto"/>
              <w:jc w:val="center"/>
              <w:rPr>
                <w:rFonts w:hAnsi="宋体" w:cs="宋体"/>
                <w:color w:val="auto"/>
                <w:szCs w:val="24"/>
                <w:highlight w:val="none"/>
              </w:rPr>
            </w:pPr>
          </w:p>
        </w:tc>
        <w:tc>
          <w:tcPr>
            <w:tcW w:w="3095" w:type="dxa"/>
            <w:vAlign w:val="center"/>
          </w:tcPr>
          <w:p w14:paraId="7B3A2B2F">
            <w:pPr>
              <w:pStyle w:val="25"/>
              <w:spacing w:line="288" w:lineRule="auto"/>
              <w:jc w:val="center"/>
              <w:rPr>
                <w:rFonts w:hAnsi="宋体" w:cs="宋体"/>
                <w:color w:val="auto"/>
                <w:szCs w:val="24"/>
                <w:highlight w:val="none"/>
              </w:rPr>
            </w:pPr>
          </w:p>
        </w:tc>
      </w:tr>
      <w:tr w14:paraId="4409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311" w:type="dxa"/>
            <w:gridSpan w:val="2"/>
            <w:vAlign w:val="center"/>
          </w:tcPr>
          <w:p w14:paraId="4C3EEC55">
            <w:pPr>
              <w:pStyle w:val="25"/>
              <w:spacing w:line="288" w:lineRule="auto"/>
              <w:jc w:val="center"/>
              <w:rPr>
                <w:rFonts w:hAnsi="宋体" w:cs="宋体"/>
                <w:color w:val="auto"/>
                <w:szCs w:val="24"/>
                <w:highlight w:val="none"/>
              </w:rPr>
            </w:pPr>
            <w:r>
              <w:rPr>
                <w:rFonts w:hint="eastAsia" w:hAnsi="宋体" w:cs="宋体"/>
                <w:color w:val="auto"/>
                <w:szCs w:val="24"/>
                <w:highlight w:val="none"/>
              </w:rPr>
              <w:t>合计</w:t>
            </w:r>
          </w:p>
        </w:tc>
        <w:tc>
          <w:tcPr>
            <w:tcW w:w="2352" w:type="dxa"/>
            <w:vAlign w:val="center"/>
          </w:tcPr>
          <w:p w14:paraId="2762A2FC">
            <w:pPr>
              <w:pStyle w:val="25"/>
              <w:spacing w:line="288" w:lineRule="auto"/>
              <w:jc w:val="center"/>
              <w:rPr>
                <w:rFonts w:hAnsi="宋体" w:cs="宋体"/>
                <w:color w:val="auto"/>
                <w:szCs w:val="24"/>
                <w:highlight w:val="none"/>
              </w:rPr>
            </w:pPr>
          </w:p>
        </w:tc>
        <w:tc>
          <w:tcPr>
            <w:tcW w:w="2352" w:type="dxa"/>
            <w:vAlign w:val="center"/>
          </w:tcPr>
          <w:p w14:paraId="674B1AEC">
            <w:pPr>
              <w:pStyle w:val="25"/>
              <w:spacing w:line="288" w:lineRule="auto"/>
              <w:jc w:val="center"/>
              <w:rPr>
                <w:rFonts w:hAnsi="宋体" w:cs="宋体"/>
                <w:color w:val="auto"/>
                <w:szCs w:val="24"/>
                <w:highlight w:val="none"/>
              </w:rPr>
            </w:pPr>
          </w:p>
        </w:tc>
        <w:tc>
          <w:tcPr>
            <w:tcW w:w="3095" w:type="dxa"/>
            <w:vAlign w:val="center"/>
          </w:tcPr>
          <w:p w14:paraId="0530F521">
            <w:pPr>
              <w:pStyle w:val="25"/>
              <w:spacing w:line="288" w:lineRule="auto"/>
              <w:jc w:val="center"/>
              <w:rPr>
                <w:rFonts w:hAnsi="宋体" w:cs="宋体"/>
                <w:color w:val="auto"/>
                <w:szCs w:val="24"/>
                <w:highlight w:val="none"/>
              </w:rPr>
            </w:pPr>
          </w:p>
        </w:tc>
      </w:tr>
    </w:tbl>
    <w:p w14:paraId="2CBF2AC0">
      <w:pPr>
        <w:pStyle w:val="25"/>
        <w:spacing w:line="288" w:lineRule="auto"/>
        <w:ind w:firstLine="480" w:firstLineChars="200"/>
        <w:rPr>
          <w:rFonts w:hAnsi="宋体" w:cs="宋体"/>
          <w:color w:val="auto"/>
          <w:szCs w:val="24"/>
          <w:highlight w:val="none"/>
        </w:rPr>
      </w:pPr>
      <w:r>
        <w:rPr>
          <w:rFonts w:hint="eastAsia" w:hAnsi="宋体" w:cs="宋体"/>
          <w:color w:val="auto"/>
          <w:szCs w:val="24"/>
          <w:highlight w:val="none"/>
        </w:rPr>
        <w:t>备注：1、投标报价超过最高投标限价为无效报价。</w:t>
      </w:r>
    </w:p>
    <w:p w14:paraId="76F849CD">
      <w:pPr>
        <w:pStyle w:val="25"/>
        <w:spacing w:line="288" w:lineRule="auto"/>
        <w:ind w:firstLine="480" w:firstLineChars="200"/>
        <w:rPr>
          <w:rFonts w:hAnsi="宋体" w:cs="宋体"/>
          <w:color w:val="auto"/>
          <w:szCs w:val="24"/>
          <w:highlight w:val="none"/>
        </w:rPr>
      </w:pPr>
      <w:r>
        <w:rPr>
          <w:rFonts w:hint="eastAsia" w:hAnsi="宋体" w:cs="宋体"/>
          <w:color w:val="auto"/>
          <w:szCs w:val="24"/>
          <w:highlight w:val="none"/>
        </w:rPr>
        <w:t>2、投标报价及投标下浮率均按“四舍五入”原则精确到两位小数。</w:t>
      </w:r>
    </w:p>
    <w:p w14:paraId="29189768">
      <w:pPr>
        <w:pStyle w:val="25"/>
        <w:spacing w:line="288" w:lineRule="auto"/>
        <w:ind w:firstLine="480" w:firstLineChars="200"/>
        <w:rPr>
          <w:rFonts w:hAnsi="宋体" w:cs="宋体"/>
          <w:color w:val="auto"/>
          <w:szCs w:val="24"/>
          <w:highlight w:val="none"/>
        </w:rPr>
      </w:pPr>
      <w:r>
        <w:rPr>
          <w:rFonts w:hint="eastAsia" w:hAnsi="宋体" w:cs="宋体"/>
          <w:color w:val="auto"/>
          <w:szCs w:val="24"/>
          <w:highlight w:val="none"/>
        </w:rPr>
        <w:t>3、以上投标报价均为含税报价（增值税）。</w:t>
      </w:r>
    </w:p>
    <w:p w14:paraId="4DCF7B6C">
      <w:pPr>
        <w:rPr>
          <w:rFonts w:ascii="宋体" w:hAnsi="宋体" w:cs="宋体"/>
          <w:color w:val="auto"/>
          <w:highlight w:val="none"/>
        </w:rPr>
      </w:pPr>
    </w:p>
    <w:p w14:paraId="54B52FB3">
      <w:pPr>
        <w:rPr>
          <w:rFonts w:ascii="宋体" w:hAnsi="宋体" w:cs="宋体"/>
          <w:color w:val="auto"/>
          <w:highlight w:val="none"/>
        </w:rPr>
      </w:pPr>
    </w:p>
    <w:p w14:paraId="4B4BAF6C">
      <w:pPr>
        <w:rPr>
          <w:rFonts w:ascii="宋体" w:hAnsi="宋体" w:cs="宋体"/>
          <w:color w:val="auto"/>
          <w:highlight w:val="none"/>
        </w:rPr>
      </w:pPr>
    </w:p>
    <w:p w14:paraId="13AEEC7A">
      <w:pPr>
        <w:rPr>
          <w:rFonts w:ascii="宋体" w:hAnsi="宋体" w:cs="宋体"/>
          <w:color w:val="auto"/>
          <w:highlight w:val="none"/>
        </w:rPr>
      </w:pPr>
    </w:p>
    <w:p w14:paraId="3ED2552D">
      <w:pPr>
        <w:wordWrap w:val="0"/>
        <w:adjustRightInd w:val="0"/>
        <w:snapToGrid w:val="0"/>
        <w:spacing w:line="440" w:lineRule="exact"/>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投标人：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（盖单位章）</w:t>
      </w:r>
    </w:p>
    <w:p w14:paraId="12B5E2F9">
      <w:pPr>
        <w:wordWrap w:val="0"/>
        <w:adjustRightInd w:val="0"/>
        <w:snapToGrid w:val="0"/>
        <w:spacing w:line="440" w:lineRule="exact"/>
        <w:ind w:firstLine="480" w:firstLineChars="200"/>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法定代表人或其委托代理人：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（签字或盖章）</w:t>
      </w:r>
    </w:p>
    <w:p w14:paraId="130F515F">
      <w:pPr>
        <w:wordWrap w:val="0"/>
        <w:adjustRightInd w:val="0"/>
        <w:snapToGrid w:val="0"/>
        <w:spacing w:line="440" w:lineRule="exact"/>
        <w:jc w:val="lef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月</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日</w:t>
      </w:r>
    </w:p>
    <w:p w14:paraId="4C1F8C5E">
      <w:pPr>
        <w:rPr>
          <w:rFonts w:ascii="宋体" w:hAnsi="宋体" w:cs="宋体"/>
          <w:color w:val="auto"/>
          <w:highlight w:val="none"/>
        </w:rPr>
      </w:pPr>
    </w:p>
    <w:p w14:paraId="3367AB00">
      <w:pPr>
        <w:rPr>
          <w:rFonts w:ascii="宋体" w:hAnsi="宋体" w:cs="宋体"/>
          <w:color w:val="auto"/>
          <w:highlight w:val="none"/>
        </w:rPr>
      </w:pPr>
    </w:p>
    <w:p w14:paraId="7C9949DC">
      <w:pPr>
        <w:rPr>
          <w:rFonts w:ascii="宋体" w:hAnsi="宋体" w:cs="宋体"/>
          <w:color w:val="auto"/>
          <w:highlight w:val="none"/>
        </w:rPr>
      </w:pPr>
    </w:p>
    <w:p w14:paraId="4A772E8F">
      <w:pPr>
        <w:rPr>
          <w:rFonts w:ascii="宋体" w:hAnsi="宋体" w:cs="宋体"/>
          <w:color w:val="auto"/>
          <w:highlight w:val="none"/>
        </w:rPr>
      </w:pPr>
    </w:p>
    <w:p w14:paraId="1608E5BF">
      <w:pPr>
        <w:rPr>
          <w:rFonts w:ascii="宋体" w:hAnsi="宋体" w:cs="宋体"/>
          <w:color w:val="auto"/>
          <w:highlight w:val="none"/>
        </w:rPr>
      </w:pPr>
    </w:p>
    <w:p w14:paraId="78C1AA20">
      <w:pPr>
        <w:rPr>
          <w:rFonts w:ascii="宋体" w:hAnsi="宋体" w:cs="宋体"/>
          <w:color w:val="auto"/>
          <w:highlight w:val="none"/>
        </w:rPr>
      </w:pPr>
    </w:p>
    <w:p w14:paraId="16EC37ED">
      <w:pPr>
        <w:rPr>
          <w:rFonts w:ascii="宋体" w:hAnsi="宋体" w:cs="宋体"/>
          <w:color w:val="auto"/>
          <w:highlight w:val="none"/>
        </w:rPr>
      </w:pPr>
    </w:p>
    <w:p w14:paraId="2EE371F3">
      <w:pPr>
        <w:pStyle w:val="3"/>
        <w:wordWrap w:val="0"/>
        <w:autoSpaceDE/>
        <w:autoSpaceDN/>
        <w:snapToGrid w:val="0"/>
        <w:spacing w:line="480" w:lineRule="auto"/>
        <w:jc w:val="both"/>
        <w:rPr>
          <w:rFonts w:hint="eastAsia" w:ascii="宋体" w:hAnsi="宋体" w:cs="宋体"/>
          <w:b/>
          <w:snapToGrid w:val="0"/>
          <w:color w:val="auto"/>
          <w:sz w:val="24"/>
          <w:highlight w:val="none"/>
        </w:rPr>
        <w:sectPr>
          <w:endnotePr>
            <w:numFmt w:val="decimal"/>
          </w:endnotePr>
          <w:pgSz w:w="11907" w:h="16840"/>
          <w:pgMar w:top="1134" w:right="1134" w:bottom="1134" w:left="1134" w:header="850" w:footer="850" w:gutter="0"/>
          <w:cols w:space="720" w:num="1"/>
          <w:docGrid w:type="lines" w:linePitch="272" w:charSpace="0"/>
        </w:sectPr>
      </w:pPr>
      <w:bookmarkStart w:id="352" w:name="_Toc30990"/>
      <w:bookmarkStart w:id="353" w:name="_Toc71813718"/>
      <w:bookmarkStart w:id="354" w:name="_Toc71811328"/>
      <w:bookmarkStart w:id="355" w:name="_Toc71811195"/>
      <w:bookmarkStart w:id="356" w:name="_Toc5692"/>
      <w:bookmarkStart w:id="357" w:name="_Toc10872"/>
    </w:p>
    <w:p w14:paraId="016EDA32">
      <w:pPr>
        <w:pStyle w:val="3"/>
        <w:wordWrap w:val="0"/>
        <w:autoSpaceDE/>
        <w:autoSpaceDN/>
        <w:snapToGrid w:val="0"/>
        <w:spacing w:line="480" w:lineRule="auto"/>
        <w:jc w:val="both"/>
        <w:rPr>
          <w:rFonts w:ascii="宋体" w:hAnsi="宋体" w:cs="宋体"/>
          <w:b/>
          <w:snapToGrid w:val="0"/>
          <w:color w:val="auto"/>
          <w:sz w:val="24"/>
          <w:highlight w:val="none"/>
        </w:rPr>
      </w:pPr>
      <w:r>
        <w:rPr>
          <w:rFonts w:hint="eastAsia" w:ascii="宋体" w:hAnsi="宋体" w:cs="宋体"/>
          <w:b/>
          <w:snapToGrid w:val="0"/>
          <w:color w:val="auto"/>
          <w:sz w:val="24"/>
          <w:highlight w:val="none"/>
        </w:rPr>
        <w:t>格式</w:t>
      </w:r>
      <w:bookmarkEnd w:id="352"/>
      <w:bookmarkEnd w:id="353"/>
      <w:bookmarkEnd w:id="354"/>
      <w:bookmarkEnd w:id="355"/>
      <w:r>
        <w:rPr>
          <w:rFonts w:hint="eastAsia" w:ascii="宋体" w:hAnsi="宋体" w:cs="宋体"/>
          <w:b/>
          <w:snapToGrid w:val="0"/>
          <w:color w:val="auto"/>
          <w:sz w:val="24"/>
          <w:highlight w:val="none"/>
        </w:rPr>
        <w:t>四   各项承诺一览表</w:t>
      </w:r>
      <w:bookmarkEnd w:id="356"/>
      <w:bookmarkEnd w:id="357"/>
    </w:p>
    <w:p w14:paraId="13201AD0">
      <w:pPr>
        <w:spacing w:before="100" w:after="100" w:line="38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各项承诺一览表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597"/>
        <w:gridCol w:w="3215"/>
        <w:gridCol w:w="4005"/>
      </w:tblGrid>
      <w:tr w14:paraId="2959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791" w:type="dxa"/>
          </w:tcPr>
          <w:p w14:paraId="7C9CFBF5">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597" w:type="dxa"/>
          </w:tcPr>
          <w:p w14:paraId="07DC9146">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承诺标题</w:t>
            </w:r>
          </w:p>
        </w:tc>
        <w:tc>
          <w:tcPr>
            <w:tcW w:w="3215" w:type="dxa"/>
          </w:tcPr>
          <w:p w14:paraId="612D6C2F">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承诺内容</w:t>
            </w:r>
          </w:p>
        </w:tc>
        <w:tc>
          <w:tcPr>
            <w:tcW w:w="4005" w:type="dxa"/>
            <w:tcBorders>
              <w:bottom w:val="single" w:color="auto" w:sz="4" w:space="0"/>
            </w:tcBorders>
          </w:tcPr>
          <w:p w14:paraId="771956F7">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违约承诺</w:t>
            </w:r>
          </w:p>
        </w:tc>
      </w:tr>
      <w:tr w14:paraId="0330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jc w:val="center"/>
        </w:trPr>
        <w:tc>
          <w:tcPr>
            <w:tcW w:w="791" w:type="dxa"/>
            <w:vAlign w:val="center"/>
          </w:tcPr>
          <w:p w14:paraId="7FC5B23D">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97" w:type="dxa"/>
            <w:vAlign w:val="center"/>
          </w:tcPr>
          <w:p w14:paraId="7E702CC6">
            <w:pPr>
              <w:pStyle w:val="9"/>
              <w:adjustRightInd w:val="0"/>
              <w:snapToGrid w:val="0"/>
              <w:spacing w:line="3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对招标文件条款自愿接受承诺</w:t>
            </w:r>
          </w:p>
        </w:tc>
        <w:tc>
          <w:tcPr>
            <w:tcW w:w="3215" w:type="dxa"/>
            <w:vAlign w:val="center"/>
          </w:tcPr>
          <w:p w14:paraId="752CF89F">
            <w:pPr>
              <w:pStyle w:val="9"/>
              <w:adjustRightInd w:val="0"/>
              <w:snapToGrid w:val="0"/>
              <w:spacing w:line="36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  我方保证接受招标文件的所有条款，响应招标文件的</w:t>
            </w:r>
            <w:bookmarkStart w:id="358" w:name="_Hlt66510765"/>
            <w:bookmarkEnd w:id="358"/>
            <w:r>
              <w:rPr>
                <w:rFonts w:hint="eastAsia" w:ascii="宋体" w:hAnsi="宋体" w:cs="宋体"/>
                <w:color w:val="auto"/>
                <w:szCs w:val="21"/>
                <w:highlight w:val="none"/>
              </w:rPr>
              <w:t>所有要求。</w:t>
            </w:r>
          </w:p>
        </w:tc>
        <w:tc>
          <w:tcPr>
            <w:tcW w:w="4005" w:type="dxa"/>
            <w:tcBorders>
              <w:tr2bl w:val="single" w:color="auto" w:sz="4" w:space="0"/>
            </w:tcBorders>
            <w:vAlign w:val="center"/>
          </w:tcPr>
          <w:p w14:paraId="0C542C41">
            <w:pPr>
              <w:pStyle w:val="9"/>
              <w:adjustRightInd w:val="0"/>
              <w:snapToGrid w:val="0"/>
              <w:spacing w:line="360" w:lineRule="exact"/>
              <w:ind w:firstLine="420"/>
              <w:rPr>
                <w:rFonts w:ascii="宋体" w:hAnsi="宋体" w:cs="宋体"/>
                <w:color w:val="auto"/>
                <w:szCs w:val="21"/>
                <w:highlight w:val="none"/>
              </w:rPr>
            </w:pPr>
          </w:p>
        </w:tc>
      </w:tr>
      <w:tr w14:paraId="1629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1" w:type="dxa"/>
            <w:vAlign w:val="center"/>
          </w:tcPr>
          <w:p w14:paraId="4F2A85A1">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597" w:type="dxa"/>
            <w:vAlign w:val="center"/>
          </w:tcPr>
          <w:p w14:paraId="74B7BB5C">
            <w:pPr>
              <w:pStyle w:val="9"/>
              <w:adjustRightInd w:val="0"/>
              <w:snapToGrid w:val="0"/>
              <w:spacing w:line="36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无禁止投标情形的承诺</w:t>
            </w:r>
          </w:p>
        </w:tc>
        <w:tc>
          <w:tcPr>
            <w:tcW w:w="3215" w:type="dxa"/>
            <w:vAlign w:val="center"/>
          </w:tcPr>
          <w:p w14:paraId="74AF6AA7">
            <w:pPr>
              <w:pStyle w:val="9"/>
              <w:adjustRightInd w:val="0"/>
              <w:snapToGrid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我方不存在招标文件第一章第三节第4.4条“禁止投标条款”规定的任何一种情形。</w:t>
            </w:r>
          </w:p>
        </w:tc>
        <w:tc>
          <w:tcPr>
            <w:tcW w:w="4005" w:type="dxa"/>
            <w:vAlign w:val="center"/>
          </w:tcPr>
          <w:p w14:paraId="5DC5C660">
            <w:pPr>
              <w:pStyle w:val="9"/>
              <w:adjustRightInd w:val="0"/>
              <w:snapToGrid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如果我方有招标文件第一章第三节第4.4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11A9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6" w:hRule="atLeast"/>
          <w:jc w:val="center"/>
        </w:trPr>
        <w:tc>
          <w:tcPr>
            <w:tcW w:w="791" w:type="dxa"/>
            <w:vAlign w:val="center"/>
          </w:tcPr>
          <w:p w14:paraId="5D607CD2">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597" w:type="dxa"/>
            <w:vAlign w:val="center"/>
          </w:tcPr>
          <w:p w14:paraId="5D6236AA">
            <w:pPr>
              <w:pStyle w:val="9"/>
              <w:adjustRightInd w:val="0"/>
              <w:snapToGrid w:val="0"/>
              <w:spacing w:line="440" w:lineRule="exact"/>
              <w:ind w:firstLine="0" w:firstLineChars="0"/>
              <w:rPr>
                <w:rFonts w:ascii="宋体" w:hAnsi="宋体" w:cs="宋体"/>
                <w:color w:val="auto"/>
                <w:szCs w:val="21"/>
                <w:highlight w:val="none"/>
              </w:rPr>
            </w:pPr>
            <w:r>
              <w:rPr>
                <w:rFonts w:hint="eastAsia" w:ascii="宋体" w:hAnsi="宋体" w:cs="宋体"/>
                <w:color w:val="auto"/>
                <w:szCs w:val="24"/>
                <w:highlight w:val="none"/>
              </w:rPr>
              <w:t>履约保证承诺</w:t>
            </w:r>
          </w:p>
        </w:tc>
        <w:tc>
          <w:tcPr>
            <w:tcW w:w="3215" w:type="dxa"/>
            <w:vAlign w:val="center"/>
          </w:tcPr>
          <w:p w14:paraId="0FB35EF4">
            <w:pPr>
              <w:pStyle w:val="9"/>
              <w:adjustRightInd w:val="0"/>
              <w:snapToGrid w:val="0"/>
              <w:spacing w:line="440" w:lineRule="exact"/>
              <w:ind w:firstLine="0" w:firstLineChars="0"/>
              <w:rPr>
                <w:rFonts w:ascii="宋体" w:hAnsi="宋体" w:cs="宋体"/>
                <w:color w:val="auto"/>
                <w:szCs w:val="21"/>
                <w:highlight w:val="none"/>
              </w:rPr>
            </w:pPr>
            <w:r>
              <w:rPr>
                <w:rFonts w:hint="eastAsia" w:ascii="宋体" w:hAnsi="宋体" w:cs="宋体"/>
                <w:color w:val="auto"/>
                <w:szCs w:val="24"/>
                <w:highlight w:val="none"/>
              </w:rPr>
              <w:t xml:space="preserve">  我方保证按时缴纳全部履约保证。</w:t>
            </w:r>
          </w:p>
        </w:tc>
        <w:tc>
          <w:tcPr>
            <w:tcW w:w="4005" w:type="dxa"/>
            <w:vAlign w:val="center"/>
          </w:tcPr>
          <w:p w14:paraId="11DC3430">
            <w:pPr>
              <w:pStyle w:val="9"/>
              <w:adjustRightInd w:val="0"/>
              <w:snapToGrid w:val="0"/>
              <w:spacing w:line="440" w:lineRule="exact"/>
              <w:ind w:firstLine="420"/>
              <w:rPr>
                <w:rFonts w:ascii="宋体" w:hAnsi="宋体" w:cs="宋体"/>
                <w:color w:val="auto"/>
                <w:szCs w:val="21"/>
                <w:highlight w:val="none"/>
              </w:rPr>
            </w:pPr>
            <w:r>
              <w:rPr>
                <w:rFonts w:hint="eastAsia" w:ascii="宋体" w:hAnsi="宋体" w:cs="宋体"/>
                <w:color w:val="auto"/>
                <w:szCs w:val="24"/>
                <w:highlight w:val="none"/>
              </w:rPr>
              <w:t>在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2655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791" w:type="dxa"/>
            <w:vAlign w:val="center"/>
          </w:tcPr>
          <w:p w14:paraId="315F6367">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597" w:type="dxa"/>
            <w:vAlign w:val="center"/>
          </w:tcPr>
          <w:p w14:paraId="33D66651">
            <w:pPr>
              <w:pStyle w:val="9"/>
              <w:adjustRightInd w:val="0"/>
              <w:snapToGrid w:val="0"/>
              <w:spacing w:line="36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工期、进度承诺</w:t>
            </w:r>
          </w:p>
        </w:tc>
        <w:tc>
          <w:tcPr>
            <w:tcW w:w="3215" w:type="dxa"/>
            <w:vAlign w:val="center"/>
          </w:tcPr>
          <w:p w14:paraId="27B0FA05">
            <w:pPr>
              <w:pStyle w:val="9"/>
              <w:adjustRightInd w:val="0"/>
              <w:snapToGrid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我方保证在与招标人签定设计合同后壹天内开工，并在招标文件规定要求的设计工期内完成全部招标工程。</w:t>
            </w:r>
          </w:p>
          <w:p w14:paraId="43B496C7">
            <w:pPr>
              <w:pStyle w:val="9"/>
              <w:adjustRightInd w:val="0"/>
              <w:snapToGrid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我方保证按我方投标文件中的设计进度计划完成设计任务。</w:t>
            </w:r>
          </w:p>
        </w:tc>
        <w:tc>
          <w:tcPr>
            <w:tcW w:w="4005" w:type="dxa"/>
            <w:vAlign w:val="center"/>
          </w:tcPr>
          <w:p w14:paraId="2141943D">
            <w:pPr>
              <w:pStyle w:val="9"/>
              <w:adjustRightInd w:val="0"/>
              <w:snapToGrid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若因我方原因，设计没有按期完成时，我方须在逾期第壹天起每天按 合同价款的1‰向招标人返纳逾期违约金。</w:t>
            </w:r>
          </w:p>
          <w:p w14:paraId="7BA5FC94">
            <w:pPr>
              <w:pStyle w:val="9"/>
              <w:adjustRightInd w:val="0"/>
              <w:snapToGrid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若因我方原因，设计的进度未能按我方投标文件中的设计进度计划完成设计任务，延期达到30日历天，招标人有权终止合同。我方愿意承担所有由此引起的责任及经济损失。</w:t>
            </w:r>
          </w:p>
        </w:tc>
      </w:tr>
      <w:tr w14:paraId="1F9F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3" w:hRule="atLeast"/>
          <w:jc w:val="center"/>
        </w:trPr>
        <w:tc>
          <w:tcPr>
            <w:tcW w:w="791" w:type="dxa"/>
            <w:vAlign w:val="center"/>
          </w:tcPr>
          <w:p w14:paraId="76A9F1BF">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597" w:type="dxa"/>
            <w:vAlign w:val="center"/>
          </w:tcPr>
          <w:p w14:paraId="736B535C">
            <w:pPr>
              <w:pStyle w:val="40"/>
              <w:spacing w:line="440" w:lineRule="exact"/>
              <w:rPr>
                <w:rFonts w:hAnsi="宋体" w:cs="宋体"/>
                <w:color w:val="auto"/>
                <w:sz w:val="21"/>
                <w:szCs w:val="21"/>
                <w:highlight w:val="none"/>
              </w:rPr>
            </w:pPr>
            <w:r>
              <w:rPr>
                <w:rFonts w:hint="eastAsia" w:hAnsi="宋体" w:cs="宋体"/>
                <w:color w:val="auto"/>
                <w:sz w:val="21"/>
                <w:szCs w:val="21"/>
                <w:highlight w:val="none"/>
              </w:rPr>
              <w:t>设计承诺</w:t>
            </w:r>
          </w:p>
        </w:tc>
        <w:tc>
          <w:tcPr>
            <w:tcW w:w="3215" w:type="dxa"/>
            <w:vAlign w:val="center"/>
          </w:tcPr>
          <w:p w14:paraId="222061BC">
            <w:pPr>
              <w:pStyle w:val="41"/>
              <w:spacing w:line="440" w:lineRule="exact"/>
              <w:ind w:left="0" w:leftChars="0" w:firstLine="420" w:firstLineChars="200"/>
              <w:rPr>
                <w:rFonts w:hAnsi="宋体" w:cs="宋体"/>
                <w:color w:val="auto"/>
                <w:sz w:val="21"/>
                <w:szCs w:val="21"/>
                <w:highlight w:val="none"/>
              </w:rPr>
            </w:pPr>
            <w:r>
              <w:rPr>
                <w:rFonts w:hint="eastAsia" w:hAnsi="宋体" w:cs="宋体"/>
                <w:color w:val="auto"/>
                <w:sz w:val="21"/>
                <w:szCs w:val="21"/>
                <w:highlight w:val="none"/>
              </w:rPr>
              <w:t>如我方中标，我方保证按设计规范及有关法律法规进行设计，并准时提供相应设计文件经审图机构审查通过。</w:t>
            </w:r>
          </w:p>
          <w:p w14:paraId="74C1D0AC">
            <w:pPr>
              <w:pStyle w:val="41"/>
              <w:spacing w:line="440" w:lineRule="exact"/>
              <w:ind w:left="0" w:leftChars="0" w:firstLine="420" w:firstLineChars="200"/>
              <w:rPr>
                <w:rFonts w:hAnsi="宋体" w:cs="宋体"/>
                <w:color w:val="auto"/>
                <w:sz w:val="21"/>
                <w:szCs w:val="21"/>
                <w:highlight w:val="none"/>
              </w:rPr>
            </w:pPr>
            <w:r>
              <w:rPr>
                <w:rFonts w:hint="eastAsia" w:hAnsi="宋体" w:cs="宋体"/>
                <w:color w:val="auto"/>
                <w:sz w:val="21"/>
                <w:szCs w:val="21"/>
                <w:highlight w:val="none"/>
              </w:rPr>
              <w:t>我方保证按经过批准的初步设计概算（建安费）进行限额设计，并对设计文件出现的遗漏或错误负责修改或补充。</w:t>
            </w:r>
          </w:p>
        </w:tc>
        <w:tc>
          <w:tcPr>
            <w:tcW w:w="4005" w:type="dxa"/>
            <w:vAlign w:val="center"/>
          </w:tcPr>
          <w:p w14:paraId="158010B6">
            <w:pPr>
              <w:pStyle w:val="41"/>
              <w:adjustRightInd w:val="0"/>
              <w:snapToGrid w:val="0"/>
              <w:spacing w:line="360" w:lineRule="exact"/>
              <w:ind w:left="0" w:leftChars="0" w:firstLine="420" w:firstLineChars="200"/>
              <w:rPr>
                <w:rFonts w:hAnsi="宋体" w:cs="宋体"/>
                <w:color w:val="auto"/>
                <w:sz w:val="21"/>
                <w:szCs w:val="21"/>
                <w:highlight w:val="none"/>
              </w:rPr>
            </w:pPr>
            <w:r>
              <w:rPr>
                <w:rFonts w:hint="eastAsia" w:hAnsi="宋体" w:cs="宋体"/>
                <w:color w:val="auto"/>
                <w:sz w:val="21"/>
                <w:szCs w:val="21"/>
                <w:highlight w:val="none"/>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262328F3">
            <w:pPr>
              <w:pStyle w:val="41"/>
              <w:adjustRightInd w:val="0"/>
              <w:snapToGrid w:val="0"/>
              <w:spacing w:line="360" w:lineRule="exact"/>
              <w:ind w:left="0" w:leftChars="0" w:firstLine="420" w:firstLineChars="200"/>
              <w:rPr>
                <w:rFonts w:hAnsi="宋体" w:cs="宋体"/>
                <w:color w:val="auto"/>
                <w:sz w:val="21"/>
                <w:szCs w:val="21"/>
                <w:highlight w:val="none"/>
              </w:rPr>
            </w:pPr>
            <w:r>
              <w:rPr>
                <w:rFonts w:hint="eastAsia" w:hAnsi="宋体" w:cs="宋体"/>
                <w:color w:val="auto"/>
                <w:sz w:val="21"/>
                <w:szCs w:val="21"/>
                <w:highlight w:val="none"/>
              </w:rPr>
              <w:t>由于设计单位设计工作错误造成工程设计质量事故，根据责任情况，负责赔偿工程损失费，但最高不超过该项目应收设计费总额，负责采取补救措施。</w:t>
            </w:r>
          </w:p>
          <w:p w14:paraId="4FB79327">
            <w:pPr>
              <w:pStyle w:val="41"/>
              <w:adjustRightInd w:val="0"/>
              <w:snapToGrid w:val="0"/>
              <w:spacing w:line="360" w:lineRule="exact"/>
              <w:ind w:left="0" w:leftChars="0" w:firstLine="420" w:firstLineChars="200"/>
              <w:rPr>
                <w:rFonts w:hAnsi="宋体" w:cs="宋体"/>
                <w:color w:val="auto"/>
                <w:sz w:val="21"/>
                <w:szCs w:val="21"/>
                <w:highlight w:val="none"/>
              </w:rPr>
            </w:pPr>
            <w:r>
              <w:rPr>
                <w:rFonts w:hint="eastAsia" w:hAnsi="宋体" w:cs="宋体"/>
                <w:color w:val="auto"/>
                <w:sz w:val="21"/>
                <w:szCs w:val="21"/>
                <w:highlight w:val="none"/>
              </w:rPr>
              <w:t>施工期间除发包人要求或特殊地质原因外，因设计质量和深度不够的原因引起的工程返工或需要设计变更引起工程造价增加的，每次扣减设计合同价款中设计费的2％，扣完为止。</w:t>
            </w:r>
          </w:p>
          <w:p w14:paraId="5078F41E">
            <w:pPr>
              <w:pStyle w:val="41"/>
              <w:adjustRightInd w:val="0"/>
              <w:snapToGrid w:val="0"/>
              <w:spacing w:line="360" w:lineRule="exact"/>
              <w:ind w:left="0" w:leftChars="0" w:firstLine="420" w:firstLineChars="200"/>
              <w:rPr>
                <w:rFonts w:hAnsi="宋体" w:cs="宋体"/>
                <w:color w:val="auto"/>
                <w:sz w:val="21"/>
                <w:szCs w:val="21"/>
                <w:highlight w:val="none"/>
              </w:rPr>
            </w:pPr>
            <w:r>
              <w:rPr>
                <w:rFonts w:hint="eastAsia" w:hAnsi="宋体" w:cs="宋体"/>
                <w:color w:val="auto"/>
                <w:sz w:val="21"/>
                <w:szCs w:val="21"/>
                <w:highlight w:val="none"/>
              </w:rPr>
              <w:t>因设计单位自身原因造成工程结算超施工招标中标价的，扣除应付设计合同价款中的余款。</w:t>
            </w:r>
          </w:p>
        </w:tc>
      </w:tr>
      <w:tr w14:paraId="0A64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jc w:val="center"/>
        </w:trPr>
        <w:tc>
          <w:tcPr>
            <w:tcW w:w="791" w:type="dxa"/>
            <w:vAlign w:val="center"/>
          </w:tcPr>
          <w:p w14:paraId="0E93CAFC">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597" w:type="dxa"/>
            <w:vAlign w:val="center"/>
          </w:tcPr>
          <w:p w14:paraId="1F68741B">
            <w:pPr>
              <w:pStyle w:val="9"/>
              <w:adjustRightInd w:val="0"/>
              <w:snapToGrid w:val="0"/>
              <w:spacing w:line="36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账户承诺</w:t>
            </w:r>
          </w:p>
        </w:tc>
        <w:tc>
          <w:tcPr>
            <w:tcW w:w="3215" w:type="dxa"/>
            <w:vAlign w:val="center"/>
          </w:tcPr>
          <w:p w14:paraId="22658870">
            <w:pPr>
              <w:adjustRightInd w:val="0"/>
              <w:snapToGrid w:val="0"/>
              <w:spacing w:line="360" w:lineRule="exact"/>
              <w:ind w:firstLine="560"/>
              <w:rPr>
                <w:rFonts w:ascii="宋体" w:hAnsi="宋体" w:cs="宋体"/>
                <w:color w:val="auto"/>
                <w:szCs w:val="21"/>
                <w:highlight w:val="none"/>
              </w:rPr>
            </w:pPr>
            <w:r>
              <w:rPr>
                <w:rFonts w:hint="eastAsia" w:ascii="宋体" w:hAnsi="宋体" w:cs="宋体"/>
                <w:color w:val="auto"/>
                <w:spacing w:val="-2"/>
                <w:szCs w:val="21"/>
                <w:highlight w:val="none"/>
              </w:rPr>
              <w:t>我方保证招标人的资金随时可划入合同中规定的我方账户。</w:t>
            </w:r>
          </w:p>
        </w:tc>
        <w:tc>
          <w:tcPr>
            <w:tcW w:w="4005" w:type="dxa"/>
            <w:vAlign w:val="center"/>
          </w:tcPr>
          <w:p w14:paraId="1D54691E">
            <w:pPr>
              <w:pStyle w:val="9"/>
              <w:adjustRightInd w:val="0"/>
              <w:snapToGrid w:val="0"/>
              <w:spacing w:line="360" w:lineRule="exact"/>
              <w:ind w:firstLine="412"/>
              <w:rPr>
                <w:rFonts w:ascii="宋体" w:hAnsi="宋体" w:cs="宋体"/>
                <w:color w:val="auto"/>
                <w:spacing w:val="-2"/>
                <w:szCs w:val="21"/>
                <w:highlight w:val="none"/>
              </w:rPr>
            </w:pPr>
            <w:r>
              <w:rPr>
                <w:rFonts w:hint="eastAsia" w:ascii="宋体" w:hAnsi="宋体" w:cs="宋体"/>
                <w:color w:val="auto"/>
                <w:spacing w:val="-2"/>
                <w:szCs w:val="21"/>
                <w:highlight w:val="none"/>
              </w:rPr>
              <w:t>若因我方原因造成招标人的资金无法划入合同中规定的我方账户，如时间达到30日历天，招标人有权终止合同。我方承担由此造成的所有责任及经济损失。</w:t>
            </w:r>
          </w:p>
        </w:tc>
      </w:tr>
      <w:tr w14:paraId="0B10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791" w:type="dxa"/>
            <w:vAlign w:val="center"/>
          </w:tcPr>
          <w:p w14:paraId="0E87A9C9">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1597" w:type="dxa"/>
            <w:vAlign w:val="center"/>
          </w:tcPr>
          <w:p w14:paraId="5C0F0658">
            <w:pPr>
              <w:pStyle w:val="9"/>
              <w:adjustRightInd w:val="0"/>
              <w:snapToGrid w:val="0"/>
              <w:spacing w:line="36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项目管理班子人员承诺</w:t>
            </w:r>
          </w:p>
        </w:tc>
        <w:tc>
          <w:tcPr>
            <w:tcW w:w="3215" w:type="dxa"/>
            <w:vAlign w:val="center"/>
          </w:tcPr>
          <w:p w14:paraId="7190C1E5">
            <w:pPr>
              <w:adjustRightInd w:val="0"/>
              <w:snapToGrid w:val="0"/>
              <w:spacing w:line="360" w:lineRule="exact"/>
              <w:ind w:firstLine="560"/>
              <w:rPr>
                <w:rFonts w:ascii="宋体" w:hAnsi="宋体" w:cs="宋体"/>
                <w:color w:val="auto"/>
                <w:spacing w:val="-2"/>
                <w:szCs w:val="21"/>
                <w:highlight w:val="none"/>
              </w:rPr>
            </w:pPr>
            <w:r>
              <w:rPr>
                <w:rFonts w:hint="eastAsia" w:ascii="宋体" w:hAnsi="宋体" w:cs="宋体"/>
                <w:color w:val="auto"/>
                <w:spacing w:val="-2"/>
                <w:szCs w:val="21"/>
                <w:highlight w:val="none"/>
              </w:rPr>
              <w:t>我方保证投标文件中所拟派的</w:t>
            </w:r>
            <w:r>
              <w:rPr>
                <w:rFonts w:hint="eastAsia" w:ascii="宋体" w:hAnsi="宋体" w:cs="宋体"/>
                <w:color w:val="auto"/>
                <w:spacing w:val="-2"/>
                <w:szCs w:val="21"/>
                <w:highlight w:val="none"/>
                <w:u w:val="double"/>
              </w:rPr>
              <w:t>各专业设计负责人</w:t>
            </w:r>
            <w:r>
              <w:rPr>
                <w:rFonts w:hint="eastAsia" w:ascii="宋体" w:hAnsi="宋体" w:cs="宋体"/>
                <w:color w:val="auto"/>
                <w:szCs w:val="21"/>
                <w:highlight w:val="none"/>
              </w:rPr>
              <w:t>人员，具有相对的资格证书。拟派人员全部到位，负责各自职责。全部到位、各司其责。</w:t>
            </w:r>
          </w:p>
        </w:tc>
        <w:tc>
          <w:tcPr>
            <w:tcW w:w="4005" w:type="dxa"/>
            <w:vAlign w:val="center"/>
          </w:tcPr>
          <w:p w14:paraId="539B6863">
            <w:pPr>
              <w:pStyle w:val="9"/>
              <w:adjustRightInd w:val="0"/>
              <w:snapToGrid w:val="0"/>
              <w:spacing w:line="360" w:lineRule="exact"/>
              <w:ind w:firstLine="412"/>
              <w:rPr>
                <w:rFonts w:ascii="宋体" w:hAnsi="宋体" w:cs="宋体"/>
                <w:color w:val="auto"/>
                <w:spacing w:val="-2"/>
                <w:szCs w:val="21"/>
                <w:highlight w:val="none"/>
              </w:rPr>
            </w:pPr>
            <w:r>
              <w:rPr>
                <w:rFonts w:hint="eastAsia" w:ascii="宋体" w:hAnsi="宋体" w:cs="宋体"/>
                <w:color w:val="auto"/>
                <w:spacing w:val="-2"/>
                <w:szCs w:val="21"/>
                <w:highlight w:val="none"/>
              </w:rPr>
              <w:t>若我方中标后，各负责人未按时参加招标人要求出席的会议（包括图纸会审和技术交底等，具体以招标人书面通知为准），每缺席一人次扣5000元违约金。我方承担由此造成的所有责任及经济损失。</w:t>
            </w:r>
          </w:p>
        </w:tc>
      </w:tr>
      <w:tr w14:paraId="1FB9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791" w:type="dxa"/>
            <w:vAlign w:val="center"/>
          </w:tcPr>
          <w:p w14:paraId="070DD7DC">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1597" w:type="dxa"/>
            <w:vAlign w:val="center"/>
          </w:tcPr>
          <w:p w14:paraId="2671D8DE">
            <w:pPr>
              <w:pStyle w:val="9"/>
              <w:adjustRightInd w:val="0"/>
              <w:snapToGrid w:val="0"/>
              <w:spacing w:line="36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项目负责人承诺</w:t>
            </w:r>
          </w:p>
        </w:tc>
        <w:tc>
          <w:tcPr>
            <w:tcW w:w="3215" w:type="dxa"/>
            <w:vAlign w:val="center"/>
          </w:tcPr>
          <w:p w14:paraId="4E4F3A76">
            <w:pPr>
              <w:pStyle w:val="9"/>
              <w:adjustRightInd w:val="0"/>
              <w:snapToGrid w:val="0"/>
              <w:spacing w:line="360" w:lineRule="exact"/>
              <w:ind w:firstLine="412"/>
              <w:rPr>
                <w:rFonts w:ascii="宋体" w:hAnsi="宋体" w:cs="宋体"/>
                <w:color w:val="auto"/>
                <w:spacing w:val="-2"/>
                <w:szCs w:val="21"/>
                <w:highlight w:val="none"/>
              </w:rPr>
            </w:pPr>
            <w:r>
              <w:rPr>
                <w:rFonts w:hint="eastAsia" w:ascii="宋体" w:hAnsi="宋体" w:cs="宋体"/>
                <w:color w:val="auto"/>
                <w:spacing w:val="-2"/>
                <w:szCs w:val="21"/>
                <w:highlight w:val="none"/>
              </w:rPr>
              <w:t>我方保证投标文件中所拟派的</w:t>
            </w:r>
            <w:r>
              <w:rPr>
                <w:rFonts w:hint="eastAsia" w:ascii="宋体" w:hAnsi="宋体" w:cs="宋体"/>
                <w:color w:val="auto"/>
                <w:spacing w:val="-2"/>
                <w:szCs w:val="21"/>
                <w:highlight w:val="none"/>
                <w:u w:val="double"/>
              </w:rPr>
              <w:t>设计负责人</w:t>
            </w:r>
            <w:r>
              <w:rPr>
                <w:rFonts w:hint="eastAsia" w:ascii="宋体" w:hAnsi="宋体" w:cs="宋体"/>
                <w:color w:val="auto"/>
                <w:spacing w:val="-2"/>
                <w:szCs w:val="21"/>
                <w:highlight w:val="none"/>
              </w:rPr>
              <w:t>负责本项目设计全过程（包括招标范围内工作）。</w:t>
            </w:r>
          </w:p>
        </w:tc>
        <w:tc>
          <w:tcPr>
            <w:tcW w:w="4005" w:type="dxa"/>
            <w:vAlign w:val="center"/>
          </w:tcPr>
          <w:p w14:paraId="4390BD1C">
            <w:pPr>
              <w:pStyle w:val="9"/>
              <w:adjustRightInd w:val="0"/>
              <w:snapToGrid w:val="0"/>
              <w:spacing w:line="360" w:lineRule="exact"/>
              <w:ind w:firstLine="412"/>
              <w:rPr>
                <w:rFonts w:ascii="宋体" w:hAnsi="宋体" w:cs="宋体"/>
                <w:color w:val="auto"/>
                <w:spacing w:val="-2"/>
                <w:szCs w:val="21"/>
                <w:highlight w:val="none"/>
              </w:rPr>
            </w:pPr>
            <w:r>
              <w:rPr>
                <w:rFonts w:hint="eastAsia" w:ascii="宋体" w:hAnsi="宋体" w:cs="宋体"/>
                <w:color w:val="auto"/>
                <w:spacing w:val="-2"/>
                <w:szCs w:val="21"/>
                <w:highlight w:val="none"/>
              </w:rPr>
              <w:t>若因我方原因，</w:t>
            </w:r>
            <w:r>
              <w:rPr>
                <w:rFonts w:hint="eastAsia" w:ascii="宋体" w:hAnsi="宋体" w:cs="宋体"/>
                <w:color w:val="auto"/>
                <w:spacing w:val="-2"/>
                <w:szCs w:val="21"/>
                <w:highlight w:val="none"/>
                <w:u w:val="double"/>
              </w:rPr>
              <w:t>设计负责人</w:t>
            </w:r>
            <w:r>
              <w:rPr>
                <w:rFonts w:hint="eastAsia" w:ascii="宋体" w:hAnsi="宋体" w:cs="宋体"/>
                <w:color w:val="auto"/>
                <w:spacing w:val="-2"/>
                <w:szCs w:val="21"/>
                <w:highlight w:val="none"/>
              </w:rPr>
              <w:t>未准时参加本项目设计全过程（包括招标范围内工作）的，每缺席一次扣5000元（以发包人发出的违约通知为准）。</w:t>
            </w:r>
          </w:p>
        </w:tc>
      </w:tr>
      <w:tr w14:paraId="57F0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791" w:type="dxa"/>
            <w:vAlign w:val="center"/>
          </w:tcPr>
          <w:p w14:paraId="420B84BC">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1597" w:type="dxa"/>
            <w:vAlign w:val="center"/>
          </w:tcPr>
          <w:p w14:paraId="54FB30EC">
            <w:pPr>
              <w:pStyle w:val="9"/>
              <w:adjustRightInd w:val="0"/>
              <w:snapToGrid w:val="0"/>
              <w:spacing w:line="3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廉政承诺</w:t>
            </w:r>
          </w:p>
        </w:tc>
        <w:tc>
          <w:tcPr>
            <w:tcW w:w="3215" w:type="dxa"/>
            <w:vAlign w:val="center"/>
          </w:tcPr>
          <w:p w14:paraId="46FE1072">
            <w:pPr>
              <w:pStyle w:val="9"/>
              <w:adjustRightInd w:val="0"/>
              <w:snapToGrid w:val="0"/>
              <w:spacing w:line="3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我方保证严格遵守有关法律法规及廉政规定。</w:t>
            </w:r>
          </w:p>
        </w:tc>
        <w:tc>
          <w:tcPr>
            <w:tcW w:w="4005" w:type="dxa"/>
            <w:vAlign w:val="center"/>
          </w:tcPr>
          <w:p w14:paraId="4156516D">
            <w:pPr>
              <w:widowControl/>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如我单位及其工作人员违反本承诺规定的，愿接受党纪、政纪处理直至追究法律责任；给招标单位造成经济损失的，依法给予赔偿。</w:t>
            </w:r>
          </w:p>
        </w:tc>
      </w:tr>
      <w:tr w14:paraId="72C5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8" w:hRule="atLeast"/>
          <w:jc w:val="center"/>
        </w:trPr>
        <w:tc>
          <w:tcPr>
            <w:tcW w:w="791" w:type="dxa"/>
            <w:vAlign w:val="center"/>
          </w:tcPr>
          <w:p w14:paraId="08D70B9E">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1597" w:type="dxa"/>
            <w:vAlign w:val="center"/>
          </w:tcPr>
          <w:p w14:paraId="099AC99B">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投标文件信息公开承诺</w:t>
            </w:r>
          </w:p>
        </w:tc>
        <w:tc>
          <w:tcPr>
            <w:tcW w:w="3215" w:type="dxa"/>
            <w:vAlign w:val="center"/>
          </w:tcPr>
          <w:p w14:paraId="6DFD8E7D">
            <w:pPr>
              <w:pStyle w:val="42"/>
              <w:wordWrap w:val="0"/>
              <w:adjustRightInd w:val="0"/>
              <w:snapToGrid w:val="0"/>
              <w:spacing w:line="400" w:lineRule="exact"/>
              <w:ind w:firstLine="210" w:firstLineChars="100"/>
              <w:rPr>
                <w:rFonts w:hAnsi="宋体" w:eastAsia="宋体" w:cs="宋体"/>
                <w:snapToGrid w:val="0"/>
                <w:color w:val="auto"/>
                <w:kern w:val="0"/>
                <w:sz w:val="21"/>
                <w:szCs w:val="21"/>
                <w:highlight w:val="none"/>
              </w:rPr>
            </w:pPr>
            <w:r>
              <w:rPr>
                <w:rFonts w:hint="eastAsia" w:hAnsi="宋体" w:eastAsia="宋体" w:cs="宋体"/>
                <w:snapToGrid w:val="0"/>
                <w:color w:val="auto"/>
                <w:kern w:val="0"/>
                <w:sz w:val="21"/>
                <w:szCs w:val="21"/>
                <w:highlight w:val="none"/>
              </w:rPr>
              <w:t>我方提供完整的电子文件。如果我方成为本项目中标候选人，我方同意并授权招标人在评标结果公示期内公开我方商务经济标书的全部内容。</w:t>
            </w:r>
          </w:p>
        </w:tc>
        <w:tc>
          <w:tcPr>
            <w:tcW w:w="4005" w:type="dxa"/>
            <w:vAlign w:val="center"/>
          </w:tcPr>
          <w:p w14:paraId="1FC4C286">
            <w:pPr>
              <w:pStyle w:val="42"/>
              <w:wordWrap w:val="0"/>
              <w:adjustRightInd w:val="0"/>
              <w:snapToGrid w:val="0"/>
              <w:ind w:firstLine="0" w:firstLineChars="0"/>
              <w:jc w:val="left"/>
              <w:rPr>
                <w:rFonts w:hAnsi="宋体" w:eastAsia="宋体" w:cs="宋体"/>
                <w:color w:val="auto"/>
                <w:sz w:val="21"/>
                <w:szCs w:val="21"/>
                <w:highlight w:val="none"/>
              </w:rPr>
            </w:pPr>
            <w:r>
              <w:rPr>
                <w:rFonts w:hint="eastAsia" w:hAnsi="宋体" w:eastAsia="宋体" w:cs="宋体"/>
                <w:snapToGrid w:val="0"/>
                <w:color w:val="auto"/>
                <w:kern w:val="0"/>
                <w:sz w:val="21"/>
                <w:szCs w:val="21"/>
                <w:highlight w:val="none"/>
              </w:rPr>
              <w:t xml:space="preserve">    </w:t>
            </w:r>
          </w:p>
          <w:p w14:paraId="77BE51DF">
            <w:pPr>
              <w:pStyle w:val="42"/>
              <w:wordWrap w:val="0"/>
              <w:adjustRightInd w:val="0"/>
              <w:snapToGrid w:val="0"/>
              <w:spacing w:line="360" w:lineRule="exact"/>
              <w:ind w:firstLine="0" w:firstLineChars="0"/>
              <w:jc w:val="left"/>
              <w:rPr>
                <w:rFonts w:hAnsi="宋体" w:eastAsia="宋体" w:cs="宋体"/>
                <w:color w:val="auto"/>
                <w:sz w:val="21"/>
                <w:szCs w:val="21"/>
                <w:highlight w:val="none"/>
              </w:rPr>
            </w:pPr>
          </w:p>
        </w:tc>
      </w:tr>
    </w:tbl>
    <w:p w14:paraId="28F72E5E">
      <w:pPr>
        <w:spacing w:line="400" w:lineRule="exact"/>
        <w:rPr>
          <w:rFonts w:ascii="宋体" w:hAnsi="宋体" w:cs="宋体"/>
          <w:color w:val="auto"/>
          <w:sz w:val="24"/>
          <w:szCs w:val="24"/>
          <w:highlight w:val="none"/>
        </w:rPr>
      </w:pPr>
    </w:p>
    <w:p w14:paraId="0C333B1D">
      <w:pPr>
        <w:wordWrap w:val="0"/>
        <w:adjustRightInd w:val="0"/>
        <w:snapToGrid w:val="0"/>
        <w:spacing w:line="400" w:lineRule="exact"/>
        <w:rPr>
          <w:rFonts w:ascii="宋体" w:hAnsi="宋体" w:cs="宋体"/>
          <w:snapToGrid w:val="0"/>
          <w:color w:val="auto"/>
          <w:kern w:val="0"/>
          <w:sz w:val="24"/>
          <w:szCs w:val="24"/>
          <w:highlight w:val="none"/>
        </w:rPr>
      </w:pPr>
    </w:p>
    <w:p w14:paraId="1EAA141F">
      <w:pPr>
        <w:wordWrap w:val="0"/>
        <w:adjustRightInd w:val="0"/>
        <w:snapToGrid w:val="0"/>
        <w:spacing w:line="400" w:lineRule="exact"/>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598F7D97">
      <w:pPr>
        <w:wordWrap w:val="0"/>
        <w:adjustRightInd w:val="0"/>
        <w:snapToGrid w:val="0"/>
        <w:spacing w:line="400" w:lineRule="exact"/>
        <w:ind w:firstLine="480" w:firstLineChars="200"/>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53AA5951">
      <w:pPr>
        <w:wordWrap w:val="0"/>
        <w:adjustRightInd w:val="0"/>
        <w:snapToGrid w:val="0"/>
        <w:spacing w:line="400" w:lineRule="exact"/>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554063A5">
      <w:pPr>
        <w:wordWrap w:val="0"/>
        <w:adjustRightInd w:val="0"/>
        <w:snapToGrid w:val="0"/>
        <w:spacing w:line="400" w:lineRule="exact"/>
        <w:jc w:val="left"/>
        <w:rPr>
          <w:rFonts w:ascii="宋体" w:hAnsi="宋体" w:cs="宋体"/>
          <w:snapToGrid w:val="0"/>
          <w:color w:val="auto"/>
          <w:kern w:val="0"/>
          <w:sz w:val="24"/>
          <w:szCs w:val="24"/>
          <w:highlight w:val="none"/>
        </w:rPr>
      </w:pPr>
    </w:p>
    <w:p w14:paraId="39393D61">
      <w:pPr>
        <w:pStyle w:val="3"/>
        <w:wordWrap w:val="0"/>
        <w:autoSpaceDE/>
        <w:autoSpaceDN/>
        <w:snapToGrid w:val="0"/>
        <w:spacing w:line="480" w:lineRule="auto"/>
        <w:ind w:firstLine="480"/>
        <w:jc w:val="both"/>
        <w:rPr>
          <w:rFonts w:ascii="宋体" w:hAnsi="宋体" w:cs="宋体"/>
          <w:b/>
          <w:bCs/>
          <w:snapToGrid w:val="0"/>
          <w:color w:val="auto"/>
          <w:sz w:val="24"/>
          <w:szCs w:val="24"/>
          <w:highlight w:val="none"/>
        </w:rPr>
      </w:pPr>
      <w:bookmarkStart w:id="359" w:name="_Toc9675"/>
      <w:bookmarkStart w:id="360" w:name="_Toc15210"/>
      <w:r>
        <w:rPr>
          <w:rFonts w:hint="eastAsia" w:ascii="宋体" w:hAnsi="宋体" w:cs="宋体"/>
          <w:b/>
          <w:snapToGrid w:val="0"/>
          <w:color w:val="auto"/>
          <w:sz w:val="24"/>
          <w:highlight w:val="none"/>
        </w:rPr>
        <w:t>格式五   投标人基本情况表</w:t>
      </w:r>
      <w:bookmarkEnd w:id="359"/>
      <w:bookmarkEnd w:id="360"/>
    </w:p>
    <w:p w14:paraId="0A9393BA">
      <w:pPr>
        <w:pStyle w:val="37"/>
        <w:widowControl w:val="0"/>
        <w:wordWrap w:val="0"/>
        <w:adjustRightInd w:val="0"/>
        <w:snapToGrid w:val="0"/>
        <w:spacing w:line="400" w:lineRule="exact"/>
        <w:ind w:firstLine="0"/>
        <w:jc w:val="center"/>
        <w:rPr>
          <w:rFonts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投标人基本情况表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27"/>
        <w:gridCol w:w="1746"/>
        <w:gridCol w:w="833"/>
        <w:gridCol w:w="293"/>
        <w:gridCol w:w="995"/>
        <w:gridCol w:w="267"/>
        <w:gridCol w:w="733"/>
        <w:gridCol w:w="1469"/>
      </w:tblGrid>
      <w:tr w14:paraId="076D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5F2405F3">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263" w:type="dxa"/>
            <w:gridSpan w:val="8"/>
            <w:vAlign w:val="center"/>
          </w:tcPr>
          <w:p w14:paraId="3E0C7A92">
            <w:pPr>
              <w:pStyle w:val="43"/>
              <w:wordWrap w:val="0"/>
              <w:adjustRightInd w:val="0"/>
              <w:snapToGrid w:val="0"/>
              <w:jc w:val="center"/>
              <w:rPr>
                <w:rFonts w:ascii="宋体" w:hAnsi="宋体" w:cs="宋体"/>
                <w:snapToGrid w:val="0"/>
                <w:color w:val="auto"/>
                <w:kern w:val="0"/>
                <w:szCs w:val="21"/>
                <w:highlight w:val="none"/>
              </w:rPr>
            </w:pPr>
          </w:p>
        </w:tc>
      </w:tr>
      <w:tr w14:paraId="2BFA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2C00113B">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506" w:type="dxa"/>
            <w:gridSpan w:val="3"/>
            <w:vAlign w:val="center"/>
          </w:tcPr>
          <w:p w14:paraId="0753C620">
            <w:pPr>
              <w:pStyle w:val="43"/>
              <w:wordWrap w:val="0"/>
              <w:adjustRightInd w:val="0"/>
              <w:snapToGrid w:val="0"/>
              <w:jc w:val="center"/>
              <w:rPr>
                <w:rFonts w:ascii="宋体" w:hAnsi="宋体" w:cs="宋体"/>
                <w:snapToGrid w:val="0"/>
                <w:color w:val="auto"/>
                <w:kern w:val="0"/>
                <w:szCs w:val="21"/>
                <w:highlight w:val="none"/>
              </w:rPr>
            </w:pPr>
          </w:p>
        </w:tc>
        <w:tc>
          <w:tcPr>
            <w:tcW w:w="1288" w:type="dxa"/>
            <w:gridSpan w:val="2"/>
            <w:vAlign w:val="center"/>
          </w:tcPr>
          <w:p w14:paraId="6F842EA4">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469" w:type="dxa"/>
            <w:gridSpan w:val="3"/>
            <w:vAlign w:val="center"/>
          </w:tcPr>
          <w:p w14:paraId="2A740163">
            <w:pPr>
              <w:pStyle w:val="43"/>
              <w:wordWrap w:val="0"/>
              <w:adjustRightInd w:val="0"/>
              <w:snapToGrid w:val="0"/>
              <w:jc w:val="center"/>
              <w:rPr>
                <w:rFonts w:ascii="宋体" w:hAnsi="宋体" w:cs="宋体"/>
                <w:snapToGrid w:val="0"/>
                <w:color w:val="auto"/>
                <w:kern w:val="0"/>
                <w:szCs w:val="21"/>
                <w:highlight w:val="none"/>
              </w:rPr>
            </w:pPr>
          </w:p>
        </w:tc>
      </w:tr>
      <w:tr w14:paraId="3022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restart"/>
            <w:vAlign w:val="center"/>
          </w:tcPr>
          <w:p w14:paraId="0DF7CDB9">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927" w:type="dxa"/>
            <w:vAlign w:val="center"/>
          </w:tcPr>
          <w:p w14:paraId="6DD1ACB2">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579" w:type="dxa"/>
            <w:gridSpan w:val="2"/>
            <w:vAlign w:val="center"/>
          </w:tcPr>
          <w:p w14:paraId="3E7D890A">
            <w:pPr>
              <w:pStyle w:val="43"/>
              <w:wordWrap w:val="0"/>
              <w:adjustRightInd w:val="0"/>
              <w:snapToGrid w:val="0"/>
              <w:jc w:val="center"/>
              <w:rPr>
                <w:rFonts w:ascii="宋体" w:hAnsi="宋体" w:cs="宋体"/>
                <w:snapToGrid w:val="0"/>
                <w:color w:val="auto"/>
                <w:kern w:val="0"/>
                <w:szCs w:val="21"/>
                <w:highlight w:val="none"/>
              </w:rPr>
            </w:pPr>
          </w:p>
        </w:tc>
        <w:tc>
          <w:tcPr>
            <w:tcW w:w="1288" w:type="dxa"/>
            <w:gridSpan w:val="2"/>
            <w:vAlign w:val="center"/>
          </w:tcPr>
          <w:p w14:paraId="5578A149">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469" w:type="dxa"/>
            <w:gridSpan w:val="3"/>
            <w:vAlign w:val="center"/>
          </w:tcPr>
          <w:p w14:paraId="6F37F976">
            <w:pPr>
              <w:pStyle w:val="43"/>
              <w:wordWrap w:val="0"/>
              <w:adjustRightInd w:val="0"/>
              <w:snapToGrid w:val="0"/>
              <w:jc w:val="center"/>
              <w:rPr>
                <w:rFonts w:ascii="宋体" w:hAnsi="宋体" w:cs="宋体"/>
                <w:snapToGrid w:val="0"/>
                <w:color w:val="auto"/>
                <w:kern w:val="0"/>
                <w:szCs w:val="21"/>
                <w:highlight w:val="none"/>
              </w:rPr>
            </w:pPr>
          </w:p>
        </w:tc>
      </w:tr>
      <w:tr w14:paraId="5FCA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continue"/>
            <w:vAlign w:val="center"/>
          </w:tcPr>
          <w:p w14:paraId="362C6805">
            <w:pPr>
              <w:pStyle w:val="43"/>
              <w:wordWrap w:val="0"/>
              <w:adjustRightInd w:val="0"/>
              <w:snapToGrid w:val="0"/>
              <w:jc w:val="center"/>
              <w:rPr>
                <w:rFonts w:ascii="宋体" w:hAnsi="宋体" w:cs="宋体"/>
                <w:snapToGrid w:val="0"/>
                <w:color w:val="auto"/>
                <w:kern w:val="0"/>
                <w:szCs w:val="21"/>
                <w:highlight w:val="none"/>
              </w:rPr>
            </w:pPr>
          </w:p>
        </w:tc>
        <w:tc>
          <w:tcPr>
            <w:tcW w:w="927" w:type="dxa"/>
            <w:vAlign w:val="center"/>
          </w:tcPr>
          <w:p w14:paraId="7F3801AC">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579" w:type="dxa"/>
            <w:gridSpan w:val="2"/>
            <w:vAlign w:val="center"/>
          </w:tcPr>
          <w:p w14:paraId="409CD749">
            <w:pPr>
              <w:pStyle w:val="43"/>
              <w:wordWrap w:val="0"/>
              <w:adjustRightInd w:val="0"/>
              <w:snapToGrid w:val="0"/>
              <w:jc w:val="center"/>
              <w:rPr>
                <w:rFonts w:ascii="宋体" w:hAnsi="宋体" w:cs="宋体"/>
                <w:snapToGrid w:val="0"/>
                <w:color w:val="auto"/>
                <w:kern w:val="0"/>
                <w:szCs w:val="21"/>
                <w:highlight w:val="none"/>
              </w:rPr>
            </w:pPr>
          </w:p>
        </w:tc>
        <w:tc>
          <w:tcPr>
            <w:tcW w:w="1288" w:type="dxa"/>
            <w:gridSpan w:val="2"/>
            <w:vAlign w:val="center"/>
          </w:tcPr>
          <w:p w14:paraId="2E52B4EE">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469" w:type="dxa"/>
            <w:gridSpan w:val="3"/>
            <w:vAlign w:val="center"/>
          </w:tcPr>
          <w:p w14:paraId="1EF99F09">
            <w:pPr>
              <w:pStyle w:val="43"/>
              <w:wordWrap w:val="0"/>
              <w:adjustRightInd w:val="0"/>
              <w:snapToGrid w:val="0"/>
              <w:jc w:val="center"/>
              <w:rPr>
                <w:rFonts w:ascii="宋体" w:hAnsi="宋体" w:cs="宋体"/>
                <w:snapToGrid w:val="0"/>
                <w:color w:val="auto"/>
                <w:kern w:val="0"/>
                <w:szCs w:val="21"/>
                <w:highlight w:val="none"/>
              </w:rPr>
            </w:pPr>
          </w:p>
        </w:tc>
      </w:tr>
      <w:tr w14:paraId="231C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D84283B">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单位性质</w:t>
            </w:r>
          </w:p>
        </w:tc>
        <w:tc>
          <w:tcPr>
            <w:tcW w:w="7263" w:type="dxa"/>
            <w:gridSpan w:val="8"/>
            <w:vAlign w:val="center"/>
          </w:tcPr>
          <w:p w14:paraId="675955FB">
            <w:pPr>
              <w:pStyle w:val="43"/>
              <w:wordWrap w:val="0"/>
              <w:adjustRightInd w:val="0"/>
              <w:snapToGrid w:val="0"/>
              <w:jc w:val="center"/>
              <w:rPr>
                <w:rFonts w:ascii="宋体" w:hAnsi="宋体" w:cs="宋体"/>
                <w:snapToGrid w:val="0"/>
                <w:color w:val="auto"/>
                <w:kern w:val="0"/>
                <w:szCs w:val="21"/>
                <w:highlight w:val="none"/>
              </w:rPr>
            </w:pPr>
          </w:p>
        </w:tc>
      </w:tr>
      <w:tr w14:paraId="3C90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67B4FFCC">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927" w:type="dxa"/>
            <w:vAlign w:val="center"/>
          </w:tcPr>
          <w:p w14:paraId="351DB3E5">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746" w:type="dxa"/>
            <w:vAlign w:val="center"/>
          </w:tcPr>
          <w:p w14:paraId="1A1C7AEC">
            <w:pPr>
              <w:pStyle w:val="43"/>
              <w:wordWrap w:val="0"/>
              <w:adjustRightInd w:val="0"/>
              <w:snapToGrid w:val="0"/>
              <w:jc w:val="center"/>
              <w:rPr>
                <w:rFonts w:ascii="宋体" w:hAnsi="宋体" w:cs="宋体"/>
                <w:snapToGrid w:val="0"/>
                <w:color w:val="auto"/>
                <w:kern w:val="0"/>
                <w:szCs w:val="21"/>
                <w:highlight w:val="none"/>
              </w:rPr>
            </w:pPr>
          </w:p>
        </w:tc>
        <w:tc>
          <w:tcPr>
            <w:tcW w:w="1126" w:type="dxa"/>
            <w:gridSpan w:val="2"/>
            <w:vAlign w:val="center"/>
          </w:tcPr>
          <w:p w14:paraId="0C14B19B">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62" w:type="dxa"/>
            <w:gridSpan w:val="2"/>
            <w:vAlign w:val="center"/>
          </w:tcPr>
          <w:p w14:paraId="20BF8334">
            <w:pPr>
              <w:pStyle w:val="43"/>
              <w:wordWrap w:val="0"/>
              <w:adjustRightInd w:val="0"/>
              <w:snapToGrid w:val="0"/>
              <w:jc w:val="center"/>
              <w:rPr>
                <w:rFonts w:ascii="宋体" w:hAnsi="宋体" w:cs="宋体"/>
                <w:snapToGrid w:val="0"/>
                <w:color w:val="auto"/>
                <w:kern w:val="0"/>
                <w:szCs w:val="21"/>
                <w:highlight w:val="none"/>
              </w:rPr>
            </w:pPr>
          </w:p>
        </w:tc>
        <w:tc>
          <w:tcPr>
            <w:tcW w:w="733" w:type="dxa"/>
            <w:vAlign w:val="center"/>
          </w:tcPr>
          <w:p w14:paraId="2FBA2DC2">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69" w:type="dxa"/>
            <w:vAlign w:val="center"/>
          </w:tcPr>
          <w:p w14:paraId="34876C40">
            <w:pPr>
              <w:pStyle w:val="43"/>
              <w:wordWrap w:val="0"/>
              <w:adjustRightInd w:val="0"/>
              <w:snapToGrid w:val="0"/>
              <w:jc w:val="center"/>
              <w:rPr>
                <w:rFonts w:ascii="宋体" w:hAnsi="宋体" w:cs="宋体"/>
                <w:snapToGrid w:val="0"/>
                <w:color w:val="auto"/>
                <w:kern w:val="0"/>
                <w:szCs w:val="21"/>
                <w:highlight w:val="none"/>
              </w:rPr>
            </w:pPr>
          </w:p>
        </w:tc>
      </w:tr>
      <w:tr w14:paraId="738F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54AACBE8">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成立时间</w:t>
            </w:r>
          </w:p>
        </w:tc>
        <w:tc>
          <w:tcPr>
            <w:tcW w:w="2673" w:type="dxa"/>
            <w:gridSpan w:val="2"/>
            <w:vAlign w:val="center"/>
          </w:tcPr>
          <w:p w14:paraId="2CC28D5F">
            <w:pPr>
              <w:pStyle w:val="43"/>
              <w:wordWrap w:val="0"/>
              <w:adjustRightInd w:val="0"/>
              <w:snapToGrid w:val="0"/>
              <w:jc w:val="center"/>
              <w:rPr>
                <w:rFonts w:ascii="宋体" w:hAnsi="宋体" w:cs="宋体"/>
                <w:snapToGrid w:val="0"/>
                <w:color w:val="auto"/>
                <w:kern w:val="0"/>
                <w:szCs w:val="21"/>
                <w:highlight w:val="none"/>
              </w:rPr>
            </w:pPr>
          </w:p>
        </w:tc>
        <w:tc>
          <w:tcPr>
            <w:tcW w:w="4590" w:type="dxa"/>
            <w:gridSpan w:val="6"/>
            <w:vAlign w:val="center"/>
          </w:tcPr>
          <w:p w14:paraId="6A6BCF9A">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333E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CE188F7">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企业资质等级</w:t>
            </w:r>
          </w:p>
        </w:tc>
        <w:tc>
          <w:tcPr>
            <w:tcW w:w="2673" w:type="dxa"/>
            <w:gridSpan w:val="2"/>
            <w:vAlign w:val="center"/>
          </w:tcPr>
          <w:p w14:paraId="560DDC56">
            <w:pPr>
              <w:pStyle w:val="43"/>
              <w:wordWrap w:val="0"/>
              <w:adjustRightInd w:val="0"/>
              <w:snapToGrid w:val="0"/>
              <w:jc w:val="center"/>
              <w:rPr>
                <w:rFonts w:ascii="宋体" w:hAnsi="宋体" w:cs="宋体"/>
                <w:snapToGrid w:val="0"/>
                <w:color w:val="auto"/>
                <w:kern w:val="0"/>
                <w:szCs w:val="21"/>
                <w:highlight w:val="none"/>
              </w:rPr>
            </w:pPr>
          </w:p>
        </w:tc>
        <w:tc>
          <w:tcPr>
            <w:tcW w:w="1126" w:type="dxa"/>
            <w:gridSpan w:val="2"/>
            <w:vMerge w:val="restart"/>
            <w:vAlign w:val="center"/>
          </w:tcPr>
          <w:p w14:paraId="70C6AE62">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95" w:type="dxa"/>
            <w:gridSpan w:val="3"/>
            <w:vAlign w:val="center"/>
          </w:tcPr>
          <w:p w14:paraId="615DEE8F">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设计负责人</w:t>
            </w:r>
          </w:p>
        </w:tc>
        <w:tc>
          <w:tcPr>
            <w:tcW w:w="1469" w:type="dxa"/>
            <w:vAlign w:val="center"/>
          </w:tcPr>
          <w:p w14:paraId="60F8D005">
            <w:pPr>
              <w:pStyle w:val="43"/>
              <w:wordWrap w:val="0"/>
              <w:adjustRightInd w:val="0"/>
              <w:snapToGrid w:val="0"/>
              <w:jc w:val="center"/>
              <w:rPr>
                <w:rFonts w:ascii="宋体" w:hAnsi="宋体" w:cs="宋体"/>
                <w:snapToGrid w:val="0"/>
                <w:color w:val="auto"/>
                <w:kern w:val="0"/>
                <w:szCs w:val="21"/>
                <w:highlight w:val="none"/>
              </w:rPr>
            </w:pPr>
          </w:p>
        </w:tc>
      </w:tr>
      <w:tr w14:paraId="6A9D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2D77BB3">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673" w:type="dxa"/>
            <w:gridSpan w:val="2"/>
            <w:vAlign w:val="center"/>
          </w:tcPr>
          <w:p w14:paraId="2322B085">
            <w:pPr>
              <w:pStyle w:val="43"/>
              <w:wordWrap w:val="0"/>
              <w:adjustRightInd w:val="0"/>
              <w:snapToGrid w:val="0"/>
              <w:jc w:val="center"/>
              <w:rPr>
                <w:rFonts w:ascii="宋体" w:hAnsi="宋体" w:cs="宋体"/>
                <w:snapToGrid w:val="0"/>
                <w:color w:val="auto"/>
                <w:kern w:val="0"/>
                <w:szCs w:val="21"/>
                <w:highlight w:val="none"/>
              </w:rPr>
            </w:pPr>
          </w:p>
        </w:tc>
        <w:tc>
          <w:tcPr>
            <w:tcW w:w="1126" w:type="dxa"/>
            <w:gridSpan w:val="2"/>
            <w:vMerge w:val="continue"/>
            <w:vAlign w:val="center"/>
          </w:tcPr>
          <w:p w14:paraId="5EA47B3A">
            <w:pPr>
              <w:pStyle w:val="43"/>
              <w:wordWrap w:val="0"/>
              <w:adjustRightInd w:val="0"/>
              <w:snapToGrid w:val="0"/>
              <w:jc w:val="center"/>
              <w:rPr>
                <w:rFonts w:ascii="宋体" w:hAnsi="宋体" w:cs="宋体"/>
                <w:snapToGrid w:val="0"/>
                <w:color w:val="auto"/>
                <w:kern w:val="0"/>
                <w:szCs w:val="21"/>
                <w:highlight w:val="none"/>
              </w:rPr>
            </w:pPr>
          </w:p>
        </w:tc>
        <w:tc>
          <w:tcPr>
            <w:tcW w:w="1995" w:type="dxa"/>
            <w:gridSpan w:val="3"/>
            <w:vAlign w:val="center"/>
          </w:tcPr>
          <w:p w14:paraId="5E259DFB">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69" w:type="dxa"/>
            <w:vAlign w:val="center"/>
          </w:tcPr>
          <w:p w14:paraId="10A3BD4C">
            <w:pPr>
              <w:pStyle w:val="43"/>
              <w:wordWrap w:val="0"/>
              <w:adjustRightInd w:val="0"/>
              <w:snapToGrid w:val="0"/>
              <w:jc w:val="center"/>
              <w:rPr>
                <w:rFonts w:ascii="宋体" w:hAnsi="宋体" w:cs="宋体"/>
                <w:snapToGrid w:val="0"/>
                <w:color w:val="auto"/>
                <w:kern w:val="0"/>
                <w:szCs w:val="21"/>
                <w:highlight w:val="none"/>
              </w:rPr>
            </w:pPr>
          </w:p>
        </w:tc>
      </w:tr>
      <w:tr w14:paraId="50F4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76AC6590">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673" w:type="dxa"/>
            <w:gridSpan w:val="2"/>
            <w:vAlign w:val="center"/>
          </w:tcPr>
          <w:p w14:paraId="27726BDB">
            <w:pPr>
              <w:pStyle w:val="43"/>
              <w:wordWrap w:val="0"/>
              <w:adjustRightInd w:val="0"/>
              <w:snapToGrid w:val="0"/>
              <w:jc w:val="center"/>
              <w:rPr>
                <w:rFonts w:ascii="宋体" w:hAnsi="宋体" w:cs="宋体"/>
                <w:snapToGrid w:val="0"/>
                <w:color w:val="auto"/>
                <w:kern w:val="0"/>
                <w:szCs w:val="21"/>
                <w:highlight w:val="none"/>
              </w:rPr>
            </w:pPr>
          </w:p>
        </w:tc>
        <w:tc>
          <w:tcPr>
            <w:tcW w:w="1126" w:type="dxa"/>
            <w:gridSpan w:val="2"/>
            <w:vMerge w:val="continue"/>
            <w:vAlign w:val="center"/>
          </w:tcPr>
          <w:p w14:paraId="6124F558">
            <w:pPr>
              <w:pStyle w:val="43"/>
              <w:wordWrap w:val="0"/>
              <w:adjustRightInd w:val="0"/>
              <w:snapToGrid w:val="0"/>
              <w:jc w:val="center"/>
              <w:rPr>
                <w:rFonts w:ascii="宋体" w:hAnsi="宋体" w:cs="宋体"/>
                <w:snapToGrid w:val="0"/>
                <w:color w:val="auto"/>
                <w:kern w:val="0"/>
                <w:szCs w:val="21"/>
                <w:highlight w:val="none"/>
              </w:rPr>
            </w:pPr>
          </w:p>
        </w:tc>
        <w:tc>
          <w:tcPr>
            <w:tcW w:w="1995" w:type="dxa"/>
            <w:gridSpan w:val="3"/>
            <w:vAlign w:val="center"/>
          </w:tcPr>
          <w:p w14:paraId="6DF2F0E8">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69" w:type="dxa"/>
            <w:vAlign w:val="center"/>
          </w:tcPr>
          <w:p w14:paraId="353C0D3D">
            <w:pPr>
              <w:pStyle w:val="43"/>
              <w:wordWrap w:val="0"/>
              <w:adjustRightInd w:val="0"/>
              <w:snapToGrid w:val="0"/>
              <w:jc w:val="center"/>
              <w:rPr>
                <w:rFonts w:ascii="宋体" w:hAnsi="宋体" w:cs="宋体"/>
                <w:snapToGrid w:val="0"/>
                <w:color w:val="auto"/>
                <w:kern w:val="0"/>
                <w:szCs w:val="21"/>
                <w:highlight w:val="none"/>
              </w:rPr>
            </w:pPr>
          </w:p>
        </w:tc>
      </w:tr>
      <w:tr w14:paraId="2767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F096E05">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673" w:type="dxa"/>
            <w:gridSpan w:val="2"/>
            <w:vAlign w:val="center"/>
          </w:tcPr>
          <w:p w14:paraId="69894E3D">
            <w:pPr>
              <w:pStyle w:val="43"/>
              <w:wordWrap w:val="0"/>
              <w:adjustRightInd w:val="0"/>
              <w:snapToGrid w:val="0"/>
              <w:jc w:val="center"/>
              <w:rPr>
                <w:rFonts w:ascii="宋体" w:hAnsi="宋体" w:cs="宋体"/>
                <w:snapToGrid w:val="0"/>
                <w:color w:val="auto"/>
                <w:kern w:val="0"/>
                <w:szCs w:val="21"/>
                <w:highlight w:val="none"/>
              </w:rPr>
            </w:pPr>
          </w:p>
        </w:tc>
        <w:tc>
          <w:tcPr>
            <w:tcW w:w="1126" w:type="dxa"/>
            <w:gridSpan w:val="2"/>
            <w:vMerge w:val="continue"/>
            <w:vAlign w:val="center"/>
          </w:tcPr>
          <w:p w14:paraId="75F7703D">
            <w:pPr>
              <w:pStyle w:val="43"/>
              <w:wordWrap w:val="0"/>
              <w:adjustRightInd w:val="0"/>
              <w:snapToGrid w:val="0"/>
              <w:jc w:val="center"/>
              <w:rPr>
                <w:rFonts w:ascii="宋体" w:hAnsi="宋体" w:cs="宋体"/>
                <w:snapToGrid w:val="0"/>
                <w:color w:val="auto"/>
                <w:kern w:val="0"/>
                <w:szCs w:val="21"/>
                <w:highlight w:val="none"/>
              </w:rPr>
            </w:pPr>
          </w:p>
        </w:tc>
        <w:tc>
          <w:tcPr>
            <w:tcW w:w="1995" w:type="dxa"/>
            <w:gridSpan w:val="3"/>
            <w:vAlign w:val="center"/>
          </w:tcPr>
          <w:p w14:paraId="3234EDEA">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69" w:type="dxa"/>
            <w:vAlign w:val="center"/>
          </w:tcPr>
          <w:p w14:paraId="32DC6686">
            <w:pPr>
              <w:pStyle w:val="43"/>
              <w:wordWrap w:val="0"/>
              <w:adjustRightInd w:val="0"/>
              <w:snapToGrid w:val="0"/>
              <w:jc w:val="center"/>
              <w:rPr>
                <w:rFonts w:ascii="宋体" w:hAnsi="宋体" w:cs="宋体"/>
                <w:snapToGrid w:val="0"/>
                <w:color w:val="auto"/>
                <w:kern w:val="0"/>
                <w:szCs w:val="21"/>
                <w:highlight w:val="none"/>
              </w:rPr>
            </w:pPr>
          </w:p>
        </w:tc>
      </w:tr>
      <w:tr w14:paraId="68EC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AAF3D2B">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账号</w:t>
            </w:r>
          </w:p>
        </w:tc>
        <w:tc>
          <w:tcPr>
            <w:tcW w:w="2673" w:type="dxa"/>
            <w:gridSpan w:val="2"/>
            <w:vAlign w:val="center"/>
          </w:tcPr>
          <w:p w14:paraId="4CB1EC98">
            <w:pPr>
              <w:pStyle w:val="43"/>
              <w:wordWrap w:val="0"/>
              <w:adjustRightInd w:val="0"/>
              <w:snapToGrid w:val="0"/>
              <w:jc w:val="center"/>
              <w:rPr>
                <w:rFonts w:ascii="宋体" w:hAnsi="宋体" w:cs="宋体"/>
                <w:snapToGrid w:val="0"/>
                <w:color w:val="auto"/>
                <w:kern w:val="0"/>
                <w:szCs w:val="21"/>
                <w:highlight w:val="none"/>
              </w:rPr>
            </w:pPr>
          </w:p>
        </w:tc>
        <w:tc>
          <w:tcPr>
            <w:tcW w:w="1126" w:type="dxa"/>
            <w:gridSpan w:val="2"/>
            <w:vMerge w:val="continue"/>
            <w:vAlign w:val="center"/>
          </w:tcPr>
          <w:p w14:paraId="2733AB56">
            <w:pPr>
              <w:pStyle w:val="43"/>
              <w:wordWrap w:val="0"/>
              <w:adjustRightInd w:val="0"/>
              <w:snapToGrid w:val="0"/>
              <w:jc w:val="center"/>
              <w:rPr>
                <w:rFonts w:ascii="宋体" w:hAnsi="宋体" w:cs="宋体"/>
                <w:snapToGrid w:val="0"/>
                <w:color w:val="auto"/>
                <w:kern w:val="0"/>
                <w:szCs w:val="21"/>
                <w:highlight w:val="none"/>
              </w:rPr>
            </w:pPr>
          </w:p>
        </w:tc>
        <w:tc>
          <w:tcPr>
            <w:tcW w:w="1995" w:type="dxa"/>
            <w:gridSpan w:val="3"/>
            <w:vAlign w:val="center"/>
          </w:tcPr>
          <w:p w14:paraId="15BFF6BD">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69" w:type="dxa"/>
            <w:vAlign w:val="center"/>
          </w:tcPr>
          <w:p w14:paraId="12862E1F">
            <w:pPr>
              <w:pStyle w:val="43"/>
              <w:wordWrap w:val="0"/>
              <w:adjustRightInd w:val="0"/>
              <w:snapToGrid w:val="0"/>
              <w:jc w:val="center"/>
              <w:rPr>
                <w:rFonts w:ascii="宋体" w:hAnsi="宋体" w:cs="宋体"/>
                <w:snapToGrid w:val="0"/>
                <w:color w:val="auto"/>
                <w:kern w:val="0"/>
                <w:szCs w:val="21"/>
                <w:highlight w:val="none"/>
              </w:rPr>
            </w:pPr>
          </w:p>
        </w:tc>
      </w:tr>
      <w:tr w14:paraId="1AC9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36" w:type="dxa"/>
            <w:vAlign w:val="center"/>
          </w:tcPr>
          <w:p w14:paraId="2FCF2153">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263" w:type="dxa"/>
            <w:gridSpan w:val="8"/>
            <w:vAlign w:val="center"/>
          </w:tcPr>
          <w:p w14:paraId="0B4CBE9B">
            <w:pPr>
              <w:pStyle w:val="43"/>
              <w:wordWrap w:val="0"/>
              <w:adjustRightInd w:val="0"/>
              <w:snapToGrid w:val="0"/>
              <w:jc w:val="center"/>
              <w:rPr>
                <w:rFonts w:ascii="宋体" w:hAnsi="宋体" w:cs="宋体"/>
                <w:snapToGrid w:val="0"/>
                <w:color w:val="auto"/>
                <w:kern w:val="0"/>
                <w:szCs w:val="21"/>
                <w:highlight w:val="none"/>
              </w:rPr>
            </w:pPr>
          </w:p>
        </w:tc>
      </w:tr>
      <w:tr w14:paraId="59A3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1536" w:type="dxa"/>
            <w:vAlign w:val="center"/>
          </w:tcPr>
          <w:p w14:paraId="05470F6F">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263" w:type="dxa"/>
            <w:gridSpan w:val="8"/>
            <w:vAlign w:val="center"/>
          </w:tcPr>
          <w:p w14:paraId="1BD3A486">
            <w:pPr>
              <w:pStyle w:val="43"/>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4872FD7E">
            <w:pPr>
              <w:pStyle w:val="43"/>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2E2AE9CB">
            <w:pPr>
              <w:pStyle w:val="43"/>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6D6E1417">
            <w:pPr>
              <w:pStyle w:val="43"/>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7717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536" w:type="dxa"/>
            <w:vAlign w:val="center"/>
          </w:tcPr>
          <w:p w14:paraId="67104BE2">
            <w:pPr>
              <w:pStyle w:val="43"/>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263" w:type="dxa"/>
            <w:gridSpan w:val="8"/>
            <w:vAlign w:val="center"/>
          </w:tcPr>
          <w:p w14:paraId="4F51B134">
            <w:pPr>
              <w:pStyle w:val="43"/>
              <w:wordWrap w:val="0"/>
              <w:adjustRightInd w:val="0"/>
              <w:snapToGrid w:val="0"/>
              <w:jc w:val="center"/>
              <w:rPr>
                <w:rFonts w:ascii="宋体" w:hAnsi="宋体" w:cs="宋体"/>
                <w:snapToGrid w:val="0"/>
                <w:color w:val="auto"/>
                <w:kern w:val="0"/>
                <w:szCs w:val="21"/>
                <w:highlight w:val="none"/>
              </w:rPr>
            </w:pPr>
          </w:p>
        </w:tc>
      </w:tr>
    </w:tbl>
    <w:p w14:paraId="1AA41F24">
      <w:pPr>
        <w:pStyle w:val="43"/>
        <w:wordWrap w:val="0"/>
        <w:adjustRightInd w:val="0"/>
        <w:snapToGrid w:val="0"/>
        <w:spacing w:line="400" w:lineRule="exac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16AB9A91">
      <w:pPr>
        <w:pStyle w:val="43"/>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7DE53EC4">
      <w:pPr>
        <w:pStyle w:val="43"/>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（1）企业营业执照、资质证书的扫描件（</w:t>
      </w:r>
      <w:r>
        <w:rPr>
          <w:rFonts w:hint="eastAsia" w:ascii="宋体" w:hAnsi="宋体" w:cs="宋体"/>
          <w:b/>
          <w:bCs/>
          <w:snapToGrid w:val="0"/>
          <w:color w:val="auto"/>
          <w:kern w:val="0"/>
          <w:szCs w:val="21"/>
          <w:highlight w:val="none"/>
        </w:rPr>
        <w:t>因推行电子证照，部分企业已不存在副本等纸质证书。可打印件营业执照、资质证书实时网页查询页）</w:t>
      </w:r>
      <w:r>
        <w:rPr>
          <w:rFonts w:hint="eastAsia" w:ascii="宋体" w:hAnsi="宋体" w:cs="宋体"/>
          <w:snapToGrid w:val="0"/>
          <w:color w:val="auto"/>
          <w:kern w:val="0"/>
          <w:szCs w:val="21"/>
          <w:highlight w:val="none"/>
        </w:rPr>
        <w:t>；</w:t>
      </w:r>
    </w:p>
    <w:p w14:paraId="264074C2">
      <w:pPr>
        <w:pStyle w:val="43"/>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highlight w:val="none"/>
        </w:rPr>
        <w:t>。（适用于省外企业）</w:t>
      </w:r>
      <w:r>
        <w:rPr>
          <w:rFonts w:hint="eastAsia" w:ascii="宋体" w:hAnsi="宋体" w:cs="宋体"/>
          <w:snapToGrid w:val="0"/>
          <w:color w:val="auto"/>
          <w:kern w:val="0"/>
          <w:szCs w:val="21"/>
          <w:highlight w:val="none"/>
        </w:rPr>
        <w:t>；</w:t>
      </w:r>
    </w:p>
    <w:p w14:paraId="7C560BDF">
      <w:pPr>
        <w:pStyle w:val="43"/>
        <w:wordWrap w:val="0"/>
        <w:adjustRightInd w:val="0"/>
        <w:snapToGrid w:val="0"/>
        <w:spacing w:line="400" w:lineRule="exact"/>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（3）《法人和非法人组织公共信用信息报告》打印件</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highlight w:val="none"/>
        </w:rPr>
        <w:t>(在“信用中国”网站企业查询界面中下载)。</w:t>
      </w:r>
    </w:p>
    <w:p w14:paraId="6A7D52B0">
      <w:pPr>
        <w:pStyle w:val="43"/>
        <w:wordWrap w:val="0"/>
        <w:adjustRightInd w:val="0"/>
        <w:snapToGrid w:val="0"/>
        <w:spacing w:line="400" w:lineRule="exact"/>
        <w:ind w:left="365" w:leftChars="174"/>
        <w:rPr>
          <w:rFonts w:ascii="宋体" w:hAnsi="宋体" w:cs="宋体"/>
          <w:snapToGrid w:val="0"/>
          <w:color w:val="auto"/>
          <w:kern w:val="0"/>
          <w:highlight w:val="none"/>
        </w:rPr>
      </w:pPr>
      <w:r>
        <w:rPr>
          <w:rFonts w:hint="eastAsia" w:ascii="宋体" w:hAnsi="宋体" w:cs="宋体"/>
          <w:snapToGrid w:val="0"/>
          <w:color w:val="auto"/>
          <w:kern w:val="0"/>
          <w:highlight w:val="none"/>
        </w:rPr>
        <w:t>2．联合体投标的，联合体成员单位均应填写《投标人基本情况表》并提供以上所需资料。</w:t>
      </w:r>
    </w:p>
    <w:p w14:paraId="680A4A6A">
      <w:pPr>
        <w:rPr>
          <w:rFonts w:ascii="宋体" w:hAnsi="宋体" w:cs="宋体"/>
          <w:snapToGrid w:val="0"/>
          <w:color w:val="auto"/>
          <w:kern w:val="0"/>
          <w:highlight w:val="none"/>
        </w:rPr>
      </w:pPr>
    </w:p>
    <w:p w14:paraId="701F0221">
      <w:pPr>
        <w:rPr>
          <w:rFonts w:ascii="宋体" w:hAnsi="宋体" w:cs="宋体"/>
          <w:snapToGrid w:val="0"/>
          <w:color w:val="auto"/>
          <w:kern w:val="0"/>
          <w:highlight w:val="none"/>
        </w:rPr>
      </w:pPr>
    </w:p>
    <w:p w14:paraId="6D4DA442">
      <w:pPr>
        <w:rPr>
          <w:rFonts w:ascii="宋体" w:hAnsi="宋体" w:cs="宋体"/>
          <w:snapToGrid w:val="0"/>
          <w:color w:val="auto"/>
          <w:kern w:val="0"/>
          <w:highlight w:val="none"/>
        </w:rPr>
      </w:pPr>
    </w:p>
    <w:p w14:paraId="6DC398EA">
      <w:pPr>
        <w:pStyle w:val="3"/>
        <w:wordWrap w:val="0"/>
        <w:autoSpaceDE/>
        <w:autoSpaceDN/>
        <w:snapToGrid w:val="0"/>
        <w:spacing w:line="480" w:lineRule="auto"/>
        <w:ind w:firstLine="480"/>
        <w:jc w:val="both"/>
        <w:rPr>
          <w:rFonts w:ascii="宋体" w:hAnsi="宋体" w:cs="宋体"/>
          <w:b/>
          <w:bCs/>
          <w:snapToGrid w:val="0"/>
          <w:color w:val="auto"/>
          <w:szCs w:val="24"/>
          <w:highlight w:val="none"/>
        </w:rPr>
      </w:pPr>
      <w:bookmarkStart w:id="361" w:name="_Toc14872"/>
      <w:bookmarkStart w:id="362" w:name="_Toc23780"/>
      <w:r>
        <w:rPr>
          <w:rFonts w:hint="eastAsia" w:ascii="宋体" w:hAnsi="宋体" w:cs="宋体"/>
          <w:b/>
          <w:snapToGrid w:val="0"/>
          <w:color w:val="auto"/>
          <w:sz w:val="24"/>
          <w:highlight w:val="none"/>
        </w:rPr>
        <w:t>格式六   设计负责人简历表</w:t>
      </w:r>
      <w:bookmarkEnd w:id="361"/>
      <w:bookmarkEnd w:id="362"/>
    </w:p>
    <w:p w14:paraId="1D87EB91">
      <w:pPr>
        <w:wordWrap w:val="0"/>
        <w:adjustRightInd w:val="0"/>
        <w:snapToGrid w:val="0"/>
        <w:spacing w:line="440" w:lineRule="exact"/>
        <w:jc w:val="center"/>
        <w:rPr>
          <w:rFonts w:ascii="宋体" w:hAnsi="宋体" w:cs="宋体"/>
          <w:b/>
          <w:bCs/>
          <w:snapToGrid w:val="0"/>
          <w:color w:val="auto"/>
          <w:kern w:val="0"/>
          <w:szCs w:val="24"/>
          <w:highlight w:val="none"/>
        </w:rPr>
      </w:pPr>
      <w:r>
        <w:rPr>
          <w:rFonts w:hint="eastAsia" w:ascii="宋体" w:hAnsi="宋体" w:cs="宋体"/>
          <w:b/>
          <w:snapToGrid w:val="0"/>
          <w:color w:val="auto"/>
          <w:kern w:val="0"/>
          <w:sz w:val="30"/>
          <w:highlight w:val="none"/>
        </w:rPr>
        <w:t>设计负责人简历表</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6E23F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03267B64">
            <w:pPr>
              <w:jc w:val="center"/>
              <w:rPr>
                <w:rFonts w:ascii="宋体" w:hAnsi="宋体" w:cs="宋体"/>
                <w:color w:val="auto"/>
                <w:highlight w:val="none"/>
              </w:rPr>
            </w:pPr>
            <w:r>
              <w:rPr>
                <w:rFonts w:hint="eastAsia" w:ascii="宋体" w:hAnsi="宋体" w:cs="宋体"/>
                <w:color w:val="auto"/>
                <w:highlight w:val="none"/>
              </w:rPr>
              <w:t>1.基本情况</w:t>
            </w:r>
          </w:p>
        </w:tc>
      </w:tr>
      <w:tr w14:paraId="65B1D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DCEA49F">
            <w:pPr>
              <w:jc w:val="center"/>
              <w:rPr>
                <w:rFonts w:ascii="宋体" w:hAnsi="宋体" w:cs="宋体"/>
                <w:color w:val="auto"/>
                <w:highlight w:val="none"/>
              </w:rPr>
            </w:pPr>
            <w:r>
              <w:rPr>
                <w:rFonts w:hint="eastAsia" w:ascii="宋体" w:hAnsi="宋体" w:cs="宋体"/>
                <w:color w:val="auto"/>
                <w:highlight w:val="none"/>
              </w:rPr>
              <w:t>姓名</w:t>
            </w:r>
          </w:p>
        </w:tc>
        <w:tc>
          <w:tcPr>
            <w:tcW w:w="1387" w:type="dxa"/>
            <w:vAlign w:val="center"/>
          </w:tcPr>
          <w:p w14:paraId="0DDE0C36">
            <w:pPr>
              <w:jc w:val="center"/>
              <w:rPr>
                <w:rFonts w:ascii="宋体" w:hAnsi="宋体" w:cs="宋体"/>
                <w:color w:val="auto"/>
                <w:highlight w:val="none"/>
              </w:rPr>
            </w:pPr>
          </w:p>
        </w:tc>
        <w:tc>
          <w:tcPr>
            <w:tcW w:w="704" w:type="dxa"/>
            <w:vAlign w:val="center"/>
          </w:tcPr>
          <w:p w14:paraId="69E408A0">
            <w:pPr>
              <w:jc w:val="center"/>
              <w:rPr>
                <w:rFonts w:ascii="宋体" w:hAnsi="宋体" w:cs="宋体"/>
                <w:color w:val="auto"/>
                <w:highlight w:val="none"/>
              </w:rPr>
            </w:pPr>
            <w:r>
              <w:rPr>
                <w:rFonts w:hint="eastAsia" w:ascii="宋体" w:hAnsi="宋体" w:cs="宋体"/>
                <w:color w:val="auto"/>
                <w:highlight w:val="none"/>
              </w:rPr>
              <w:t>性别</w:t>
            </w:r>
          </w:p>
        </w:tc>
        <w:tc>
          <w:tcPr>
            <w:tcW w:w="1473" w:type="dxa"/>
            <w:vAlign w:val="center"/>
          </w:tcPr>
          <w:p w14:paraId="51000B30">
            <w:pPr>
              <w:jc w:val="center"/>
              <w:rPr>
                <w:rFonts w:ascii="宋体" w:hAnsi="宋体" w:cs="宋体"/>
                <w:color w:val="auto"/>
                <w:highlight w:val="none"/>
              </w:rPr>
            </w:pPr>
          </w:p>
        </w:tc>
        <w:tc>
          <w:tcPr>
            <w:tcW w:w="922" w:type="dxa"/>
            <w:vAlign w:val="center"/>
          </w:tcPr>
          <w:p w14:paraId="715B3947">
            <w:pPr>
              <w:jc w:val="center"/>
              <w:rPr>
                <w:rFonts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5EE0D0D8">
            <w:pPr>
              <w:jc w:val="center"/>
              <w:rPr>
                <w:rFonts w:ascii="宋体" w:hAnsi="宋体" w:cs="宋体"/>
                <w:color w:val="auto"/>
                <w:highlight w:val="none"/>
              </w:rPr>
            </w:pPr>
          </w:p>
        </w:tc>
        <w:tc>
          <w:tcPr>
            <w:tcW w:w="737" w:type="dxa"/>
            <w:vAlign w:val="center"/>
          </w:tcPr>
          <w:p w14:paraId="3B3E5F5F">
            <w:pPr>
              <w:jc w:val="center"/>
              <w:rPr>
                <w:rFonts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69700928">
            <w:pPr>
              <w:jc w:val="center"/>
              <w:rPr>
                <w:rFonts w:ascii="宋体" w:hAnsi="宋体" w:cs="宋体"/>
                <w:color w:val="auto"/>
                <w:highlight w:val="none"/>
              </w:rPr>
            </w:pPr>
          </w:p>
        </w:tc>
      </w:tr>
      <w:tr w14:paraId="671A6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E50DE49">
            <w:pPr>
              <w:jc w:val="center"/>
              <w:rPr>
                <w:rFonts w:ascii="宋体" w:hAnsi="宋体" w:cs="宋体"/>
                <w:color w:val="auto"/>
                <w:highlight w:val="none"/>
              </w:rPr>
            </w:pPr>
            <w:r>
              <w:rPr>
                <w:rFonts w:hint="eastAsia" w:ascii="宋体" w:hAnsi="宋体" w:cs="宋体"/>
                <w:color w:val="auto"/>
                <w:highlight w:val="none"/>
              </w:rPr>
              <w:t>职称</w:t>
            </w:r>
          </w:p>
        </w:tc>
        <w:tc>
          <w:tcPr>
            <w:tcW w:w="1387" w:type="dxa"/>
            <w:vAlign w:val="center"/>
          </w:tcPr>
          <w:p w14:paraId="09F5CD95">
            <w:pPr>
              <w:jc w:val="center"/>
              <w:rPr>
                <w:rFonts w:ascii="宋体" w:hAnsi="宋体" w:cs="宋体"/>
                <w:color w:val="auto"/>
                <w:highlight w:val="none"/>
              </w:rPr>
            </w:pPr>
          </w:p>
        </w:tc>
        <w:tc>
          <w:tcPr>
            <w:tcW w:w="2177" w:type="dxa"/>
            <w:gridSpan w:val="2"/>
            <w:vAlign w:val="center"/>
          </w:tcPr>
          <w:p w14:paraId="3892F5A5">
            <w:pPr>
              <w:jc w:val="center"/>
              <w:rPr>
                <w:rFonts w:ascii="宋体" w:hAnsi="宋体" w:cs="宋体"/>
                <w:color w:val="auto"/>
                <w:highlight w:val="none"/>
              </w:rPr>
            </w:pPr>
            <w:r>
              <w:rPr>
                <w:rFonts w:hint="eastAsia" w:ascii="宋体" w:hAnsi="宋体" w:cs="宋体"/>
                <w:color w:val="auto"/>
                <w:spacing w:val="-12"/>
                <w:highlight w:val="none"/>
              </w:rPr>
              <w:t>为投标人服务时间</w:t>
            </w:r>
          </w:p>
        </w:tc>
        <w:tc>
          <w:tcPr>
            <w:tcW w:w="922" w:type="dxa"/>
            <w:vAlign w:val="center"/>
          </w:tcPr>
          <w:p w14:paraId="4E6C009C">
            <w:pPr>
              <w:jc w:val="center"/>
              <w:rPr>
                <w:rFonts w:ascii="宋体" w:hAnsi="宋体" w:cs="宋体"/>
                <w:color w:val="auto"/>
                <w:highlight w:val="none"/>
              </w:rPr>
            </w:pPr>
          </w:p>
        </w:tc>
        <w:tc>
          <w:tcPr>
            <w:tcW w:w="1994" w:type="dxa"/>
            <w:gridSpan w:val="3"/>
            <w:vAlign w:val="center"/>
          </w:tcPr>
          <w:p w14:paraId="5480001E">
            <w:pPr>
              <w:jc w:val="center"/>
              <w:rPr>
                <w:rFonts w:ascii="宋体" w:hAnsi="宋体" w:cs="宋体"/>
                <w:color w:val="auto"/>
                <w:spacing w:val="-12"/>
                <w:highlight w:val="none"/>
              </w:rPr>
            </w:pPr>
            <w:r>
              <w:rPr>
                <w:rFonts w:hint="eastAsia" w:ascii="宋体" w:hAnsi="宋体" w:cs="宋体"/>
                <w:color w:val="auto"/>
                <w:highlight w:val="none"/>
              </w:rPr>
              <w:t>在本合同中拟任职</w:t>
            </w:r>
          </w:p>
        </w:tc>
        <w:tc>
          <w:tcPr>
            <w:tcW w:w="1424" w:type="dxa"/>
            <w:gridSpan w:val="2"/>
            <w:vAlign w:val="center"/>
          </w:tcPr>
          <w:p w14:paraId="5473022A">
            <w:pPr>
              <w:jc w:val="center"/>
              <w:rPr>
                <w:rFonts w:ascii="宋体" w:hAnsi="宋体" w:cs="宋体"/>
                <w:color w:val="auto"/>
                <w:highlight w:val="none"/>
              </w:rPr>
            </w:pPr>
          </w:p>
        </w:tc>
      </w:tr>
      <w:tr w14:paraId="4C7D0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9FFA226">
            <w:pPr>
              <w:jc w:val="center"/>
              <w:rPr>
                <w:rFonts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3ABC42E8">
            <w:pPr>
              <w:ind w:firstLine="600"/>
              <w:jc w:val="center"/>
              <w:rPr>
                <w:rFonts w:ascii="宋体" w:hAnsi="宋体" w:cs="宋体"/>
                <w:color w:val="auto"/>
                <w:highlight w:val="none"/>
              </w:rPr>
            </w:pPr>
            <w:r>
              <w:rPr>
                <w:rFonts w:hint="eastAsia" w:ascii="宋体" w:hAnsi="宋体" w:cs="宋体"/>
                <w:color w:val="auto"/>
                <w:highlight w:val="none"/>
              </w:rPr>
              <w:t>年毕业于              学校           专业</w:t>
            </w:r>
          </w:p>
        </w:tc>
      </w:tr>
      <w:tr w14:paraId="0C345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14D73FC8">
            <w:pPr>
              <w:jc w:val="center"/>
              <w:rPr>
                <w:rFonts w:ascii="宋体" w:hAnsi="宋体" w:cs="宋体"/>
                <w:color w:val="auto"/>
                <w:highlight w:val="none"/>
              </w:rPr>
            </w:pPr>
            <w:r>
              <w:rPr>
                <w:rFonts w:hint="eastAsia" w:ascii="宋体" w:hAnsi="宋体" w:cs="宋体"/>
                <w:color w:val="auto"/>
                <w:highlight w:val="none"/>
              </w:rPr>
              <w:t>2.经历</w:t>
            </w:r>
          </w:p>
        </w:tc>
      </w:tr>
      <w:tr w14:paraId="557D1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8BD88A5">
            <w:pPr>
              <w:jc w:val="center"/>
              <w:rPr>
                <w:rFonts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4453F8AB">
            <w:pPr>
              <w:jc w:val="center"/>
              <w:rPr>
                <w:rFonts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1AC68031">
            <w:pPr>
              <w:jc w:val="center"/>
              <w:rPr>
                <w:rFonts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31F9A721">
            <w:pPr>
              <w:jc w:val="center"/>
              <w:rPr>
                <w:rFonts w:ascii="宋体" w:hAnsi="宋体" w:cs="宋体"/>
                <w:color w:val="auto"/>
                <w:highlight w:val="none"/>
              </w:rPr>
            </w:pPr>
            <w:r>
              <w:rPr>
                <w:rFonts w:hint="eastAsia" w:ascii="宋体" w:hAnsi="宋体" w:cs="宋体"/>
                <w:color w:val="auto"/>
                <w:highlight w:val="none"/>
              </w:rPr>
              <w:t>备 注</w:t>
            </w:r>
          </w:p>
        </w:tc>
      </w:tr>
      <w:tr w14:paraId="0623A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676617B">
            <w:pPr>
              <w:jc w:val="center"/>
              <w:rPr>
                <w:rFonts w:ascii="宋体" w:hAnsi="宋体" w:cs="宋体"/>
                <w:color w:val="auto"/>
                <w:highlight w:val="none"/>
              </w:rPr>
            </w:pPr>
          </w:p>
        </w:tc>
        <w:tc>
          <w:tcPr>
            <w:tcW w:w="4585" w:type="dxa"/>
            <w:gridSpan w:val="5"/>
            <w:vAlign w:val="center"/>
          </w:tcPr>
          <w:p w14:paraId="74A524F3">
            <w:pPr>
              <w:jc w:val="center"/>
              <w:rPr>
                <w:rFonts w:ascii="宋体" w:hAnsi="宋体" w:cs="宋体"/>
                <w:color w:val="auto"/>
                <w:highlight w:val="none"/>
              </w:rPr>
            </w:pPr>
          </w:p>
        </w:tc>
        <w:tc>
          <w:tcPr>
            <w:tcW w:w="1961" w:type="dxa"/>
            <w:gridSpan w:val="3"/>
            <w:vAlign w:val="center"/>
          </w:tcPr>
          <w:p w14:paraId="0C97781C">
            <w:pPr>
              <w:jc w:val="center"/>
              <w:rPr>
                <w:rFonts w:ascii="宋体" w:hAnsi="宋体" w:cs="宋体"/>
                <w:color w:val="auto"/>
                <w:highlight w:val="none"/>
              </w:rPr>
            </w:pPr>
          </w:p>
        </w:tc>
        <w:tc>
          <w:tcPr>
            <w:tcW w:w="1358" w:type="dxa"/>
            <w:vAlign w:val="center"/>
          </w:tcPr>
          <w:p w14:paraId="10F0DE65">
            <w:pPr>
              <w:jc w:val="center"/>
              <w:rPr>
                <w:rFonts w:ascii="宋体" w:hAnsi="宋体" w:cs="宋体"/>
                <w:color w:val="auto"/>
                <w:highlight w:val="none"/>
              </w:rPr>
            </w:pPr>
          </w:p>
        </w:tc>
      </w:tr>
      <w:tr w14:paraId="3FF19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73A119A4">
            <w:pPr>
              <w:jc w:val="center"/>
              <w:rPr>
                <w:rFonts w:ascii="宋体" w:hAnsi="宋体" w:cs="宋体"/>
                <w:color w:val="auto"/>
                <w:highlight w:val="none"/>
              </w:rPr>
            </w:pPr>
          </w:p>
        </w:tc>
        <w:tc>
          <w:tcPr>
            <w:tcW w:w="4585" w:type="dxa"/>
            <w:gridSpan w:val="5"/>
            <w:vAlign w:val="center"/>
          </w:tcPr>
          <w:p w14:paraId="1D479BB7">
            <w:pPr>
              <w:jc w:val="center"/>
              <w:rPr>
                <w:rFonts w:ascii="宋体" w:hAnsi="宋体" w:cs="宋体"/>
                <w:color w:val="auto"/>
                <w:highlight w:val="none"/>
              </w:rPr>
            </w:pPr>
          </w:p>
        </w:tc>
        <w:tc>
          <w:tcPr>
            <w:tcW w:w="1961" w:type="dxa"/>
            <w:gridSpan w:val="3"/>
            <w:vAlign w:val="center"/>
          </w:tcPr>
          <w:p w14:paraId="30CF0340">
            <w:pPr>
              <w:jc w:val="center"/>
              <w:rPr>
                <w:rFonts w:ascii="宋体" w:hAnsi="宋体" w:cs="宋体"/>
                <w:color w:val="auto"/>
                <w:highlight w:val="none"/>
              </w:rPr>
            </w:pPr>
          </w:p>
        </w:tc>
        <w:tc>
          <w:tcPr>
            <w:tcW w:w="1358" w:type="dxa"/>
            <w:vAlign w:val="center"/>
          </w:tcPr>
          <w:p w14:paraId="6DB13FF0">
            <w:pPr>
              <w:jc w:val="center"/>
              <w:rPr>
                <w:rFonts w:ascii="宋体" w:hAnsi="宋体" w:cs="宋体"/>
                <w:color w:val="auto"/>
                <w:highlight w:val="none"/>
              </w:rPr>
            </w:pPr>
          </w:p>
        </w:tc>
      </w:tr>
      <w:tr w14:paraId="553C0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BA62E42">
            <w:pPr>
              <w:jc w:val="center"/>
              <w:rPr>
                <w:rFonts w:ascii="宋体" w:hAnsi="宋体" w:cs="宋体"/>
                <w:color w:val="auto"/>
                <w:highlight w:val="none"/>
              </w:rPr>
            </w:pPr>
          </w:p>
        </w:tc>
        <w:tc>
          <w:tcPr>
            <w:tcW w:w="4585" w:type="dxa"/>
            <w:gridSpan w:val="5"/>
            <w:vAlign w:val="center"/>
          </w:tcPr>
          <w:p w14:paraId="094A18E6">
            <w:pPr>
              <w:jc w:val="center"/>
              <w:rPr>
                <w:rFonts w:ascii="宋体" w:hAnsi="宋体" w:cs="宋体"/>
                <w:color w:val="auto"/>
                <w:highlight w:val="none"/>
              </w:rPr>
            </w:pPr>
          </w:p>
        </w:tc>
        <w:tc>
          <w:tcPr>
            <w:tcW w:w="1961" w:type="dxa"/>
            <w:gridSpan w:val="3"/>
            <w:vAlign w:val="center"/>
          </w:tcPr>
          <w:p w14:paraId="032C2618">
            <w:pPr>
              <w:jc w:val="center"/>
              <w:rPr>
                <w:rFonts w:ascii="宋体" w:hAnsi="宋体" w:cs="宋体"/>
                <w:color w:val="auto"/>
                <w:highlight w:val="none"/>
              </w:rPr>
            </w:pPr>
          </w:p>
        </w:tc>
        <w:tc>
          <w:tcPr>
            <w:tcW w:w="1358" w:type="dxa"/>
            <w:vAlign w:val="center"/>
          </w:tcPr>
          <w:p w14:paraId="4BEAFC4F">
            <w:pPr>
              <w:jc w:val="center"/>
              <w:rPr>
                <w:rFonts w:ascii="宋体" w:hAnsi="宋体" w:cs="宋体"/>
                <w:color w:val="auto"/>
                <w:highlight w:val="none"/>
              </w:rPr>
            </w:pPr>
          </w:p>
        </w:tc>
      </w:tr>
      <w:tr w14:paraId="6CF5C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2A13DDAB">
            <w:pPr>
              <w:jc w:val="center"/>
              <w:rPr>
                <w:rFonts w:ascii="宋体" w:hAnsi="宋体" w:cs="宋体"/>
                <w:color w:val="auto"/>
                <w:highlight w:val="none"/>
              </w:rPr>
            </w:pPr>
            <w:r>
              <w:rPr>
                <w:rFonts w:hint="eastAsia" w:ascii="宋体" w:hAnsi="宋体" w:cs="宋体"/>
                <w:color w:val="auto"/>
                <w:highlight w:val="none"/>
              </w:rPr>
              <w:t>3.获奖情况（如有）</w:t>
            </w:r>
          </w:p>
        </w:tc>
      </w:tr>
      <w:tr w14:paraId="49BD2A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0A7A5F8A">
            <w:pPr>
              <w:jc w:val="center"/>
              <w:rPr>
                <w:rFonts w:ascii="宋体" w:hAnsi="宋体" w:cs="宋体"/>
                <w:color w:val="auto"/>
                <w:highlight w:val="none"/>
              </w:rPr>
            </w:pPr>
          </w:p>
        </w:tc>
      </w:tr>
      <w:tr w14:paraId="443433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2932CC2E">
            <w:pPr>
              <w:jc w:val="center"/>
              <w:rPr>
                <w:rFonts w:ascii="宋体" w:hAnsi="宋体" w:cs="宋体"/>
                <w:color w:val="auto"/>
                <w:highlight w:val="none"/>
              </w:rPr>
            </w:pPr>
            <w:r>
              <w:rPr>
                <w:rFonts w:hint="eastAsia" w:ascii="宋体" w:hAnsi="宋体" w:cs="宋体"/>
                <w:color w:val="auto"/>
                <w:highlight w:val="none"/>
              </w:rPr>
              <w:t>4.目前承担的任务</w:t>
            </w:r>
          </w:p>
        </w:tc>
      </w:tr>
      <w:tr w14:paraId="25819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44D72D87">
            <w:pPr>
              <w:jc w:val="center"/>
              <w:rPr>
                <w:rFonts w:ascii="宋体" w:hAnsi="宋体" w:cs="宋体"/>
                <w:color w:val="auto"/>
                <w:highlight w:val="none"/>
              </w:rPr>
            </w:pPr>
          </w:p>
        </w:tc>
      </w:tr>
    </w:tbl>
    <w:p w14:paraId="6FFA65A1">
      <w:pPr>
        <w:wordWrap w:val="0"/>
        <w:adjustRightInd w:val="0"/>
        <w:snapToGrid w:val="0"/>
        <w:spacing w:line="440" w:lineRule="exact"/>
        <w:ind w:firstLine="570"/>
        <w:jc w:val="right"/>
        <w:rPr>
          <w:rFonts w:ascii="宋体" w:hAnsi="宋体" w:cs="宋体"/>
          <w:snapToGrid w:val="0"/>
          <w:color w:val="auto"/>
          <w:kern w:val="0"/>
          <w:szCs w:val="28"/>
          <w:highlight w:val="none"/>
        </w:rPr>
      </w:pPr>
      <w:r>
        <w:rPr>
          <w:rFonts w:hint="eastAsia" w:ascii="宋体" w:hAnsi="宋体" w:cs="宋体"/>
          <w:color w:val="auto"/>
          <w:szCs w:val="24"/>
          <w:highlight w:val="none"/>
        </w:rPr>
        <w:t>注：本表不够时自制</w:t>
      </w:r>
    </w:p>
    <w:p w14:paraId="39058AD4">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说明：《设计负责人简历表》后应附拟派设计负责人以下资料：</w:t>
      </w:r>
    </w:p>
    <w:p w14:paraId="26D99C65">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1．身份证</w:t>
      </w:r>
      <w:r>
        <w:rPr>
          <w:rFonts w:hint="eastAsia" w:ascii="宋体" w:hAnsi="宋体" w:cs="宋体"/>
          <w:snapToGrid w:val="0"/>
          <w:color w:val="auto"/>
          <w:kern w:val="0"/>
          <w:szCs w:val="21"/>
          <w:highlight w:val="none"/>
        </w:rPr>
        <w:t>彩色扫描件</w:t>
      </w:r>
      <w:r>
        <w:rPr>
          <w:rFonts w:hint="eastAsia" w:ascii="宋体" w:hAnsi="宋体" w:cs="宋体"/>
          <w:snapToGrid w:val="0"/>
          <w:color w:val="auto"/>
          <w:kern w:val="0"/>
          <w:szCs w:val="28"/>
          <w:highlight w:val="none"/>
        </w:rPr>
        <w:t>；</w:t>
      </w:r>
    </w:p>
    <w:p w14:paraId="65C25A53">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2．注册证书（如需）、职称证（如需）</w:t>
      </w:r>
      <w:r>
        <w:rPr>
          <w:rFonts w:hint="eastAsia" w:ascii="宋体" w:hAnsi="宋体" w:cs="宋体"/>
          <w:snapToGrid w:val="0"/>
          <w:color w:val="auto"/>
          <w:kern w:val="0"/>
          <w:szCs w:val="21"/>
          <w:highlight w:val="none"/>
        </w:rPr>
        <w:t>彩色扫描件（须扫描至变更注册栏，电子</w:t>
      </w:r>
      <w:r>
        <w:rPr>
          <w:rFonts w:hint="eastAsia" w:ascii="宋体" w:hAnsi="宋体" w:cs="宋体"/>
          <w:snapToGrid w:val="0"/>
          <w:color w:val="auto"/>
          <w:kern w:val="0"/>
          <w:szCs w:val="28"/>
          <w:highlight w:val="none"/>
        </w:rPr>
        <w:t>证书除外</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8"/>
          <w:highlight w:val="none"/>
        </w:rPr>
        <w:t>；</w:t>
      </w:r>
    </w:p>
    <w:p w14:paraId="32F45B44">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8"/>
          <w:highlight w:val="none"/>
        </w:rPr>
        <w:t>3．提供近</w:t>
      </w:r>
      <w:r>
        <w:rPr>
          <w:rFonts w:hint="eastAsia" w:ascii="宋体" w:hAnsi="宋体" w:cs="宋体"/>
          <w:snapToGrid w:val="0"/>
          <w:color w:val="auto"/>
          <w:kern w:val="0"/>
          <w:szCs w:val="28"/>
          <w:highlight w:val="none"/>
          <w:lang w:val="en-US" w:eastAsia="zh-CN"/>
        </w:rPr>
        <w:t>3</w:t>
      </w:r>
      <w:r>
        <w:rPr>
          <w:rFonts w:hint="eastAsia" w:ascii="宋体" w:hAnsi="宋体" w:cs="宋体"/>
          <w:snapToGrid w:val="0"/>
          <w:color w:val="auto"/>
          <w:kern w:val="0"/>
          <w:szCs w:val="28"/>
          <w:highlight w:val="none"/>
        </w:rPr>
        <w:t>个月（其中必须有</w:t>
      </w:r>
      <w:r>
        <w:rPr>
          <w:rFonts w:hint="eastAsia" w:ascii="宋体" w:hAnsi="宋体" w:eastAsia="宋体" w:cs="宋体"/>
          <w:snapToGrid w:val="0"/>
          <w:color w:val="auto"/>
          <w:kern w:val="0"/>
          <w:szCs w:val="28"/>
          <w:highlight w:val="none"/>
        </w:rPr>
        <w:t>202</w:t>
      </w:r>
      <w:r>
        <w:rPr>
          <w:rFonts w:hint="eastAsia" w:ascii="宋体" w:hAnsi="宋体" w:eastAsia="宋体" w:cs="宋体"/>
          <w:snapToGrid w:val="0"/>
          <w:color w:val="auto"/>
          <w:kern w:val="0"/>
          <w:szCs w:val="28"/>
          <w:highlight w:val="none"/>
          <w:lang w:val="en-US" w:eastAsia="zh-CN"/>
        </w:rPr>
        <w:t>5</w:t>
      </w:r>
      <w:r>
        <w:rPr>
          <w:rFonts w:hint="eastAsia" w:ascii="宋体" w:hAnsi="宋体" w:eastAsia="宋体" w:cs="宋体"/>
          <w:snapToGrid w:val="0"/>
          <w:color w:val="auto"/>
          <w:kern w:val="0"/>
          <w:szCs w:val="28"/>
          <w:highlight w:val="none"/>
        </w:rPr>
        <w:t>年</w:t>
      </w:r>
      <w:r>
        <w:rPr>
          <w:rFonts w:hint="eastAsia" w:ascii="宋体" w:hAnsi="宋体" w:cs="宋体"/>
          <w:snapToGrid w:val="0"/>
          <w:color w:val="auto"/>
          <w:kern w:val="0"/>
          <w:szCs w:val="28"/>
          <w:highlight w:val="none"/>
          <w:lang w:val="en-US" w:eastAsia="zh-CN"/>
        </w:rPr>
        <w:t>8</w:t>
      </w:r>
      <w:r>
        <w:rPr>
          <w:rFonts w:hint="eastAsia" w:ascii="宋体" w:hAnsi="宋体" w:eastAsia="宋体" w:cs="宋体"/>
          <w:snapToGrid w:val="0"/>
          <w:color w:val="auto"/>
          <w:kern w:val="0"/>
          <w:szCs w:val="28"/>
          <w:highlight w:val="none"/>
        </w:rPr>
        <w:t>月）的社保证明（非独立法人分支机构出具社保，予以认可）彩色扫描件；拟派项目</w:t>
      </w:r>
      <w:r>
        <w:rPr>
          <w:rFonts w:hint="eastAsia" w:ascii="宋体" w:hAnsi="宋体" w:eastAsia="宋体" w:cs="宋体"/>
          <w:snapToGrid w:val="0"/>
          <w:color w:val="auto"/>
          <w:kern w:val="0"/>
          <w:szCs w:val="28"/>
          <w:highlight w:val="none"/>
          <w:lang w:eastAsia="zh-CN"/>
        </w:rPr>
        <w:t>负责人（</w:t>
      </w:r>
      <w:r>
        <w:rPr>
          <w:rFonts w:hint="eastAsia" w:ascii="宋体" w:hAnsi="宋体" w:eastAsia="宋体" w:cs="宋体"/>
          <w:snapToGrid w:val="0"/>
          <w:color w:val="auto"/>
          <w:kern w:val="0"/>
          <w:szCs w:val="28"/>
          <w:highlight w:val="none"/>
        </w:rPr>
        <w:t>设计负责人</w:t>
      </w:r>
      <w:r>
        <w:rPr>
          <w:rFonts w:hint="eastAsia" w:ascii="宋体" w:hAnsi="宋体" w:eastAsia="宋体" w:cs="宋体"/>
          <w:snapToGrid w:val="0"/>
          <w:color w:val="auto"/>
          <w:kern w:val="0"/>
          <w:szCs w:val="28"/>
          <w:highlight w:val="none"/>
          <w:lang w:eastAsia="zh-CN"/>
        </w:rPr>
        <w:t>）</w:t>
      </w:r>
      <w:r>
        <w:rPr>
          <w:rFonts w:hint="eastAsia" w:ascii="宋体" w:hAnsi="宋体" w:eastAsia="宋体" w:cs="宋体"/>
          <w:snapToGrid w:val="0"/>
          <w:color w:val="auto"/>
          <w:kern w:val="0"/>
          <w:szCs w:val="28"/>
          <w:highlight w:val="none"/>
        </w:rPr>
        <w:t>为退休返聘人员无法提供社保证明的，提供退休证(附返聘证明）</w:t>
      </w:r>
      <w:r>
        <w:rPr>
          <w:rFonts w:hint="eastAsia" w:ascii="宋体" w:hAnsi="宋体" w:eastAsia="宋体" w:cs="宋体"/>
          <w:snapToGrid w:val="0"/>
          <w:color w:val="auto"/>
          <w:kern w:val="0"/>
          <w:szCs w:val="21"/>
          <w:highlight w:val="none"/>
        </w:rPr>
        <w:t>彩色扫描件；</w:t>
      </w:r>
    </w:p>
    <w:p w14:paraId="2B4D55BA">
      <w:pPr>
        <w:wordWrap w:val="0"/>
        <w:adjustRightInd w:val="0"/>
        <w:snapToGrid w:val="0"/>
        <w:spacing w:line="400" w:lineRule="exact"/>
        <w:ind w:firstLine="420" w:firstLineChars="200"/>
        <w:rPr>
          <w:rFonts w:ascii="宋体" w:hAnsi="宋体" w:cs="宋体"/>
          <w:snapToGrid w:val="0"/>
          <w:color w:val="auto"/>
          <w:kern w:val="0"/>
          <w:szCs w:val="28"/>
          <w:highlight w:val="none"/>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.“进粤企业和人员诚信信息登记平台”个人信息情况截图。（适用于省外建筑企业）。</w:t>
      </w:r>
    </w:p>
    <w:p w14:paraId="3B5BC6E3">
      <w:pPr>
        <w:rPr>
          <w:rFonts w:ascii="宋体" w:hAnsi="宋体" w:cs="宋体"/>
          <w:color w:val="auto"/>
          <w:highlight w:val="none"/>
        </w:rPr>
      </w:pPr>
    </w:p>
    <w:p w14:paraId="039A5101">
      <w:pPr>
        <w:rPr>
          <w:rFonts w:ascii="宋体" w:hAnsi="宋体" w:cs="宋体"/>
          <w:color w:val="auto"/>
          <w:highlight w:val="none"/>
        </w:rPr>
      </w:pPr>
    </w:p>
    <w:p w14:paraId="6BF15A74">
      <w:pPr>
        <w:rPr>
          <w:rFonts w:ascii="宋体" w:hAnsi="宋体" w:cs="宋体"/>
          <w:color w:val="auto"/>
          <w:highlight w:val="none"/>
        </w:rPr>
      </w:pPr>
    </w:p>
    <w:p w14:paraId="01BF209E">
      <w:pPr>
        <w:rPr>
          <w:rFonts w:ascii="宋体" w:hAnsi="宋体" w:cs="宋体"/>
          <w:color w:val="auto"/>
          <w:highlight w:val="none"/>
        </w:rPr>
      </w:pPr>
    </w:p>
    <w:p w14:paraId="5CCBAF47">
      <w:pPr>
        <w:pStyle w:val="3"/>
        <w:wordWrap w:val="0"/>
        <w:autoSpaceDE/>
        <w:autoSpaceDN/>
        <w:snapToGrid w:val="0"/>
        <w:spacing w:line="480" w:lineRule="auto"/>
        <w:ind w:firstLine="480"/>
        <w:jc w:val="both"/>
        <w:rPr>
          <w:rFonts w:ascii="宋体" w:hAnsi="宋体" w:cs="宋体"/>
          <w:b/>
          <w:snapToGrid w:val="0"/>
          <w:color w:val="auto"/>
          <w:sz w:val="24"/>
          <w:highlight w:val="none"/>
        </w:rPr>
      </w:pPr>
      <w:bookmarkStart w:id="363" w:name="_Toc9297"/>
      <w:bookmarkStart w:id="364" w:name="_Toc17878"/>
      <w:r>
        <w:rPr>
          <w:rFonts w:hint="eastAsia" w:ascii="宋体" w:hAnsi="宋体" w:cs="宋体"/>
          <w:b/>
          <w:snapToGrid w:val="0"/>
          <w:color w:val="auto"/>
          <w:sz w:val="24"/>
          <w:highlight w:val="none"/>
        </w:rPr>
        <w:t>格式七   本项目拟投入的人员基本情况表</w:t>
      </w:r>
      <w:bookmarkEnd w:id="363"/>
      <w:bookmarkEnd w:id="364"/>
    </w:p>
    <w:p w14:paraId="6276BA08">
      <w:pPr>
        <w:wordWrap w:val="0"/>
        <w:adjustRightInd w:val="0"/>
        <w:snapToGrid w:val="0"/>
        <w:spacing w:line="440" w:lineRule="exact"/>
        <w:ind w:firstLine="570"/>
        <w:jc w:val="center"/>
        <w:rPr>
          <w:rFonts w:ascii="宋体" w:hAnsi="宋体" w:cs="宋体"/>
          <w:snapToGrid w:val="0"/>
          <w:color w:val="auto"/>
          <w:kern w:val="0"/>
          <w:szCs w:val="28"/>
          <w:highlight w:val="none"/>
        </w:rPr>
      </w:pPr>
      <w:r>
        <w:rPr>
          <w:rFonts w:hint="eastAsia" w:ascii="宋体" w:hAnsi="宋体" w:cs="宋体"/>
          <w:b/>
          <w:snapToGrid w:val="0"/>
          <w:color w:val="auto"/>
          <w:kern w:val="0"/>
          <w:sz w:val="30"/>
          <w:highlight w:val="none"/>
        </w:rPr>
        <w:t>本项目拟投入的人员基本情况表</w:t>
      </w:r>
    </w:p>
    <w:p w14:paraId="6E75B0F2">
      <w:pPr>
        <w:pStyle w:val="38"/>
        <w:wordWrap w:val="0"/>
        <w:adjustRightInd w:val="0"/>
        <w:snapToGrid w:val="0"/>
        <w:spacing w:line="440" w:lineRule="exact"/>
        <w:jc w:val="right"/>
        <w:rPr>
          <w:rFonts w:ascii="宋体" w:hAnsi="宋体" w:eastAsia="宋体" w:cs="宋体"/>
          <w:snapToGrid w:val="0"/>
          <w:color w:val="auto"/>
          <w:kern w:val="0"/>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407"/>
        <w:gridCol w:w="1320"/>
        <w:gridCol w:w="3202"/>
      </w:tblGrid>
      <w:tr w14:paraId="3143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47" w:type="dxa"/>
            <w:vAlign w:val="center"/>
          </w:tcPr>
          <w:p w14:paraId="7B030CE4">
            <w:pPr>
              <w:adjustRightInd w:val="0"/>
              <w:snapToGrid w:val="0"/>
              <w:spacing w:line="440" w:lineRule="exact"/>
              <w:jc w:val="center"/>
              <w:rPr>
                <w:rFonts w:ascii="宋体" w:hAnsi="宋体" w:cs="宋体"/>
                <w:color w:val="auto"/>
                <w:highlight w:val="none"/>
              </w:rPr>
            </w:pPr>
            <w:r>
              <w:rPr>
                <w:rFonts w:hint="eastAsia" w:ascii="宋体" w:hAnsi="宋体" w:cs="宋体"/>
                <w:color w:val="auto"/>
                <w:highlight w:val="none"/>
              </w:rPr>
              <w:t>人员安排</w:t>
            </w:r>
          </w:p>
        </w:tc>
        <w:tc>
          <w:tcPr>
            <w:tcW w:w="1407" w:type="dxa"/>
            <w:vAlign w:val="center"/>
          </w:tcPr>
          <w:p w14:paraId="5CDAAA4D">
            <w:pPr>
              <w:adjustRightInd w:val="0"/>
              <w:snapToGrid w:val="0"/>
              <w:spacing w:line="440" w:lineRule="exact"/>
              <w:jc w:val="center"/>
              <w:rPr>
                <w:rFonts w:ascii="宋体" w:hAnsi="宋体" w:cs="宋体"/>
                <w:color w:val="auto"/>
                <w:highlight w:val="none"/>
              </w:rPr>
            </w:pPr>
            <w:r>
              <w:rPr>
                <w:rFonts w:hint="eastAsia" w:ascii="宋体" w:hAnsi="宋体" w:cs="宋体"/>
                <w:color w:val="auto"/>
                <w:highlight w:val="none"/>
              </w:rPr>
              <w:t>姓 名</w:t>
            </w:r>
          </w:p>
        </w:tc>
        <w:tc>
          <w:tcPr>
            <w:tcW w:w="1320" w:type="dxa"/>
            <w:vAlign w:val="center"/>
          </w:tcPr>
          <w:p w14:paraId="5E617210">
            <w:pPr>
              <w:adjustRightInd w:val="0"/>
              <w:snapToGrid w:val="0"/>
              <w:spacing w:line="440" w:lineRule="exact"/>
              <w:jc w:val="center"/>
              <w:rPr>
                <w:rFonts w:ascii="宋体" w:hAnsi="宋体" w:cs="宋体"/>
                <w:color w:val="auto"/>
                <w:highlight w:val="none"/>
              </w:rPr>
            </w:pPr>
            <w:r>
              <w:rPr>
                <w:rFonts w:hint="eastAsia" w:ascii="宋体" w:hAnsi="宋体" w:cs="宋体"/>
                <w:color w:val="auto"/>
                <w:highlight w:val="none"/>
              </w:rPr>
              <w:t>年 龄</w:t>
            </w:r>
          </w:p>
        </w:tc>
        <w:tc>
          <w:tcPr>
            <w:tcW w:w="3202" w:type="dxa"/>
            <w:vAlign w:val="center"/>
          </w:tcPr>
          <w:p w14:paraId="35A1E59D">
            <w:pPr>
              <w:adjustRightInd w:val="0"/>
              <w:snapToGrid w:val="0"/>
              <w:spacing w:line="440" w:lineRule="exact"/>
              <w:jc w:val="center"/>
              <w:rPr>
                <w:rFonts w:ascii="宋体" w:hAnsi="宋体" w:cs="宋体"/>
                <w:color w:val="auto"/>
                <w:highlight w:val="none"/>
              </w:rPr>
            </w:pPr>
            <w:r>
              <w:rPr>
                <w:rFonts w:hint="eastAsia" w:ascii="宋体" w:hAnsi="宋体" w:cs="宋体"/>
                <w:color w:val="auto"/>
                <w:highlight w:val="none"/>
              </w:rPr>
              <w:t>职称证或注册执业专业</w:t>
            </w:r>
          </w:p>
        </w:tc>
      </w:tr>
      <w:tr w14:paraId="630A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2CD45358">
            <w:pPr>
              <w:adjustRightInd w:val="0"/>
              <w:snapToGrid w:val="0"/>
              <w:spacing w:line="440" w:lineRule="exact"/>
              <w:rPr>
                <w:rFonts w:ascii="宋体" w:hAnsi="宋体" w:cs="宋体"/>
                <w:b/>
                <w:color w:val="auto"/>
                <w:highlight w:val="none"/>
              </w:rPr>
            </w:pPr>
            <w:r>
              <w:rPr>
                <w:rFonts w:hint="eastAsia" w:ascii="宋体" w:hAnsi="宋体" w:cs="宋体"/>
                <w:b/>
                <w:color w:val="auto"/>
                <w:highlight w:val="none"/>
              </w:rPr>
              <w:t>设计负责人</w:t>
            </w:r>
          </w:p>
        </w:tc>
        <w:tc>
          <w:tcPr>
            <w:tcW w:w="1407" w:type="dxa"/>
            <w:vAlign w:val="center"/>
          </w:tcPr>
          <w:p w14:paraId="74AC8AF2">
            <w:pPr>
              <w:adjustRightInd w:val="0"/>
              <w:snapToGrid w:val="0"/>
              <w:spacing w:line="440" w:lineRule="exact"/>
              <w:rPr>
                <w:rFonts w:ascii="宋体" w:hAnsi="宋体" w:cs="宋体"/>
                <w:color w:val="auto"/>
                <w:highlight w:val="none"/>
              </w:rPr>
            </w:pPr>
          </w:p>
        </w:tc>
        <w:tc>
          <w:tcPr>
            <w:tcW w:w="1320" w:type="dxa"/>
          </w:tcPr>
          <w:p w14:paraId="0B735253">
            <w:pPr>
              <w:adjustRightInd w:val="0"/>
              <w:snapToGrid w:val="0"/>
              <w:spacing w:line="440" w:lineRule="exact"/>
              <w:rPr>
                <w:rFonts w:ascii="宋体" w:hAnsi="宋体" w:cs="宋体"/>
                <w:color w:val="auto"/>
                <w:highlight w:val="none"/>
              </w:rPr>
            </w:pPr>
          </w:p>
        </w:tc>
        <w:tc>
          <w:tcPr>
            <w:tcW w:w="3202" w:type="dxa"/>
            <w:vAlign w:val="center"/>
          </w:tcPr>
          <w:p w14:paraId="2105DF07">
            <w:pPr>
              <w:adjustRightInd w:val="0"/>
              <w:snapToGrid w:val="0"/>
              <w:spacing w:line="440" w:lineRule="exact"/>
              <w:rPr>
                <w:rFonts w:ascii="宋体" w:hAnsi="宋体" w:cs="宋体"/>
                <w:color w:val="auto"/>
                <w:highlight w:val="none"/>
              </w:rPr>
            </w:pPr>
          </w:p>
        </w:tc>
      </w:tr>
      <w:tr w14:paraId="30CF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7E516771">
            <w:pPr>
              <w:adjustRightInd w:val="0"/>
              <w:snapToGrid w:val="0"/>
              <w:spacing w:line="440" w:lineRule="exact"/>
              <w:rPr>
                <w:rFonts w:ascii="宋体" w:hAnsi="宋体" w:cs="宋体"/>
                <w:b/>
                <w:color w:val="auto"/>
                <w:highlight w:val="none"/>
              </w:rPr>
            </w:pPr>
            <w:r>
              <w:rPr>
                <w:rFonts w:hint="eastAsia" w:ascii="宋体" w:hAnsi="宋体" w:cs="宋体"/>
                <w:b/>
                <w:color w:val="auto"/>
                <w:highlight w:val="none"/>
              </w:rPr>
              <w:t>....各专业负责人</w:t>
            </w:r>
          </w:p>
        </w:tc>
        <w:tc>
          <w:tcPr>
            <w:tcW w:w="1407" w:type="dxa"/>
            <w:vAlign w:val="center"/>
          </w:tcPr>
          <w:p w14:paraId="5FFEC6E5">
            <w:pPr>
              <w:adjustRightInd w:val="0"/>
              <w:snapToGrid w:val="0"/>
              <w:spacing w:line="440" w:lineRule="exact"/>
              <w:rPr>
                <w:rFonts w:ascii="宋体" w:hAnsi="宋体" w:cs="宋体"/>
                <w:color w:val="auto"/>
                <w:highlight w:val="none"/>
              </w:rPr>
            </w:pPr>
          </w:p>
        </w:tc>
        <w:tc>
          <w:tcPr>
            <w:tcW w:w="1320" w:type="dxa"/>
          </w:tcPr>
          <w:p w14:paraId="6791878C">
            <w:pPr>
              <w:adjustRightInd w:val="0"/>
              <w:snapToGrid w:val="0"/>
              <w:spacing w:line="440" w:lineRule="exact"/>
              <w:rPr>
                <w:rFonts w:ascii="宋体" w:hAnsi="宋体" w:cs="宋体"/>
                <w:color w:val="auto"/>
                <w:highlight w:val="none"/>
              </w:rPr>
            </w:pPr>
          </w:p>
        </w:tc>
        <w:tc>
          <w:tcPr>
            <w:tcW w:w="3202" w:type="dxa"/>
            <w:vAlign w:val="center"/>
          </w:tcPr>
          <w:p w14:paraId="25476AA9">
            <w:pPr>
              <w:adjustRightInd w:val="0"/>
              <w:snapToGrid w:val="0"/>
              <w:spacing w:line="440" w:lineRule="exact"/>
              <w:rPr>
                <w:rFonts w:ascii="宋体" w:hAnsi="宋体" w:cs="宋体"/>
                <w:color w:val="auto"/>
                <w:highlight w:val="none"/>
              </w:rPr>
            </w:pPr>
          </w:p>
        </w:tc>
      </w:tr>
      <w:tr w14:paraId="1944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2247" w:type="dxa"/>
            <w:vAlign w:val="center"/>
          </w:tcPr>
          <w:p w14:paraId="63183C3B">
            <w:pPr>
              <w:adjustRightInd w:val="0"/>
              <w:snapToGrid w:val="0"/>
              <w:spacing w:line="440" w:lineRule="exact"/>
              <w:rPr>
                <w:rFonts w:ascii="宋体" w:hAnsi="宋体" w:cs="宋体"/>
                <w:b/>
                <w:color w:val="auto"/>
                <w:highlight w:val="none"/>
              </w:rPr>
            </w:pPr>
          </w:p>
        </w:tc>
        <w:tc>
          <w:tcPr>
            <w:tcW w:w="1407" w:type="dxa"/>
            <w:vAlign w:val="center"/>
          </w:tcPr>
          <w:p w14:paraId="73670D91">
            <w:pPr>
              <w:adjustRightInd w:val="0"/>
              <w:snapToGrid w:val="0"/>
              <w:spacing w:line="440" w:lineRule="exact"/>
              <w:rPr>
                <w:rFonts w:ascii="宋体" w:hAnsi="宋体" w:cs="宋体"/>
                <w:color w:val="auto"/>
                <w:highlight w:val="none"/>
              </w:rPr>
            </w:pPr>
          </w:p>
        </w:tc>
        <w:tc>
          <w:tcPr>
            <w:tcW w:w="1320" w:type="dxa"/>
          </w:tcPr>
          <w:p w14:paraId="1D484F17">
            <w:pPr>
              <w:adjustRightInd w:val="0"/>
              <w:snapToGrid w:val="0"/>
              <w:spacing w:line="440" w:lineRule="exact"/>
              <w:rPr>
                <w:rFonts w:ascii="宋体" w:hAnsi="宋体" w:cs="宋体"/>
                <w:color w:val="auto"/>
                <w:highlight w:val="none"/>
              </w:rPr>
            </w:pPr>
          </w:p>
        </w:tc>
        <w:tc>
          <w:tcPr>
            <w:tcW w:w="3202" w:type="dxa"/>
            <w:vAlign w:val="center"/>
          </w:tcPr>
          <w:p w14:paraId="61722045">
            <w:pPr>
              <w:adjustRightInd w:val="0"/>
              <w:snapToGrid w:val="0"/>
              <w:spacing w:line="440" w:lineRule="exact"/>
              <w:rPr>
                <w:rFonts w:ascii="宋体" w:hAnsi="宋体" w:cs="宋体"/>
                <w:color w:val="auto"/>
                <w:highlight w:val="none"/>
              </w:rPr>
            </w:pPr>
          </w:p>
        </w:tc>
      </w:tr>
      <w:tr w14:paraId="768D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2247" w:type="dxa"/>
            <w:vAlign w:val="center"/>
          </w:tcPr>
          <w:p w14:paraId="6CE5E9BA">
            <w:pPr>
              <w:adjustRightInd w:val="0"/>
              <w:snapToGrid w:val="0"/>
              <w:spacing w:line="440" w:lineRule="exact"/>
              <w:rPr>
                <w:rFonts w:ascii="宋体" w:hAnsi="宋体" w:cs="宋体"/>
                <w:b/>
                <w:color w:val="auto"/>
                <w:highlight w:val="none"/>
              </w:rPr>
            </w:pPr>
          </w:p>
        </w:tc>
        <w:tc>
          <w:tcPr>
            <w:tcW w:w="1407" w:type="dxa"/>
            <w:vAlign w:val="center"/>
          </w:tcPr>
          <w:p w14:paraId="034A6AD6">
            <w:pPr>
              <w:adjustRightInd w:val="0"/>
              <w:snapToGrid w:val="0"/>
              <w:spacing w:line="440" w:lineRule="exact"/>
              <w:rPr>
                <w:rFonts w:ascii="宋体" w:hAnsi="宋体" w:cs="宋体"/>
                <w:color w:val="auto"/>
                <w:highlight w:val="none"/>
              </w:rPr>
            </w:pPr>
          </w:p>
        </w:tc>
        <w:tc>
          <w:tcPr>
            <w:tcW w:w="1320" w:type="dxa"/>
          </w:tcPr>
          <w:p w14:paraId="51FD79D5">
            <w:pPr>
              <w:adjustRightInd w:val="0"/>
              <w:snapToGrid w:val="0"/>
              <w:spacing w:line="440" w:lineRule="exact"/>
              <w:rPr>
                <w:rFonts w:ascii="宋体" w:hAnsi="宋体" w:cs="宋体"/>
                <w:color w:val="auto"/>
                <w:highlight w:val="none"/>
              </w:rPr>
            </w:pPr>
          </w:p>
        </w:tc>
        <w:tc>
          <w:tcPr>
            <w:tcW w:w="3202" w:type="dxa"/>
            <w:vAlign w:val="center"/>
          </w:tcPr>
          <w:p w14:paraId="3BB61893">
            <w:pPr>
              <w:adjustRightInd w:val="0"/>
              <w:snapToGrid w:val="0"/>
              <w:spacing w:line="440" w:lineRule="exact"/>
              <w:rPr>
                <w:rFonts w:ascii="宋体" w:hAnsi="宋体" w:cs="宋体"/>
                <w:color w:val="auto"/>
                <w:highlight w:val="none"/>
              </w:rPr>
            </w:pPr>
          </w:p>
        </w:tc>
      </w:tr>
      <w:tr w14:paraId="5DD4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621B6E63">
            <w:pPr>
              <w:adjustRightInd w:val="0"/>
              <w:snapToGrid w:val="0"/>
              <w:spacing w:line="440" w:lineRule="exact"/>
              <w:rPr>
                <w:rFonts w:ascii="宋体" w:hAnsi="宋体" w:cs="宋体"/>
                <w:b/>
                <w:color w:val="auto"/>
                <w:highlight w:val="none"/>
              </w:rPr>
            </w:pPr>
          </w:p>
        </w:tc>
        <w:tc>
          <w:tcPr>
            <w:tcW w:w="1407" w:type="dxa"/>
            <w:vAlign w:val="center"/>
          </w:tcPr>
          <w:p w14:paraId="636F7DBE">
            <w:pPr>
              <w:adjustRightInd w:val="0"/>
              <w:snapToGrid w:val="0"/>
              <w:spacing w:line="440" w:lineRule="exact"/>
              <w:rPr>
                <w:rFonts w:ascii="宋体" w:hAnsi="宋体" w:cs="宋体"/>
                <w:color w:val="auto"/>
                <w:highlight w:val="none"/>
              </w:rPr>
            </w:pPr>
          </w:p>
        </w:tc>
        <w:tc>
          <w:tcPr>
            <w:tcW w:w="1320" w:type="dxa"/>
          </w:tcPr>
          <w:p w14:paraId="157170B4">
            <w:pPr>
              <w:adjustRightInd w:val="0"/>
              <w:snapToGrid w:val="0"/>
              <w:spacing w:line="440" w:lineRule="exact"/>
              <w:rPr>
                <w:rFonts w:ascii="宋体" w:hAnsi="宋体" w:cs="宋体"/>
                <w:color w:val="auto"/>
                <w:highlight w:val="none"/>
              </w:rPr>
            </w:pPr>
          </w:p>
        </w:tc>
        <w:tc>
          <w:tcPr>
            <w:tcW w:w="3202" w:type="dxa"/>
            <w:vAlign w:val="center"/>
          </w:tcPr>
          <w:p w14:paraId="1A776706">
            <w:pPr>
              <w:adjustRightInd w:val="0"/>
              <w:snapToGrid w:val="0"/>
              <w:spacing w:line="440" w:lineRule="exact"/>
              <w:rPr>
                <w:rFonts w:ascii="宋体" w:hAnsi="宋体" w:cs="宋体"/>
                <w:color w:val="auto"/>
                <w:highlight w:val="none"/>
              </w:rPr>
            </w:pPr>
          </w:p>
        </w:tc>
      </w:tr>
      <w:tr w14:paraId="3DFE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1644DE22">
            <w:pPr>
              <w:adjustRightInd w:val="0"/>
              <w:snapToGrid w:val="0"/>
              <w:spacing w:line="440" w:lineRule="exact"/>
              <w:rPr>
                <w:rFonts w:ascii="宋体" w:hAnsi="宋体" w:cs="宋体"/>
                <w:b/>
                <w:color w:val="auto"/>
                <w:highlight w:val="none"/>
              </w:rPr>
            </w:pPr>
          </w:p>
        </w:tc>
        <w:tc>
          <w:tcPr>
            <w:tcW w:w="1407" w:type="dxa"/>
            <w:vAlign w:val="center"/>
          </w:tcPr>
          <w:p w14:paraId="4BD0118E">
            <w:pPr>
              <w:adjustRightInd w:val="0"/>
              <w:snapToGrid w:val="0"/>
              <w:spacing w:line="440" w:lineRule="exact"/>
              <w:rPr>
                <w:rFonts w:ascii="宋体" w:hAnsi="宋体" w:cs="宋体"/>
                <w:color w:val="auto"/>
                <w:highlight w:val="none"/>
              </w:rPr>
            </w:pPr>
          </w:p>
        </w:tc>
        <w:tc>
          <w:tcPr>
            <w:tcW w:w="1320" w:type="dxa"/>
          </w:tcPr>
          <w:p w14:paraId="695740C5">
            <w:pPr>
              <w:adjustRightInd w:val="0"/>
              <w:snapToGrid w:val="0"/>
              <w:spacing w:line="440" w:lineRule="exact"/>
              <w:rPr>
                <w:rFonts w:ascii="宋体" w:hAnsi="宋体" w:cs="宋体"/>
                <w:color w:val="auto"/>
                <w:highlight w:val="none"/>
              </w:rPr>
            </w:pPr>
          </w:p>
        </w:tc>
        <w:tc>
          <w:tcPr>
            <w:tcW w:w="3202" w:type="dxa"/>
            <w:vAlign w:val="center"/>
          </w:tcPr>
          <w:p w14:paraId="2FF76DB3">
            <w:pPr>
              <w:adjustRightInd w:val="0"/>
              <w:snapToGrid w:val="0"/>
              <w:spacing w:line="440" w:lineRule="exact"/>
              <w:rPr>
                <w:rFonts w:ascii="宋体" w:hAnsi="宋体" w:cs="宋体"/>
                <w:color w:val="auto"/>
                <w:highlight w:val="none"/>
              </w:rPr>
            </w:pPr>
          </w:p>
        </w:tc>
      </w:tr>
      <w:tr w14:paraId="2F00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63551ACE">
            <w:pPr>
              <w:adjustRightInd w:val="0"/>
              <w:snapToGrid w:val="0"/>
              <w:spacing w:line="440" w:lineRule="exact"/>
              <w:rPr>
                <w:rFonts w:ascii="宋体" w:hAnsi="宋体" w:cs="宋体"/>
                <w:b/>
                <w:color w:val="auto"/>
                <w:highlight w:val="none"/>
              </w:rPr>
            </w:pPr>
          </w:p>
        </w:tc>
        <w:tc>
          <w:tcPr>
            <w:tcW w:w="1407" w:type="dxa"/>
            <w:vAlign w:val="center"/>
          </w:tcPr>
          <w:p w14:paraId="5A5A4B15">
            <w:pPr>
              <w:adjustRightInd w:val="0"/>
              <w:snapToGrid w:val="0"/>
              <w:spacing w:line="440" w:lineRule="exact"/>
              <w:rPr>
                <w:rFonts w:ascii="宋体" w:hAnsi="宋体" w:cs="宋体"/>
                <w:color w:val="auto"/>
                <w:highlight w:val="none"/>
              </w:rPr>
            </w:pPr>
          </w:p>
        </w:tc>
        <w:tc>
          <w:tcPr>
            <w:tcW w:w="1320" w:type="dxa"/>
          </w:tcPr>
          <w:p w14:paraId="66222AC4">
            <w:pPr>
              <w:adjustRightInd w:val="0"/>
              <w:snapToGrid w:val="0"/>
              <w:spacing w:line="440" w:lineRule="exact"/>
              <w:rPr>
                <w:rFonts w:ascii="宋体" w:hAnsi="宋体" w:cs="宋体"/>
                <w:color w:val="auto"/>
                <w:highlight w:val="none"/>
              </w:rPr>
            </w:pPr>
          </w:p>
        </w:tc>
        <w:tc>
          <w:tcPr>
            <w:tcW w:w="3202" w:type="dxa"/>
            <w:vAlign w:val="center"/>
          </w:tcPr>
          <w:p w14:paraId="3C81654F">
            <w:pPr>
              <w:adjustRightInd w:val="0"/>
              <w:snapToGrid w:val="0"/>
              <w:spacing w:line="440" w:lineRule="exact"/>
              <w:rPr>
                <w:rFonts w:ascii="宋体" w:hAnsi="宋体" w:cs="宋体"/>
                <w:color w:val="auto"/>
                <w:highlight w:val="none"/>
              </w:rPr>
            </w:pPr>
          </w:p>
        </w:tc>
      </w:tr>
    </w:tbl>
    <w:p w14:paraId="00E6762E">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说明：</w:t>
      </w:r>
    </w:p>
    <w:p w14:paraId="1C93EFC4">
      <w:pPr>
        <w:wordWrap w:val="0"/>
        <w:adjustRightInd w:val="0"/>
        <w:snapToGrid w:val="0"/>
        <w:spacing w:line="400" w:lineRule="exact"/>
        <w:ind w:firstLine="478" w:firstLineChars="228"/>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《本项目拟投入的人员基本情况表》后应附拟派其他主要人员（设计负责人除外）以下资料：</w:t>
      </w:r>
    </w:p>
    <w:p w14:paraId="428793E5">
      <w:pPr>
        <w:wordWrap w:val="0"/>
        <w:adjustRightInd w:val="0"/>
        <w:snapToGrid w:val="0"/>
        <w:spacing w:line="400" w:lineRule="exact"/>
        <w:ind w:firstLine="420" w:firstLineChars="20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1．身份证彩色扫描件；</w:t>
      </w:r>
    </w:p>
    <w:p w14:paraId="23F9AA19">
      <w:pPr>
        <w:wordWrap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xml:space="preserve">    2．注册证书（如需）、职称证（如需）彩色扫描件（须扫描至变更注册栏，电子证书除外）；</w:t>
      </w:r>
    </w:p>
    <w:p w14:paraId="0D1AECAE">
      <w:pPr>
        <w:wordWrap w:val="0"/>
        <w:adjustRightInd w:val="0"/>
        <w:snapToGrid w:val="0"/>
        <w:spacing w:line="400" w:lineRule="exact"/>
        <w:ind w:firstLine="420" w:firstLineChars="20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3．提供近</w:t>
      </w:r>
      <w:r>
        <w:rPr>
          <w:rFonts w:hint="eastAsia" w:ascii="宋体" w:hAnsi="宋体" w:eastAsia="宋体" w:cs="宋体"/>
          <w:snapToGrid w:val="0"/>
          <w:color w:val="auto"/>
          <w:kern w:val="0"/>
          <w:szCs w:val="28"/>
          <w:highlight w:val="none"/>
          <w:lang w:val="en-US" w:eastAsia="zh-CN"/>
        </w:rPr>
        <w:t>3</w:t>
      </w:r>
      <w:r>
        <w:rPr>
          <w:rFonts w:hint="eastAsia" w:ascii="宋体" w:hAnsi="宋体" w:eastAsia="宋体" w:cs="宋体"/>
          <w:snapToGrid w:val="0"/>
          <w:color w:val="auto"/>
          <w:kern w:val="0"/>
          <w:szCs w:val="28"/>
          <w:highlight w:val="none"/>
        </w:rPr>
        <w:t>个月（其中必须有202</w:t>
      </w:r>
      <w:r>
        <w:rPr>
          <w:rFonts w:hint="eastAsia" w:ascii="宋体" w:hAnsi="宋体" w:eastAsia="宋体" w:cs="宋体"/>
          <w:snapToGrid w:val="0"/>
          <w:color w:val="auto"/>
          <w:kern w:val="0"/>
          <w:szCs w:val="28"/>
          <w:highlight w:val="none"/>
          <w:lang w:val="en-US" w:eastAsia="zh-CN"/>
        </w:rPr>
        <w:t>5</w:t>
      </w:r>
      <w:r>
        <w:rPr>
          <w:rFonts w:hint="eastAsia" w:ascii="宋体" w:hAnsi="宋体" w:eastAsia="宋体" w:cs="宋体"/>
          <w:snapToGrid w:val="0"/>
          <w:color w:val="auto"/>
          <w:kern w:val="0"/>
          <w:szCs w:val="28"/>
          <w:highlight w:val="none"/>
        </w:rPr>
        <w:t>年</w:t>
      </w:r>
      <w:r>
        <w:rPr>
          <w:rFonts w:hint="eastAsia" w:ascii="宋体" w:hAnsi="宋体" w:cs="宋体"/>
          <w:snapToGrid w:val="0"/>
          <w:color w:val="auto"/>
          <w:kern w:val="0"/>
          <w:szCs w:val="28"/>
          <w:highlight w:val="none"/>
          <w:lang w:val="en-US" w:eastAsia="zh-CN"/>
        </w:rPr>
        <w:t>8</w:t>
      </w:r>
      <w:r>
        <w:rPr>
          <w:rFonts w:hint="eastAsia" w:ascii="宋体" w:hAnsi="宋体" w:eastAsia="宋体" w:cs="宋体"/>
          <w:snapToGrid w:val="0"/>
          <w:color w:val="auto"/>
          <w:kern w:val="0"/>
          <w:szCs w:val="28"/>
          <w:highlight w:val="none"/>
        </w:rPr>
        <w:t>月）的社保证明（非独立法人分支机构出具社保，予以认可）彩色扫描件；拟派项目</w:t>
      </w:r>
      <w:r>
        <w:rPr>
          <w:rFonts w:hint="eastAsia" w:ascii="宋体" w:hAnsi="宋体" w:eastAsia="宋体" w:cs="宋体"/>
          <w:snapToGrid w:val="0"/>
          <w:color w:val="auto"/>
          <w:kern w:val="0"/>
          <w:szCs w:val="28"/>
          <w:highlight w:val="none"/>
          <w:lang w:val="en-US" w:eastAsia="zh-CN"/>
        </w:rPr>
        <w:t>测绘</w:t>
      </w:r>
      <w:r>
        <w:rPr>
          <w:rFonts w:hint="eastAsia" w:ascii="宋体" w:hAnsi="宋体" w:eastAsia="宋体" w:cs="宋体"/>
          <w:snapToGrid w:val="0"/>
          <w:color w:val="auto"/>
          <w:kern w:val="0"/>
          <w:szCs w:val="28"/>
          <w:highlight w:val="none"/>
          <w:lang w:eastAsia="zh-CN"/>
        </w:rPr>
        <w:t>负责人</w:t>
      </w:r>
      <w:r>
        <w:rPr>
          <w:rFonts w:hint="eastAsia" w:ascii="宋体" w:hAnsi="宋体" w:eastAsia="宋体" w:cs="宋体"/>
          <w:snapToGrid w:val="0"/>
          <w:color w:val="auto"/>
          <w:kern w:val="0"/>
          <w:szCs w:val="28"/>
          <w:highlight w:val="none"/>
        </w:rPr>
        <w:t>为退休返聘人员无法提供社保证明的，提供退休证(附返聘证明）彩色扫描件；</w:t>
      </w:r>
    </w:p>
    <w:p w14:paraId="4990F8A0">
      <w:pPr>
        <w:wordWrap w:val="0"/>
        <w:adjustRightInd w:val="0"/>
        <w:snapToGrid w:val="0"/>
        <w:spacing w:line="400" w:lineRule="exact"/>
        <w:ind w:firstLine="478" w:firstLineChars="228"/>
        <w:rPr>
          <w:rFonts w:ascii="宋体" w:hAnsi="宋体" w:cs="宋体"/>
          <w:snapToGrid w:val="0"/>
          <w:color w:val="auto"/>
          <w:kern w:val="0"/>
          <w:szCs w:val="28"/>
          <w:highlight w:val="none"/>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.“进粤企业和人员诚信信息登记平台”个人信息情况截图。（适用于省外建筑企业）。</w:t>
      </w:r>
    </w:p>
    <w:p w14:paraId="3CFC0A59">
      <w:pPr>
        <w:rPr>
          <w:rFonts w:ascii="宋体" w:hAnsi="宋体" w:cs="宋体"/>
          <w:color w:val="auto"/>
          <w:highlight w:val="none"/>
        </w:rPr>
      </w:pPr>
    </w:p>
    <w:p w14:paraId="5C82F4EE">
      <w:pPr>
        <w:rPr>
          <w:rFonts w:ascii="宋体" w:hAnsi="宋体" w:cs="宋体"/>
          <w:color w:val="auto"/>
          <w:highlight w:val="none"/>
        </w:rPr>
      </w:pPr>
    </w:p>
    <w:p w14:paraId="0E9CBB3E">
      <w:pPr>
        <w:rPr>
          <w:rFonts w:ascii="宋体" w:hAnsi="宋体" w:cs="宋体"/>
          <w:color w:val="auto"/>
          <w:highlight w:val="none"/>
        </w:rPr>
      </w:pPr>
    </w:p>
    <w:p w14:paraId="1DA238DC">
      <w:pPr>
        <w:rPr>
          <w:rFonts w:ascii="宋体" w:hAnsi="宋体" w:cs="宋体"/>
          <w:color w:val="auto"/>
          <w:highlight w:val="none"/>
        </w:rPr>
      </w:pPr>
    </w:p>
    <w:p w14:paraId="21FE8E2F">
      <w:pPr>
        <w:rPr>
          <w:rFonts w:ascii="宋体" w:hAnsi="宋体" w:cs="宋体"/>
          <w:color w:val="auto"/>
          <w:highlight w:val="none"/>
        </w:rPr>
      </w:pPr>
    </w:p>
    <w:p w14:paraId="7E83F1A3">
      <w:pPr>
        <w:rPr>
          <w:rFonts w:ascii="宋体" w:hAnsi="宋体" w:cs="宋体"/>
          <w:color w:val="auto"/>
          <w:highlight w:val="none"/>
        </w:rPr>
      </w:pPr>
    </w:p>
    <w:p w14:paraId="48EFD1D7">
      <w:pPr>
        <w:pStyle w:val="3"/>
        <w:wordWrap w:val="0"/>
        <w:autoSpaceDE/>
        <w:autoSpaceDN/>
        <w:snapToGrid w:val="0"/>
        <w:spacing w:line="480" w:lineRule="auto"/>
        <w:ind w:firstLine="480"/>
        <w:jc w:val="both"/>
        <w:rPr>
          <w:rFonts w:hint="eastAsia" w:ascii="宋体" w:hAnsi="宋体" w:cs="宋体"/>
          <w:b/>
          <w:snapToGrid w:val="0"/>
          <w:color w:val="auto"/>
          <w:sz w:val="24"/>
          <w:highlight w:val="none"/>
        </w:rPr>
        <w:sectPr>
          <w:endnotePr>
            <w:numFmt w:val="decimal"/>
          </w:endnotePr>
          <w:pgSz w:w="11907" w:h="16840"/>
          <w:pgMar w:top="1134" w:right="1134" w:bottom="1134" w:left="1134" w:header="850" w:footer="850" w:gutter="0"/>
          <w:cols w:space="720" w:num="1"/>
          <w:docGrid w:type="lines" w:linePitch="272" w:charSpace="0"/>
        </w:sectPr>
      </w:pPr>
      <w:bookmarkStart w:id="365" w:name="_Toc635"/>
      <w:bookmarkStart w:id="366" w:name="_Toc24977"/>
    </w:p>
    <w:p w14:paraId="4A353E2F">
      <w:pPr>
        <w:pStyle w:val="3"/>
        <w:wordWrap w:val="0"/>
        <w:autoSpaceDE/>
        <w:autoSpaceDN/>
        <w:snapToGrid w:val="0"/>
        <w:spacing w:line="480" w:lineRule="auto"/>
        <w:ind w:firstLine="480"/>
        <w:jc w:val="both"/>
        <w:rPr>
          <w:rFonts w:ascii="宋体" w:hAnsi="宋体" w:cs="宋体"/>
          <w:b/>
          <w:snapToGrid w:val="0"/>
          <w:color w:val="auto"/>
          <w:sz w:val="24"/>
          <w:highlight w:val="none"/>
        </w:rPr>
      </w:pPr>
      <w:r>
        <w:rPr>
          <w:rFonts w:hint="eastAsia" w:ascii="宋体" w:hAnsi="宋体" w:cs="宋体"/>
          <w:b/>
          <w:snapToGrid w:val="0"/>
          <w:color w:val="auto"/>
          <w:sz w:val="24"/>
          <w:highlight w:val="none"/>
        </w:rPr>
        <w:t>格式八   法定代表人身份证明书</w:t>
      </w:r>
      <w:bookmarkEnd w:id="365"/>
      <w:bookmarkEnd w:id="366"/>
    </w:p>
    <w:p w14:paraId="6779DF59">
      <w:pPr>
        <w:snapToGrid w:val="0"/>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法定代表人身份证明书</w:t>
      </w:r>
    </w:p>
    <w:p w14:paraId="6F414EC6">
      <w:pPr>
        <w:adjustRightInd w:val="0"/>
        <w:snapToGrid w:val="0"/>
        <w:spacing w:line="440" w:lineRule="exact"/>
        <w:rPr>
          <w:rFonts w:ascii="宋体" w:hAnsi="宋体" w:cs="宋体"/>
          <w:color w:val="auto"/>
          <w:sz w:val="24"/>
          <w:szCs w:val="24"/>
          <w:highlight w:val="none"/>
        </w:rPr>
      </w:pPr>
    </w:p>
    <w:p w14:paraId="4EC2D74D">
      <w:pPr>
        <w:wordWrap w:val="0"/>
        <w:adjustRightInd w:val="0"/>
        <w:snapToGrid w:val="0"/>
        <w:spacing w:line="360" w:lineRule="auto"/>
        <w:rPr>
          <w:rFonts w:ascii="宋体" w:hAnsi="宋体" w:cs="宋体"/>
          <w:snapToGrid w:val="0"/>
          <w:color w:val="auto"/>
          <w:kern w:val="0"/>
          <w:sz w:val="24"/>
          <w:szCs w:val="24"/>
          <w:highlight w:val="none"/>
          <w:u w:val="single"/>
        </w:rPr>
      </w:pPr>
      <w:bookmarkStart w:id="367" w:name="_Toc535300004"/>
      <w:bookmarkStart w:id="368" w:name="_Toc118541763"/>
      <w:bookmarkStart w:id="369" w:name="_Toc48547015"/>
      <w:r>
        <w:rPr>
          <w:rFonts w:hint="eastAsia" w:ascii="宋体" w:hAnsi="宋体" w:cs="宋体"/>
          <w:snapToGrid w:val="0"/>
          <w:color w:val="auto"/>
          <w:kern w:val="0"/>
          <w:sz w:val="24"/>
          <w:szCs w:val="24"/>
          <w:highlight w:val="none"/>
        </w:rPr>
        <w:t>投标人名称：</w:t>
      </w:r>
      <w:r>
        <w:rPr>
          <w:rFonts w:hint="eastAsia" w:ascii="宋体" w:hAnsi="宋体" w:cs="宋体"/>
          <w:snapToGrid w:val="0"/>
          <w:color w:val="auto"/>
          <w:kern w:val="0"/>
          <w:sz w:val="24"/>
          <w:szCs w:val="24"/>
          <w:highlight w:val="none"/>
          <w:u w:val="single"/>
        </w:rPr>
        <w:t xml:space="preserve">                  </w:t>
      </w:r>
    </w:p>
    <w:p w14:paraId="6D35FB8C">
      <w:pPr>
        <w:wordWrap w:val="0"/>
        <w:adjustRightInd w:val="0"/>
        <w:snapToGrid w:val="0"/>
        <w:spacing w:line="360" w:lineRule="auto"/>
        <w:rPr>
          <w:rFonts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姓名：</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性别：</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年龄：</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职务：</w:t>
      </w:r>
      <w:r>
        <w:rPr>
          <w:rFonts w:hint="eastAsia" w:ascii="宋体" w:hAnsi="宋体" w:cs="宋体"/>
          <w:snapToGrid w:val="0"/>
          <w:color w:val="auto"/>
          <w:kern w:val="0"/>
          <w:sz w:val="24"/>
          <w:szCs w:val="24"/>
          <w:highlight w:val="none"/>
          <w:u w:val="single"/>
        </w:rPr>
        <w:t xml:space="preserve">           </w:t>
      </w:r>
    </w:p>
    <w:p w14:paraId="71EBEBBF">
      <w:pPr>
        <w:wordWrap w:val="0"/>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系</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（投标人名称）的法定代表人。</w:t>
      </w:r>
    </w:p>
    <w:p w14:paraId="12DA1183">
      <w:pPr>
        <w:wordWrap w:val="0"/>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特此证明。</w:t>
      </w:r>
    </w:p>
    <w:p w14:paraId="61EC9C9A">
      <w:pPr>
        <w:wordWrap w:val="0"/>
        <w:adjustRightInd w:val="0"/>
        <w:snapToGrid w:val="0"/>
        <w:spacing w:line="360" w:lineRule="auto"/>
        <w:rPr>
          <w:rFonts w:ascii="宋体" w:hAnsi="宋体" w:cs="宋体"/>
          <w:snapToGrid w:val="0"/>
          <w:color w:val="auto"/>
          <w:kern w:val="0"/>
          <w:sz w:val="24"/>
          <w:szCs w:val="24"/>
          <w:highlight w:val="none"/>
        </w:rPr>
      </w:pPr>
    </w:p>
    <w:p w14:paraId="33F713DF">
      <w:pPr>
        <w:wordWrap w:val="0"/>
        <w:adjustRightInd w:val="0"/>
        <w:snapToGrid w:val="0"/>
        <w:spacing w:line="360" w:lineRule="auto"/>
        <w:rPr>
          <w:rFonts w:ascii="宋体" w:hAnsi="宋体" w:cs="宋体"/>
          <w:snapToGrid w:val="0"/>
          <w:color w:val="auto"/>
          <w:kern w:val="0"/>
          <w:sz w:val="24"/>
          <w:szCs w:val="24"/>
          <w:highlight w:val="none"/>
        </w:rPr>
      </w:pPr>
    </w:p>
    <w:p w14:paraId="174B58A9">
      <w:pPr>
        <w:wordWrap w:val="0"/>
        <w:adjustRightInd w:val="0"/>
        <w:snapToGrid w:val="0"/>
        <w:spacing w:line="360" w:lineRule="auto"/>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5CBAD225">
      <w:pPr>
        <w:rPr>
          <w:rFonts w:ascii="宋体" w:hAnsi="宋体" w:cs="宋体"/>
          <w:color w:val="auto"/>
          <w:highlight w:val="none"/>
        </w:rPr>
      </w:pPr>
    </w:p>
    <w:p w14:paraId="3844F8FC">
      <w:pPr>
        <w:wordWrap w:val="0"/>
        <w:adjustRightInd w:val="0"/>
        <w:snapToGrid w:val="0"/>
        <w:spacing w:line="360" w:lineRule="auto"/>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法定代表人：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71D4F947">
      <w:pPr>
        <w:rPr>
          <w:rFonts w:ascii="宋体" w:hAnsi="宋体" w:cs="宋体"/>
          <w:color w:val="auto"/>
          <w:highlight w:val="none"/>
        </w:rPr>
      </w:pPr>
    </w:p>
    <w:p w14:paraId="48D4AA61">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198CFEEC">
      <w:pPr>
        <w:rPr>
          <w:rFonts w:ascii="宋体" w:hAnsi="宋体" w:cs="宋体"/>
          <w:color w:val="auto"/>
          <w:highlight w:val="none"/>
        </w:rPr>
      </w:pPr>
    </w:p>
    <w:p w14:paraId="4A7BC7B0">
      <w:pPr>
        <w:rPr>
          <w:rFonts w:ascii="宋体" w:hAnsi="宋体" w:cs="宋体"/>
          <w:color w:val="auto"/>
          <w:highlight w:val="none"/>
        </w:rPr>
      </w:pPr>
    </w:p>
    <w:p w14:paraId="6868AB41">
      <w:pP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11996EF">
                            <w:pPr>
                              <w:jc w:val="center"/>
                              <w:rPr>
                                <w:szCs w:val="21"/>
                              </w:rPr>
                            </w:pPr>
                          </w:p>
                          <w:p w14:paraId="700386EC">
                            <w:pPr>
                              <w:jc w:val="center"/>
                              <w:rPr>
                                <w:szCs w:val="21"/>
                              </w:rPr>
                            </w:pPr>
                          </w:p>
                          <w:p w14:paraId="7A9D2A70">
                            <w:pPr>
                              <w:jc w:val="center"/>
                              <w:rPr>
                                <w:szCs w:val="21"/>
                              </w:rPr>
                            </w:pPr>
                          </w:p>
                          <w:p w14:paraId="62A9DE09">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hXUptgAAAAJAQAADwAAAAAAAAABACAAAAAiAAAAZHJzL2Rvd25yZXYueG1sUEsBAhQAFAAA&#10;AAgAh07iQBG8kv8oAgAAUAQAAA4AAAAAAAAAAQAgAAAAJwEAAGRycy9lMm9Eb2MueG1sUEsFBgAA&#10;AAAGAAYAWQEAAMEFAAAAAA==&#10;">
                <v:fill on="t" focussize="0,0"/>
                <v:stroke color="#000000" joinstyle="miter"/>
                <v:imagedata o:title=""/>
                <o:lock v:ext="edit" aspectratio="f"/>
                <v:textbox>
                  <w:txbxContent>
                    <w:p w14:paraId="111996EF">
                      <w:pPr>
                        <w:jc w:val="center"/>
                        <w:rPr>
                          <w:szCs w:val="21"/>
                        </w:rPr>
                      </w:pPr>
                    </w:p>
                    <w:p w14:paraId="700386EC">
                      <w:pPr>
                        <w:jc w:val="center"/>
                        <w:rPr>
                          <w:szCs w:val="21"/>
                        </w:rPr>
                      </w:pPr>
                    </w:p>
                    <w:p w14:paraId="7A9D2A70">
                      <w:pPr>
                        <w:jc w:val="center"/>
                        <w:rPr>
                          <w:szCs w:val="21"/>
                        </w:rPr>
                      </w:pPr>
                    </w:p>
                    <w:p w14:paraId="62A9DE09">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74F0014F">
      <w:pPr>
        <w:rPr>
          <w:rFonts w:ascii="宋体" w:hAnsi="宋体" w:cs="宋体"/>
          <w:color w:val="auto"/>
          <w:highlight w:val="none"/>
        </w:rPr>
      </w:pPr>
    </w:p>
    <w:p w14:paraId="3F3F8E7E">
      <w:pPr>
        <w:rPr>
          <w:rFonts w:ascii="宋体" w:hAnsi="宋体" w:cs="宋体"/>
          <w:color w:val="auto"/>
          <w:highlight w:val="none"/>
        </w:rPr>
      </w:pPr>
    </w:p>
    <w:p w14:paraId="7987198C">
      <w:pPr>
        <w:rPr>
          <w:rFonts w:ascii="宋体" w:hAnsi="宋体" w:cs="宋体"/>
          <w:color w:val="auto"/>
          <w:highlight w:val="none"/>
        </w:rPr>
      </w:pPr>
    </w:p>
    <w:p w14:paraId="04B8022B">
      <w:pPr>
        <w:rPr>
          <w:rFonts w:ascii="宋体" w:hAnsi="宋体" w:cs="宋体"/>
          <w:color w:val="auto"/>
          <w:highlight w:val="none"/>
        </w:rPr>
      </w:pPr>
    </w:p>
    <w:p w14:paraId="70CBD2E4">
      <w:pPr>
        <w:rPr>
          <w:rFonts w:ascii="宋体" w:hAnsi="宋体" w:cs="宋体"/>
          <w:color w:val="auto"/>
          <w:highlight w:val="none"/>
        </w:rPr>
      </w:pPr>
    </w:p>
    <w:p w14:paraId="1ED279FB">
      <w:pPr>
        <w:rPr>
          <w:rFonts w:ascii="宋体" w:hAnsi="宋体" w:cs="宋体"/>
          <w:color w:val="auto"/>
          <w:highlight w:val="none"/>
        </w:rPr>
      </w:pPr>
    </w:p>
    <w:p w14:paraId="3E2541BA">
      <w:pPr>
        <w:rPr>
          <w:rFonts w:ascii="宋体" w:hAnsi="宋体" w:cs="宋体"/>
          <w:color w:val="auto"/>
          <w:highlight w:val="none"/>
        </w:rPr>
      </w:pPr>
    </w:p>
    <w:p w14:paraId="22764DD4">
      <w:pPr>
        <w:rPr>
          <w:rFonts w:ascii="宋体" w:hAnsi="宋体" w:cs="宋体"/>
          <w:color w:val="auto"/>
          <w:highlight w:val="none"/>
        </w:rPr>
      </w:pPr>
    </w:p>
    <w:p w14:paraId="28C43E0B">
      <w:pPr>
        <w:rPr>
          <w:rFonts w:ascii="宋体" w:hAnsi="宋体" w:cs="宋体"/>
          <w:color w:val="auto"/>
          <w:highlight w:val="none"/>
        </w:rPr>
      </w:pPr>
    </w:p>
    <w:p w14:paraId="5A33CF59">
      <w:pPr>
        <w:tabs>
          <w:tab w:val="left" w:pos="654"/>
          <w:tab w:val="left" w:pos="1734"/>
          <w:tab w:val="left" w:pos="2814"/>
          <w:tab w:val="left" w:pos="3894"/>
          <w:tab w:val="left" w:pos="5334"/>
          <w:tab w:val="left" w:pos="6414"/>
          <w:tab w:val="left" w:pos="7254"/>
          <w:tab w:val="left" w:pos="8574"/>
          <w:tab w:val="left" w:pos="9654"/>
        </w:tabs>
        <w:rPr>
          <w:rFonts w:ascii="宋体" w:hAnsi="宋体" w:cs="宋体"/>
          <w:color w:val="auto"/>
          <w:sz w:val="24"/>
          <w:szCs w:val="24"/>
          <w:highlight w:val="none"/>
        </w:rPr>
      </w:pPr>
    </w:p>
    <w:p w14:paraId="40C55983">
      <w:pPr>
        <w:pStyle w:val="3"/>
        <w:wordWrap w:val="0"/>
        <w:autoSpaceDE/>
        <w:autoSpaceDN/>
        <w:snapToGrid w:val="0"/>
        <w:spacing w:line="480" w:lineRule="auto"/>
        <w:ind w:firstLine="480"/>
        <w:jc w:val="both"/>
        <w:rPr>
          <w:rFonts w:hint="eastAsia" w:ascii="宋体" w:hAnsi="宋体" w:cs="宋体"/>
          <w:b/>
          <w:snapToGrid w:val="0"/>
          <w:color w:val="auto"/>
          <w:sz w:val="24"/>
          <w:highlight w:val="none"/>
        </w:rPr>
        <w:sectPr>
          <w:endnotePr>
            <w:numFmt w:val="decimal"/>
          </w:endnotePr>
          <w:pgSz w:w="11907" w:h="16840"/>
          <w:pgMar w:top="1134" w:right="1134" w:bottom="1134" w:left="1134" w:header="850" w:footer="850" w:gutter="0"/>
          <w:cols w:space="720" w:num="1"/>
          <w:docGrid w:type="lines" w:linePitch="272" w:charSpace="0"/>
        </w:sectPr>
      </w:pPr>
      <w:bookmarkStart w:id="370" w:name="_Toc3742"/>
      <w:bookmarkStart w:id="371" w:name="_Toc6898"/>
      <w:bookmarkStart w:id="372" w:name="_Toc210101349"/>
    </w:p>
    <w:p w14:paraId="030ED953">
      <w:pPr>
        <w:pStyle w:val="3"/>
        <w:wordWrap w:val="0"/>
        <w:autoSpaceDE/>
        <w:autoSpaceDN/>
        <w:snapToGrid w:val="0"/>
        <w:spacing w:line="480" w:lineRule="auto"/>
        <w:ind w:firstLine="480"/>
        <w:jc w:val="both"/>
        <w:rPr>
          <w:rFonts w:ascii="宋体" w:hAnsi="宋体" w:cs="宋体"/>
          <w:color w:val="auto"/>
          <w:highlight w:val="none"/>
        </w:rPr>
      </w:pPr>
      <w:r>
        <w:rPr>
          <w:rFonts w:hint="eastAsia" w:ascii="宋体" w:hAnsi="宋体" w:cs="宋体"/>
          <w:b/>
          <w:snapToGrid w:val="0"/>
          <w:color w:val="auto"/>
          <w:sz w:val="24"/>
          <w:highlight w:val="none"/>
        </w:rPr>
        <w:t>格式九   法定代表人授权委托书</w:t>
      </w:r>
      <w:bookmarkEnd w:id="370"/>
      <w:bookmarkEnd w:id="371"/>
    </w:p>
    <w:bookmarkEnd w:id="367"/>
    <w:bookmarkEnd w:id="368"/>
    <w:bookmarkEnd w:id="369"/>
    <w:bookmarkEnd w:id="372"/>
    <w:p w14:paraId="3A1F7CE7">
      <w:pPr>
        <w:snapToGrid w:val="0"/>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法定代表人授权委托书</w:t>
      </w:r>
    </w:p>
    <w:p w14:paraId="2CA413EC">
      <w:pPr>
        <w:adjustRightInd w:val="0"/>
        <w:snapToGrid w:val="0"/>
        <w:spacing w:line="440" w:lineRule="exact"/>
        <w:rPr>
          <w:rFonts w:ascii="宋体" w:hAnsi="宋体" w:cs="宋体"/>
          <w:color w:val="auto"/>
          <w:sz w:val="24"/>
          <w:szCs w:val="24"/>
          <w:highlight w:val="none"/>
        </w:rPr>
      </w:pPr>
    </w:p>
    <w:p w14:paraId="72F4531B">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（姓名）为我方代理人。代理人根据授权，以我方名义签署、澄清、说明、补正、递交、撤回、修改</w:t>
      </w:r>
      <w:r>
        <w:rPr>
          <w:rFonts w:hint="eastAsia" w:ascii="宋体" w:hAnsi="宋体" w:cs="宋体"/>
          <w:color w:val="auto"/>
          <w:sz w:val="24"/>
          <w:szCs w:val="24"/>
          <w:highlight w:val="none"/>
          <w:u w:val="single"/>
        </w:rPr>
        <w:t xml:space="preserve">             （项目名称）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投标文件、签订合同和处理有关事宜，其法律后果由我方承担。</w:t>
      </w:r>
    </w:p>
    <w:p w14:paraId="289B0433">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委托期限：至投标有效期的期满之日止。</w:t>
      </w:r>
    </w:p>
    <w:p w14:paraId="790EA322">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代理人无转委托权。</w:t>
      </w:r>
    </w:p>
    <w:p w14:paraId="4C9E626A">
      <w:pPr>
        <w:rPr>
          <w:rFonts w:ascii="宋体" w:hAnsi="宋体" w:cs="宋体"/>
          <w:color w:val="auto"/>
          <w:highlight w:val="none"/>
        </w:rPr>
      </w:pPr>
    </w:p>
    <w:p w14:paraId="023B67B4">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投  标  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7AA6455F">
      <w:pPr>
        <w:rPr>
          <w:rFonts w:ascii="宋体" w:hAnsi="宋体" w:cs="宋体"/>
          <w:color w:val="auto"/>
          <w:highlight w:val="none"/>
        </w:rPr>
      </w:pPr>
    </w:p>
    <w:p w14:paraId="389DFC50">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C5431D5">
      <w:pPr>
        <w:rPr>
          <w:rFonts w:ascii="宋体" w:hAnsi="宋体" w:cs="宋体"/>
          <w:color w:val="auto"/>
          <w:highlight w:val="none"/>
        </w:rPr>
      </w:pPr>
    </w:p>
    <w:p w14:paraId="0E2D2BB3">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4727BA36">
      <w:pPr>
        <w:rPr>
          <w:rFonts w:ascii="宋体" w:hAnsi="宋体" w:cs="宋体"/>
          <w:color w:val="auto"/>
          <w:highlight w:val="none"/>
        </w:rPr>
      </w:pPr>
    </w:p>
    <w:p w14:paraId="571167C0">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5D34BCB">
      <w:pPr>
        <w:rPr>
          <w:rFonts w:ascii="宋体" w:hAnsi="宋体" w:cs="宋体"/>
          <w:color w:val="auto"/>
          <w:highlight w:val="none"/>
        </w:rPr>
      </w:pPr>
    </w:p>
    <w:p w14:paraId="666F49F5">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02C6F691">
      <w:pPr>
        <w:rPr>
          <w:rFonts w:ascii="宋体" w:hAnsi="宋体" w:cs="宋体"/>
          <w:color w:val="auto"/>
          <w:highlight w:val="none"/>
        </w:rPr>
      </w:pPr>
    </w:p>
    <w:p w14:paraId="598FC4CD">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1DC2D10">
      <w:pPr>
        <w:rPr>
          <w:rFonts w:ascii="宋体" w:hAnsi="宋体" w:cs="宋体"/>
          <w:color w:val="auto"/>
          <w:highlight w:val="none"/>
        </w:rPr>
      </w:pPr>
    </w:p>
    <w:p w14:paraId="2AB71243">
      <w:pP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FB0B3DC">
                            <w:pPr>
                              <w:jc w:val="center"/>
                              <w:rPr>
                                <w:szCs w:val="21"/>
                              </w:rPr>
                            </w:pPr>
                          </w:p>
                          <w:p w14:paraId="30823008">
                            <w:pPr>
                              <w:jc w:val="center"/>
                              <w:rPr>
                                <w:szCs w:val="21"/>
                              </w:rPr>
                            </w:pPr>
                          </w:p>
                          <w:p w14:paraId="28A2A786">
                            <w:pPr>
                              <w:jc w:val="center"/>
                              <w:rPr>
                                <w:szCs w:val="21"/>
                              </w:rPr>
                            </w:pPr>
                          </w:p>
                          <w:p w14:paraId="779CD428">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fill on="t" focussize="0,0"/>
                <v:stroke color="#000000" joinstyle="miter"/>
                <v:imagedata o:title=""/>
                <o:lock v:ext="edit" aspectratio="f"/>
                <v:textbox>
                  <w:txbxContent>
                    <w:p w14:paraId="3FB0B3DC">
                      <w:pPr>
                        <w:jc w:val="center"/>
                        <w:rPr>
                          <w:szCs w:val="21"/>
                        </w:rPr>
                      </w:pPr>
                    </w:p>
                    <w:p w14:paraId="30823008">
                      <w:pPr>
                        <w:jc w:val="center"/>
                        <w:rPr>
                          <w:szCs w:val="21"/>
                        </w:rPr>
                      </w:pPr>
                    </w:p>
                    <w:p w14:paraId="28A2A786">
                      <w:pPr>
                        <w:jc w:val="center"/>
                        <w:rPr>
                          <w:szCs w:val="21"/>
                        </w:rPr>
                      </w:pPr>
                    </w:p>
                    <w:p w14:paraId="779CD428">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4F840702">
      <w:pPr>
        <w:rPr>
          <w:rFonts w:ascii="宋体" w:hAnsi="宋体" w:cs="宋体"/>
          <w:color w:val="auto"/>
          <w:highlight w:val="none"/>
        </w:rPr>
      </w:pPr>
    </w:p>
    <w:p w14:paraId="6E873626">
      <w:pPr>
        <w:rPr>
          <w:rFonts w:ascii="宋体" w:hAnsi="宋体" w:cs="宋体"/>
          <w:color w:val="auto"/>
          <w:highlight w:val="none"/>
        </w:rPr>
      </w:pPr>
    </w:p>
    <w:p w14:paraId="48F036DE">
      <w:pPr>
        <w:rPr>
          <w:rFonts w:ascii="宋体" w:hAnsi="宋体" w:cs="宋体"/>
          <w:color w:val="auto"/>
          <w:highlight w:val="none"/>
        </w:rPr>
      </w:pPr>
    </w:p>
    <w:p w14:paraId="05D274FE">
      <w:pPr>
        <w:rPr>
          <w:rFonts w:ascii="宋体" w:hAnsi="宋体" w:cs="宋体"/>
          <w:color w:val="auto"/>
          <w:highlight w:val="none"/>
        </w:rPr>
      </w:pPr>
    </w:p>
    <w:p w14:paraId="63EA3E67">
      <w:pPr>
        <w:rPr>
          <w:rFonts w:ascii="宋体" w:hAnsi="宋体" w:cs="宋体"/>
          <w:color w:val="auto"/>
          <w:highlight w:val="none"/>
        </w:rPr>
      </w:pPr>
    </w:p>
    <w:p w14:paraId="102EAA77">
      <w:pPr>
        <w:rPr>
          <w:rFonts w:ascii="宋体" w:hAnsi="宋体" w:cs="宋体"/>
          <w:color w:val="auto"/>
          <w:highlight w:val="none"/>
        </w:rPr>
      </w:pPr>
    </w:p>
    <w:bookmarkEnd w:id="277"/>
    <w:p w14:paraId="16B9C516">
      <w:pPr>
        <w:rPr>
          <w:rFonts w:ascii="宋体" w:hAnsi="宋体" w:cs="宋体"/>
          <w:color w:val="auto"/>
          <w:highlight w:val="none"/>
        </w:rPr>
      </w:pPr>
      <w:bookmarkStart w:id="373" w:name="_Toc23645"/>
    </w:p>
    <w:p w14:paraId="2FDEA06A">
      <w:pPr>
        <w:pStyle w:val="3"/>
        <w:wordWrap w:val="0"/>
        <w:autoSpaceDE/>
        <w:autoSpaceDN/>
        <w:snapToGrid w:val="0"/>
        <w:spacing w:line="480" w:lineRule="auto"/>
        <w:ind w:firstLine="480"/>
        <w:jc w:val="both"/>
        <w:rPr>
          <w:rFonts w:ascii="宋体" w:hAnsi="宋体" w:cs="宋体"/>
          <w:b/>
          <w:snapToGrid w:val="0"/>
          <w:color w:val="auto"/>
          <w:sz w:val="24"/>
          <w:highlight w:val="none"/>
        </w:rPr>
      </w:pPr>
      <w:bookmarkStart w:id="374" w:name="_Toc15082"/>
      <w:r>
        <w:rPr>
          <w:rFonts w:hint="eastAsia" w:ascii="宋体" w:hAnsi="宋体" w:cs="宋体"/>
          <w:b/>
          <w:snapToGrid w:val="0"/>
          <w:color w:val="auto"/>
          <w:sz w:val="24"/>
          <w:highlight w:val="none"/>
        </w:rPr>
        <w:t>格式十   联合体协议书</w:t>
      </w:r>
      <w:bookmarkEnd w:id="373"/>
      <w:bookmarkEnd w:id="374"/>
    </w:p>
    <w:p w14:paraId="3C643AC2">
      <w:pPr>
        <w:pStyle w:val="37"/>
        <w:widowControl w:val="0"/>
        <w:wordWrap w:val="0"/>
        <w:adjustRightInd w:val="0"/>
        <w:snapToGrid w:val="0"/>
        <w:spacing w:before="240" w:after="240" w:line="440" w:lineRule="exact"/>
        <w:ind w:firstLine="0"/>
        <w:jc w:val="center"/>
        <w:rPr>
          <w:rFonts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联合体协议书</w:t>
      </w:r>
    </w:p>
    <w:p w14:paraId="414528B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（所有成员单位名称）自愿组成联合体，共同参加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投标。现就联合体投标事宜订立如下协议：</w:t>
      </w:r>
    </w:p>
    <w:p w14:paraId="4788122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1.__________（某成员单位名称）为_____________________（联合体名称）牵头人。</w:t>
      </w:r>
    </w:p>
    <w:p w14:paraId="0F30158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BC17CC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3.联合体将严格按照招标文件的各项要求，递交投标文件，履行合同，并对外承担连带责任。</w:t>
      </w:r>
    </w:p>
    <w:p w14:paraId="1CAD968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联合体牵头人   （单位名称）    除负责本协议第2条的工作外，还负责承担       工作，联合体成员（单位名称）</w:t>
      </w:r>
      <w:r>
        <w:rPr>
          <w:rFonts w:hint="eastAsia" w:ascii="宋体" w:hAnsi="宋体" w:cs="宋体"/>
          <w:color w:val="auto"/>
          <w:sz w:val="24"/>
          <w:highlight w:val="none"/>
        </w:rPr>
        <w:t>___________</w:t>
      </w:r>
      <w:r>
        <w:rPr>
          <w:rFonts w:hint="eastAsia" w:ascii="宋体" w:hAnsi="宋体" w:cs="宋体"/>
          <w:color w:val="auto"/>
          <w:sz w:val="24"/>
          <w:highlight w:val="none"/>
          <w:u w:val="single"/>
        </w:rPr>
        <w:t>承担      工作。</w:t>
      </w:r>
    </w:p>
    <w:p w14:paraId="707FC0E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5.本协议书自签署之日起生效，合同履行完毕后自动失效。</w:t>
      </w:r>
    </w:p>
    <w:p w14:paraId="6F1476F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份，联合体各成员和招标人各执一份。</w:t>
      </w:r>
    </w:p>
    <w:p w14:paraId="3C7F08C8">
      <w:pPr>
        <w:rPr>
          <w:rFonts w:ascii="宋体" w:hAnsi="宋体" w:cs="宋体"/>
          <w:color w:val="auto"/>
          <w:highlight w:val="none"/>
        </w:rPr>
      </w:pPr>
    </w:p>
    <w:p w14:paraId="289EAA43">
      <w:pPr>
        <w:pStyle w:val="37"/>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1CA9AA9B">
      <w:pPr>
        <w:pStyle w:val="37"/>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6EA15FCD">
      <w:pPr>
        <w:pStyle w:val="37"/>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成员一名称：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770FB766">
      <w:pPr>
        <w:pStyle w:val="37"/>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7EA572F7">
      <w:pPr>
        <w:pStyle w:val="37"/>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45D113E6">
      <w:pPr>
        <w:rPr>
          <w:rFonts w:ascii="宋体" w:hAnsi="宋体" w:cs="宋体"/>
          <w:color w:val="auto"/>
          <w:highlight w:val="none"/>
        </w:rPr>
      </w:pPr>
    </w:p>
    <w:p w14:paraId="4BDBC632">
      <w:pPr>
        <w:pStyle w:val="37"/>
        <w:widowControl w:val="0"/>
        <w:wordWrap w:val="0"/>
        <w:adjustRightInd w:val="0"/>
        <w:snapToGrid w:val="0"/>
        <w:spacing w:line="440" w:lineRule="exact"/>
        <w:jc w:val="center"/>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4E6EA930">
      <w:pPr>
        <w:rPr>
          <w:rFonts w:ascii="宋体" w:hAnsi="宋体" w:cs="宋体"/>
          <w:color w:val="auto"/>
          <w:highlight w:val="none"/>
        </w:rPr>
      </w:pPr>
    </w:p>
    <w:p w14:paraId="53545718">
      <w:pPr>
        <w:pStyle w:val="37"/>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p>
    <w:p w14:paraId="22DB4525">
      <w:pPr>
        <w:wordWrap w:val="0"/>
        <w:adjustRightInd w:val="0"/>
        <w:snapToGrid w:val="0"/>
        <w:spacing w:line="440" w:lineRule="exact"/>
        <w:rPr>
          <w:rFonts w:ascii="宋体" w:hAnsi="宋体" w:cs="宋体"/>
          <w:color w:val="auto"/>
          <w:highlight w:val="none"/>
        </w:rPr>
      </w:pPr>
    </w:p>
    <w:p w14:paraId="42584B69">
      <w:pPr>
        <w:rPr>
          <w:rFonts w:ascii="宋体" w:hAnsi="宋体" w:cs="宋体"/>
          <w:color w:val="auto"/>
          <w:highlight w:val="none"/>
        </w:rPr>
      </w:pPr>
    </w:p>
    <w:p w14:paraId="582C939B">
      <w:pPr>
        <w:rPr>
          <w:rFonts w:ascii="宋体" w:hAnsi="宋体" w:cs="宋体"/>
          <w:color w:val="auto"/>
          <w:highlight w:val="none"/>
        </w:rPr>
      </w:pPr>
    </w:p>
    <w:p w14:paraId="4795EAE4">
      <w:pPr>
        <w:rPr>
          <w:rFonts w:ascii="宋体" w:hAnsi="宋体" w:cs="宋体"/>
          <w:color w:val="auto"/>
          <w:highlight w:val="none"/>
        </w:rPr>
      </w:pPr>
    </w:p>
    <w:p w14:paraId="32EB9622">
      <w:pPr>
        <w:pStyle w:val="36"/>
        <w:jc w:val="center"/>
        <w:outlineLvl w:val="0"/>
        <w:rPr>
          <w:rFonts w:hint="eastAsia" w:ascii="宋体" w:hAnsi="宋体" w:eastAsia="宋体" w:cs="宋体"/>
          <w:bCs/>
          <w:snapToGrid w:val="0"/>
          <w:color w:val="auto"/>
          <w:sz w:val="24"/>
          <w:szCs w:val="24"/>
          <w:highlight w:val="none"/>
          <w:lang w:eastAsia="zh-CN"/>
        </w:rPr>
      </w:pPr>
      <w:bookmarkStart w:id="375" w:name="_Toc28764"/>
      <w:bookmarkStart w:id="376" w:name="_Toc19610"/>
      <w:bookmarkStart w:id="377" w:name="_Toc16159"/>
      <w:r>
        <w:rPr>
          <w:rFonts w:hint="eastAsia" w:ascii="宋体" w:hAnsi="宋体" w:cs="宋体"/>
          <w:b/>
          <w:snapToGrid w:val="0"/>
          <w:color w:val="auto"/>
          <w:sz w:val="24"/>
          <w:szCs w:val="24"/>
          <w:highlight w:val="none"/>
        </w:rPr>
        <w:t>第六章   其他资料</w:t>
      </w:r>
      <w:bookmarkEnd w:id="375"/>
      <w:bookmarkEnd w:id="376"/>
      <w:bookmarkEnd w:id="377"/>
    </w:p>
    <w:p w14:paraId="1C085C07">
      <w:pPr>
        <w:jc w:val="center"/>
        <w:rPr>
          <w:rFonts w:hint="eastAsia" w:ascii="宋体" w:hAnsi="宋体" w:cs="宋体"/>
          <w:bCs/>
          <w:strike w:val="0"/>
          <w:dstrike w:val="0"/>
          <w:snapToGrid w:val="0"/>
          <w:color w:val="auto"/>
          <w:spacing w:val="-6"/>
          <w:kern w:val="0"/>
          <w:sz w:val="24"/>
          <w:szCs w:val="24"/>
          <w:highlight w:val="none"/>
          <w:lang w:val="en-US" w:eastAsia="zh-CN"/>
        </w:rPr>
      </w:pPr>
    </w:p>
    <w:p w14:paraId="1CE9DDF0">
      <w:pPr>
        <w:jc w:val="center"/>
        <w:rPr>
          <w:rFonts w:hint="default" w:ascii="宋体" w:hAnsi="宋体" w:eastAsia="宋体" w:cs="宋体"/>
          <w:bCs/>
          <w:strike w:val="0"/>
          <w:dstrike w:val="0"/>
          <w:snapToGrid w:val="0"/>
          <w:color w:val="auto"/>
          <w:spacing w:val="-6"/>
          <w:kern w:val="0"/>
          <w:sz w:val="24"/>
          <w:szCs w:val="24"/>
          <w:highlight w:val="none"/>
          <w:lang w:val="en-US" w:eastAsia="zh-CN"/>
        </w:rPr>
      </w:pPr>
      <w:r>
        <w:rPr>
          <w:rFonts w:hint="eastAsia" w:ascii="宋体" w:hAnsi="宋体" w:cs="宋体"/>
          <w:bCs/>
          <w:strike w:val="0"/>
          <w:dstrike w:val="0"/>
          <w:snapToGrid w:val="0"/>
          <w:color w:val="auto"/>
          <w:spacing w:val="-6"/>
          <w:kern w:val="0"/>
          <w:sz w:val="24"/>
          <w:szCs w:val="24"/>
          <w:highlight w:val="none"/>
          <w:lang w:val="en-US" w:eastAsia="zh-CN"/>
        </w:rPr>
        <w:t>详见可行性研究报告</w:t>
      </w:r>
    </w:p>
    <w:sectPr>
      <w:endnotePr>
        <w:numFmt w:val="decimal"/>
      </w:endnotePr>
      <w:pgSz w:w="11907" w:h="16840"/>
      <w:pgMar w:top="1134" w:right="1134" w:bottom="1134" w:left="1134" w:header="850" w:footer="850" w:gutter="0"/>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7434">
    <w:pPr>
      <w:pStyle w:val="1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3800">
    <w:pPr>
      <w:pStyle w:val="11"/>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E54D9">
    <w:pPr>
      <w:pStyle w:val="11"/>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98A6F3">
                          <w:pPr>
                            <w:pStyle w:val="11"/>
                          </w:pPr>
                          <w:r>
                            <w:fldChar w:fldCharType="begin"/>
                          </w:r>
                          <w:r>
                            <w:instrText xml:space="preserve"> PAGE  \* MERGEFORMAT </w:instrText>
                          </w:r>
                          <w:r>
                            <w:fldChar w:fldCharType="separate"/>
                          </w:r>
                          <w:r>
                            <w:t>49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2B98A6F3">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FAFAF">
    <w:pPr>
      <w:ind w:firstLine="180" w:firstLineChars="100"/>
      <w:rPr>
        <w:rFonts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897CB"/>
    <w:multiLevelType w:val="singleLevel"/>
    <w:tmpl w:val="817897CB"/>
    <w:lvl w:ilvl="0" w:tentative="0">
      <w:start w:val="1"/>
      <w:numFmt w:val="decimal"/>
      <w:suff w:val="nothing"/>
      <w:lvlText w:val="（%1）"/>
      <w:lvlJc w:val="left"/>
    </w:lvl>
  </w:abstractNum>
  <w:abstractNum w:abstractNumId="1">
    <w:nsid w:val="A9E26599"/>
    <w:multiLevelType w:val="singleLevel"/>
    <w:tmpl w:val="A9E26599"/>
    <w:lvl w:ilvl="0" w:tentative="0">
      <w:start w:val="4"/>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ODI4YWE5OWZiYTFiMTIxMTk3NTAxZjRhZTRlMTIifQ=="/>
  </w:docVars>
  <w:rsids>
    <w:rsidRoot w:val="0E7043C6"/>
    <w:rsid w:val="00423C6D"/>
    <w:rsid w:val="005204B6"/>
    <w:rsid w:val="005D2438"/>
    <w:rsid w:val="006876FC"/>
    <w:rsid w:val="007F314E"/>
    <w:rsid w:val="00DF14BB"/>
    <w:rsid w:val="00E603F0"/>
    <w:rsid w:val="00FE14E1"/>
    <w:rsid w:val="019C785B"/>
    <w:rsid w:val="01AC66B0"/>
    <w:rsid w:val="01D4746E"/>
    <w:rsid w:val="01F76FEA"/>
    <w:rsid w:val="035D5757"/>
    <w:rsid w:val="03795BF7"/>
    <w:rsid w:val="04A01276"/>
    <w:rsid w:val="04B406ED"/>
    <w:rsid w:val="04F46B8F"/>
    <w:rsid w:val="051B26C4"/>
    <w:rsid w:val="05A0644D"/>
    <w:rsid w:val="05F6352F"/>
    <w:rsid w:val="06340E51"/>
    <w:rsid w:val="06421E32"/>
    <w:rsid w:val="066C27F2"/>
    <w:rsid w:val="066E42D5"/>
    <w:rsid w:val="069E659D"/>
    <w:rsid w:val="076B3DB5"/>
    <w:rsid w:val="079254DA"/>
    <w:rsid w:val="07B436A2"/>
    <w:rsid w:val="07E01965"/>
    <w:rsid w:val="07EC4EAD"/>
    <w:rsid w:val="080E48C5"/>
    <w:rsid w:val="08470072"/>
    <w:rsid w:val="0849541F"/>
    <w:rsid w:val="08D05C04"/>
    <w:rsid w:val="08DF069D"/>
    <w:rsid w:val="09242161"/>
    <w:rsid w:val="09CC303E"/>
    <w:rsid w:val="09CF6571"/>
    <w:rsid w:val="09D724F3"/>
    <w:rsid w:val="09E03C3B"/>
    <w:rsid w:val="0A432A6D"/>
    <w:rsid w:val="0A642BB8"/>
    <w:rsid w:val="0A712D52"/>
    <w:rsid w:val="0A805ABD"/>
    <w:rsid w:val="0AD6749B"/>
    <w:rsid w:val="0B1B1342"/>
    <w:rsid w:val="0B1B7594"/>
    <w:rsid w:val="0BDC0CB8"/>
    <w:rsid w:val="0C320371"/>
    <w:rsid w:val="0C4D5E73"/>
    <w:rsid w:val="0CEE5B65"/>
    <w:rsid w:val="0D195E73"/>
    <w:rsid w:val="0D2074F4"/>
    <w:rsid w:val="0D3A117D"/>
    <w:rsid w:val="0D8E39B6"/>
    <w:rsid w:val="0E7043C6"/>
    <w:rsid w:val="0E8042DE"/>
    <w:rsid w:val="0E807E3A"/>
    <w:rsid w:val="0E8D2557"/>
    <w:rsid w:val="0F00587D"/>
    <w:rsid w:val="0F00691E"/>
    <w:rsid w:val="0F360E40"/>
    <w:rsid w:val="0F42382E"/>
    <w:rsid w:val="0F782998"/>
    <w:rsid w:val="0FBC1346"/>
    <w:rsid w:val="10044AD2"/>
    <w:rsid w:val="1027616A"/>
    <w:rsid w:val="10EF74F9"/>
    <w:rsid w:val="112278CE"/>
    <w:rsid w:val="1189548D"/>
    <w:rsid w:val="11B36F2A"/>
    <w:rsid w:val="12BF0270"/>
    <w:rsid w:val="12D8262D"/>
    <w:rsid w:val="137F5D4F"/>
    <w:rsid w:val="138C54D3"/>
    <w:rsid w:val="13E82F8F"/>
    <w:rsid w:val="14506500"/>
    <w:rsid w:val="149363ED"/>
    <w:rsid w:val="14BF1281"/>
    <w:rsid w:val="14D700F7"/>
    <w:rsid w:val="155023CF"/>
    <w:rsid w:val="15A6180F"/>
    <w:rsid w:val="15CA76C5"/>
    <w:rsid w:val="16AC4287"/>
    <w:rsid w:val="174E307B"/>
    <w:rsid w:val="17546308"/>
    <w:rsid w:val="178B7795"/>
    <w:rsid w:val="17A00294"/>
    <w:rsid w:val="17B943BD"/>
    <w:rsid w:val="180330EF"/>
    <w:rsid w:val="19E576EB"/>
    <w:rsid w:val="1AE343FD"/>
    <w:rsid w:val="1B1F4E7E"/>
    <w:rsid w:val="1B354101"/>
    <w:rsid w:val="1BC81312"/>
    <w:rsid w:val="1C0B1DD9"/>
    <w:rsid w:val="1C2F10F1"/>
    <w:rsid w:val="1C7B7E93"/>
    <w:rsid w:val="1CF77E61"/>
    <w:rsid w:val="1D76522A"/>
    <w:rsid w:val="1DAB745A"/>
    <w:rsid w:val="1E0C3498"/>
    <w:rsid w:val="1E5332EC"/>
    <w:rsid w:val="1ECC6E4C"/>
    <w:rsid w:val="1FE12B37"/>
    <w:rsid w:val="2012571E"/>
    <w:rsid w:val="20421585"/>
    <w:rsid w:val="20663BE5"/>
    <w:rsid w:val="20760F17"/>
    <w:rsid w:val="20C1102E"/>
    <w:rsid w:val="20EA2A65"/>
    <w:rsid w:val="21555156"/>
    <w:rsid w:val="21A4304F"/>
    <w:rsid w:val="21C347B6"/>
    <w:rsid w:val="21D40213"/>
    <w:rsid w:val="21DA1AFF"/>
    <w:rsid w:val="21F901D7"/>
    <w:rsid w:val="22672E1F"/>
    <w:rsid w:val="22E80836"/>
    <w:rsid w:val="23425BAE"/>
    <w:rsid w:val="23985FD7"/>
    <w:rsid w:val="23CC35A5"/>
    <w:rsid w:val="23EB3B50"/>
    <w:rsid w:val="23EF5A91"/>
    <w:rsid w:val="244E3DB7"/>
    <w:rsid w:val="24B14149"/>
    <w:rsid w:val="24EA41C0"/>
    <w:rsid w:val="24F83185"/>
    <w:rsid w:val="251E4C45"/>
    <w:rsid w:val="253B28B5"/>
    <w:rsid w:val="257863B0"/>
    <w:rsid w:val="258E50DA"/>
    <w:rsid w:val="25B11E92"/>
    <w:rsid w:val="25C36217"/>
    <w:rsid w:val="260F621B"/>
    <w:rsid w:val="264A34CC"/>
    <w:rsid w:val="26B75BDF"/>
    <w:rsid w:val="271F69C2"/>
    <w:rsid w:val="27206206"/>
    <w:rsid w:val="27651E6B"/>
    <w:rsid w:val="27B33C90"/>
    <w:rsid w:val="2802598F"/>
    <w:rsid w:val="282F77EF"/>
    <w:rsid w:val="28425D08"/>
    <w:rsid w:val="286D4E70"/>
    <w:rsid w:val="28DC43AF"/>
    <w:rsid w:val="29170E8E"/>
    <w:rsid w:val="2A3841BE"/>
    <w:rsid w:val="2A7F09BF"/>
    <w:rsid w:val="2ABD3CB4"/>
    <w:rsid w:val="2BBC62C8"/>
    <w:rsid w:val="2C06436C"/>
    <w:rsid w:val="2D394AFC"/>
    <w:rsid w:val="2D5C786C"/>
    <w:rsid w:val="2D7A6FE0"/>
    <w:rsid w:val="2DCA5887"/>
    <w:rsid w:val="2DDB4C35"/>
    <w:rsid w:val="2DE10A31"/>
    <w:rsid w:val="2DF66ED3"/>
    <w:rsid w:val="2E0A551A"/>
    <w:rsid w:val="2E9D3A66"/>
    <w:rsid w:val="2EB62091"/>
    <w:rsid w:val="2F3951BF"/>
    <w:rsid w:val="2F407445"/>
    <w:rsid w:val="2FED674D"/>
    <w:rsid w:val="30336FAA"/>
    <w:rsid w:val="30B023A9"/>
    <w:rsid w:val="31B71515"/>
    <w:rsid w:val="31BA6B9F"/>
    <w:rsid w:val="31CC3FBC"/>
    <w:rsid w:val="322965AB"/>
    <w:rsid w:val="32317519"/>
    <w:rsid w:val="325221A7"/>
    <w:rsid w:val="3346193E"/>
    <w:rsid w:val="340A0022"/>
    <w:rsid w:val="3422536C"/>
    <w:rsid w:val="343B422E"/>
    <w:rsid w:val="34D97A61"/>
    <w:rsid w:val="351A78E1"/>
    <w:rsid w:val="35AD6732"/>
    <w:rsid w:val="35C600A4"/>
    <w:rsid w:val="362404C1"/>
    <w:rsid w:val="36410A9D"/>
    <w:rsid w:val="364F61C0"/>
    <w:rsid w:val="366D08EA"/>
    <w:rsid w:val="382B0567"/>
    <w:rsid w:val="383B6593"/>
    <w:rsid w:val="389F7BE6"/>
    <w:rsid w:val="38FA30DF"/>
    <w:rsid w:val="3A4D6EBA"/>
    <w:rsid w:val="3AD84D10"/>
    <w:rsid w:val="3B8147E4"/>
    <w:rsid w:val="3BFB66AE"/>
    <w:rsid w:val="3C0435A9"/>
    <w:rsid w:val="3C140539"/>
    <w:rsid w:val="3C573A8F"/>
    <w:rsid w:val="3C964F89"/>
    <w:rsid w:val="3CB56167"/>
    <w:rsid w:val="3CBB635D"/>
    <w:rsid w:val="3CEF368A"/>
    <w:rsid w:val="3CEF4259"/>
    <w:rsid w:val="3D324146"/>
    <w:rsid w:val="3DAE5B2B"/>
    <w:rsid w:val="3DE61259"/>
    <w:rsid w:val="3EA72FF4"/>
    <w:rsid w:val="3F7E4310"/>
    <w:rsid w:val="3FD80FD4"/>
    <w:rsid w:val="40313E8A"/>
    <w:rsid w:val="407C5E04"/>
    <w:rsid w:val="408178BE"/>
    <w:rsid w:val="40827873"/>
    <w:rsid w:val="408F1FDB"/>
    <w:rsid w:val="419B6A3A"/>
    <w:rsid w:val="41BE1E20"/>
    <w:rsid w:val="4205007B"/>
    <w:rsid w:val="42D36674"/>
    <w:rsid w:val="42DA1507"/>
    <w:rsid w:val="432C0B63"/>
    <w:rsid w:val="43DE442A"/>
    <w:rsid w:val="444A0031"/>
    <w:rsid w:val="44C77869"/>
    <w:rsid w:val="44D90415"/>
    <w:rsid w:val="459F469D"/>
    <w:rsid w:val="45FA7999"/>
    <w:rsid w:val="461F6BBA"/>
    <w:rsid w:val="46B94C58"/>
    <w:rsid w:val="46BC0A08"/>
    <w:rsid w:val="46F57C53"/>
    <w:rsid w:val="47392CA0"/>
    <w:rsid w:val="47BE661B"/>
    <w:rsid w:val="48C441B8"/>
    <w:rsid w:val="48CD3679"/>
    <w:rsid w:val="48DA400F"/>
    <w:rsid w:val="48EF49C0"/>
    <w:rsid w:val="491237A9"/>
    <w:rsid w:val="49292D46"/>
    <w:rsid w:val="49507E2D"/>
    <w:rsid w:val="49894B6B"/>
    <w:rsid w:val="4A8B5377"/>
    <w:rsid w:val="4AA1520D"/>
    <w:rsid w:val="4AC705C3"/>
    <w:rsid w:val="4B2D6E38"/>
    <w:rsid w:val="4B3D0E43"/>
    <w:rsid w:val="4B646219"/>
    <w:rsid w:val="4B6D7EC2"/>
    <w:rsid w:val="4BBF4D2D"/>
    <w:rsid w:val="4BD373C1"/>
    <w:rsid w:val="4C324F05"/>
    <w:rsid w:val="4CEE1E37"/>
    <w:rsid w:val="4D784E5B"/>
    <w:rsid w:val="4D78734A"/>
    <w:rsid w:val="4DCC4263"/>
    <w:rsid w:val="4DE17BEE"/>
    <w:rsid w:val="4E0340C8"/>
    <w:rsid w:val="4ED842D9"/>
    <w:rsid w:val="4F0943B9"/>
    <w:rsid w:val="4F09543A"/>
    <w:rsid w:val="4F8B7E11"/>
    <w:rsid w:val="4FA50603"/>
    <w:rsid w:val="4FC6709B"/>
    <w:rsid w:val="50063693"/>
    <w:rsid w:val="501A1195"/>
    <w:rsid w:val="5039786D"/>
    <w:rsid w:val="50760AC1"/>
    <w:rsid w:val="509A5B6A"/>
    <w:rsid w:val="50C62E29"/>
    <w:rsid w:val="510F1C3C"/>
    <w:rsid w:val="51A8334E"/>
    <w:rsid w:val="51A91D15"/>
    <w:rsid w:val="51D70A76"/>
    <w:rsid w:val="528C057B"/>
    <w:rsid w:val="52DD4087"/>
    <w:rsid w:val="539B3B0B"/>
    <w:rsid w:val="53C118AA"/>
    <w:rsid w:val="54096788"/>
    <w:rsid w:val="55937A20"/>
    <w:rsid w:val="55E57647"/>
    <w:rsid w:val="55F3226C"/>
    <w:rsid w:val="56C77CA7"/>
    <w:rsid w:val="56F27A24"/>
    <w:rsid w:val="570B6EE4"/>
    <w:rsid w:val="57293560"/>
    <w:rsid w:val="57566F57"/>
    <w:rsid w:val="577E64AD"/>
    <w:rsid w:val="578C20C7"/>
    <w:rsid w:val="57A2696B"/>
    <w:rsid w:val="57BB618E"/>
    <w:rsid w:val="5853793A"/>
    <w:rsid w:val="589046EA"/>
    <w:rsid w:val="58951D01"/>
    <w:rsid w:val="58CA5552"/>
    <w:rsid w:val="595105BE"/>
    <w:rsid w:val="596040BD"/>
    <w:rsid w:val="59950576"/>
    <w:rsid w:val="59FC75A7"/>
    <w:rsid w:val="5A064F32"/>
    <w:rsid w:val="5AB31059"/>
    <w:rsid w:val="5B4E0490"/>
    <w:rsid w:val="5BE43682"/>
    <w:rsid w:val="5C115B42"/>
    <w:rsid w:val="5C3E620B"/>
    <w:rsid w:val="5C67342A"/>
    <w:rsid w:val="5CA3183F"/>
    <w:rsid w:val="5D8440F2"/>
    <w:rsid w:val="5DAE4692"/>
    <w:rsid w:val="5E1216FE"/>
    <w:rsid w:val="5E15112E"/>
    <w:rsid w:val="5E2A518D"/>
    <w:rsid w:val="5E33045D"/>
    <w:rsid w:val="5E781EA8"/>
    <w:rsid w:val="5E785A05"/>
    <w:rsid w:val="5F077833"/>
    <w:rsid w:val="5F2C07EB"/>
    <w:rsid w:val="5F5226F9"/>
    <w:rsid w:val="5F935A16"/>
    <w:rsid w:val="5FC01EE5"/>
    <w:rsid w:val="60232446"/>
    <w:rsid w:val="60254689"/>
    <w:rsid w:val="602844BB"/>
    <w:rsid w:val="60923B0B"/>
    <w:rsid w:val="60D1764E"/>
    <w:rsid w:val="61191AF7"/>
    <w:rsid w:val="63B06D0A"/>
    <w:rsid w:val="647E3D3E"/>
    <w:rsid w:val="64DB5B96"/>
    <w:rsid w:val="651558C0"/>
    <w:rsid w:val="65A06493"/>
    <w:rsid w:val="65EC25D5"/>
    <w:rsid w:val="66FD73EF"/>
    <w:rsid w:val="68127858"/>
    <w:rsid w:val="6833299C"/>
    <w:rsid w:val="68421A75"/>
    <w:rsid w:val="684D5AB2"/>
    <w:rsid w:val="69223BD5"/>
    <w:rsid w:val="69C340F2"/>
    <w:rsid w:val="6A3D7B02"/>
    <w:rsid w:val="6ABB681D"/>
    <w:rsid w:val="6B315C72"/>
    <w:rsid w:val="6B3B6738"/>
    <w:rsid w:val="6C021959"/>
    <w:rsid w:val="6C085349"/>
    <w:rsid w:val="6C097D12"/>
    <w:rsid w:val="6C65128F"/>
    <w:rsid w:val="6C7415B0"/>
    <w:rsid w:val="6CEB5F3B"/>
    <w:rsid w:val="6D2C27DC"/>
    <w:rsid w:val="6D836174"/>
    <w:rsid w:val="6D9E5D0C"/>
    <w:rsid w:val="6DFB0400"/>
    <w:rsid w:val="6E4D49C0"/>
    <w:rsid w:val="6E5A5287"/>
    <w:rsid w:val="6E6F7FAE"/>
    <w:rsid w:val="6EC72B73"/>
    <w:rsid w:val="6F215C44"/>
    <w:rsid w:val="6FAC546B"/>
    <w:rsid w:val="704E4817"/>
    <w:rsid w:val="70D2369A"/>
    <w:rsid w:val="71A803D2"/>
    <w:rsid w:val="71F238C8"/>
    <w:rsid w:val="72C2773E"/>
    <w:rsid w:val="73017EBE"/>
    <w:rsid w:val="74C01A5C"/>
    <w:rsid w:val="75693EA1"/>
    <w:rsid w:val="757551AC"/>
    <w:rsid w:val="75823D9F"/>
    <w:rsid w:val="75C02690"/>
    <w:rsid w:val="763B75EC"/>
    <w:rsid w:val="764A2A16"/>
    <w:rsid w:val="767B2D7B"/>
    <w:rsid w:val="770C0F88"/>
    <w:rsid w:val="771A729C"/>
    <w:rsid w:val="775C28C3"/>
    <w:rsid w:val="778817D1"/>
    <w:rsid w:val="77A25449"/>
    <w:rsid w:val="77D55926"/>
    <w:rsid w:val="78C91D9A"/>
    <w:rsid w:val="7997722F"/>
    <w:rsid w:val="79DA35C0"/>
    <w:rsid w:val="7A3C7DD6"/>
    <w:rsid w:val="7A505569"/>
    <w:rsid w:val="7A87158A"/>
    <w:rsid w:val="7AE077B3"/>
    <w:rsid w:val="7B1702F5"/>
    <w:rsid w:val="7B871FFE"/>
    <w:rsid w:val="7B963516"/>
    <w:rsid w:val="7BB87930"/>
    <w:rsid w:val="7C186825"/>
    <w:rsid w:val="7CAA54CB"/>
    <w:rsid w:val="7E906943"/>
    <w:rsid w:val="7EA30424"/>
    <w:rsid w:val="7EC77FA1"/>
    <w:rsid w:val="7F8813C8"/>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autoSpaceDE w:val="0"/>
      <w:autoSpaceDN w:val="0"/>
      <w:adjustRightInd w:val="0"/>
      <w:jc w:val="left"/>
      <w:outlineLvl w:val="0"/>
    </w:pPr>
    <w:rPr>
      <w:kern w:val="0"/>
      <w:sz w:val="30"/>
    </w:rPr>
  </w:style>
  <w:style w:type="paragraph" w:styleId="3">
    <w:name w:val="heading 2"/>
    <w:basedOn w:val="1"/>
    <w:next w:val="1"/>
    <w:link w:val="39"/>
    <w:autoRedefine/>
    <w:qFormat/>
    <w:uiPriority w:val="0"/>
    <w:pPr>
      <w:autoSpaceDE w:val="0"/>
      <w:autoSpaceDN w:val="0"/>
      <w:adjustRightInd w:val="0"/>
      <w:jc w:val="left"/>
      <w:outlineLvl w:val="1"/>
    </w:pPr>
    <w:rPr>
      <w:kern w:val="0"/>
      <w:sz w:val="20"/>
    </w:rPr>
  </w:style>
  <w:style w:type="paragraph" w:styleId="4">
    <w:name w:val="heading 4"/>
    <w:basedOn w:val="1"/>
    <w:next w:val="1"/>
    <w:qFormat/>
    <w:uiPriority w:val="0"/>
    <w:pPr>
      <w:keepNext/>
      <w:keepLines/>
      <w:spacing w:before="280" w:after="290" w:line="374" w:lineRule="auto"/>
      <w:outlineLvl w:val="3"/>
    </w:pPr>
    <w:rPr>
      <w:rFonts w:ascii="Arial" w:hAnsi="Arial"/>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Document Map"/>
    <w:basedOn w:val="1"/>
    <w:autoRedefine/>
    <w:qFormat/>
    <w:uiPriority w:val="0"/>
    <w:pPr>
      <w:shd w:val="clear" w:color="auto" w:fill="000080"/>
    </w:pPr>
  </w:style>
  <w:style w:type="paragraph" w:styleId="7">
    <w:name w:val="annotation text"/>
    <w:basedOn w:val="1"/>
    <w:next w:val="1"/>
    <w:autoRedefine/>
    <w:qFormat/>
    <w:uiPriority w:val="0"/>
    <w:pPr>
      <w:jc w:val="left"/>
    </w:pPr>
  </w:style>
  <w:style w:type="paragraph" w:styleId="8">
    <w:name w:val="Body Text"/>
    <w:basedOn w:val="1"/>
    <w:autoRedefine/>
    <w:qFormat/>
    <w:uiPriority w:val="0"/>
    <w:pPr>
      <w:spacing w:after="120"/>
    </w:pPr>
  </w:style>
  <w:style w:type="paragraph" w:styleId="9">
    <w:name w:val="Body Text Indent"/>
    <w:basedOn w:val="1"/>
    <w:next w:val="1"/>
    <w:autoRedefine/>
    <w:qFormat/>
    <w:uiPriority w:val="0"/>
    <w:pPr>
      <w:ind w:firstLine="560" w:firstLineChars="200"/>
    </w:pPr>
  </w:style>
  <w:style w:type="paragraph" w:styleId="10">
    <w:name w:val="Plain Text"/>
    <w:basedOn w:val="1"/>
    <w:autoRedefine/>
    <w:unhideWhenUsed/>
    <w:qFormat/>
    <w:uiPriority w:val="0"/>
    <w:rPr>
      <w:rFonts w:hint="eastAsia" w:hAnsi="Courier New" w:eastAsia="Times New Roman"/>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link w:val="45"/>
    <w:autoRedefine/>
    <w:qFormat/>
    <w:uiPriority w:val="0"/>
    <w:pPr>
      <w:tabs>
        <w:tab w:val="center" w:pos="4153"/>
        <w:tab w:val="right" w:pos="8306"/>
      </w:tabs>
      <w:snapToGrid w:val="0"/>
      <w:jc w:val="center"/>
    </w:pPr>
    <w:rPr>
      <w:sz w:val="18"/>
      <w:szCs w:val="18"/>
    </w:rPr>
  </w:style>
  <w:style w:type="paragraph" w:styleId="13">
    <w:name w:val="toc 1"/>
    <w:basedOn w:val="1"/>
    <w:next w:val="1"/>
    <w:autoRedefine/>
    <w:qFormat/>
    <w:uiPriority w:val="39"/>
  </w:style>
  <w:style w:type="paragraph" w:styleId="14">
    <w:name w:val="toc 2"/>
    <w:basedOn w:val="1"/>
    <w:next w:val="1"/>
    <w:autoRedefine/>
    <w:qFormat/>
    <w:uiPriority w:val="39"/>
    <w:pPr>
      <w:ind w:left="420" w:leftChars="200"/>
    </w:pPr>
  </w:style>
  <w:style w:type="paragraph" w:styleId="15">
    <w:name w:val="Body Text 2"/>
    <w:basedOn w:val="1"/>
    <w:next w:val="8"/>
    <w:autoRedefine/>
    <w:qFormat/>
    <w:uiPriority w:val="0"/>
    <w:pPr>
      <w:spacing w:line="500" w:lineRule="exact"/>
    </w:pPr>
    <w:rPr>
      <w:rFonts w:ascii="宋体"/>
      <w:sz w:val="24"/>
    </w:rPr>
  </w:style>
  <w:style w:type="paragraph" w:styleId="16">
    <w:name w:val="Normal (Web)"/>
    <w:basedOn w:val="1"/>
    <w:qFormat/>
    <w:uiPriority w:val="0"/>
    <w:pPr>
      <w:widowControl/>
      <w:spacing w:before="100" w:beforeAutospacing="1" w:after="100" w:afterAutospacing="1"/>
      <w:jc w:val="left"/>
    </w:pPr>
    <w:rPr>
      <w:rFonts w:hAnsi="宋体" w:cs="宋体"/>
      <w:color w:val="000000"/>
      <w:kern w:val="0"/>
      <w:szCs w:val="24"/>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正文正"/>
    <w:basedOn w:val="21"/>
    <w:autoRedefine/>
    <w:qFormat/>
    <w:uiPriority w:val="99"/>
    <w:pPr>
      <w:spacing w:line="560" w:lineRule="exact"/>
      <w:ind w:firstLine="561"/>
    </w:pPr>
    <w:rPr>
      <w:rFonts w:ascii="Calibri" w:hAnsi="Calibri" w:cs="Calibri"/>
      <w:sz w:val="28"/>
      <w:szCs w:val="28"/>
    </w:rPr>
  </w:style>
  <w:style w:type="paragraph" w:customStyle="1" w:styleId="21">
    <w:name w:val="正文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2">
    <w:name w:val="Default"/>
    <w:next w:val="5"/>
    <w:autoRedefine/>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23">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5">
    <w:name w:val="正文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6">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autoRedefine/>
    <w:semiHidden/>
    <w:qFormat/>
    <w:uiPriority w:val="0"/>
    <w:rPr>
      <w:kern w:val="2"/>
      <w:sz w:val="21"/>
      <w:lang w:val="en-US" w:eastAsia="zh-CN" w:bidi="ar-SA"/>
    </w:rPr>
  </w:style>
  <w:style w:type="paragraph" w:customStyle="1" w:styleId="28">
    <w:name w:val="正文文本缩进 New New"/>
    <w:basedOn w:val="25"/>
    <w:autoRedefine/>
    <w:qFormat/>
    <w:uiPriority w:val="0"/>
    <w:pPr>
      <w:ind w:firstLine="560" w:firstLineChars="200"/>
    </w:pPr>
  </w:style>
  <w:style w:type="paragraph" w:customStyle="1" w:styleId="29">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0">
    <w:name w:val="AnnotationText"/>
    <w:basedOn w:val="1"/>
    <w:autoRedefine/>
    <w:qFormat/>
    <w:uiPriority w:val="99"/>
    <w:pPr>
      <w:spacing w:line="360" w:lineRule="atLeast"/>
      <w:jc w:val="left"/>
    </w:pPr>
    <w:rPr>
      <w:kern w:val="0"/>
    </w:rPr>
  </w:style>
  <w:style w:type="paragraph" w:customStyle="1" w:styleId="31">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UserStyle_36"/>
    <w:autoRedefine/>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34">
    <w:name w:val="样式 宋体 行距: 1.5 倍行距"/>
    <w:basedOn w:val="35"/>
    <w:next w:val="1"/>
    <w:autoRedefine/>
    <w:qFormat/>
    <w:uiPriority w:val="0"/>
    <w:pPr>
      <w:jc w:val="center"/>
    </w:pPr>
    <w:rPr>
      <w:rFonts w:ascii="Times New Roman" w:hAnsi="Times New Roman"/>
      <w:b/>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4"/>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正文缩进1"/>
    <w:basedOn w:val="1"/>
    <w:autoRedefine/>
    <w:qFormat/>
    <w:uiPriority w:val="0"/>
    <w:pPr>
      <w:widowControl/>
      <w:ind w:firstLine="420"/>
      <w:jc w:val="left"/>
    </w:pPr>
    <w:rPr>
      <w:kern w:val="0"/>
    </w:rPr>
  </w:style>
  <w:style w:type="paragraph" w:customStyle="1" w:styleId="37">
    <w:name w:val="正文缩进 New"/>
    <w:basedOn w:val="38"/>
    <w:autoRedefine/>
    <w:qFormat/>
    <w:uiPriority w:val="0"/>
    <w:pPr>
      <w:widowControl/>
      <w:ind w:firstLine="420"/>
      <w:jc w:val="left"/>
    </w:pPr>
    <w:rPr>
      <w:kern w:val="0"/>
      <w:sz w:val="20"/>
    </w:rPr>
  </w:style>
  <w:style w:type="paragraph" w:customStyle="1" w:styleId="38">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39">
    <w:name w:val="标题 2 字符"/>
    <w:link w:val="3"/>
    <w:autoRedefine/>
    <w:qFormat/>
    <w:uiPriority w:val="0"/>
    <w:rPr>
      <w:kern w:val="0"/>
      <w:sz w:val="20"/>
    </w:rPr>
  </w:style>
  <w:style w:type="paragraph" w:customStyle="1" w:styleId="40">
    <w:name w:val="正文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缩进 New New New New New New New New"/>
    <w:basedOn w:val="40"/>
    <w:autoRedefine/>
    <w:qFormat/>
    <w:uiPriority w:val="0"/>
    <w:pPr>
      <w:spacing w:after="120"/>
      <w:ind w:left="420" w:leftChars="200"/>
    </w:pPr>
    <w:rPr>
      <w:szCs w:val="24"/>
    </w:rPr>
  </w:style>
  <w:style w:type="paragraph" w:customStyle="1" w:styleId="42">
    <w:name w:val="正文文本缩进 New"/>
    <w:basedOn w:val="38"/>
    <w:autoRedefine/>
    <w:qFormat/>
    <w:uiPriority w:val="0"/>
    <w:pPr>
      <w:ind w:firstLine="560" w:firstLineChars="200"/>
    </w:pPr>
    <w:rPr>
      <w:rFonts w:ascii="宋体"/>
      <w:sz w:val="24"/>
    </w:rPr>
  </w:style>
  <w:style w:type="paragraph" w:customStyle="1" w:styleId="43">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Bodoni MT" w:hAnsi="Bodoni MT" w:eastAsia="宋体" w:cs="Bodoni MT"/>
      <w:kern w:val="2"/>
      <w:sz w:val="21"/>
      <w:szCs w:val="24"/>
      <w:lang w:val="en-US" w:eastAsia="zh-CN" w:bidi="ar-SA"/>
    </w:rPr>
  </w:style>
  <w:style w:type="paragraph" w:customStyle="1" w:styleId="44">
    <w:name w:val="Plain Text1"/>
    <w:basedOn w:val="1"/>
    <w:next w:val="22"/>
    <w:autoRedefine/>
    <w:qFormat/>
    <w:uiPriority w:val="0"/>
    <w:rPr>
      <w:rFonts w:ascii="宋体" w:hAnsi="Courier New" w:cs="Courier New"/>
      <w:szCs w:val="21"/>
    </w:rPr>
  </w:style>
  <w:style w:type="character" w:customStyle="1" w:styleId="45">
    <w:name w:val="页眉 字符"/>
    <w:basedOn w:val="19"/>
    <w:link w:val="12"/>
    <w:autoRedefine/>
    <w:qFormat/>
    <w:uiPriority w:val="0"/>
    <w:rPr>
      <w:kern w:val="2"/>
      <w:sz w:val="18"/>
      <w:szCs w:val="18"/>
    </w:rPr>
  </w:style>
  <w:style w:type="paragraph" w:customStyle="1" w:styleId="46">
    <w:name w:val="Revision"/>
    <w:autoRedefine/>
    <w:hidden/>
    <w:unhideWhenUsed/>
    <w:qFormat/>
    <w:uiPriority w:val="99"/>
    <w:rPr>
      <w:rFonts w:ascii="Times New Roman" w:hAnsi="Times New Roman" w:eastAsia="宋体" w:cs="Times New Roman"/>
      <w:kern w:val="2"/>
      <w:sz w:val="21"/>
      <w:lang w:val="en-US" w:eastAsia="zh-CN" w:bidi="ar-SA"/>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黑体"/>
      <w:kern w:val="2"/>
      <w:sz w:val="21"/>
      <w:szCs w:val="24"/>
      <w:lang w:val="en-US" w:eastAsia="zh-CN"/>
    </w:rPr>
  </w:style>
  <w:style w:type="paragraph" w:customStyle="1" w:styleId="48">
    <w:name w:val="_Style 6"/>
    <w:basedOn w:val="1"/>
    <w:next w:val="49"/>
    <w:autoRedefine/>
    <w:qFormat/>
    <w:uiPriority w:val="34"/>
    <w:pPr>
      <w:adjustRightInd w:val="0"/>
      <w:snapToGrid w:val="0"/>
      <w:spacing w:line="312" w:lineRule="auto"/>
      <w:ind w:firstLine="420" w:firstLineChars="200"/>
    </w:pPr>
    <w:rPr>
      <w:rFonts w:ascii="Arial" w:hAnsi="Arial" w:cs="Arial"/>
      <w:color w:val="auto"/>
      <w:kern w:val="2"/>
      <w:sz w:val="20"/>
      <w:szCs w:val="20"/>
    </w:rPr>
  </w:style>
  <w:style w:type="paragraph" w:styleId="49">
    <w:name w:val="List Paragraph"/>
    <w:basedOn w:val="1"/>
    <w:autoRedefine/>
    <w:qFormat/>
    <w:uiPriority w:val="99"/>
    <w:pPr>
      <w:ind w:firstLine="420" w:firstLineChars="200"/>
    </w:pPr>
  </w:style>
  <w:style w:type="paragraph" w:customStyle="1" w:styleId="50">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685</Words>
  <Characters>766</Characters>
  <Lines>291</Lines>
  <Paragraphs>82</Paragraphs>
  <TotalTime>0</TotalTime>
  <ScaleCrop>false</ScaleCrop>
  <LinksUpToDate>false</LinksUpToDate>
  <CharactersWithSpaces>903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2024-04-01T06:37:00Z</dcterms:created>
  <dc:creator>明正</dc:creator>
  <cp:lastModifiedBy>殷</cp:lastModifiedBy>
  <cp:lastPrinted>2024-04-11T09:46:00Z</cp:lastPrinted>
  <dcterms:modified xsi:type="dcterms:W3CDTF">2025-08-29T03:52:36Z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E43041219484482F8D1E0629DE80D99D</vt:lpwstr>
  </property>
  <property fmtid="{D5CDD505-2E9C-101B-9397-08002B2CF9AE}" pid="4" name="KSOTemplateDocerSaveRecord">
    <vt:lpwstr>eyJoZGlkIjoiODM0YzQzMGFjMjUzMGYwODMwZjhmZTEzMTA0N2U0NTciLCJ1c2VySWQiOiIzNzEyNjM0MzEifQ==</vt:lpwstr>
  </property>
</Properties>
</file>