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4460FB">
      <w:pPr>
        <w:pStyle w:val="48"/>
        <w:spacing w:line="360" w:lineRule="auto"/>
        <w:jc w:val="center"/>
        <w:rPr>
          <w:rFonts w:hint="eastAsia" w:ascii="宋体" w:hAnsi="宋体" w:eastAsia="宋体" w:cs="宋体"/>
          <w:b/>
          <w:bCs/>
          <w:color w:val="auto"/>
          <w:spacing w:val="26"/>
          <w:sz w:val="48"/>
          <w:szCs w:val="48"/>
          <w:highlight w:val="none"/>
          <w14:shadow w14:blurRad="50800" w14:dist="38100" w14:dir="2700000" w14:sx="100000" w14:sy="100000" w14:kx="0" w14:ky="0" w14:algn="tl">
            <w14:srgbClr w14:val="000000">
              <w14:alpha w14:val="60000"/>
            </w14:srgbClr>
          </w14:shadow>
        </w:rPr>
      </w:pPr>
      <w:r>
        <w:rPr>
          <w:rFonts w:hint="eastAsia" w:ascii="宋体" w:hAnsi="宋体" w:eastAsia="宋体" w:cs="宋体"/>
          <w:b/>
          <w:bCs/>
          <w:color w:val="auto"/>
          <w:sz w:val="52"/>
          <w:szCs w:val="52"/>
          <w:highlight w:val="none"/>
          <w:lang w:eastAsia="zh-CN"/>
        </w:rPr>
        <w:t>江湾镇倒流水村避险安置小区项目施工</w:t>
      </w:r>
    </w:p>
    <w:p w14:paraId="6BC46ECF">
      <w:pPr>
        <w:pStyle w:val="48"/>
        <w:spacing w:line="360" w:lineRule="auto"/>
        <w:jc w:val="center"/>
        <w:rPr>
          <w:rFonts w:hint="eastAsia" w:ascii="宋体" w:hAnsi="宋体" w:eastAsia="宋体" w:cs="宋体"/>
          <w:b/>
          <w:bCs/>
          <w:color w:val="auto"/>
          <w:spacing w:val="26"/>
          <w:sz w:val="84"/>
          <w:szCs w:val="84"/>
          <w:highlight w:val="none"/>
          <w14:shadow w14:blurRad="50800" w14:dist="38100" w14:dir="2700000" w14:sx="100000" w14:sy="100000" w14:kx="0" w14:ky="0" w14:algn="tl">
            <w14:srgbClr w14:val="000000">
              <w14:alpha w14:val="60000"/>
            </w14:srgbClr>
          </w14:shadow>
        </w:rPr>
      </w:pPr>
      <w:r>
        <w:rPr>
          <w:rFonts w:hint="eastAsia" w:ascii="宋体" w:hAnsi="宋体" w:eastAsia="宋体" w:cs="宋体"/>
          <w:b/>
          <w:bCs/>
          <w:color w:val="auto"/>
          <w:spacing w:val="26"/>
          <w:sz w:val="84"/>
          <w:szCs w:val="84"/>
          <w:highlight w:val="none"/>
          <w14:shadow w14:blurRad="50800" w14:dist="38100" w14:dir="2700000" w14:sx="100000" w14:sy="100000" w14:kx="0" w14:ky="0" w14:algn="tl">
            <w14:srgbClr w14:val="000000">
              <w14:alpha w14:val="60000"/>
            </w14:srgbClr>
          </w14:shadow>
        </w:rPr>
        <w:t>招标文件</w:t>
      </w:r>
    </w:p>
    <w:p w14:paraId="7DCD3DE8">
      <w:pPr>
        <w:pStyle w:val="48"/>
        <w:spacing w:line="360" w:lineRule="auto"/>
        <w:rPr>
          <w:rFonts w:hint="eastAsia" w:ascii="宋体" w:hAnsi="宋体" w:eastAsia="宋体" w:cs="宋体"/>
          <w:b/>
          <w:bCs/>
          <w:color w:val="auto"/>
          <w:spacing w:val="26"/>
          <w:sz w:val="52"/>
          <w:szCs w:val="52"/>
          <w:highlight w:val="none"/>
          <w14:shadow w14:blurRad="50800" w14:dist="38100" w14:dir="2700000" w14:sx="100000" w14:sy="100000" w14:kx="0" w14:ky="0" w14:algn="tl">
            <w14:srgbClr w14:val="000000">
              <w14:alpha w14:val="60000"/>
            </w14:srgbClr>
          </w14:shadow>
        </w:rPr>
      </w:pPr>
    </w:p>
    <w:tbl>
      <w:tblPr>
        <w:tblStyle w:val="14"/>
        <w:tblpPr w:leftFromText="180" w:rightFromText="180" w:vertAnchor="text" w:horzAnchor="page" w:tblpX="1312" w:tblpY="423"/>
        <w:tblOverlap w:val="never"/>
        <w:tblW w:w="9659" w:type="dxa"/>
        <w:tblInd w:w="0" w:type="dxa"/>
        <w:tblLayout w:type="fixed"/>
        <w:tblCellMar>
          <w:top w:w="0" w:type="dxa"/>
          <w:left w:w="0" w:type="dxa"/>
          <w:bottom w:w="0" w:type="dxa"/>
          <w:right w:w="0" w:type="dxa"/>
        </w:tblCellMar>
      </w:tblPr>
      <w:tblGrid>
        <w:gridCol w:w="4815"/>
        <w:gridCol w:w="4844"/>
      </w:tblGrid>
      <w:tr w14:paraId="603DDFDA">
        <w:tblPrEx>
          <w:tblCellMar>
            <w:top w:w="0" w:type="dxa"/>
            <w:left w:w="0" w:type="dxa"/>
            <w:bottom w:w="0" w:type="dxa"/>
            <w:right w:w="0" w:type="dxa"/>
          </w:tblCellMar>
        </w:tblPrEx>
        <w:trPr>
          <w:trHeight w:val="1057" w:hRule="atLeast"/>
        </w:trPr>
        <w:tc>
          <w:tcPr>
            <w:tcW w:w="4815" w:type="dxa"/>
            <w:noWrap w:val="0"/>
            <w:vAlign w:val="center"/>
          </w:tcPr>
          <w:p w14:paraId="1AA45157">
            <w:pPr>
              <w:pStyle w:val="49"/>
              <w:spacing w:line="240" w:lineRule="auto"/>
              <w:rPr>
                <w:rFonts w:hint="eastAsia" w:hAnsi="宋体" w:cs="宋体"/>
                <w:color w:val="auto"/>
                <w:sz w:val="28"/>
                <w:szCs w:val="28"/>
                <w:highlight w:val="none"/>
              </w:rPr>
            </w:pPr>
            <w:r>
              <w:rPr>
                <w:rFonts w:hint="eastAsia" w:hAnsi="宋体" w:cs="宋体"/>
                <w:color w:val="auto"/>
                <w:sz w:val="28"/>
                <w:szCs w:val="28"/>
                <w:highlight w:val="none"/>
              </w:rPr>
              <w:t xml:space="preserve"> 招        标        人（盖 章）：</w:t>
            </w:r>
          </w:p>
        </w:tc>
        <w:tc>
          <w:tcPr>
            <w:tcW w:w="4844" w:type="dxa"/>
            <w:noWrap w:val="0"/>
            <w:vAlign w:val="center"/>
          </w:tcPr>
          <w:p w14:paraId="29B0B35A">
            <w:pPr>
              <w:pStyle w:val="49"/>
              <w:spacing w:line="240" w:lineRule="auto"/>
              <w:rPr>
                <w:rFonts w:hint="eastAsia" w:hAnsi="宋体" w:eastAsia="宋体" w:cs="宋体"/>
                <w:color w:val="auto"/>
                <w:sz w:val="28"/>
                <w:szCs w:val="28"/>
                <w:highlight w:val="none"/>
                <w:lang w:eastAsia="zh-CN"/>
              </w:rPr>
            </w:pPr>
            <w:r>
              <w:rPr>
                <w:rFonts w:hint="eastAsia" w:hAnsi="宋体" w:cs="宋体"/>
                <w:color w:val="auto"/>
                <w:sz w:val="28"/>
                <w:szCs w:val="28"/>
                <w:highlight w:val="none"/>
                <w:lang w:eastAsia="zh-CN"/>
              </w:rPr>
              <w:t>韶关市武江区江湾镇人民政府</w:t>
            </w:r>
          </w:p>
        </w:tc>
      </w:tr>
      <w:tr w14:paraId="283EC587">
        <w:tblPrEx>
          <w:tblCellMar>
            <w:top w:w="0" w:type="dxa"/>
            <w:left w:w="0" w:type="dxa"/>
            <w:bottom w:w="0" w:type="dxa"/>
            <w:right w:w="0" w:type="dxa"/>
          </w:tblCellMar>
        </w:tblPrEx>
        <w:trPr>
          <w:trHeight w:val="1158" w:hRule="atLeast"/>
        </w:trPr>
        <w:tc>
          <w:tcPr>
            <w:tcW w:w="4815" w:type="dxa"/>
            <w:noWrap w:val="0"/>
            <w:vAlign w:val="center"/>
          </w:tcPr>
          <w:p w14:paraId="546E4F45">
            <w:pPr>
              <w:pStyle w:val="49"/>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招标人工作领导小组负责人（签字）：</w:t>
            </w:r>
          </w:p>
        </w:tc>
        <w:tc>
          <w:tcPr>
            <w:tcW w:w="4844" w:type="dxa"/>
            <w:noWrap w:val="0"/>
            <w:vAlign w:val="center"/>
          </w:tcPr>
          <w:p w14:paraId="7C232D38">
            <w:pPr>
              <w:pStyle w:val="49"/>
              <w:spacing w:line="240" w:lineRule="auto"/>
              <w:rPr>
                <w:rFonts w:hint="eastAsia" w:hAnsi="宋体" w:cs="宋体"/>
                <w:color w:val="auto"/>
                <w:sz w:val="28"/>
                <w:szCs w:val="28"/>
                <w:highlight w:val="none"/>
              </w:rPr>
            </w:pPr>
          </w:p>
        </w:tc>
      </w:tr>
      <w:tr w14:paraId="00F7A803">
        <w:tblPrEx>
          <w:tblCellMar>
            <w:top w:w="0" w:type="dxa"/>
            <w:left w:w="0" w:type="dxa"/>
            <w:bottom w:w="0" w:type="dxa"/>
            <w:right w:w="0" w:type="dxa"/>
          </w:tblCellMar>
        </w:tblPrEx>
        <w:trPr>
          <w:trHeight w:val="1083" w:hRule="atLeast"/>
        </w:trPr>
        <w:tc>
          <w:tcPr>
            <w:tcW w:w="4815" w:type="dxa"/>
            <w:noWrap w:val="0"/>
            <w:vAlign w:val="center"/>
          </w:tcPr>
          <w:p w14:paraId="11F17759">
            <w:pPr>
              <w:pStyle w:val="49"/>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代  理  机  构（盖 章）：</w:t>
            </w:r>
          </w:p>
        </w:tc>
        <w:tc>
          <w:tcPr>
            <w:tcW w:w="4844" w:type="dxa"/>
            <w:noWrap w:val="0"/>
            <w:vAlign w:val="center"/>
          </w:tcPr>
          <w:p w14:paraId="1D53D657">
            <w:pPr>
              <w:pStyle w:val="49"/>
              <w:spacing w:line="240" w:lineRule="auto"/>
              <w:rPr>
                <w:rFonts w:hint="eastAsia" w:hAnsi="宋体" w:eastAsia="宋体" w:cs="宋体"/>
                <w:color w:val="auto"/>
                <w:sz w:val="28"/>
                <w:szCs w:val="28"/>
                <w:highlight w:val="none"/>
                <w:lang w:eastAsia="zh-CN"/>
              </w:rPr>
            </w:pPr>
            <w:r>
              <w:rPr>
                <w:rFonts w:hint="eastAsia" w:hAnsi="宋体" w:cs="宋体"/>
                <w:color w:val="auto"/>
                <w:sz w:val="28"/>
                <w:szCs w:val="28"/>
                <w:highlight w:val="none"/>
                <w:lang w:eastAsia="zh-CN"/>
              </w:rPr>
              <w:t>海通国际设计有限公司</w:t>
            </w:r>
          </w:p>
        </w:tc>
      </w:tr>
      <w:tr w14:paraId="4DDEDF31">
        <w:tblPrEx>
          <w:tblCellMar>
            <w:top w:w="0" w:type="dxa"/>
            <w:left w:w="0" w:type="dxa"/>
            <w:bottom w:w="0" w:type="dxa"/>
            <w:right w:w="0" w:type="dxa"/>
          </w:tblCellMar>
        </w:tblPrEx>
        <w:trPr>
          <w:trHeight w:val="1192" w:hRule="atLeast"/>
        </w:trPr>
        <w:tc>
          <w:tcPr>
            <w:tcW w:w="4815" w:type="dxa"/>
            <w:noWrap w:val="0"/>
            <w:vAlign w:val="center"/>
          </w:tcPr>
          <w:p w14:paraId="11DFDA6F">
            <w:pPr>
              <w:pStyle w:val="49"/>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文  件 编 制  人 （签字）：</w:t>
            </w:r>
          </w:p>
        </w:tc>
        <w:tc>
          <w:tcPr>
            <w:tcW w:w="4844" w:type="dxa"/>
            <w:noWrap w:val="0"/>
            <w:vAlign w:val="center"/>
          </w:tcPr>
          <w:p w14:paraId="5E431CC2">
            <w:pPr>
              <w:pStyle w:val="49"/>
              <w:spacing w:line="240" w:lineRule="auto"/>
              <w:rPr>
                <w:rFonts w:hint="eastAsia" w:hAnsi="宋体" w:cs="宋体"/>
                <w:color w:val="auto"/>
                <w:sz w:val="28"/>
                <w:szCs w:val="28"/>
                <w:highlight w:val="none"/>
              </w:rPr>
            </w:pPr>
          </w:p>
        </w:tc>
      </w:tr>
      <w:tr w14:paraId="6C910399">
        <w:tblPrEx>
          <w:tblCellMar>
            <w:top w:w="0" w:type="dxa"/>
            <w:left w:w="0" w:type="dxa"/>
            <w:bottom w:w="0" w:type="dxa"/>
            <w:right w:w="0" w:type="dxa"/>
          </w:tblCellMar>
        </w:tblPrEx>
        <w:trPr>
          <w:trHeight w:val="1217" w:hRule="atLeast"/>
        </w:trPr>
        <w:tc>
          <w:tcPr>
            <w:tcW w:w="4815" w:type="dxa"/>
            <w:noWrap w:val="0"/>
            <w:vAlign w:val="center"/>
          </w:tcPr>
          <w:p w14:paraId="79310207">
            <w:pPr>
              <w:pStyle w:val="49"/>
              <w:wordWrap w:val="0"/>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招标代理机构项目负责人 （签字）：</w:t>
            </w:r>
          </w:p>
        </w:tc>
        <w:tc>
          <w:tcPr>
            <w:tcW w:w="4844" w:type="dxa"/>
            <w:noWrap w:val="0"/>
            <w:vAlign w:val="center"/>
          </w:tcPr>
          <w:p w14:paraId="70E9C3C5">
            <w:pPr>
              <w:pStyle w:val="49"/>
              <w:spacing w:line="240" w:lineRule="auto"/>
              <w:rPr>
                <w:rFonts w:hint="eastAsia" w:hAnsi="宋体" w:cs="宋体"/>
                <w:color w:val="auto"/>
                <w:sz w:val="28"/>
                <w:szCs w:val="28"/>
                <w:highlight w:val="none"/>
              </w:rPr>
            </w:pPr>
          </w:p>
        </w:tc>
      </w:tr>
      <w:tr w14:paraId="76E30F8E">
        <w:tblPrEx>
          <w:tblCellMar>
            <w:top w:w="0" w:type="dxa"/>
            <w:left w:w="0" w:type="dxa"/>
            <w:bottom w:w="0" w:type="dxa"/>
            <w:right w:w="0" w:type="dxa"/>
          </w:tblCellMar>
        </w:tblPrEx>
        <w:trPr>
          <w:trHeight w:val="950" w:hRule="atLeast"/>
        </w:trPr>
        <w:tc>
          <w:tcPr>
            <w:tcW w:w="4815" w:type="dxa"/>
            <w:noWrap w:val="0"/>
            <w:vAlign w:val="center"/>
          </w:tcPr>
          <w:p w14:paraId="64E894CD">
            <w:pPr>
              <w:pStyle w:val="49"/>
              <w:wordWrap w:val="0"/>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文  件  编  制  日  期： </w:t>
            </w:r>
          </w:p>
        </w:tc>
        <w:tc>
          <w:tcPr>
            <w:tcW w:w="4844" w:type="dxa"/>
            <w:noWrap w:val="0"/>
            <w:vAlign w:val="center"/>
          </w:tcPr>
          <w:p w14:paraId="04C4C7AC">
            <w:pPr>
              <w:pStyle w:val="49"/>
              <w:spacing w:line="240" w:lineRule="auto"/>
              <w:rPr>
                <w:rFonts w:hint="eastAsia" w:hAnsi="宋体" w:cs="宋体"/>
                <w:color w:val="auto"/>
                <w:sz w:val="28"/>
                <w:highlight w:val="none"/>
              </w:rPr>
            </w:pPr>
            <w:r>
              <w:rPr>
                <w:rFonts w:hint="eastAsia" w:hAnsi="宋体" w:cs="宋体"/>
                <w:color w:val="auto"/>
                <w:sz w:val="28"/>
                <w:highlight w:val="none"/>
              </w:rPr>
              <w:t>202</w:t>
            </w:r>
            <w:r>
              <w:rPr>
                <w:rFonts w:hint="eastAsia" w:hAnsi="宋体" w:cs="宋体"/>
                <w:color w:val="auto"/>
                <w:sz w:val="28"/>
                <w:highlight w:val="none"/>
                <w:lang w:val="en-US" w:eastAsia="zh-CN"/>
              </w:rPr>
              <w:t>6</w:t>
            </w:r>
            <w:r>
              <w:rPr>
                <w:rFonts w:hint="eastAsia" w:hAnsi="宋体" w:cs="宋体"/>
                <w:color w:val="auto"/>
                <w:sz w:val="28"/>
                <w:highlight w:val="none"/>
              </w:rPr>
              <w:t>年</w:t>
            </w:r>
            <w:r>
              <w:rPr>
                <w:rFonts w:hint="eastAsia" w:hAnsi="宋体" w:cs="宋体"/>
                <w:color w:val="auto"/>
                <w:sz w:val="28"/>
                <w:highlight w:val="none"/>
                <w:lang w:val="en-US" w:eastAsia="zh-CN"/>
              </w:rPr>
              <w:t>8</w:t>
            </w:r>
            <w:r>
              <w:rPr>
                <w:rFonts w:hint="eastAsia" w:hAnsi="宋体" w:cs="宋体"/>
                <w:color w:val="auto"/>
                <w:sz w:val="28"/>
                <w:highlight w:val="none"/>
              </w:rPr>
              <w:t>月</w:t>
            </w:r>
          </w:p>
        </w:tc>
      </w:tr>
    </w:tbl>
    <w:p w14:paraId="78748F2F">
      <w:pPr>
        <w:pStyle w:val="3"/>
        <w:rPr>
          <w:rFonts w:hint="eastAsia" w:ascii="宋体" w:hAnsi="宋体" w:eastAsia="宋体" w:cs="宋体"/>
          <w:b/>
          <w:bCs/>
          <w:color w:val="auto"/>
          <w:kern w:val="2"/>
          <w:sz w:val="56"/>
          <w:szCs w:val="72"/>
          <w:highlight w:val="none"/>
          <w:u w:val="none"/>
          <w:lang w:val="en-US" w:eastAsia="zh-CN" w:bidi="ar-SA"/>
        </w:rPr>
      </w:pPr>
    </w:p>
    <w:p w14:paraId="6E29DB7F">
      <w:pPr>
        <w:rPr>
          <w:rFonts w:hint="eastAsia" w:ascii="宋体" w:hAnsi="宋体" w:eastAsia="宋体" w:cs="宋体"/>
          <w:b/>
          <w:bCs/>
          <w:color w:val="auto"/>
          <w:kern w:val="2"/>
          <w:sz w:val="56"/>
          <w:szCs w:val="72"/>
          <w:highlight w:val="none"/>
          <w:u w:val="none"/>
          <w:lang w:val="en-US" w:eastAsia="zh-CN" w:bidi="ar-SA"/>
        </w:rPr>
      </w:pPr>
    </w:p>
    <w:p w14:paraId="7A96D5DD">
      <w:pPr>
        <w:rPr>
          <w:rFonts w:hint="eastAsia" w:ascii="宋体" w:hAnsi="宋体" w:eastAsia="宋体" w:cs="宋体"/>
          <w:b/>
          <w:bCs/>
          <w:color w:val="auto"/>
          <w:kern w:val="2"/>
          <w:sz w:val="56"/>
          <w:szCs w:val="72"/>
          <w:highlight w:val="none"/>
          <w:u w:val="none"/>
          <w:lang w:val="en-US" w:eastAsia="zh-CN" w:bidi="ar-SA"/>
        </w:rPr>
        <w:sectPr>
          <w:headerReference r:id="rId3"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242E58A3">
      <w:pPr>
        <w:rPr>
          <w:rFonts w:hint="eastAsia" w:ascii="宋体" w:hAnsi="宋体" w:eastAsia="宋体" w:cs="宋体"/>
          <w:color w:val="auto"/>
          <w:highlight w:val="none"/>
        </w:rPr>
      </w:pPr>
    </w:p>
    <w:p w14:paraId="06400B0C">
      <w:pPr>
        <w:pStyle w:val="3"/>
        <w:rPr>
          <w:rFonts w:hint="eastAsia" w:ascii="宋体" w:hAnsi="宋体" w:eastAsia="宋体" w:cs="宋体"/>
          <w:color w:val="auto"/>
          <w:highlight w:val="none"/>
        </w:rPr>
      </w:pPr>
    </w:p>
    <w:p w14:paraId="016AE2D3">
      <w:pPr>
        <w:rPr>
          <w:rFonts w:hint="eastAsia" w:ascii="宋体" w:hAnsi="宋体" w:eastAsia="宋体" w:cs="宋体"/>
          <w:color w:val="auto"/>
          <w:highlight w:val="none"/>
        </w:rPr>
      </w:pPr>
    </w:p>
    <w:p w14:paraId="58C6CBA6">
      <w:pPr>
        <w:pStyle w:val="3"/>
        <w:rPr>
          <w:rFonts w:hint="eastAsia" w:ascii="宋体" w:hAnsi="宋体" w:eastAsia="宋体" w:cs="宋体"/>
          <w:color w:val="auto"/>
          <w:highlight w:val="none"/>
        </w:rPr>
      </w:pPr>
    </w:p>
    <w:p w14:paraId="0437F369">
      <w:pPr>
        <w:rPr>
          <w:rFonts w:hint="eastAsia" w:ascii="宋体" w:hAnsi="宋体" w:eastAsia="宋体" w:cs="宋体"/>
          <w:color w:val="auto"/>
          <w:highlight w:val="none"/>
        </w:rPr>
      </w:pPr>
    </w:p>
    <w:p w14:paraId="1D144B65">
      <w:pPr>
        <w:pStyle w:val="3"/>
        <w:rPr>
          <w:rFonts w:hint="eastAsia" w:ascii="宋体" w:hAnsi="宋体" w:eastAsia="宋体" w:cs="宋体"/>
          <w:color w:val="auto"/>
          <w:highlight w:val="none"/>
        </w:rPr>
      </w:pPr>
    </w:p>
    <w:p w14:paraId="152CE3DA">
      <w:pPr>
        <w:rPr>
          <w:rFonts w:hint="eastAsia" w:ascii="宋体" w:hAnsi="宋体" w:eastAsia="宋体" w:cs="宋体"/>
          <w:color w:val="auto"/>
          <w:highlight w:val="none"/>
        </w:rPr>
      </w:pPr>
    </w:p>
    <w:p w14:paraId="1DA39165">
      <w:pPr>
        <w:pStyle w:val="3"/>
        <w:rPr>
          <w:rFonts w:hint="eastAsia" w:ascii="宋体" w:hAnsi="宋体" w:eastAsia="宋体" w:cs="宋体"/>
          <w:color w:val="auto"/>
          <w:highlight w:val="none"/>
        </w:rPr>
      </w:pPr>
    </w:p>
    <w:p w14:paraId="507EDEAD">
      <w:pPr>
        <w:rPr>
          <w:rFonts w:hint="eastAsia" w:ascii="宋体" w:hAnsi="宋体" w:eastAsia="宋体" w:cs="宋体"/>
          <w:color w:val="auto"/>
          <w:highlight w:val="none"/>
        </w:rPr>
      </w:pPr>
    </w:p>
    <w:p w14:paraId="2E9C4E86">
      <w:pPr>
        <w:pStyle w:val="3"/>
        <w:rPr>
          <w:rFonts w:hint="eastAsia" w:ascii="宋体" w:hAnsi="宋体" w:eastAsia="宋体" w:cs="宋体"/>
          <w:color w:val="auto"/>
          <w:highlight w:val="none"/>
        </w:rPr>
      </w:pPr>
    </w:p>
    <w:p w14:paraId="1E4DB4F4">
      <w:pPr>
        <w:rPr>
          <w:rFonts w:hint="eastAsia" w:ascii="宋体" w:hAnsi="宋体" w:eastAsia="宋体" w:cs="宋体"/>
          <w:color w:val="auto"/>
          <w:highlight w:val="none"/>
        </w:rPr>
      </w:pPr>
    </w:p>
    <w:p w14:paraId="460CD78C">
      <w:pPr>
        <w:pStyle w:val="3"/>
        <w:rPr>
          <w:rFonts w:hint="eastAsia" w:ascii="宋体" w:hAnsi="宋体" w:eastAsia="宋体" w:cs="宋体"/>
          <w:color w:val="auto"/>
          <w:highlight w:val="none"/>
        </w:rPr>
      </w:pPr>
    </w:p>
    <w:p w14:paraId="517E42DE">
      <w:pPr>
        <w:rPr>
          <w:rFonts w:hint="eastAsia" w:ascii="宋体" w:hAnsi="宋体" w:eastAsia="宋体" w:cs="宋体"/>
          <w:color w:val="auto"/>
          <w:highlight w:val="none"/>
        </w:rPr>
      </w:pPr>
    </w:p>
    <w:p w14:paraId="4F122E4C">
      <w:pPr>
        <w:pStyle w:val="3"/>
        <w:rPr>
          <w:rFonts w:hint="eastAsia" w:ascii="宋体" w:hAnsi="宋体" w:eastAsia="宋体" w:cs="宋体"/>
          <w:color w:val="auto"/>
          <w:highlight w:val="none"/>
        </w:rPr>
      </w:pPr>
    </w:p>
    <w:p w14:paraId="1F9EBCBB">
      <w:pPr>
        <w:rPr>
          <w:rFonts w:hint="eastAsia" w:ascii="宋体" w:hAnsi="宋体" w:eastAsia="宋体" w:cs="宋体"/>
          <w:color w:val="auto"/>
          <w:highlight w:val="none"/>
        </w:rPr>
      </w:pPr>
    </w:p>
    <w:p w14:paraId="07290AB6">
      <w:pPr>
        <w:pStyle w:val="3"/>
        <w:rPr>
          <w:rFonts w:hint="eastAsia" w:ascii="宋体" w:hAnsi="宋体" w:eastAsia="宋体" w:cs="宋体"/>
          <w:color w:val="auto"/>
          <w:highlight w:val="none"/>
        </w:rPr>
      </w:pPr>
    </w:p>
    <w:p w14:paraId="4DBFB2FB">
      <w:pPr>
        <w:rPr>
          <w:rFonts w:hint="eastAsia" w:ascii="宋体" w:hAnsi="宋体" w:eastAsia="宋体" w:cs="宋体"/>
          <w:color w:val="auto"/>
          <w:highlight w:val="none"/>
        </w:rPr>
      </w:pPr>
    </w:p>
    <w:p w14:paraId="5B7EEA2D">
      <w:pPr>
        <w:pStyle w:val="3"/>
        <w:rPr>
          <w:rFonts w:hint="eastAsia" w:ascii="宋体" w:hAnsi="宋体" w:eastAsia="宋体" w:cs="宋体"/>
          <w:color w:val="auto"/>
          <w:highlight w:val="none"/>
        </w:rPr>
      </w:pPr>
    </w:p>
    <w:p w14:paraId="555D59F5">
      <w:pPr>
        <w:rPr>
          <w:rFonts w:hint="eastAsia" w:ascii="宋体" w:hAnsi="宋体" w:eastAsia="宋体" w:cs="宋体"/>
          <w:color w:val="auto"/>
          <w:highlight w:val="none"/>
        </w:rPr>
      </w:pPr>
    </w:p>
    <w:p w14:paraId="209826F2">
      <w:pPr>
        <w:pStyle w:val="3"/>
        <w:rPr>
          <w:rFonts w:hint="eastAsia" w:ascii="宋体" w:hAnsi="宋体" w:eastAsia="宋体" w:cs="宋体"/>
          <w:color w:val="auto"/>
          <w:highlight w:val="none"/>
        </w:rPr>
      </w:pPr>
    </w:p>
    <w:p w14:paraId="6D7691F7">
      <w:pPr>
        <w:rPr>
          <w:rFonts w:hint="eastAsia" w:ascii="宋体" w:hAnsi="宋体" w:eastAsia="宋体" w:cs="宋体"/>
          <w:color w:val="auto"/>
          <w:highlight w:val="none"/>
        </w:rPr>
      </w:pPr>
    </w:p>
    <w:p w14:paraId="5C7D8132">
      <w:pPr>
        <w:pStyle w:val="3"/>
        <w:rPr>
          <w:rFonts w:hint="eastAsia" w:ascii="宋体" w:hAnsi="宋体" w:eastAsia="宋体" w:cs="宋体"/>
          <w:color w:val="auto"/>
          <w:highlight w:val="none"/>
        </w:rPr>
      </w:pPr>
    </w:p>
    <w:p w14:paraId="30AF8E81">
      <w:pPr>
        <w:rPr>
          <w:rFonts w:hint="eastAsia" w:ascii="宋体" w:hAnsi="宋体" w:eastAsia="宋体" w:cs="宋体"/>
          <w:color w:val="auto"/>
          <w:highlight w:val="none"/>
        </w:rPr>
      </w:pPr>
    </w:p>
    <w:p w14:paraId="4EF15235">
      <w:pPr>
        <w:pStyle w:val="3"/>
        <w:rPr>
          <w:rFonts w:hint="eastAsia" w:ascii="宋体" w:hAnsi="宋体" w:eastAsia="宋体" w:cs="宋体"/>
          <w:color w:val="auto"/>
          <w:highlight w:val="none"/>
        </w:rPr>
      </w:pPr>
    </w:p>
    <w:p w14:paraId="3C812420">
      <w:pPr>
        <w:rPr>
          <w:rFonts w:hint="eastAsia" w:ascii="宋体" w:hAnsi="宋体" w:eastAsia="宋体" w:cs="宋体"/>
          <w:color w:val="auto"/>
          <w:highlight w:val="none"/>
        </w:rPr>
      </w:pPr>
    </w:p>
    <w:p w14:paraId="693910ED">
      <w:pPr>
        <w:pStyle w:val="3"/>
        <w:rPr>
          <w:rFonts w:hint="eastAsia" w:ascii="宋体" w:hAnsi="宋体" w:eastAsia="宋体" w:cs="宋体"/>
          <w:color w:val="auto"/>
          <w:highlight w:val="none"/>
        </w:rPr>
      </w:pPr>
    </w:p>
    <w:p w14:paraId="5A1CCC6F">
      <w:pPr>
        <w:rPr>
          <w:rFonts w:hint="eastAsia" w:ascii="宋体" w:hAnsi="宋体" w:eastAsia="宋体" w:cs="宋体"/>
          <w:color w:val="auto"/>
          <w:highlight w:val="none"/>
        </w:rPr>
      </w:pPr>
    </w:p>
    <w:p w14:paraId="1E3A47DB">
      <w:pPr>
        <w:pStyle w:val="3"/>
        <w:rPr>
          <w:rFonts w:hint="eastAsia" w:ascii="宋体" w:hAnsi="宋体" w:eastAsia="宋体" w:cs="宋体"/>
          <w:color w:val="auto"/>
          <w:highlight w:val="none"/>
        </w:rPr>
      </w:pPr>
    </w:p>
    <w:p w14:paraId="47A31D47">
      <w:pPr>
        <w:rPr>
          <w:rFonts w:hint="eastAsia" w:ascii="宋体" w:hAnsi="宋体" w:eastAsia="宋体" w:cs="宋体"/>
          <w:color w:val="auto"/>
          <w:highlight w:val="none"/>
        </w:rPr>
      </w:pPr>
    </w:p>
    <w:p w14:paraId="5CD331B2">
      <w:pPr>
        <w:pStyle w:val="3"/>
        <w:rPr>
          <w:rFonts w:hint="eastAsia" w:ascii="宋体" w:hAnsi="宋体" w:eastAsia="宋体" w:cs="宋体"/>
          <w:color w:val="auto"/>
          <w:highlight w:val="none"/>
        </w:rPr>
      </w:pPr>
    </w:p>
    <w:p w14:paraId="4DECD5B5">
      <w:pPr>
        <w:rPr>
          <w:rFonts w:hint="eastAsia" w:ascii="宋体" w:hAnsi="宋体" w:eastAsia="宋体" w:cs="宋体"/>
          <w:color w:val="auto"/>
          <w:highlight w:val="none"/>
        </w:rPr>
      </w:pPr>
    </w:p>
    <w:p w14:paraId="272CBF4C">
      <w:pPr>
        <w:pStyle w:val="3"/>
        <w:rPr>
          <w:rFonts w:hint="eastAsia" w:ascii="宋体" w:hAnsi="宋体" w:eastAsia="宋体" w:cs="宋体"/>
          <w:color w:val="auto"/>
          <w:highlight w:val="none"/>
        </w:rPr>
      </w:pPr>
    </w:p>
    <w:p w14:paraId="5C0E220F">
      <w:pPr>
        <w:rPr>
          <w:rFonts w:hint="eastAsia" w:ascii="宋体" w:hAnsi="宋体" w:eastAsia="宋体" w:cs="宋体"/>
          <w:color w:val="auto"/>
          <w:highlight w:val="none"/>
        </w:rPr>
      </w:pPr>
    </w:p>
    <w:p w14:paraId="3BADE11E">
      <w:pPr>
        <w:pStyle w:val="3"/>
        <w:rPr>
          <w:rFonts w:hint="eastAsia" w:ascii="宋体" w:hAnsi="宋体" w:eastAsia="宋体" w:cs="宋体"/>
          <w:color w:val="auto"/>
          <w:highlight w:val="none"/>
        </w:rPr>
      </w:pPr>
    </w:p>
    <w:p w14:paraId="74910C0E">
      <w:pPr>
        <w:rPr>
          <w:rFonts w:hint="eastAsia" w:ascii="宋体" w:hAnsi="宋体" w:eastAsia="宋体" w:cs="宋体"/>
          <w:color w:val="auto"/>
          <w:highlight w:val="none"/>
        </w:rPr>
      </w:pPr>
    </w:p>
    <w:p w14:paraId="0A2173D0">
      <w:pPr>
        <w:pStyle w:val="3"/>
        <w:rPr>
          <w:rFonts w:hint="eastAsia" w:ascii="宋体" w:hAnsi="宋体" w:eastAsia="宋体" w:cs="宋体"/>
          <w:color w:val="auto"/>
          <w:highlight w:val="none"/>
        </w:rPr>
      </w:pPr>
    </w:p>
    <w:p w14:paraId="237E1CCF">
      <w:pPr>
        <w:rPr>
          <w:rFonts w:hint="eastAsia" w:ascii="宋体" w:hAnsi="宋体" w:eastAsia="宋体" w:cs="宋体"/>
          <w:color w:val="auto"/>
          <w:highlight w:val="none"/>
        </w:rPr>
      </w:pPr>
    </w:p>
    <w:p w14:paraId="08A7E6B6">
      <w:pPr>
        <w:pStyle w:val="3"/>
        <w:rPr>
          <w:rFonts w:hint="eastAsia" w:ascii="宋体" w:hAnsi="宋体" w:eastAsia="宋体" w:cs="宋体"/>
          <w:color w:val="auto"/>
          <w:highlight w:val="none"/>
        </w:rPr>
      </w:pPr>
    </w:p>
    <w:p w14:paraId="2CD96D50">
      <w:pPr>
        <w:rPr>
          <w:rFonts w:hint="eastAsia" w:ascii="宋体" w:hAnsi="宋体" w:eastAsia="宋体" w:cs="宋体"/>
          <w:color w:val="auto"/>
          <w:highlight w:val="none"/>
        </w:rPr>
      </w:pPr>
    </w:p>
    <w:p w14:paraId="55A6A3F8">
      <w:pPr>
        <w:pStyle w:val="3"/>
        <w:rPr>
          <w:rFonts w:hint="eastAsia"/>
          <w:color w:val="auto"/>
          <w:highlight w:val="none"/>
        </w:rPr>
        <w:sectPr>
          <w:headerReference r:id="rId4" w:type="default"/>
          <w:footerReference r:id="rId5"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48CEB0F6">
      <w:pPr>
        <w:rPr>
          <w:rFonts w:hint="eastAsia"/>
          <w:color w:val="auto"/>
          <w:highlight w:val="none"/>
        </w:rPr>
      </w:pPr>
    </w:p>
    <w:p w14:paraId="6EF33911">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目录</w:t>
      </w:r>
    </w:p>
    <w:p w14:paraId="3B9CCDC2">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"1-3"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_Toc30584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第一章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_Toc30584 \h </w:instrText>
      </w:r>
      <w:r>
        <w:rPr>
          <w:color w:val="auto"/>
          <w:sz w:val="24"/>
          <w:szCs w:val="24"/>
          <w:highlight w:val="none"/>
        </w:rPr>
        <w:fldChar w:fldCharType="separate"/>
      </w:r>
      <w:r>
        <w:rPr>
          <w:color w:val="auto"/>
          <w:sz w:val="24"/>
          <w:szCs w:val="24"/>
          <w:highlight w:val="none"/>
        </w:rPr>
        <w:t>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755E0D1">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_Toc1079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第一节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投标人须知前附表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_Toc1079 \h </w:instrText>
      </w:r>
      <w:r>
        <w:rPr>
          <w:color w:val="auto"/>
          <w:sz w:val="24"/>
          <w:szCs w:val="24"/>
          <w:highlight w:val="none"/>
        </w:rPr>
        <w:fldChar w:fldCharType="separate"/>
      </w:r>
      <w:r>
        <w:rPr>
          <w:color w:val="auto"/>
          <w:sz w:val="24"/>
          <w:szCs w:val="24"/>
          <w:highlight w:val="none"/>
        </w:rPr>
        <w:t>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42F6BD3">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_Toc14297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第二节 重要事项时间地点一览表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_Toc14297 \h </w:instrText>
      </w:r>
      <w:r>
        <w:rPr>
          <w:color w:val="auto"/>
          <w:sz w:val="24"/>
          <w:szCs w:val="24"/>
          <w:highlight w:val="none"/>
        </w:rPr>
        <w:fldChar w:fldCharType="separate"/>
      </w:r>
      <w:r>
        <w:rPr>
          <w:color w:val="auto"/>
          <w:sz w:val="24"/>
          <w:szCs w:val="24"/>
          <w:highlight w:val="none"/>
        </w:rPr>
        <w:t>11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E23004D">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_Toc9283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第三节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投标人须知正文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_Toc9283 \h </w:instrText>
      </w:r>
      <w:r>
        <w:rPr>
          <w:color w:val="auto"/>
          <w:sz w:val="24"/>
          <w:szCs w:val="24"/>
          <w:highlight w:val="none"/>
        </w:rPr>
        <w:fldChar w:fldCharType="separate"/>
      </w:r>
      <w:r>
        <w:rPr>
          <w:color w:val="auto"/>
          <w:sz w:val="24"/>
          <w:szCs w:val="24"/>
          <w:highlight w:val="none"/>
        </w:rPr>
        <w:t>12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9E5003B">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_Toc19017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1</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4"/>
          <w:sz w:val="24"/>
          <w:szCs w:val="24"/>
          <w:highlight w:val="none"/>
        </w:rPr>
        <w:t>．项目概况、招标范围和标段划分、投标费用等</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_Toc19017 \h </w:instrText>
      </w:r>
      <w:r>
        <w:rPr>
          <w:color w:val="auto"/>
          <w:sz w:val="24"/>
          <w:szCs w:val="24"/>
          <w:highlight w:val="none"/>
        </w:rPr>
        <w:fldChar w:fldCharType="separate"/>
      </w:r>
      <w:r>
        <w:rPr>
          <w:color w:val="auto"/>
          <w:sz w:val="24"/>
          <w:szCs w:val="24"/>
          <w:highlight w:val="none"/>
        </w:rPr>
        <w:t>12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2DFBB9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_Toc21208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2．</w:t>
      </w:r>
      <w:r>
        <w:rPr>
          <w:rFonts w:hint="eastAsia" w:ascii="宋体" w:hAnsi="宋体" w:eastAsia="宋体" w:cs="宋体"/>
          <w:bCs w:val="0"/>
          <w:color w:val="auto"/>
          <w:sz w:val="24"/>
          <w:szCs w:val="24"/>
          <w:highlight w:val="none"/>
          <w:lang w:eastAsia="zh-CN"/>
        </w:rPr>
        <w:t>投标人</w:t>
      </w:r>
      <w:r>
        <w:rPr>
          <w:rFonts w:hint="eastAsia" w:ascii="宋体" w:hAnsi="宋体" w:eastAsia="宋体" w:cs="宋体"/>
          <w:bCs w:val="0"/>
          <w:color w:val="auto"/>
          <w:sz w:val="24"/>
          <w:szCs w:val="24"/>
          <w:highlight w:val="none"/>
        </w:rPr>
        <w:t>资质要求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_Toc21208 \h </w:instrText>
      </w:r>
      <w:r>
        <w:rPr>
          <w:color w:val="auto"/>
          <w:sz w:val="24"/>
          <w:szCs w:val="24"/>
          <w:highlight w:val="none"/>
        </w:rPr>
        <w:fldChar w:fldCharType="separate"/>
      </w:r>
      <w:r>
        <w:rPr>
          <w:color w:val="auto"/>
          <w:sz w:val="24"/>
          <w:szCs w:val="24"/>
          <w:highlight w:val="none"/>
        </w:rPr>
        <w:t>12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A8C265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_Toc21490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3．招标文件的获取</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_Toc21490 \h </w:instrText>
      </w:r>
      <w:r>
        <w:rPr>
          <w:color w:val="auto"/>
          <w:sz w:val="24"/>
          <w:szCs w:val="24"/>
          <w:highlight w:val="none"/>
        </w:rPr>
        <w:fldChar w:fldCharType="separate"/>
      </w:r>
      <w:r>
        <w:rPr>
          <w:color w:val="auto"/>
          <w:sz w:val="24"/>
          <w:szCs w:val="24"/>
          <w:highlight w:val="none"/>
        </w:rPr>
        <w:t>14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AD98679">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_Toc8255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4</w:t>
      </w:r>
      <w:r>
        <w:rPr>
          <w:rFonts w:hint="eastAsia" w:ascii="宋体" w:hAnsi="宋体" w:eastAsia="宋体" w:cs="宋体"/>
          <w:bCs/>
          <w:color w:val="auto"/>
          <w:spacing w:val="-8"/>
          <w:sz w:val="24"/>
          <w:szCs w:val="24"/>
          <w:highlight w:val="none"/>
          <w:lang w:val="en-US" w:eastAsia="zh-CN"/>
        </w:rPr>
        <w:t xml:space="preserve"> </w:t>
      </w:r>
      <w:r>
        <w:rPr>
          <w:rFonts w:hint="eastAsia" w:ascii="宋体" w:hAnsi="宋体" w:eastAsia="宋体" w:cs="宋体"/>
          <w:bCs/>
          <w:color w:val="auto"/>
          <w:spacing w:val="-8"/>
          <w:sz w:val="24"/>
          <w:szCs w:val="24"/>
          <w:highlight w:val="none"/>
        </w:rPr>
        <w:t>．工期要求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_Toc8255 \h </w:instrText>
      </w:r>
      <w:r>
        <w:rPr>
          <w:color w:val="auto"/>
          <w:sz w:val="24"/>
          <w:szCs w:val="24"/>
          <w:highlight w:val="none"/>
        </w:rPr>
        <w:fldChar w:fldCharType="separate"/>
      </w:r>
      <w:r>
        <w:rPr>
          <w:color w:val="auto"/>
          <w:sz w:val="24"/>
          <w:szCs w:val="24"/>
          <w:highlight w:val="none"/>
        </w:rPr>
        <w:t>16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8D76237">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_Toc11449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5</w:t>
      </w:r>
      <w:r>
        <w:rPr>
          <w:rFonts w:hint="eastAsia" w:ascii="宋体" w:hAnsi="宋体" w:eastAsia="宋体" w:cs="宋体"/>
          <w:bCs/>
          <w:color w:val="auto"/>
          <w:spacing w:val="-5"/>
          <w:sz w:val="24"/>
          <w:szCs w:val="24"/>
          <w:highlight w:val="none"/>
          <w:lang w:val="en-US" w:eastAsia="zh-CN"/>
        </w:rPr>
        <w:t xml:space="preserve"> </w:t>
      </w:r>
      <w:r>
        <w:rPr>
          <w:rFonts w:hint="eastAsia" w:ascii="宋体" w:hAnsi="宋体" w:eastAsia="宋体" w:cs="宋体"/>
          <w:bCs/>
          <w:color w:val="auto"/>
          <w:spacing w:val="-5"/>
          <w:sz w:val="24"/>
          <w:szCs w:val="24"/>
          <w:highlight w:val="none"/>
        </w:rPr>
        <w:t>．质量标准和材料、机械要求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_Toc11449 \h </w:instrText>
      </w:r>
      <w:r>
        <w:rPr>
          <w:color w:val="auto"/>
          <w:sz w:val="24"/>
          <w:szCs w:val="24"/>
          <w:highlight w:val="none"/>
        </w:rPr>
        <w:fldChar w:fldCharType="separate"/>
      </w:r>
      <w:r>
        <w:rPr>
          <w:color w:val="auto"/>
          <w:sz w:val="24"/>
          <w:szCs w:val="24"/>
          <w:highlight w:val="none"/>
        </w:rPr>
        <w:t>16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D3ADD19">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_Toc21146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6</w:t>
      </w:r>
      <w:r>
        <w:rPr>
          <w:rFonts w:hint="eastAsia" w:ascii="宋体" w:hAnsi="宋体" w:eastAsia="宋体" w:cs="宋体"/>
          <w:bCs/>
          <w:color w:val="auto"/>
          <w:spacing w:val="-20"/>
          <w:sz w:val="24"/>
          <w:szCs w:val="24"/>
          <w:highlight w:val="none"/>
        </w:rPr>
        <w:t xml:space="preserve"> </w:t>
      </w:r>
      <w:r>
        <w:rPr>
          <w:rFonts w:hint="eastAsia" w:ascii="宋体" w:hAnsi="宋体" w:eastAsia="宋体" w:cs="宋体"/>
          <w:bCs/>
          <w:color w:val="auto"/>
          <w:spacing w:val="-6"/>
          <w:sz w:val="24"/>
          <w:szCs w:val="24"/>
          <w:highlight w:val="none"/>
        </w:rPr>
        <w:t>．施工条件及现场踏勘</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_Toc21146 \h </w:instrText>
      </w:r>
      <w:r>
        <w:rPr>
          <w:color w:val="auto"/>
          <w:sz w:val="24"/>
          <w:szCs w:val="24"/>
          <w:highlight w:val="none"/>
        </w:rPr>
        <w:fldChar w:fldCharType="separate"/>
      </w:r>
      <w:r>
        <w:rPr>
          <w:color w:val="auto"/>
          <w:sz w:val="24"/>
          <w:szCs w:val="24"/>
          <w:highlight w:val="none"/>
        </w:rPr>
        <w:t>17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1066524">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_Toc24768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7</w:t>
      </w:r>
      <w:r>
        <w:rPr>
          <w:rFonts w:hint="eastAsia" w:ascii="宋体" w:hAnsi="宋体" w:eastAsia="宋体" w:cs="宋体"/>
          <w:bCs/>
          <w:color w:val="auto"/>
          <w:spacing w:val="-28"/>
          <w:sz w:val="24"/>
          <w:szCs w:val="24"/>
          <w:highlight w:val="none"/>
        </w:rPr>
        <w:t xml:space="preserve"> </w:t>
      </w:r>
      <w:r>
        <w:rPr>
          <w:rFonts w:hint="eastAsia" w:ascii="宋体" w:hAnsi="宋体" w:eastAsia="宋体" w:cs="宋体"/>
          <w:bCs/>
          <w:color w:val="auto"/>
          <w:spacing w:val="-5"/>
          <w:sz w:val="24"/>
          <w:szCs w:val="24"/>
          <w:highlight w:val="none"/>
        </w:rPr>
        <w:t>．招标文件的提问和答疑</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_Toc24768 \h </w:instrText>
      </w:r>
      <w:r>
        <w:rPr>
          <w:color w:val="auto"/>
          <w:sz w:val="24"/>
          <w:szCs w:val="24"/>
          <w:highlight w:val="none"/>
        </w:rPr>
        <w:fldChar w:fldCharType="separate"/>
      </w:r>
      <w:r>
        <w:rPr>
          <w:color w:val="auto"/>
          <w:sz w:val="24"/>
          <w:szCs w:val="24"/>
          <w:highlight w:val="none"/>
        </w:rPr>
        <w:t>17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9F7B6A3">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_Toc20958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8</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5"/>
          <w:sz w:val="24"/>
          <w:szCs w:val="24"/>
          <w:highlight w:val="none"/>
        </w:rPr>
        <w:t>．</w:t>
      </w:r>
      <w:r>
        <w:rPr>
          <w:rFonts w:hint="eastAsia" w:ascii="宋体" w:hAnsi="宋体" w:eastAsia="宋体" w:cs="宋体"/>
          <w:bCs/>
          <w:color w:val="auto"/>
          <w:spacing w:val="-1"/>
          <w:sz w:val="24"/>
          <w:szCs w:val="24"/>
          <w:highlight w:val="none"/>
          <w:lang w:eastAsia="zh-CN"/>
        </w:rPr>
        <w:t>最高投标限价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_Toc20958 \h </w:instrText>
      </w:r>
      <w:r>
        <w:rPr>
          <w:color w:val="auto"/>
          <w:sz w:val="24"/>
          <w:szCs w:val="24"/>
          <w:highlight w:val="none"/>
        </w:rPr>
        <w:fldChar w:fldCharType="separate"/>
      </w:r>
      <w:r>
        <w:rPr>
          <w:color w:val="auto"/>
          <w:sz w:val="24"/>
          <w:szCs w:val="24"/>
          <w:highlight w:val="none"/>
        </w:rPr>
        <w:t>17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7F9B4D5">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_Toc6911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9</w:t>
      </w:r>
      <w:r>
        <w:rPr>
          <w:rFonts w:hint="eastAsia" w:ascii="宋体" w:hAnsi="宋体" w:eastAsia="宋体" w:cs="宋体"/>
          <w:bCs/>
          <w:color w:val="auto"/>
          <w:spacing w:val="-29"/>
          <w:sz w:val="24"/>
          <w:szCs w:val="24"/>
          <w:highlight w:val="none"/>
        </w:rPr>
        <w:t xml:space="preserve"> </w:t>
      </w:r>
      <w:r>
        <w:rPr>
          <w:rFonts w:hint="eastAsia" w:ascii="宋体" w:hAnsi="宋体" w:eastAsia="宋体" w:cs="宋体"/>
          <w:bCs/>
          <w:color w:val="auto"/>
          <w:spacing w:val="-8"/>
          <w:sz w:val="24"/>
          <w:szCs w:val="24"/>
          <w:highlight w:val="none"/>
        </w:rPr>
        <w:t>．投标报价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_Toc6911 \h </w:instrText>
      </w:r>
      <w:r>
        <w:rPr>
          <w:color w:val="auto"/>
          <w:sz w:val="24"/>
          <w:szCs w:val="24"/>
          <w:highlight w:val="none"/>
        </w:rPr>
        <w:fldChar w:fldCharType="separate"/>
      </w:r>
      <w:r>
        <w:rPr>
          <w:color w:val="auto"/>
          <w:sz w:val="24"/>
          <w:szCs w:val="24"/>
          <w:highlight w:val="none"/>
        </w:rPr>
        <w:t>19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573E19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_Toc23711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10</w:t>
      </w:r>
      <w:r>
        <w:rPr>
          <w:rFonts w:hint="eastAsia" w:ascii="宋体" w:hAnsi="宋体" w:eastAsia="宋体" w:cs="宋体"/>
          <w:bCs/>
          <w:color w:val="auto"/>
          <w:spacing w:val="-21"/>
          <w:sz w:val="24"/>
          <w:szCs w:val="24"/>
          <w:highlight w:val="none"/>
        </w:rPr>
        <w:t xml:space="preserve"> </w:t>
      </w:r>
      <w:r>
        <w:rPr>
          <w:rFonts w:hint="eastAsia" w:ascii="宋体" w:hAnsi="宋体" w:eastAsia="宋体" w:cs="宋体"/>
          <w:bCs/>
          <w:color w:val="auto"/>
          <w:spacing w:val="-6"/>
          <w:sz w:val="24"/>
          <w:szCs w:val="24"/>
          <w:highlight w:val="none"/>
        </w:rPr>
        <w:t>．投标文件的编制要求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_Toc23711 \h </w:instrText>
      </w:r>
      <w:r>
        <w:rPr>
          <w:color w:val="auto"/>
          <w:sz w:val="24"/>
          <w:szCs w:val="24"/>
          <w:highlight w:val="none"/>
        </w:rPr>
        <w:fldChar w:fldCharType="separate"/>
      </w:r>
      <w:r>
        <w:rPr>
          <w:color w:val="auto"/>
          <w:sz w:val="24"/>
          <w:szCs w:val="24"/>
          <w:highlight w:val="none"/>
        </w:rPr>
        <w:t>20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D48DC72">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_Toc10599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9"/>
          <w:sz w:val="24"/>
          <w:szCs w:val="24"/>
          <w:highlight w:val="none"/>
        </w:rPr>
        <w:t>11.</w:t>
      </w:r>
      <w:r>
        <w:rPr>
          <w:rFonts w:hint="eastAsia" w:ascii="宋体" w:hAnsi="宋体" w:eastAsia="宋体" w:cs="宋体"/>
          <w:bCs/>
          <w:color w:val="auto"/>
          <w:spacing w:val="20"/>
          <w:sz w:val="24"/>
          <w:szCs w:val="24"/>
          <w:highlight w:val="none"/>
        </w:rPr>
        <w:t xml:space="preserve"> </w:t>
      </w:r>
      <w:r>
        <w:rPr>
          <w:rFonts w:hint="eastAsia" w:ascii="宋体" w:hAnsi="宋体" w:eastAsia="宋体" w:cs="宋体"/>
          <w:color w:val="auto"/>
          <w:spacing w:val="-9"/>
          <w:sz w:val="24"/>
          <w:szCs w:val="24"/>
          <w:highlight w:val="none"/>
        </w:rPr>
        <w:t>电子投标：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_Toc10599 \h </w:instrText>
      </w:r>
      <w:r>
        <w:rPr>
          <w:color w:val="auto"/>
          <w:sz w:val="24"/>
          <w:szCs w:val="24"/>
          <w:highlight w:val="none"/>
        </w:rPr>
        <w:fldChar w:fldCharType="separate"/>
      </w:r>
      <w:r>
        <w:rPr>
          <w:color w:val="auto"/>
          <w:sz w:val="24"/>
          <w:szCs w:val="24"/>
          <w:highlight w:val="none"/>
        </w:rPr>
        <w:t>23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BD3E4D0">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_Toc5126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9"/>
          <w:sz w:val="24"/>
          <w:szCs w:val="24"/>
          <w:highlight w:val="none"/>
          <w:lang w:val="en-US" w:eastAsia="zh-CN"/>
        </w:rPr>
        <w:t>12.</w:t>
      </w:r>
      <w:r>
        <w:rPr>
          <w:rFonts w:hint="eastAsia" w:ascii="宋体" w:hAnsi="宋体" w:eastAsia="宋体" w:cs="宋体"/>
          <w:bCs/>
          <w:color w:val="auto"/>
          <w:spacing w:val="22"/>
          <w:w w:val="101"/>
          <w:sz w:val="24"/>
          <w:szCs w:val="24"/>
          <w:highlight w:val="none"/>
        </w:rPr>
        <w:t xml:space="preserve"> </w:t>
      </w:r>
      <w:r>
        <w:rPr>
          <w:rFonts w:hint="eastAsia" w:ascii="宋体" w:hAnsi="宋体" w:eastAsia="宋体" w:cs="宋体"/>
          <w:bCs/>
          <w:color w:val="auto"/>
          <w:spacing w:val="-4"/>
          <w:sz w:val="24"/>
          <w:szCs w:val="24"/>
          <w:highlight w:val="none"/>
        </w:rPr>
        <w:t>电子投标及投标解密失败及突发情况的补救方案</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_Toc5126 \h </w:instrText>
      </w:r>
      <w:r>
        <w:rPr>
          <w:color w:val="auto"/>
          <w:sz w:val="24"/>
          <w:szCs w:val="24"/>
          <w:highlight w:val="none"/>
        </w:rPr>
        <w:fldChar w:fldCharType="separate"/>
      </w:r>
      <w:r>
        <w:rPr>
          <w:color w:val="auto"/>
          <w:sz w:val="24"/>
          <w:szCs w:val="24"/>
          <w:highlight w:val="none"/>
        </w:rPr>
        <w:t>24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47427C0">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_Toc3957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13</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7"/>
          <w:sz w:val="24"/>
          <w:szCs w:val="24"/>
          <w:highlight w:val="none"/>
        </w:rPr>
        <w:t>．投标文件的提交</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_Toc3957 \h </w:instrText>
      </w:r>
      <w:r>
        <w:rPr>
          <w:color w:val="auto"/>
          <w:sz w:val="24"/>
          <w:szCs w:val="24"/>
          <w:highlight w:val="none"/>
        </w:rPr>
        <w:fldChar w:fldCharType="separate"/>
      </w:r>
      <w:r>
        <w:rPr>
          <w:color w:val="auto"/>
          <w:sz w:val="24"/>
          <w:szCs w:val="24"/>
          <w:highlight w:val="none"/>
        </w:rPr>
        <w:t>24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6683DD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_Toc8365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14</w:t>
      </w:r>
      <w:r>
        <w:rPr>
          <w:rFonts w:hint="eastAsia" w:ascii="宋体" w:hAnsi="宋体" w:eastAsia="宋体" w:cs="宋体"/>
          <w:bCs/>
          <w:color w:val="auto"/>
          <w:spacing w:val="-28"/>
          <w:sz w:val="24"/>
          <w:szCs w:val="24"/>
          <w:highlight w:val="none"/>
        </w:rPr>
        <w:t xml:space="preserve"> </w:t>
      </w:r>
      <w:r>
        <w:rPr>
          <w:rFonts w:hint="eastAsia" w:ascii="宋体" w:hAnsi="宋体" w:eastAsia="宋体" w:cs="宋体"/>
          <w:bCs/>
          <w:color w:val="auto"/>
          <w:spacing w:val="-11"/>
          <w:sz w:val="24"/>
          <w:szCs w:val="24"/>
          <w:highlight w:val="none"/>
        </w:rPr>
        <w:t>．开标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_Toc8365 \h </w:instrText>
      </w:r>
      <w:r>
        <w:rPr>
          <w:color w:val="auto"/>
          <w:sz w:val="24"/>
          <w:szCs w:val="24"/>
          <w:highlight w:val="none"/>
        </w:rPr>
        <w:fldChar w:fldCharType="separate"/>
      </w:r>
      <w:r>
        <w:rPr>
          <w:color w:val="auto"/>
          <w:sz w:val="24"/>
          <w:szCs w:val="24"/>
          <w:highlight w:val="none"/>
        </w:rPr>
        <w:t>25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E81D098">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_Toc554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15</w:t>
      </w:r>
      <w:r>
        <w:rPr>
          <w:rFonts w:hint="eastAsia" w:ascii="宋体" w:hAnsi="宋体" w:eastAsia="宋体" w:cs="宋体"/>
          <w:bCs/>
          <w:color w:val="auto"/>
          <w:spacing w:val="-28"/>
          <w:sz w:val="24"/>
          <w:szCs w:val="24"/>
          <w:highlight w:val="none"/>
        </w:rPr>
        <w:t xml:space="preserve"> </w:t>
      </w:r>
      <w:r>
        <w:rPr>
          <w:rFonts w:hint="eastAsia" w:ascii="宋体" w:hAnsi="宋体" w:eastAsia="宋体" w:cs="宋体"/>
          <w:bCs/>
          <w:color w:val="auto"/>
          <w:spacing w:val="-11"/>
          <w:sz w:val="24"/>
          <w:szCs w:val="24"/>
          <w:highlight w:val="none"/>
        </w:rPr>
        <w:t>．评标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_Toc554 \h </w:instrText>
      </w:r>
      <w:r>
        <w:rPr>
          <w:color w:val="auto"/>
          <w:sz w:val="24"/>
          <w:szCs w:val="24"/>
          <w:highlight w:val="none"/>
        </w:rPr>
        <w:fldChar w:fldCharType="separate"/>
      </w:r>
      <w:r>
        <w:rPr>
          <w:color w:val="auto"/>
          <w:sz w:val="24"/>
          <w:szCs w:val="24"/>
          <w:highlight w:val="none"/>
        </w:rPr>
        <w:t>26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199EAB8">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ind w:firstLine="436" w:firstLineChars="200"/>
        <w:textAlignment w:val="baseline"/>
        <w:rPr>
          <w:color w:val="auto"/>
          <w:sz w:val="24"/>
          <w:szCs w:val="24"/>
          <w:highlight w:val="none"/>
        </w:rPr>
      </w:pPr>
      <w:r>
        <w:rPr>
          <w:rFonts w:hint="eastAsia" w:ascii="宋体" w:hAnsi="宋体" w:eastAsia="宋体" w:cs="宋体"/>
          <w:bCs/>
          <w:snapToGrid w:val="0"/>
          <w:color w:val="auto"/>
          <w:spacing w:val="-11"/>
          <w:sz w:val="24"/>
          <w:szCs w:val="24"/>
          <w:highlight w:val="none"/>
          <w:lang w:val="en-US" w:eastAsia="en-US" w:bidi="ar-SA"/>
        </w:rPr>
        <w:t>16</w:t>
      </w:r>
      <w:r>
        <w:rPr>
          <w:rFonts w:hint="eastAsia" w:ascii="宋体" w:hAnsi="宋体" w:eastAsia="宋体" w:cs="宋体"/>
          <w:bCs/>
          <w:snapToGrid w:val="0"/>
          <w:color w:val="auto"/>
          <w:spacing w:val="-11"/>
          <w:sz w:val="24"/>
          <w:szCs w:val="24"/>
          <w:highlight w:val="none"/>
          <w:lang w:val="en-US" w:eastAsia="zh-CN" w:bidi="ar-SA"/>
        </w:rPr>
        <w:t>.  评标结果公示</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_Toc32569 </w:instrText>
      </w:r>
      <w:r>
        <w:rPr>
          <w:rFonts w:hint="eastAsia" w:ascii="宋体" w:hAnsi="宋体" w:eastAsia="宋体" w:cs="宋体"/>
          <w:color w:val="auto"/>
          <w:sz w:val="24"/>
          <w:szCs w:val="24"/>
          <w:highlight w:val="none"/>
        </w:rPr>
        <w:fldChar w:fldCharType="separate"/>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_Toc32569 \h </w:instrText>
      </w:r>
      <w:r>
        <w:rPr>
          <w:color w:val="auto"/>
          <w:sz w:val="24"/>
          <w:szCs w:val="24"/>
          <w:highlight w:val="none"/>
        </w:rPr>
        <w:fldChar w:fldCharType="separate"/>
      </w:r>
      <w:r>
        <w:rPr>
          <w:color w:val="auto"/>
          <w:sz w:val="24"/>
          <w:szCs w:val="24"/>
          <w:highlight w:val="none"/>
        </w:rPr>
        <w:t>38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E411346">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_Toc16554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第四节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否决投标条件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_Toc16554 \h </w:instrText>
      </w:r>
      <w:r>
        <w:rPr>
          <w:color w:val="auto"/>
          <w:sz w:val="24"/>
          <w:szCs w:val="24"/>
          <w:highlight w:val="none"/>
        </w:rPr>
        <w:fldChar w:fldCharType="separate"/>
      </w:r>
      <w:r>
        <w:rPr>
          <w:color w:val="auto"/>
          <w:sz w:val="24"/>
          <w:szCs w:val="24"/>
          <w:highlight w:val="none"/>
        </w:rPr>
        <w:t>40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C34CC32">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_Toc15082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1</w:t>
      </w:r>
      <w:r>
        <w:rPr>
          <w:rFonts w:hint="eastAsia" w:ascii="宋体" w:hAnsi="宋体" w:eastAsia="宋体" w:cs="宋体"/>
          <w:bCs/>
          <w:color w:val="auto"/>
          <w:spacing w:val="-26"/>
          <w:sz w:val="24"/>
          <w:szCs w:val="24"/>
          <w:highlight w:val="none"/>
        </w:rPr>
        <w:t xml:space="preserve"> </w:t>
      </w:r>
      <w:r>
        <w:rPr>
          <w:rFonts w:hint="eastAsia" w:ascii="宋体" w:hAnsi="宋体" w:eastAsia="宋体" w:cs="宋体"/>
          <w:bCs/>
          <w:color w:val="auto"/>
          <w:spacing w:val="-8"/>
          <w:sz w:val="24"/>
          <w:szCs w:val="24"/>
          <w:highlight w:val="none"/>
        </w:rPr>
        <w:t>．资格评审环节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_Toc15082 \h </w:instrText>
      </w:r>
      <w:r>
        <w:rPr>
          <w:color w:val="auto"/>
          <w:sz w:val="24"/>
          <w:szCs w:val="24"/>
          <w:highlight w:val="none"/>
        </w:rPr>
        <w:fldChar w:fldCharType="separate"/>
      </w:r>
      <w:r>
        <w:rPr>
          <w:color w:val="auto"/>
          <w:sz w:val="24"/>
          <w:szCs w:val="24"/>
          <w:highlight w:val="none"/>
        </w:rPr>
        <w:t>40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C8592D7">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_Toc5925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2</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7"/>
          <w:sz w:val="24"/>
          <w:szCs w:val="24"/>
          <w:highlight w:val="none"/>
        </w:rPr>
        <w:t>．形式评审环节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_Toc5925 \h </w:instrText>
      </w:r>
      <w:r>
        <w:rPr>
          <w:color w:val="auto"/>
          <w:sz w:val="24"/>
          <w:szCs w:val="24"/>
          <w:highlight w:val="none"/>
        </w:rPr>
        <w:fldChar w:fldCharType="separate"/>
      </w:r>
      <w:r>
        <w:rPr>
          <w:color w:val="auto"/>
          <w:sz w:val="24"/>
          <w:szCs w:val="24"/>
          <w:highlight w:val="none"/>
        </w:rPr>
        <w:t>41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F84F8B0">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_Toc19828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3</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6"/>
          <w:sz w:val="24"/>
          <w:szCs w:val="24"/>
          <w:highlight w:val="none"/>
        </w:rPr>
        <w:t>．响应性评审环节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_Toc19828 \h </w:instrText>
      </w:r>
      <w:r>
        <w:rPr>
          <w:color w:val="auto"/>
          <w:sz w:val="24"/>
          <w:szCs w:val="24"/>
          <w:highlight w:val="none"/>
        </w:rPr>
        <w:fldChar w:fldCharType="separate"/>
      </w:r>
      <w:r>
        <w:rPr>
          <w:color w:val="auto"/>
          <w:sz w:val="24"/>
          <w:szCs w:val="24"/>
          <w:highlight w:val="none"/>
        </w:rPr>
        <w:t>41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6972F3E">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_Toc1458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4</w:t>
      </w:r>
      <w:r>
        <w:rPr>
          <w:rFonts w:hint="eastAsia" w:ascii="宋体" w:hAnsi="宋体" w:eastAsia="宋体" w:cs="宋体"/>
          <w:bCs/>
          <w:color w:val="auto"/>
          <w:spacing w:val="-29"/>
          <w:sz w:val="24"/>
          <w:szCs w:val="24"/>
          <w:highlight w:val="none"/>
        </w:rPr>
        <w:t xml:space="preserve"> </w:t>
      </w:r>
      <w:r>
        <w:rPr>
          <w:rFonts w:hint="eastAsia" w:ascii="宋体" w:hAnsi="宋体" w:eastAsia="宋体" w:cs="宋体"/>
          <w:bCs/>
          <w:color w:val="auto"/>
          <w:spacing w:val="-11"/>
          <w:sz w:val="24"/>
          <w:szCs w:val="24"/>
          <w:highlight w:val="none"/>
        </w:rPr>
        <w:t>．其他</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_Toc1458 \h </w:instrText>
      </w:r>
      <w:r>
        <w:rPr>
          <w:color w:val="auto"/>
          <w:sz w:val="24"/>
          <w:szCs w:val="24"/>
          <w:highlight w:val="none"/>
        </w:rPr>
        <w:fldChar w:fldCharType="separate"/>
      </w:r>
      <w:r>
        <w:rPr>
          <w:color w:val="auto"/>
          <w:sz w:val="24"/>
          <w:szCs w:val="24"/>
          <w:highlight w:val="none"/>
        </w:rPr>
        <w:t>42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5354E14">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_Toc22243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w:t>
      </w:r>
      <w:r>
        <w:rPr>
          <w:rFonts w:hint="eastAsia" w:ascii="宋体" w:hAnsi="宋体" w:eastAsia="宋体" w:cs="宋体"/>
          <w:bCs/>
          <w:color w:val="auto"/>
          <w:spacing w:val="-3"/>
          <w:sz w:val="24"/>
          <w:szCs w:val="24"/>
          <w:highlight w:val="none"/>
          <w:lang w:val="en-US" w:eastAsia="zh-CN"/>
        </w:rPr>
        <w:t>五</w:t>
      </w:r>
      <w:r>
        <w:rPr>
          <w:rFonts w:hint="eastAsia" w:ascii="宋体" w:hAnsi="宋体" w:eastAsia="宋体" w:cs="宋体"/>
          <w:bCs/>
          <w:color w:val="auto"/>
          <w:spacing w:val="-3"/>
          <w:sz w:val="24"/>
          <w:szCs w:val="24"/>
          <w:highlight w:val="none"/>
        </w:rPr>
        <w:t>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定标规定及细则（本项目采用票决数量法定标）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_Toc22243 \h </w:instrText>
      </w:r>
      <w:r>
        <w:rPr>
          <w:color w:val="auto"/>
          <w:sz w:val="24"/>
          <w:szCs w:val="24"/>
          <w:highlight w:val="none"/>
        </w:rPr>
        <w:fldChar w:fldCharType="separate"/>
      </w:r>
      <w:r>
        <w:rPr>
          <w:color w:val="auto"/>
          <w:sz w:val="24"/>
          <w:szCs w:val="24"/>
          <w:highlight w:val="none"/>
        </w:rPr>
        <w:t>43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2AC5C81">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_Toc4926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w:t>
      </w:r>
      <w:r>
        <w:rPr>
          <w:rFonts w:hint="eastAsia" w:ascii="宋体" w:hAnsi="宋体" w:eastAsia="宋体" w:cs="宋体"/>
          <w:bCs/>
          <w:color w:val="auto"/>
          <w:spacing w:val="-3"/>
          <w:sz w:val="24"/>
          <w:szCs w:val="24"/>
          <w:highlight w:val="none"/>
          <w:lang w:val="en-US" w:eastAsia="zh-CN"/>
        </w:rPr>
        <w:t>六</w:t>
      </w:r>
      <w:r>
        <w:rPr>
          <w:rFonts w:hint="eastAsia" w:ascii="宋体" w:hAnsi="宋体" w:eastAsia="宋体" w:cs="宋体"/>
          <w:bCs/>
          <w:color w:val="auto"/>
          <w:spacing w:val="-3"/>
          <w:sz w:val="24"/>
          <w:szCs w:val="24"/>
          <w:highlight w:val="none"/>
        </w:rPr>
        <w:t>节 中标确认</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_Toc4926 \h </w:instrText>
      </w:r>
      <w:r>
        <w:rPr>
          <w:color w:val="auto"/>
          <w:sz w:val="24"/>
          <w:szCs w:val="24"/>
          <w:highlight w:val="none"/>
        </w:rPr>
        <w:fldChar w:fldCharType="separate"/>
      </w:r>
      <w:r>
        <w:rPr>
          <w:color w:val="auto"/>
          <w:sz w:val="24"/>
          <w:szCs w:val="24"/>
          <w:highlight w:val="none"/>
        </w:rPr>
        <w:t>46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E46E0E0">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_Toc13655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第二章</w:t>
      </w:r>
      <w:r>
        <w:rPr>
          <w:rFonts w:hint="eastAsia" w:ascii="宋体" w:hAnsi="宋体" w:eastAsia="宋体" w:cs="宋体"/>
          <w:color w:val="auto"/>
          <w:spacing w:val="32"/>
          <w:sz w:val="24"/>
          <w:szCs w:val="24"/>
          <w:highlight w:val="none"/>
        </w:rPr>
        <w:t xml:space="preserve"> </w:t>
      </w:r>
      <w:r>
        <w:rPr>
          <w:rFonts w:hint="eastAsia" w:ascii="宋体" w:hAnsi="宋体" w:eastAsia="宋体" w:cs="宋体"/>
          <w:bCs/>
          <w:color w:val="auto"/>
          <w:spacing w:val="-7"/>
          <w:sz w:val="24"/>
          <w:szCs w:val="24"/>
          <w:highlight w:val="none"/>
        </w:rPr>
        <w:t>中标人须知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_Toc13655 \h </w:instrText>
      </w:r>
      <w:r>
        <w:rPr>
          <w:color w:val="auto"/>
          <w:sz w:val="24"/>
          <w:szCs w:val="24"/>
          <w:highlight w:val="none"/>
        </w:rPr>
        <w:fldChar w:fldCharType="separate"/>
      </w:r>
      <w:r>
        <w:rPr>
          <w:color w:val="auto"/>
          <w:sz w:val="24"/>
          <w:szCs w:val="24"/>
          <w:highlight w:val="none"/>
        </w:rPr>
        <w:t>48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8B1A00D">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_Toc21697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9"/>
          <w:sz w:val="24"/>
          <w:szCs w:val="24"/>
          <w:highlight w:val="none"/>
        </w:rPr>
        <w:t>1</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9"/>
          <w:sz w:val="24"/>
          <w:szCs w:val="24"/>
          <w:highlight w:val="none"/>
        </w:rPr>
        <w:t>．中标通知书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_Toc21697 \h </w:instrText>
      </w:r>
      <w:r>
        <w:rPr>
          <w:color w:val="auto"/>
          <w:sz w:val="24"/>
          <w:szCs w:val="24"/>
          <w:highlight w:val="none"/>
        </w:rPr>
        <w:fldChar w:fldCharType="separate"/>
      </w:r>
      <w:r>
        <w:rPr>
          <w:color w:val="auto"/>
          <w:sz w:val="24"/>
          <w:szCs w:val="24"/>
          <w:highlight w:val="none"/>
        </w:rPr>
        <w:t>48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04134A8">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_Toc979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2</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7"/>
          <w:sz w:val="24"/>
          <w:szCs w:val="24"/>
          <w:highlight w:val="none"/>
        </w:rPr>
        <w:t>．中标结果公示</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_Toc979 \h </w:instrText>
      </w:r>
      <w:r>
        <w:rPr>
          <w:color w:val="auto"/>
          <w:sz w:val="24"/>
          <w:szCs w:val="24"/>
          <w:highlight w:val="none"/>
        </w:rPr>
        <w:fldChar w:fldCharType="separate"/>
      </w:r>
      <w:r>
        <w:rPr>
          <w:color w:val="auto"/>
          <w:sz w:val="24"/>
          <w:szCs w:val="24"/>
          <w:highlight w:val="none"/>
        </w:rPr>
        <w:t>48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4FE0B95">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_Toc13145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3</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8"/>
          <w:sz w:val="24"/>
          <w:szCs w:val="24"/>
          <w:highlight w:val="none"/>
        </w:rPr>
        <w:t>．履约保证</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_Toc13145 \h </w:instrText>
      </w:r>
      <w:r>
        <w:rPr>
          <w:color w:val="auto"/>
          <w:sz w:val="24"/>
          <w:szCs w:val="24"/>
          <w:highlight w:val="none"/>
        </w:rPr>
        <w:fldChar w:fldCharType="separate"/>
      </w:r>
      <w:r>
        <w:rPr>
          <w:color w:val="auto"/>
          <w:sz w:val="24"/>
          <w:szCs w:val="24"/>
          <w:highlight w:val="none"/>
        </w:rPr>
        <w:t>48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0A90044">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4</w:t>
      </w:r>
      <w:r>
        <w:rPr>
          <w:rFonts w:hint="eastAsia" w:ascii="宋体" w:hAnsi="宋体" w:eastAsia="宋体" w:cs="宋体"/>
          <w:bCs/>
          <w:color w:val="auto"/>
          <w:spacing w:val="-27"/>
          <w:sz w:val="24"/>
          <w:szCs w:val="24"/>
          <w:highlight w:val="none"/>
        </w:rPr>
        <w:t xml:space="preserve"> </w:t>
      </w:r>
      <w:r>
        <w:rPr>
          <w:rFonts w:hint="eastAsia" w:ascii="宋体" w:hAnsi="宋体" w:eastAsia="宋体" w:cs="宋体"/>
          <w:bCs/>
          <w:color w:val="auto"/>
          <w:spacing w:val="-8"/>
          <w:sz w:val="24"/>
          <w:szCs w:val="24"/>
          <w:highlight w:val="none"/>
        </w:rPr>
        <w:t>．合同订立</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_Toc133 \h </w:instrText>
      </w:r>
      <w:r>
        <w:rPr>
          <w:color w:val="auto"/>
          <w:sz w:val="24"/>
          <w:szCs w:val="24"/>
          <w:highlight w:val="none"/>
        </w:rPr>
        <w:fldChar w:fldCharType="separate"/>
      </w:r>
      <w:r>
        <w:rPr>
          <w:color w:val="auto"/>
          <w:sz w:val="24"/>
          <w:szCs w:val="24"/>
          <w:highlight w:val="none"/>
        </w:rPr>
        <w:t>49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F48F344">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_Toc4089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5</w:t>
      </w:r>
      <w:r>
        <w:rPr>
          <w:rFonts w:hint="eastAsia" w:ascii="宋体" w:hAnsi="宋体" w:eastAsia="宋体" w:cs="宋体"/>
          <w:bCs/>
          <w:color w:val="auto"/>
          <w:spacing w:val="-29"/>
          <w:sz w:val="24"/>
          <w:szCs w:val="24"/>
          <w:highlight w:val="none"/>
        </w:rPr>
        <w:t xml:space="preserve"> </w:t>
      </w:r>
      <w:r>
        <w:rPr>
          <w:rFonts w:hint="eastAsia" w:ascii="宋体" w:hAnsi="宋体" w:eastAsia="宋体" w:cs="宋体"/>
          <w:bCs/>
          <w:color w:val="auto"/>
          <w:spacing w:val="-6"/>
          <w:sz w:val="24"/>
          <w:szCs w:val="24"/>
          <w:highlight w:val="none"/>
        </w:rPr>
        <w:t>．放弃中标的处理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_Toc4089 \h </w:instrText>
      </w:r>
      <w:r>
        <w:rPr>
          <w:color w:val="auto"/>
          <w:sz w:val="24"/>
          <w:szCs w:val="24"/>
          <w:highlight w:val="none"/>
        </w:rPr>
        <w:fldChar w:fldCharType="separate"/>
      </w:r>
      <w:r>
        <w:rPr>
          <w:color w:val="auto"/>
          <w:sz w:val="24"/>
          <w:szCs w:val="24"/>
          <w:highlight w:val="none"/>
        </w:rPr>
        <w:t>50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5DBD987">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_Toc7715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第三章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拟签订合同的主要条款</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_Toc7715 \h </w:instrText>
      </w:r>
      <w:r>
        <w:rPr>
          <w:color w:val="auto"/>
          <w:sz w:val="24"/>
          <w:szCs w:val="24"/>
          <w:highlight w:val="none"/>
        </w:rPr>
        <w:fldChar w:fldCharType="separate"/>
      </w:r>
      <w:r>
        <w:rPr>
          <w:color w:val="auto"/>
          <w:sz w:val="24"/>
          <w:szCs w:val="24"/>
          <w:highlight w:val="none"/>
        </w:rPr>
        <w:t>51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BE2FC71">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_Toc6603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1</w:t>
      </w:r>
      <w:r>
        <w:rPr>
          <w:rFonts w:hint="eastAsia" w:ascii="宋体" w:hAnsi="宋体" w:eastAsia="宋体" w:cs="宋体"/>
          <w:bCs/>
          <w:color w:val="auto"/>
          <w:spacing w:val="-26"/>
          <w:sz w:val="24"/>
          <w:szCs w:val="24"/>
          <w:highlight w:val="none"/>
        </w:rPr>
        <w:t xml:space="preserve"> </w:t>
      </w:r>
      <w:r>
        <w:rPr>
          <w:rFonts w:hint="eastAsia" w:ascii="宋体" w:hAnsi="宋体" w:eastAsia="宋体" w:cs="宋体"/>
          <w:bCs/>
          <w:color w:val="auto"/>
          <w:spacing w:val="-8"/>
          <w:sz w:val="24"/>
          <w:szCs w:val="24"/>
          <w:highlight w:val="none"/>
        </w:rPr>
        <w:t>．工程承包方式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_Toc6603 \h </w:instrText>
      </w:r>
      <w:r>
        <w:rPr>
          <w:color w:val="auto"/>
          <w:sz w:val="24"/>
          <w:szCs w:val="24"/>
          <w:highlight w:val="none"/>
        </w:rPr>
        <w:fldChar w:fldCharType="separate"/>
      </w:r>
      <w:r>
        <w:rPr>
          <w:color w:val="auto"/>
          <w:sz w:val="24"/>
          <w:szCs w:val="24"/>
          <w:highlight w:val="none"/>
        </w:rPr>
        <w:t>51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CD3982B">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_Toc24910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2</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7"/>
          <w:sz w:val="24"/>
          <w:szCs w:val="24"/>
          <w:highlight w:val="none"/>
        </w:rPr>
        <w:t>．工程结算原则</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_Toc24910 \h </w:instrText>
      </w:r>
      <w:r>
        <w:rPr>
          <w:color w:val="auto"/>
          <w:sz w:val="24"/>
          <w:szCs w:val="24"/>
          <w:highlight w:val="none"/>
        </w:rPr>
        <w:fldChar w:fldCharType="separate"/>
      </w:r>
      <w:r>
        <w:rPr>
          <w:color w:val="auto"/>
          <w:sz w:val="24"/>
          <w:szCs w:val="24"/>
          <w:highlight w:val="none"/>
        </w:rPr>
        <w:t>51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BAFD596">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_Toc5247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3. 工程付款办法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_Toc5247 \h </w:instrText>
      </w:r>
      <w:r>
        <w:rPr>
          <w:color w:val="auto"/>
          <w:sz w:val="24"/>
          <w:szCs w:val="24"/>
          <w:highlight w:val="none"/>
        </w:rPr>
        <w:fldChar w:fldCharType="separate"/>
      </w:r>
      <w:r>
        <w:rPr>
          <w:color w:val="auto"/>
          <w:sz w:val="24"/>
          <w:szCs w:val="24"/>
          <w:highlight w:val="none"/>
        </w:rPr>
        <w:t>57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E1CFE8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_Toc29229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4</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7"/>
          <w:sz w:val="24"/>
          <w:szCs w:val="24"/>
          <w:highlight w:val="none"/>
        </w:rPr>
        <w:t>．其他专用合同条款</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_Toc29229 \h </w:instrText>
      </w:r>
      <w:r>
        <w:rPr>
          <w:color w:val="auto"/>
          <w:sz w:val="24"/>
          <w:szCs w:val="24"/>
          <w:highlight w:val="none"/>
        </w:rPr>
        <w:fldChar w:fldCharType="separate"/>
      </w:r>
      <w:r>
        <w:rPr>
          <w:color w:val="auto"/>
          <w:sz w:val="24"/>
          <w:szCs w:val="24"/>
          <w:highlight w:val="none"/>
        </w:rPr>
        <w:t>58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13FEDCD">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_Toc30225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第四章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技术要求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_Toc30225 \h </w:instrText>
      </w:r>
      <w:r>
        <w:rPr>
          <w:color w:val="auto"/>
          <w:sz w:val="24"/>
          <w:szCs w:val="24"/>
          <w:highlight w:val="none"/>
        </w:rPr>
        <w:fldChar w:fldCharType="separate"/>
      </w:r>
      <w:r>
        <w:rPr>
          <w:color w:val="auto"/>
          <w:sz w:val="24"/>
          <w:szCs w:val="24"/>
          <w:highlight w:val="none"/>
        </w:rPr>
        <w:t>67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E6C3CE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_Toc19340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1</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6"/>
          <w:sz w:val="24"/>
          <w:szCs w:val="24"/>
          <w:highlight w:val="none"/>
        </w:rPr>
        <w:t>．</w:t>
      </w:r>
      <w:r>
        <w:rPr>
          <w:rFonts w:hint="eastAsia" w:ascii="宋体" w:hAnsi="宋体" w:eastAsia="宋体" w:cs="宋体"/>
          <w:bCs/>
          <w:color w:val="auto"/>
          <w:spacing w:val="-1"/>
          <w:sz w:val="24"/>
          <w:szCs w:val="24"/>
          <w:highlight w:val="none"/>
        </w:rPr>
        <w:t>房屋建筑工程建设项目</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_Toc19340 \h </w:instrText>
      </w:r>
      <w:r>
        <w:rPr>
          <w:color w:val="auto"/>
          <w:sz w:val="24"/>
          <w:szCs w:val="24"/>
          <w:highlight w:val="none"/>
        </w:rPr>
        <w:fldChar w:fldCharType="separate"/>
      </w:r>
      <w:r>
        <w:rPr>
          <w:color w:val="auto"/>
          <w:sz w:val="24"/>
          <w:szCs w:val="24"/>
          <w:highlight w:val="none"/>
        </w:rPr>
        <w:t>67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37607A4">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_Toc16340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2</w:t>
      </w:r>
      <w:r>
        <w:rPr>
          <w:rFonts w:hint="eastAsia" w:ascii="宋体" w:hAnsi="宋体" w:eastAsia="宋体" w:cs="宋体"/>
          <w:bCs/>
          <w:color w:val="auto"/>
          <w:spacing w:val="-18"/>
          <w:sz w:val="24"/>
          <w:szCs w:val="24"/>
          <w:highlight w:val="none"/>
        </w:rPr>
        <w:t xml:space="preserve"> </w:t>
      </w:r>
      <w:r>
        <w:rPr>
          <w:rFonts w:hint="eastAsia" w:ascii="宋体" w:hAnsi="宋体" w:eastAsia="宋体" w:cs="宋体"/>
          <w:bCs/>
          <w:color w:val="auto"/>
          <w:spacing w:val="-5"/>
          <w:sz w:val="24"/>
          <w:szCs w:val="24"/>
          <w:highlight w:val="none"/>
        </w:rPr>
        <w:t>．市政基础设施工程建设项目</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_Toc16340 \h </w:instrText>
      </w:r>
      <w:r>
        <w:rPr>
          <w:color w:val="auto"/>
          <w:sz w:val="24"/>
          <w:szCs w:val="24"/>
          <w:highlight w:val="none"/>
        </w:rPr>
        <w:fldChar w:fldCharType="separate"/>
      </w:r>
      <w:r>
        <w:rPr>
          <w:color w:val="auto"/>
          <w:sz w:val="24"/>
          <w:szCs w:val="24"/>
          <w:highlight w:val="none"/>
        </w:rPr>
        <w:t>67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8A29D98">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_Toc31813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3</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8"/>
          <w:sz w:val="24"/>
          <w:szCs w:val="24"/>
          <w:highlight w:val="none"/>
        </w:rPr>
        <w:t>．备查要求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_Toc31813 \h </w:instrText>
      </w:r>
      <w:r>
        <w:rPr>
          <w:color w:val="auto"/>
          <w:sz w:val="24"/>
          <w:szCs w:val="24"/>
          <w:highlight w:val="none"/>
        </w:rPr>
        <w:fldChar w:fldCharType="separate"/>
      </w:r>
      <w:r>
        <w:rPr>
          <w:color w:val="auto"/>
          <w:sz w:val="24"/>
          <w:szCs w:val="24"/>
          <w:highlight w:val="none"/>
        </w:rPr>
        <w:t>68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5F70DBB">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_Toc21699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第五章</w:t>
      </w:r>
      <w:r>
        <w:rPr>
          <w:rFonts w:hint="eastAsia" w:ascii="宋体" w:hAnsi="宋体" w:eastAsia="宋体" w:cs="宋体"/>
          <w:color w:val="auto"/>
          <w:spacing w:val="33"/>
          <w:sz w:val="24"/>
          <w:szCs w:val="24"/>
          <w:highlight w:val="none"/>
        </w:rPr>
        <w:t xml:space="preserve"> </w:t>
      </w:r>
      <w:r>
        <w:rPr>
          <w:rFonts w:hint="eastAsia" w:ascii="宋体" w:hAnsi="宋体" w:eastAsia="宋体" w:cs="宋体"/>
          <w:bCs/>
          <w:color w:val="auto"/>
          <w:spacing w:val="-5"/>
          <w:sz w:val="24"/>
          <w:szCs w:val="24"/>
          <w:highlight w:val="none"/>
        </w:rPr>
        <w:t>图纸和招标工程量清单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_Toc21699 \h </w:instrText>
      </w:r>
      <w:r>
        <w:rPr>
          <w:color w:val="auto"/>
          <w:sz w:val="24"/>
          <w:szCs w:val="24"/>
          <w:highlight w:val="none"/>
        </w:rPr>
        <w:fldChar w:fldCharType="separate"/>
      </w:r>
      <w:r>
        <w:rPr>
          <w:color w:val="auto"/>
          <w:sz w:val="24"/>
          <w:szCs w:val="24"/>
          <w:highlight w:val="none"/>
        </w:rPr>
        <w:t>69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DD6788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_Toc21706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4"/>
          <w:sz w:val="24"/>
          <w:szCs w:val="24"/>
          <w:highlight w:val="none"/>
        </w:rPr>
        <w:t>1</w:t>
      </w:r>
      <w:r>
        <w:rPr>
          <w:rFonts w:hint="eastAsia" w:ascii="宋体" w:hAnsi="宋体" w:eastAsia="宋体" w:cs="宋体"/>
          <w:bCs/>
          <w:color w:val="auto"/>
          <w:spacing w:val="-27"/>
          <w:sz w:val="24"/>
          <w:szCs w:val="24"/>
          <w:highlight w:val="none"/>
        </w:rPr>
        <w:t xml:space="preserve"> </w:t>
      </w:r>
      <w:r>
        <w:rPr>
          <w:rFonts w:hint="eastAsia" w:ascii="宋体" w:hAnsi="宋体" w:eastAsia="宋体" w:cs="宋体"/>
          <w:bCs/>
          <w:color w:val="auto"/>
          <w:spacing w:val="-14"/>
          <w:sz w:val="24"/>
          <w:szCs w:val="24"/>
          <w:highlight w:val="none"/>
        </w:rPr>
        <w:t>．图纸</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_Toc21706 \h </w:instrText>
      </w:r>
      <w:r>
        <w:rPr>
          <w:color w:val="auto"/>
          <w:sz w:val="24"/>
          <w:szCs w:val="24"/>
          <w:highlight w:val="none"/>
        </w:rPr>
        <w:fldChar w:fldCharType="separate"/>
      </w:r>
      <w:r>
        <w:rPr>
          <w:color w:val="auto"/>
          <w:sz w:val="24"/>
          <w:szCs w:val="24"/>
          <w:highlight w:val="none"/>
        </w:rPr>
        <w:t>69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3CF21CB">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_Toc24419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2</w:t>
      </w:r>
      <w:r>
        <w:rPr>
          <w:rFonts w:hint="eastAsia" w:ascii="宋体" w:hAnsi="宋体" w:eastAsia="宋体" w:cs="宋体"/>
          <w:bCs/>
          <w:color w:val="auto"/>
          <w:spacing w:val="-26"/>
          <w:sz w:val="24"/>
          <w:szCs w:val="24"/>
          <w:highlight w:val="none"/>
        </w:rPr>
        <w:t xml:space="preserve"> </w:t>
      </w:r>
      <w:r>
        <w:rPr>
          <w:rFonts w:hint="eastAsia" w:ascii="宋体" w:hAnsi="宋体" w:eastAsia="宋体" w:cs="宋体"/>
          <w:bCs/>
          <w:color w:val="auto"/>
          <w:spacing w:val="-6"/>
          <w:sz w:val="24"/>
          <w:szCs w:val="24"/>
          <w:highlight w:val="none"/>
        </w:rPr>
        <w:t>．招标工程量清单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_Toc24419 \h </w:instrText>
      </w:r>
      <w:r>
        <w:rPr>
          <w:color w:val="auto"/>
          <w:sz w:val="24"/>
          <w:szCs w:val="24"/>
          <w:highlight w:val="none"/>
        </w:rPr>
        <w:fldChar w:fldCharType="separate"/>
      </w:r>
      <w:r>
        <w:rPr>
          <w:color w:val="auto"/>
          <w:sz w:val="24"/>
          <w:szCs w:val="24"/>
          <w:highlight w:val="none"/>
        </w:rPr>
        <w:t>69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4E0BD2F">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_Toc27130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第六章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_Toc27130 \h </w:instrText>
      </w:r>
      <w:r>
        <w:rPr>
          <w:color w:val="auto"/>
          <w:sz w:val="24"/>
          <w:szCs w:val="24"/>
          <w:highlight w:val="none"/>
        </w:rPr>
        <w:fldChar w:fldCharType="separate"/>
      </w:r>
      <w:r>
        <w:rPr>
          <w:color w:val="auto"/>
          <w:sz w:val="24"/>
          <w:szCs w:val="24"/>
          <w:highlight w:val="none"/>
        </w:rPr>
        <w:t>71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6025A8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_Toc11203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格式一</w:t>
      </w:r>
      <w:r>
        <w:rPr>
          <w:rFonts w:hint="eastAsia" w:ascii="宋体" w:hAnsi="宋体" w:eastAsia="宋体" w:cs="宋体"/>
          <w:color w:val="auto"/>
          <w:spacing w:val="-4"/>
          <w:sz w:val="24"/>
          <w:szCs w:val="24"/>
          <w:highlight w:val="none"/>
        </w:rPr>
        <w:t xml:space="preserve"> </w:t>
      </w:r>
      <w:r>
        <w:rPr>
          <w:rFonts w:hint="eastAsia" w:ascii="宋体" w:hAnsi="宋体" w:eastAsia="宋体" w:cs="宋体"/>
          <w:bCs/>
          <w:color w:val="auto"/>
          <w:spacing w:val="-4"/>
          <w:sz w:val="24"/>
          <w:szCs w:val="24"/>
          <w:highlight w:val="none"/>
        </w:rPr>
        <w:t>封面</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_Toc11203 \h </w:instrText>
      </w:r>
      <w:r>
        <w:rPr>
          <w:color w:val="auto"/>
          <w:sz w:val="24"/>
          <w:szCs w:val="24"/>
          <w:highlight w:val="none"/>
        </w:rPr>
        <w:fldChar w:fldCharType="separate"/>
      </w:r>
      <w:r>
        <w:rPr>
          <w:color w:val="auto"/>
          <w:sz w:val="24"/>
          <w:szCs w:val="24"/>
          <w:highlight w:val="none"/>
        </w:rPr>
        <w:t>71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39B5A9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_Toc24492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格式二 投标函</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_Toc24492 \h </w:instrText>
      </w:r>
      <w:r>
        <w:rPr>
          <w:color w:val="auto"/>
          <w:sz w:val="24"/>
          <w:szCs w:val="24"/>
          <w:highlight w:val="none"/>
        </w:rPr>
        <w:fldChar w:fldCharType="separate"/>
      </w:r>
      <w:r>
        <w:rPr>
          <w:color w:val="auto"/>
          <w:sz w:val="24"/>
          <w:szCs w:val="24"/>
          <w:highlight w:val="none"/>
        </w:rPr>
        <w:t>72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CADD78B">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_Toc15958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格式三 各项承诺一览表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_Toc15958 \h </w:instrText>
      </w:r>
      <w:r>
        <w:rPr>
          <w:color w:val="auto"/>
          <w:sz w:val="24"/>
          <w:szCs w:val="24"/>
          <w:highlight w:val="none"/>
        </w:rPr>
        <w:fldChar w:fldCharType="separate"/>
      </w:r>
      <w:r>
        <w:rPr>
          <w:color w:val="auto"/>
          <w:sz w:val="24"/>
          <w:szCs w:val="24"/>
          <w:highlight w:val="none"/>
        </w:rPr>
        <w:t>73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558C449">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_Toc16537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格式四 授权委托书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_Toc16537 \h </w:instrText>
      </w:r>
      <w:r>
        <w:rPr>
          <w:color w:val="auto"/>
          <w:sz w:val="24"/>
          <w:szCs w:val="24"/>
          <w:highlight w:val="none"/>
        </w:rPr>
        <w:fldChar w:fldCharType="separate"/>
      </w:r>
      <w:r>
        <w:rPr>
          <w:color w:val="auto"/>
          <w:sz w:val="24"/>
          <w:szCs w:val="24"/>
          <w:highlight w:val="none"/>
        </w:rPr>
        <w:t>75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CFB5262">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_Toc30394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格式五 法定代表人身份证明</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_Toc30394 \h </w:instrText>
      </w:r>
      <w:r>
        <w:rPr>
          <w:color w:val="auto"/>
          <w:sz w:val="24"/>
          <w:szCs w:val="24"/>
          <w:highlight w:val="none"/>
        </w:rPr>
        <w:fldChar w:fldCharType="separate"/>
      </w:r>
      <w:r>
        <w:rPr>
          <w:color w:val="auto"/>
          <w:sz w:val="24"/>
          <w:szCs w:val="24"/>
          <w:highlight w:val="none"/>
        </w:rPr>
        <w:t>76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1353593">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_Toc5771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格式六 联合体协议书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_Toc5771 \h </w:instrText>
      </w:r>
      <w:r>
        <w:rPr>
          <w:color w:val="auto"/>
          <w:sz w:val="24"/>
          <w:szCs w:val="24"/>
          <w:highlight w:val="none"/>
        </w:rPr>
        <w:fldChar w:fldCharType="separate"/>
      </w:r>
      <w:r>
        <w:rPr>
          <w:color w:val="auto"/>
          <w:sz w:val="24"/>
          <w:szCs w:val="24"/>
          <w:highlight w:val="none"/>
        </w:rPr>
        <w:t>77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4236CB1">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_Toc17838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格式七 投标人基本情况表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_Toc17838 \h </w:instrText>
      </w:r>
      <w:r>
        <w:rPr>
          <w:color w:val="auto"/>
          <w:sz w:val="24"/>
          <w:szCs w:val="24"/>
          <w:highlight w:val="none"/>
        </w:rPr>
        <w:fldChar w:fldCharType="separate"/>
      </w:r>
      <w:r>
        <w:rPr>
          <w:color w:val="auto"/>
          <w:sz w:val="24"/>
          <w:szCs w:val="24"/>
          <w:highlight w:val="none"/>
        </w:rPr>
        <w:t>78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C1E61C5">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_Toc19699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格式八 项目经理简历表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_Toc19699 \h </w:instrText>
      </w:r>
      <w:r>
        <w:rPr>
          <w:color w:val="auto"/>
          <w:sz w:val="24"/>
          <w:szCs w:val="24"/>
          <w:highlight w:val="none"/>
        </w:rPr>
        <w:fldChar w:fldCharType="separate"/>
      </w:r>
      <w:r>
        <w:rPr>
          <w:color w:val="auto"/>
          <w:sz w:val="24"/>
          <w:szCs w:val="24"/>
          <w:highlight w:val="none"/>
        </w:rPr>
        <w:t>79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F78039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_Toc30661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格式九 项目经理任职声明</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_Toc30661 \h </w:instrText>
      </w:r>
      <w:r>
        <w:rPr>
          <w:color w:val="auto"/>
          <w:sz w:val="24"/>
          <w:szCs w:val="24"/>
          <w:highlight w:val="none"/>
        </w:rPr>
        <w:fldChar w:fldCharType="separate"/>
      </w:r>
      <w:r>
        <w:rPr>
          <w:color w:val="auto"/>
          <w:sz w:val="24"/>
          <w:szCs w:val="24"/>
          <w:highlight w:val="none"/>
        </w:rPr>
        <w:t>80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2DBA081">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_Toc31071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 项目技术负责人简历表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_Toc31071 \h </w:instrText>
      </w:r>
      <w:r>
        <w:rPr>
          <w:color w:val="auto"/>
          <w:sz w:val="24"/>
          <w:szCs w:val="24"/>
          <w:highlight w:val="none"/>
        </w:rPr>
        <w:fldChar w:fldCharType="separate"/>
      </w:r>
      <w:r>
        <w:rPr>
          <w:color w:val="auto"/>
          <w:sz w:val="24"/>
          <w:szCs w:val="24"/>
          <w:highlight w:val="none"/>
        </w:rPr>
        <w:t>81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EECC155">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_Toc25235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格式十一 项目管理机构组成表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_Toc25235 \h </w:instrText>
      </w:r>
      <w:r>
        <w:rPr>
          <w:color w:val="auto"/>
          <w:sz w:val="24"/>
          <w:szCs w:val="24"/>
          <w:highlight w:val="none"/>
        </w:rPr>
        <w:fldChar w:fldCharType="separate"/>
      </w:r>
      <w:r>
        <w:rPr>
          <w:color w:val="auto"/>
          <w:sz w:val="24"/>
          <w:szCs w:val="24"/>
          <w:highlight w:val="none"/>
        </w:rPr>
        <w:t>82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2F8F691">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_Toc16480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格式十二 建造师查询页（有效期+建造师签字）</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_Toc16480 \h </w:instrText>
      </w:r>
      <w:r>
        <w:rPr>
          <w:color w:val="auto"/>
          <w:sz w:val="24"/>
          <w:szCs w:val="24"/>
          <w:highlight w:val="none"/>
        </w:rPr>
        <w:fldChar w:fldCharType="separate"/>
      </w:r>
      <w:r>
        <w:rPr>
          <w:color w:val="auto"/>
          <w:sz w:val="24"/>
          <w:szCs w:val="24"/>
          <w:highlight w:val="none"/>
        </w:rPr>
        <w:t>83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777ED22">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_Toc28779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格式十三：</w:t>
      </w:r>
      <w:r>
        <w:rPr>
          <w:rFonts w:hint="eastAsia" w:ascii="宋体" w:hAnsi="宋体" w:eastAsia="宋体" w:cs="宋体"/>
          <w:bCs/>
          <w:color w:val="auto"/>
          <w:spacing w:val="7"/>
          <w:sz w:val="24"/>
          <w:szCs w:val="24"/>
          <w:highlight w:val="none"/>
        </w:rPr>
        <w:t>危险性较大的分部分项工程清单及超过一定规模的危险性较大的</w:t>
      </w:r>
      <w:r>
        <w:rPr>
          <w:rFonts w:hint="eastAsia" w:ascii="宋体" w:hAnsi="宋体" w:eastAsia="宋体" w:cs="宋体"/>
          <w:bCs/>
          <w:color w:val="auto"/>
          <w:spacing w:val="5"/>
          <w:sz w:val="24"/>
          <w:szCs w:val="24"/>
          <w:highlight w:val="none"/>
        </w:rPr>
        <w:t>分部分项工程清单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_Toc28779 \h </w:instrText>
      </w:r>
      <w:r>
        <w:rPr>
          <w:color w:val="auto"/>
          <w:sz w:val="24"/>
          <w:szCs w:val="24"/>
          <w:highlight w:val="none"/>
        </w:rPr>
        <w:fldChar w:fldCharType="separate"/>
      </w:r>
      <w:r>
        <w:rPr>
          <w:color w:val="auto"/>
          <w:sz w:val="24"/>
          <w:szCs w:val="24"/>
          <w:highlight w:val="none"/>
        </w:rPr>
        <w:t>85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F2B0A9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格式十四</w:t>
      </w:r>
      <w:r>
        <w:rPr>
          <w:rFonts w:hint="eastAsia" w:ascii="宋体" w:hAnsi="宋体" w:eastAsia="宋体" w:cs="宋体"/>
          <w:bCs/>
          <w:color w:val="auto"/>
          <w:spacing w:val="-4"/>
          <w:sz w:val="24"/>
          <w:szCs w:val="24"/>
          <w:highlight w:val="none"/>
          <w:lang w:val="en-US" w:eastAsia="zh-CN"/>
        </w:rPr>
        <w:t xml:space="preserve">  </w:t>
      </w:r>
      <w:r>
        <w:rPr>
          <w:rFonts w:hint="eastAsia" w:ascii="宋体" w:hAnsi="宋体" w:eastAsia="宋体" w:cs="宋体"/>
          <w:bCs/>
          <w:color w:val="auto"/>
          <w:spacing w:val="4"/>
          <w:position w:val="3"/>
          <w:sz w:val="24"/>
          <w:szCs w:val="24"/>
          <w:highlight w:val="none"/>
        </w:rPr>
        <w:t>投标保证金信用承诺函</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_Toc738 \h </w:instrText>
      </w:r>
      <w:r>
        <w:rPr>
          <w:color w:val="auto"/>
          <w:sz w:val="24"/>
          <w:szCs w:val="24"/>
          <w:highlight w:val="none"/>
        </w:rPr>
        <w:fldChar w:fldCharType="separate"/>
      </w:r>
      <w:r>
        <w:rPr>
          <w:color w:val="auto"/>
          <w:sz w:val="24"/>
          <w:szCs w:val="24"/>
          <w:highlight w:val="none"/>
        </w:rPr>
        <w:t>90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23AC7AB">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_Toc9960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w:t>
      </w:r>
      <w:r>
        <w:rPr>
          <w:rFonts w:hint="eastAsia" w:ascii="宋体" w:hAnsi="宋体" w:eastAsia="宋体" w:cs="宋体"/>
          <w:bCs/>
          <w:color w:val="auto"/>
          <w:spacing w:val="-4"/>
          <w:sz w:val="24"/>
          <w:szCs w:val="24"/>
          <w:highlight w:val="none"/>
          <w:lang w:eastAsia="zh-CN"/>
        </w:rPr>
        <w:t>五</w:t>
      </w:r>
      <w:r>
        <w:rPr>
          <w:rFonts w:hint="eastAsia" w:ascii="宋体" w:hAnsi="宋体" w:eastAsia="宋体" w:cs="宋体"/>
          <w:bCs/>
          <w:color w:val="auto"/>
          <w:spacing w:val="-4"/>
          <w:sz w:val="24"/>
          <w:szCs w:val="24"/>
          <w:highlight w:val="none"/>
        </w:rPr>
        <w:t xml:space="preserve">  原件一览表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_Toc9960 \h </w:instrText>
      </w:r>
      <w:r>
        <w:rPr>
          <w:color w:val="auto"/>
          <w:sz w:val="24"/>
          <w:szCs w:val="24"/>
          <w:highlight w:val="none"/>
        </w:rPr>
        <w:fldChar w:fldCharType="separate"/>
      </w:r>
      <w:r>
        <w:rPr>
          <w:color w:val="auto"/>
          <w:sz w:val="24"/>
          <w:szCs w:val="24"/>
          <w:highlight w:val="none"/>
        </w:rPr>
        <w:t>91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76A7CC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bCs/>
          <w:color w:val="auto"/>
          <w:spacing w:val="-4"/>
          <w:sz w:val="24"/>
          <w:szCs w:val="24"/>
          <w:highlight w:val="none"/>
        </w:rPr>
      </w:pPr>
      <w:r>
        <w:rPr>
          <w:rFonts w:hint="eastAsia" w:ascii="宋体" w:hAnsi="宋体" w:eastAsia="宋体" w:cs="宋体"/>
          <w:bCs/>
          <w:color w:val="auto"/>
          <w:spacing w:val="-4"/>
          <w:sz w:val="24"/>
          <w:szCs w:val="24"/>
          <w:highlight w:val="none"/>
        </w:rPr>
        <w:fldChar w:fldCharType="begin"/>
      </w:r>
      <w:r>
        <w:rPr>
          <w:rFonts w:hint="eastAsia" w:ascii="宋体" w:hAnsi="宋体" w:eastAsia="宋体" w:cs="宋体"/>
          <w:bCs/>
          <w:color w:val="auto"/>
          <w:spacing w:val="-4"/>
          <w:sz w:val="24"/>
          <w:szCs w:val="24"/>
          <w:highlight w:val="none"/>
        </w:rPr>
        <w:instrText xml:space="preserve"> HYPERLINK \l _Toc7940 </w:instrText>
      </w:r>
      <w:r>
        <w:rPr>
          <w:rFonts w:hint="eastAsia"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lang w:val="en-US" w:eastAsia="zh-CN"/>
        </w:rPr>
        <w:t>格式十六 助力项目承诺书</w:t>
      </w:r>
      <w:r>
        <w:rPr>
          <w:rFonts w:hint="eastAsia" w:ascii="宋体" w:hAnsi="宋体" w:eastAsia="宋体" w:cs="宋体"/>
          <w:bCs/>
          <w:color w:val="auto"/>
          <w:spacing w:val="-4"/>
          <w:sz w:val="24"/>
          <w:szCs w:val="24"/>
          <w:highlight w:val="none"/>
        </w:rPr>
        <w:tab/>
      </w:r>
      <w:r>
        <w:rPr>
          <w:rFonts w:hint="eastAsia" w:ascii="宋体" w:hAnsi="宋体" w:eastAsia="宋体" w:cs="宋体"/>
          <w:bCs/>
          <w:color w:val="auto"/>
          <w:spacing w:val="-4"/>
          <w:sz w:val="24"/>
          <w:szCs w:val="24"/>
          <w:highlight w:val="none"/>
        </w:rPr>
        <w:fldChar w:fldCharType="begin"/>
      </w:r>
      <w:r>
        <w:rPr>
          <w:rFonts w:hint="eastAsia" w:ascii="宋体" w:hAnsi="宋体" w:eastAsia="宋体" w:cs="宋体"/>
          <w:bCs/>
          <w:color w:val="auto"/>
          <w:spacing w:val="-4"/>
          <w:sz w:val="24"/>
          <w:szCs w:val="24"/>
          <w:highlight w:val="none"/>
        </w:rPr>
        <w:instrText xml:space="preserve"> PAGEREF _Toc7940 \h </w:instrText>
      </w:r>
      <w:r>
        <w:rPr>
          <w:rFonts w:hint="eastAsia"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rPr>
        <w:t>92</w:t>
      </w:r>
      <w:r>
        <w:rPr>
          <w:rFonts w:hint="eastAsia" w:ascii="宋体" w:hAnsi="宋体" w:eastAsia="宋体" w:cs="宋体"/>
          <w:bCs/>
          <w:color w:val="auto"/>
          <w:spacing w:val="-4"/>
          <w:sz w:val="24"/>
          <w:szCs w:val="24"/>
          <w:highlight w:val="none"/>
        </w:rPr>
        <w:fldChar w:fldCharType="end"/>
      </w:r>
      <w:r>
        <w:rPr>
          <w:rFonts w:hint="eastAsia" w:ascii="宋体" w:hAnsi="宋体" w:eastAsia="宋体" w:cs="宋体"/>
          <w:bCs/>
          <w:color w:val="auto"/>
          <w:spacing w:val="-4"/>
          <w:sz w:val="24"/>
          <w:szCs w:val="24"/>
          <w:highlight w:val="none"/>
        </w:rPr>
        <w:fldChar w:fldCharType="end"/>
      </w:r>
    </w:p>
    <w:p w14:paraId="336785D8">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bCs/>
          <w:color w:val="auto"/>
          <w:spacing w:val="-4"/>
          <w:sz w:val="24"/>
          <w:szCs w:val="24"/>
          <w:highlight w:val="none"/>
        </w:rPr>
        <w:fldChar w:fldCharType="begin"/>
      </w:r>
      <w:r>
        <w:rPr>
          <w:rFonts w:hint="eastAsia" w:ascii="宋体" w:hAnsi="宋体" w:eastAsia="宋体" w:cs="宋体"/>
          <w:bCs/>
          <w:color w:val="auto"/>
          <w:spacing w:val="-4"/>
          <w:sz w:val="24"/>
          <w:szCs w:val="24"/>
          <w:highlight w:val="none"/>
        </w:rPr>
        <w:instrText xml:space="preserve"> HYPERLINK \l _Toc26323 </w:instrText>
      </w:r>
      <w:r>
        <w:rPr>
          <w:rFonts w:hint="eastAsia"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lang w:eastAsia="zh-CN"/>
        </w:rPr>
        <w:t>格式十</w:t>
      </w:r>
      <w:r>
        <w:rPr>
          <w:rFonts w:hint="eastAsia" w:ascii="宋体" w:hAnsi="宋体" w:eastAsia="宋体" w:cs="宋体"/>
          <w:bCs/>
          <w:color w:val="auto"/>
          <w:spacing w:val="-4"/>
          <w:sz w:val="24"/>
          <w:szCs w:val="24"/>
          <w:highlight w:val="none"/>
          <w:lang w:val="en-US" w:eastAsia="zh-CN"/>
        </w:rPr>
        <w:t>七 定标因素评审资料</w:t>
      </w:r>
      <w:r>
        <w:rPr>
          <w:rFonts w:hint="eastAsia" w:ascii="宋体" w:hAnsi="宋体" w:eastAsia="宋体" w:cs="宋体"/>
          <w:bCs/>
          <w:color w:val="auto"/>
          <w:spacing w:val="-4"/>
          <w:sz w:val="24"/>
          <w:szCs w:val="24"/>
          <w:highlight w:val="none"/>
        </w:rPr>
        <w:tab/>
      </w:r>
      <w:r>
        <w:rPr>
          <w:rFonts w:hint="eastAsia" w:ascii="宋体" w:hAnsi="宋体" w:eastAsia="宋体" w:cs="宋体"/>
          <w:bCs/>
          <w:color w:val="auto"/>
          <w:spacing w:val="-4"/>
          <w:sz w:val="24"/>
          <w:szCs w:val="24"/>
          <w:highlight w:val="none"/>
        </w:rPr>
        <w:fldChar w:fldCharType="begin"/>
      </w:r>
      <w:r>
        <w:rPr>
          <w:rFonts w:hint="eastAsia" w:ascii="宋体" w:hAnsi="宋体" w:eastAsia="宋体" w:cs="宋体"/>
          <w:bCs/>
          <w:color w:val="auto"/>
          <w:spacing w:val="-4"/>
          <w:sz w:val="24"/>
          <w:szCs w:val="24"/>
          <w:highlight w:val="none"/>
        </w:rPr>
        <w:instrText xml:space="preserve"> PAGEREF _Toc26323 \h </w:instrText>
      </w:r>
      <w:r>
        <w:rPr>
          <w:rFonts w:hint="eastAsia"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rPr>
        <w:t>93</w:t>
      </w:r>
      <w:r>
        <w:rPr>
          <w:rFonts w:hint="eastAsia" w:ascii="宋体" w:hAnsi="宋体" w:eastAsia="宋体" w:cs="宋体"/>
          <w:bCs/>
          <w:color w:val="auto"/>
          <w:spacing w:val="-4"/>
          <w:sz w:val="24"/>
          <w:szCs w:val="24"/>
          <w:highlight w:val="none"/>
        </w:rPr>
        <w:fldChar w:fldCharType="end"/>
      </w:r>
      <w:r>
        <w:rPr>
          <w:rFonts w:hint="eastAsia" w:ascii="宋体" w:hAnsi="宋体" w:eastAsia="宋体" w:cs="宋体"/>
          <w:bCs/>
          <w:color w:val="auto"/>
          <w:spacing w:val="-4"/>
          <w:sz w:val="24"/>
          <w:szCs w:val="24"/>
          <w:highlight w:val="none"/>
        </w:rPr>
        <w:fldChar w:fldCharType="end"/>
      </w:r>
    </w:p>
    <w:p w14:paraId="620D3556">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_Toc10482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第七章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建设工程施工合同</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_Toc10482 \h </w:instrText>
      </w:r>
      <w:r>
        <w:rPr>
          <w:color w:val="auto"/>
          <w:sz w:val="24"/>
          <w:szCs w:val="24"/>
          <w:highlight w:val="none"/>
        </w:rPr>
        <w:fldChar w:fldCharType="separate"/>
      </w:r>
      <w:r>
        <w:rPr>
          <w:color w:val="auto"/>
          <w:sz w:val="24"/>
          <w:szCs w:val="24"/>
          <w:highlight w:val="none"/>
        </w:rPr>
        <w:t>94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7B91383">
      <w:pPr>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color w:val="auto"/>
          <w:sz w:val="24"/>
          <w:szCs w:val="24"/>
          <w:highlight w:val="none"/>
        </w:rPr>
        <w:sectPr>
          <w:footerReference r:id="rId6"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r>
        <w:rPr>
          <w:rFonts w:hint="eastAsia" w:ascii="宋体" w:hAnsi="宋体" w:eastAsia="宋体" w:cs="宋体"/>
          <w:color w:val="auto"/>
          <w:sz w:val="24"/>
          <w:szCs w:val="24"/>
          <w:highlight w:val="none"/>
        </w:rPr>
        <w:fldChar w:fldCharType="end"/>
      </w:r>
    </w:p>
    <w:p w14:paraId="6FAD710A">
      <w:pPr>
        <w:pStyle w:val="5"/>
        <w:spacing w:line="272" w:lineRule="auto"/>
        <w:rPr>
          <w:rFonts w:hint="eastAsia" w:ascii="宋体" w:hAnsi="宋体" w:eastAsia="宋体" w:cs="宋体"/>
          <w:color w:val="auto"/>
          <w:highlight w:val="none"/>
        </w:rPr>
      </w:pPr>
    </w:p>
    <w:p w14:paraId="41787C92">
      <w:pPr>
        <w:spacing w:before="78" w:line="219" w:lineRule="auto"/>
        <w:ind w:left="3416"/>
        <w:outlineLvl w:val="0"/>
        <w:rPr>
          <w:rFonts w:hint="eastAsia" w:ascii="宋体" w:hAnsi="宋体" w:eastAsia="宋体" w:cs="宋体"/>
          <w:color w:val="auto"/>
          <w:sz w:val="24"/>
          <w:szCs w:val="24"/>
          <w:highlight w:val="none"/>
        </w:rPr>
      </w:pPr>
      <w:bookmarkStart w:id="0" w:name="bookmark1"/>
      <w:bookmarkEnd w:id="0"/>
      <w:bookmarkStart w:id="1" w:name="_Toc30584"/>
      <w:r>
        <w:rPr>
          <w:rFonts w:hint="eastAsia" w:ascii="宋体" w:hAnsi="宋体" w:eastAsia="宋体" w:cs="宋体"/>
          <w:b/>
          <w:bCs/>
          <w:color w:val="auto"/>
          <w:spacing w:val="-3"/>
          <w:sz w:val="24"/>
          <w:szCs w:val="24"/>
          <w:highlight w:val="none"/>
        </w:rPr>
        <w:t>第一章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w:t>
      </w:r>
      <w:bookmarkEnd w:id="1"/>
    </w:p>
    <w:p w14:paraId="225EA8A0">
      <w:pPr>
        <w:spacing w:before="156" w:line="219" w:lineRule="auto"/>
        <w:ind w:left="17"/>
        <w:outlineLvl w:val="1"/>
        <w:rPr>
          <w:rFonts w:hint="eastAsia" w:ascii="宋体" w:hAnsi="宋体" w:eastAsia="宋体" w:cs="宋体"/>
          <w:color w:val="auto"/>
          <w:sz w:val="24"/>
          <w:szCs w:val="24"/>
          <w:highlight w:val="none"/>
        </w:rPr>
      </w:pPr>
      <w:bookmarkStart w:id="2" w:name="bookmark3"/>
      <w:bookmarkEnd w:id="2"/>
      <w:bookmarkStart w:id="3" w:name="_Toc1079"/>
      <w:r>
        <w:rPr>
          <w:rFonts w:hint="eastAsia" w:ascii="宋体" w:hAnsi="宋体" w:eastAsia="宋体" w:cs="宋体"/>
          <w:b/>
          <w:bCs/>
          <w:color w:val="auto"/>
          <w:spacing w:val="-3"/>
          <w:sz w:val="24"/>
          <w:szCs w:val="24"/>
          <w:highlight w:val="none"/>
        </w:rPr>
        <w:t>第一节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投标人须知前附表</w:t>
      </w:r>
      <w:bookmarkEnd w:id="3"/>
    </w:p>
    <w:p w14:paraId="7D4C9041">
      <w:pPr>
        <w:spacing w:before="25"/>
        <w:rPr>
          <w:rFonts w:hint="eastAsia" w:ascii="宋体" w:hAnsi="宋体" w:eastAsia="宋体" w:cs="宋体"/>
          <w:color w:val="auto"/>
          <w:highlight w:val="none"/>
        </w:rPr>
      </w:pPr>
    </w:p>
    <w:tbl>
      <w:tblPr>
        <w:tblStyle w:val="14"/>
        <w:tblW w:w="998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1860"/>
        <w:gridCol w:w="7544"/>
      </w:tblGrid>
      <w:tr w14:paraId="4538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trPr>
        <w:tc>
          <w:tcPr>
            <w:tcW w:w="582" w:type="dxa"/>
            <w:vAlign w:val="top"/>
          </w:tcPr>
          <w:p w14:paraId="6E71DC35">
            <w:pPr>
              <w:spacing w:before="203" w:line="209" w:lineRule="auto"/>
              <w:ind w:left="0" w:leftChars="0" w:firstLine="0" w:firstLineChars="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序号</w:t>
            </w:r>
          </w:p>
        </w:tc>
        <w:tc>
          <w:tcPr>
            <w:tcW w:w="1860" w:type="dxa"/>
            <w:vAlign w:val="center"/>
          </w:tcPr>
          <w:p w14:paraId="4C2E1B8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内容</w:t>
            </w:r>
          </w:p>
        </w:tc>
        <w:tc>
          <w:tcPr>
            <w:tcW w:w="7544" w:type="dxa"/>
            <w:vAlign w:val="center"/>
          </w:tcPr>
          <w:p w14:paraId="5AEE082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说明与要求</w:t>
            </w:r>
          </w:p>
        </w:tc>
      </w:tr>
      <w:tr w14:paraId="33E38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trPr>
        <w:tc>
          <w:tcPr>
            <w:tcW w:w="582" w:type="dxa"/>
            <w:vAlign w:val="center"/>
          </w:tcPr>
          <w:p w14:paraId="3743D7C8">
            <w:pPr>
              <w:spacing w:before="223" w:line="195" w:lineRule="auto"/>
              <w:jc w:val="center"/>
              <w:rPr>
                <w:rFonts w:hint="eastAsia" w:asciiTheme="minorEastAsia" w:hAnsiTheme="minorEastAsia" w:eastAsiaTheme="minorEastAsia" w:cstheme="minorEastAsia"/>
                <w:color w:val="auto"/>
                <w:sz w:val="21"/>
                <w:szCs w:val="21"/>
                <w:highlight w:val="none"/>
              </w:rPr>
            </w:pPr>
            <w:bookmarkStart w:id="4" w:name="OLE_LINK2" w:colFirst="2" w:colLast="2"/>
            <w:r>
              <w:rPr>
                <w:rFonts w:hint="eastAsia" w:asciiTheme="minorEastAsia" w:hAnsiTheme="minorEastAsia" w:eastAsiaTheme="minorEastAsia" w:cstheme="minorEastAsia"/>
                <w:color w:val="auto"/>
                <w:sz w:val="21"/>
                <w:szCs w:val="21"/>
                <w:highlight w:val="none"/>
              </w:rPr>
              <w:t>1</w:t>
            </w:r>
          </w:p>
        </w:tc>
        <w:tc>
          <w:tcPr>
            <w:tcW w:w="1860" w:type="dxa"/>
            <w:vAlign w:val="center"/>
          </w:tcPr>
          <w:p w14:paraId="2DAD04F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项目名称</w:t>
            </w:r>
          </w:p>
        </w:tc>
        <w:tc>
          <w:tcPr>
            <w:tcW w:w="7544" w:type="dxa"/>
            <w:vAlign w:val="center"/>
          </w:tcPr>
          <w:p w14:paraId="495090BD">
            <w:pPr>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江湾镇倒流水村避险安置小区项目施工</w:t>
            </w:r>
          </w:p>
        </w:tc>
      </w:tr>
      <w:tr w14:paraId="443D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8" w:hRule="atLeast"/>
        </w:trPr>
        <w:tc>
          <w:tcPr>
            <w:tcW w:w="582" w:type="dxa"/>
            <w:vAlign w:val="center"/>
          </w:tcPr>
          <w:p w14:paraId="6B02EA2B">
            <w:pPr>
              <w:spacing w:before="222"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p>
        </w:tc>
        <w:tc>
          <w:tcPr>
            <w:tcW w:w="1860" w:type="dxa"/>
            <w:vAlign w:val="center"/>
          </w:tcPr>
          <w:p w14:paraId="4498F624">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项目业主</w:t>
            </w:r>
          </w:p>
        </w:tc>
        <w:tc>
          <w:tcPr>
            <w:tcW w:w="7544" w:type="dxa"/>
            <w:vAlign w:val="center"/>
          </w:tcPr>
          <w:p w14:paraId="0533DE1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韶关市武江区江湾镇人民政府</w:t>
            </w:r>
          </w:p>
        </w:tc>
      </w:tr>
      <w:tr w14:paraId="5E88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5" w:hRule="atLeast"/>
        </w:trPr>
        <w:tc>
          <w:tcPr>
            <w:tcW w:w="582" w:type="dxa"/>
            <w:vAlign w:val="center"/>
          </w:tcPr>
          <w:p w14:paraId="3A5F6D9F">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p>
        </w:tc>
        <w:tc>
          <w:tcPr>
            <w:tcW w:w="1860" w:type="dxa"/>
            <w:vAlign w:val="center"/>
          </w:tcPr>
          <w:p w14:paraId="157B504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项目批准部门及项目批准文号</w:t>
            </w:r>
          </w:p>
        </w:tc>
        <w:tc>
          <w:tcPr>
            <w:tcW w:w="7544" w:type="dxa"/>
            <w:vAlign w:val="center"/>
          </w:tcPr>
          <w:p w14:paraId="2C0F6B5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韶关市武江区发展和改革局</w:t>
            </w:r>
          </w:p>
          <w:p w14:paraId="6C216ED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韶武发改投审〔2026〕4号、韶武发改投审〔2026〕28号</w:t>
            </w:r>
          </w:p>
        </w:tc>
      </w:tr>
      <w:tr w14:paraId="2C58B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trPr>
        <w:tc>
          <w:tcPr>
            <w:tcW w:w="582" w:type="dxa"/>
            <w:vAlign w:val="center"/>
          </w:tcPr>
          <w:p w14:paraId="7E34B725">
            <w:pPr>
              <w:spacing w:before="22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4</w:t>
            </w:r>
          </w:p>
        </w:tc>
        <w:tc>
          <w:tcPr>
            <w:tcW w:w="1860" w:type="dxa"/>
            <w:vAlign w:val="center"/>
          </w:tcPr>
          <w:p w14:paraId="1DD2D51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建设地点</w:t>
            </w:r>
          </w:p>
        </w:tc>
        <w:tc>
          <w:tcPr>
            <w:tcW w:w="7544" w:type="dxa"/>
            <w:tcMar>
              <w:top w:w="0" w:type="dxa"/>
              <w:left w:w="0" w:type="dxa"/>
              <w:bottom w:w="0" w:type="dxa"/>
              <w:right w:w="0" w:type="dxa"/>
            </w:tcMar>
            <w:vAlign w:val="center"/>
          </w:tcPr>
          <w:p w14:paraId="3520413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hAnsi="宋体" w:eastAsia="宋体" w:cs="Calibri"/>
                <w:bCs/>
                <w:color w:val="auto"/>
                <w:sz w:val="21"/>
                <w:szCs w:val="21"/>
                <w:highlight w:val="none"/>
                <w:lang w:val="en-US" w:eastAsia="zh-CN"/>
              </w:rPr>
              <w:t>江湾镇湖洋村委倒流水村小组</w:t>
            </w:r>
          </w:p>
        </w:tc>
      </w:tr>
      <w:tr w14:paraId="565E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3" w:hRule="atLeast"/>
        </w:trPr>
        <w:tc>
          <w:tcPr>
            <w:tcW w:w="582" w:type="dxa"/>
            <w:vAlign w:val="center"/>
          </w:tcPr>
          <w:p w14:paraId="318E89F5">
            <w:pPr>
              <w:spacing w:before="226" w:line="192"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p>
        </w:tc>
        <w:tc>
          <w:tcPr>
            <w:tcW w:w="1860" w:type="dxa"/>
            <w:vAlign w:val="center"/>
          </w:tcPr>
          <w:p w14:paraId="66CCEB4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项目代码</w:t>
            </w:r>
          </w:p>
        </w:tc>
        <w:tc>
          <w:tcPr>
            <w:tcW w:w="7544" w:type="dxa"/>
            <w:vAlign w:val="center"/>
          </w:tcPr>
          <w:p w14:paraId="4449217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Calibri"/>
                <w:bCs/>
                <w:color w:val="auto"/>
                <w:sz w:val="21"/>
                <w:szCs w:val="21"/>
                <w:highlight w:val="none"/>
                <w:lang w:eastAsia="zh-CN"/>
              </w:rPr>
              <w:t>2601-440203-20-01-228935</w:t>
            </w:r>
          </w:p>
        </w:tc>
      </w:tr>
      <w:tr w14:paraId="1E52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582" w:type="dxa"/>
            <w:vAlign w:val="center"/>
          </w:tcPr>
          <w:p w14:paraId="6D804121">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w:t>
            </w:r>
          </w:p>
        </w:tc>
        <w:tc>
          <w:tcPr>
            <w:tcW w:w="1860" w:type="dxa"/>
            <w:vAlign w:val="center"/>
          </w:tcPr>
          <w:p w14:paraId="5A6B568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资金来源及落实情况</w:t>
            </w:r>
          </w:p>
        </w:tc>
        <w:tc>
          <w:tcPr>
            <w:tcW w:w="7544" w:type="dxa"/>
            <w:vAlign w:val="center"/>
          </w:tcPr>
          <w:p w14:paraId="440E9E3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区财政统筹解决，100%</w:t>
            </w:r>
          </w:p>
        </w:tc>
      </w:tr>
      <w:tr w14:paraId="5766F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6" w:hRule="atLeast"/>
        </w:trPr>
        <w:tc>
          <w:tcPr>
            <w:tcW w:w="582" w:type="dxa"/>
            <w:vAlign w:val="center"/>
          </w:tcPr>
          <w:p w14:paraId="400528AE">
            <w:pPr>
              <w:spacing w:before="228" w:line="192"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w:t>
            </w:r>
          </w:p>
        </w:tc>
        <w:tc>
          <w:tcPr>
            <w:tcW w:w="1860" w:type="dxa"/>
            <w:vAlign w:val="center"/>
          </w:tcPr>
          <w:p w14:paraId="3CAF0EE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招标人</w:t>
            </w:r>
          </w:p>
        </w:tc>
        <w:tc>
          <w:tcPr>
            <w:tcW w:w="7544" w:type="dxa"/>
            <w:vAlign w:val="center"/>
          </w:tcPr>
          <w:p w14:paraId="5B71CC7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韶关市武江区江湾镇人民政府</w:t>
            </w:r>
          </w:p>
        </w:tc>
      </w:tr>
      <w:tr w14:paraId="60887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trPr>
        <w:tc>
          <w:tcPr>
            <w:tcW w:w="582" w:type="dxa"/>
            <w:vAlign w:val="center"/>
          </w:tcPr>
          <w:p w14:paraId="44304D14">
            <w:pPr>
              <w:spacing w:before="224"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w:t>
            </w:r>
          </w:p>
        </w:tc>
        <w:tc>
          <w:tcPr>
            <w:tcW w:w="1860" w:type="dxa"/>
            <w:vAlign w:val="center"/>
          </w:tcPr>
          <w:p w14:paraId="31C26FC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招标代理机构</w:t>
            </w:r>
          </w:p>
        </w:tc>
        <w:tc>
          <w:tcPr>
            <w:tcW w:w="7544" w:type="dxa"/>
            <w:vAlign w:val="center"/>
          </w:tcPr>
          <w:p w14:paraId="4E3C0A9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海通国际设计有限公司</w:t>
            </w:r>
          </w:p>
        </w:tc>
      </w:tr>
      <w:tr w14:paraId="0749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trPr>
        <w:tc>
          <w:tcPr>
            <w:tcW w:w="582" w:type="dxa"/>
            <w:vAlign w:val="center"/>
          </w:tcPr>
          <w:p w14:paraId="5A5AC857">
            <w:pPr>
              <w:spacing w:before="22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w:t>
            </w:r>
          </w:p>
        </w:tc>
        <w:tc>
          <w:tcPr>
            <w:tcW w:w="1860" w:type="dxa"/>
            <w:vAlign w:val="center"/>
          </w:tcPr>
          <w:p w14:paraId="11B17F7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设计单位</w:t>
            </w:r>
          </w:p>
        </w:tc>
        <w:tc>
          <w:tcPr>
            <w:tcW w:w="7544" w:type="dxa"/>
            <w:vAlign w:val="center"/>
          </w:tcPr>
          <w:p w14:paraId="2E0AD38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天尚设计集团有限公司</w:t>
            </w:r>
          </w:p>
        </w:tc>
      </w:tr>
      <w:bookmarkEnd w:id="4"/>
      <w:tr w14:paraId="231F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6" w:hRule="atLeast"/>
        </w:trPr>
        <w:tc>
          <w:tcPr>
            <w:tcW w:w="582" w:type="dxa"/>
            <w:shd w:val="clear" w:color="auto" w:fill="auto"/>
            <w:vAlign w:val="center"/>
          </w:tcPr>
          <w:p w14:paraId="1D58DA3A">
            <w:pPr>
              <w:spacing w:before="24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10</w:t>
            </w:r>
          </w:p>
        </w:tc>
        <w:tc>
          <w:tcPr>
            <w:tcW w:w="1860" w:type="dxa"/>
            <w:shd w:val="clear" w:color="auto" w:fill="auto"/>
            <w:vAlign w:val="center"/>
          </w:tcPr>
          <w:p w14:paraId="1DD07B7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造价咨询单位</w:t>
            </w:r>
          </w:p>
        </w:tc>
        <w:tc>
          <w:tcPr>
            <w:tcW w:w="7544" w:type="dxa"/>
            <w:shd w:val="clear" w:color="auto" w:fill="auto"/>
            <w:vAlign w:val="center"/>
          </w:tcPr>
          <w:p w14:paraId="7A3C8AC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□非全过程造价咨询</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☑全过程造价咨询</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p>
        </w:tc>
      </w:tr>
      <w:tr w14:paraId="1B423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trPr>
        <w:tc>
          <w:tcPr>
            <w:tcW w:w="582" w:type="dxa"/>
            <w:shd w:val="clear" w:color="auto" w:fill="auto"/>
            <w:vAlign w:val="center"/>
          </w:tcPr>
          <w:p w14:paraId="5392F3A2">
            <w:pPr>
              <w:spacing w:before="242"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11</w:t>
            </w:r>
          </w:p>
        </w:tc>
        <w:tc>
          <w:tcPr>
            <w:tcW w:w="1860" w:type="dxa"/>
            <w:shd w:val="clear" w:color="auto" w:fill="auto"/>
            <w:vAlign w:val="center"/>
          </w:tcPr>
          <w:p w14:paraId="12C094C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监理单位</w:t>
            </w:r>
          </w:p>
        </w:tc>
        <w:tc>
          <w:tcPr>
            <w:tcW w:w="7544" w:type="dxa"/>
            <w:shd w:val="clear" w:color="auto" w:fill="auto"/>
            <w:vAlign w:val="center"/>
          </w:tcPr>
          <w:p w14:paraId="03F5A6D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□已确定监理单位</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☑未确定监理单位</w:t>
            </w:r>
          </w:p>
        </w:tc>
      </w:tr>
      <w:tr w14:paraId="2402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1515EDE6">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lang w:eastAsia="zh-CN"/>
              </w:rPr>
              <w:t>1</w:t>
            </w:r>
            <w:r>
              <w:rPr>
                <w:rFonts w:hint="eastAsia" w:asciiTheme="minorEastAsia" w:hAnsiTheme="minorEastAsia" w:eastAsiaTheme="minorEastAsia" w:cstheme="minorEastAsia"/>
                <w:color w:val="auto"/>
                <w:spacing w:val="-8"/>
                <w:sz w:val="21"/>
                <w:szCs w:val="21"/>
                <w:highlight w:val="none"/>
              </w:rPr>
              <w:t>2</w:t>
            </w:r>
          </w:p>
        </w:tc>
        <w:tc>
          <w:tcPr>
            <w:tcW w:w="1860" w:type="dxa"/>
            <w:vAlign w:val="center"/>
          </w:tcPr>
          <w:p w14:paraId="3DF6750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建设内容和规模</w:t>
            </w:r>
          </w:p>
        </w:tc>
        <w:tc>
          <w:tcPr>
            <w:tcW w:w="7544" w:type="dxa"/>
            <w:vAlign w:val="center"/>
          </w:tcPr>
          <w:p w14:paraId="0E7E07A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建设内容：新建住宅5栋，用地面积4895.50平方米，新建住宅5栋，总建筑面积4667.86平方米，其中:1#楼建筑面积640.39平方米，共3层，建筑高度10.21米;2#楼建筑面积862.25平方米，共2层，建筑高度为8.35米;3#楼建筑面积1277.06平方米，共3层，建筑高度10.21米;4#楼建筑面积433.45平方米，共2层，建筑高度为8.35米;5#楼建筑面积1454.71平方米，共3层，建筑高度10.29米;新建停车场1个;配套建设园建、绿化、室外给排水、室外电气、照明、安装标识、挡土墙等附属工程。</w:t>
            </w:r>
          </w:p>
          <w:p w14:paraId="5C5CE63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☑建设规模：</w:t>
            </w:r>
            <w:r>
              <w:rPr>
                <w:rFonts w:hint="eastAsia" w:asciiTheme="minorEastAsia" w:hAnsiTheme="minorEastAsia" w:eastAsiaTheme="minorEastAsia" w:cstheme="minorEastAsia"/>
                <w:snapToGrid w:val="0"/>
                <w:color w:val="auto"/>
                <w:kern w:val="0"/>
                <w:sz w:val="21"/>
                <w:szCs w:val="21"/>
                <w:highlight w:val="none"/>
                <w:lang w:val="en-US" w:eastAsia="zh-CN"/>
              </w:rPr>
              <w:t>项目概算总投资2715.00万元，其中工程费用1916.90万。</w:t>
            </w:r>
          </w:p>
        </w:tc>
      </w:tr>
      <w:tr w14:paraId="304F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0" w:hRule="atLeast"/>
        </w:trPr>
        <w:tc>
          <w:tcPr>
            <w:tcW w:w="582" w:type="dxa"/>
            <w:vAlign w:val="center"/>
          </w:tcPr>
          <w:p w14:paraId="5D9D5ABA">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13</w:t>
            </w:r>
          </w:p>
        </w:tc>
        <w:tc>
          <w:tcPr>
            <w:tcW w:w="1860" w:type="dxa"/>
            <w:vAlign w:val="center"/>
          </w:tcPr>
          <w:p w14:paraId="280E556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项目总投资</w:t>
            </w:r>
          </w:p>
        </w:tc>
        <w:tc>
          <w:tcPr>
            <w:tcW w:w="7544" w:type="dxa"/>
            <w:vAlign w:val="center"/>
          </w:tcPr>
          <w:p w14:paraId="0C56FDE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项目概算总投资2715.00万元，其中工程费用1916.90万。</w:t>
            </w:r>
          </w:p>
        </w:tc>
      </w:tr>
      <w:tr w14:paraId="6B2C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atLeast"/>
        </w:trPr>
        <w:tc>
          <w:tcPr>
            <w:tcW w:w="582" w:type="dxa"/>
            <w:vAlign w:val="center"/>
          </w:tcPr>
          <w:p w14:paraId="798375C9">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14</w:t>
            </w:r>
          </w:p>
        </w:tc>
        <w:tc>
          <w:tcPr>
            <w:tcW w:w="1860" w:type="dxa"/>
            <w:vAlign w:val="center"/>
          </w:tcPr>
          <w:p w14:paraId="2A6F498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招标范围</w:t>
            </w:r>
          </w:p>
        </w:tc>
        <w:tc>
          <w:tcPr>
            <w:tcW w:w="7544" w:type="dxa"/>
            <w:vAlign w:val="center"/>
          </w:tcPr>
          <w:p w14:paraId="3DE01C1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按审查合格的施工图纸及工程量清单内容施工</w:t>
            </w:r>
          </w:p>
        </w:tc>
      </w:tr>
      <w:tr w14:paraId="13F3C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trPr>
        <w:tc>
          <w:tcPr>
            <w:tcW w:w="582" w:type="dxa"/>
            <w:vAlign w:val="center"/>
          </w:tcPr>
          <w:p w14:paraId="6EED9D8B">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15</w:t>
            </w:r>
          </w:p>
        </w:tc>
        <w:tc>
          <w:tcPr>
            <w:tcW w:w="1860" w:type="dxa"/>
            <w:vAlign w:val="center"/>
          </w:tcPr>
          <w:p w14:paraId="5CD69A5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标段划分</w:t>
            </w:r>
          </w:p>
        </w:tc>
        <w:tc>
          <w:tcPr>
            <w:tcW w:w="7544" w:type="dxa"/>
            <w:vAlign w:val="center"/>
          </w:tcPr>
          <w:p w14:paraId="71E5B42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本招标项目不划分标段。 </w:t>
            </w:r>
          </w:p>
        </w:tc>
      </w:tr>
      <w:tr w14:paraId="25035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85" w:hRule="atLeast"/>
        </w:trPr>
        <w:tc>
          <w:tcPr>
            <w:tcW w:w="582" w:type="dxa"/>
            <w:vAlign w:val="center"/>
          </w:tcPr>
          <w:p w14:paraId="650937A5">
            <w:pPr>
              <w:spacing w:before="57" w:line="195"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8"/>
                <w:sz w:val="21"/>
                <w:szCs w:val="21"/>
                <w:highlight w:val="none"/>
              </w:rPr>
              <w:t>16</w:t>
            </w:r>
          </w:p>
        </w:tc>
        <w:tc>
          <w:tcPr>
            <w:tcW w:w="1860" w:type="dxa"/>
            <w:vAlign w:val="center"/>
          </w:tcPr>
          <w:p w14:paraId="00B1E99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工期</w:t>
            </w:r>
          </w:p>
        </w:tc>
        <w:tc>
          <w:tcPr>
            <w:tcW w:w="7544" w:type="dxa"/>
            <w:vAlign w:val="top"/>
          </w:tcPr>
          <w:p w14:paraId="7C99F2E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本招标项目招标工期为</w:t>
            </w:r>
            <w:r>
              <w:rPr>
                <w:rFonts w:hint="eastAsia" w:asciiTheme="minorEastAsia" w:hAnsiTheme="minorEastAsia" w:eastAsiaTheme="minorEastAsia" w:cstheme="minorEastAsia"/>
                <w:snapToGrid w:val="0"/>
                <w:color w:val="auto"/>
                <w:kern w:val="0"/>
                <w:sz w:val="21"/>
                <w:szCs w:val="21"/>
                <w:highlight w:val="none"/>
                <w:lang w:val="en-US" w:eastAsia="zh-CN"/>
              </w:rPr>
              <w:t>120个日历天</w:t>
            </w:r>
            <w:r>
              <w:rPr>
                <w:rFonts w:hint="eastAsia" w:asciiTheme="minorEastAsia" w:hAnsiTheme="minorEastAsia" w:eastAsiaTheme="minorEastAsia" w:cstheme="minorEastAsia"/>
                <w:snapToGrid w:val="0"/>
                <w:color w:val="auto"/>
                <w:kern w:val="0"/>
                <w:sz w:val="21"/>
                <w:szCs w:val="21"/>
                <w:highlight w:val="none"/>
                <w:lang w:eastAsia="zh-CN"/>
              </w:rPr>
              <w:t>。具体如下：</w:t>
            </w:r>
          </w:p>
          <w:p w14:paraId="72F8637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☑总工期：</w:t>
            </w:r>
            <w:r>
              <w:rPr>
                <w:rFonts w:hint="eastAsia" w:asciiTheme="minorEastAsia" w:hAnsiTheme="minorEastAsia" w:eastAsiaTheme="minorEastAsia" w:cstheme="minorEastAsia"/>
                <w:snapToGrid w:val="0"/>
                <w:color w:val="auto"/>
                <w:kern w:val="0"/>
                <w:sz w:val="21"/>
                <w:szCs w:val="21"/>
                <w:highlight w:val="none"/>
                <w:lang w:val="en-US" w:eastAsia="zh-CN"/>
              </w:rPr>
              <w:t>120</w:t>
            </w:r>
            <w:r>
              <w:rPr>
                <w:rFonts w:hint="eastAsia" w:asciiTheme="minorEastAsia" w:hAnsiTheme="minorEastAsia" w:eastAsiaTheme="minorEastAsia" w:cstheme="minorEastAsia"/>
                <w:snapToGrid w:val="0"/>
                <w:color w:val="auto"/>
                <w:kern w:val="0"/>
                <w:sz w:val="21"/>
                <w:szCs w:val="21"/>
                <w:highlight w:val="none"/>
                <w:lang w:eastAsia="zh-CN"/>
              </w:rPr>
              <w:t>天 （日历天）。</w:t>
            </w:r>
          </w:p>
          <w:p w14:paraId="4845D3F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□计划开工日期：</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年</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月</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日（具体开工日期以合同为准）</w:t>
            </w:r>
          </w:p>
          <w:p w14:paraId="3EF82EA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□计划竣工日期：</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年</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月</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日</w:t>
            </w:r>
          </w:p>
          <w:p w14:paraId="00A01DB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□除上述总工期外，发包人还要求以下阶段工期：        </w:t>
            </w:r>
          </w:p>
        </w:tc>
      </w:tr>
      <w:tr w14:paraId="7F94B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0" w:hRule="atLeast"/>
        </w:trPr>
        <w:tc>
          <w:tcPr>
            <w:tcW w:w="582" w:type="dxa"/>
            <w:vAlign w:val="center"/>
          </w:tcPr>
          <w:p w14:paraId="47B272B4">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17</w:t>
            </w:r>
          </w:p>
        </w:tc>
        <w:tc>
          <w:tcPr>
            <w:tcW w:w="1860" w:type="dxa"/>
            <w:vAlign w:val="center"/>
          </w:tcPr>
          <w:p w14:paraId="29B95E6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质量标准</w:t>
            </w:r>
          </w:p>
        </w:tc>
        <w:tc>
          <w:tcPr>
            <w:tcW w:w="7544" w:type="dxa"/>
            <w:vAlign w:val="top"/>
          </w:tcPr>
          <w:p w14:paraId="25CBBAF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 xml:space="preserve">☑质量目标：合格 </w:t>
            </w:r>
          </w:p>
          <w:p w14:paraId="16603DE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☑质量标准：符合现行国家有关工程施工质量验收规范和标准的要求。</w:t>
            </w:r>
          </w:p>
          <w:p w14:paraId="054D070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□优质工程要求：</w:t>
            </w:r>
            <w:r>
              <w:rPr>
                <w:rFonts w:hint="eastAsia" w:asciiTheme="minorEastAsia" w:hAnsiTheme="minorEastAsia" w:eastAsiaTheme="minorEastAsia" w:cstheme="minorEastAsia"/>
                <w:snapToGrid w:val="0"/>
                <w:color w:val="auto"/>
                <w:kern w:val="0"/>
                <w:sz w:val="21"/>
                <w:szCs w:val="21"/>
                <w:highlight w:val="none"/>
                <w:u w:val="single"/>
                <w:lang w:eastAsia="zh-CN"/>
              </w:rPr>
              <w:t>无</w:t>
            </w:r>
            <w:r>
              <w:rPr>
                <w:rFonts w:hint="eastAsia" w:asciiTheme="minorEastAsia" w:hAnsiTheme="minorEastAsia" w:eastAsiaTheme="minorEastAsia" w:cstheme="minorEastAsia"/>
                <w:snapToGrid w:val="0"/>
                <w:color w:val="auto"/>
                <w:kern w:val="0"/>
                <w:sz w:val="21"/>
                <w:szCs w:val="21"/>
                <w:highlight w:val="none"/>
                <w:lang w:eastAsia="zh-CN"/>
              </w:rPr>
              <w:t>....</w:t>
            </w:r>
          </w:p>
          <w:p w14:paraId="6B00BF1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工程优质费：☑无</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□有：</w:t>
            </w:r>
            <w:r>
              <w:rPr>
                <w:rFonts w:hint="eastAsia" w:asciiTheme="minorEastAsia" w:hAnsiTheme="minorEastAsia" w:eastAsiaTheme="minorEastAsia" w:cstheme="minorEastAsia"/>
                <w:snapToGrid w:val="0"/>
                <w:color w:val="auto"/>
                <w:kern w:val="0"/>
                <w:sz w:val="21"/>
                <w:szCs w:val="21"/>
                <w:highlight w:val="none"/>
                <w:lang w:val="en-US" w:eastAsia="zh-CN"/>
              </w:rPr>
              <w:t>/</w:t>
            </w:r>
          </w:p>
        </w:tc>
      </w:tr>
      <w:tr w14:paraId="27686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3" w:hRule="atLeast"/>
        </w:trPr>
        <w:tc>
          <w:tcPr>
            <w:tcW w:w="582" w:type="dxa"/>
            <w:vMerge w:val="restart"/>
            <w:vAlign w:val="center"/>
          </w:tcPr>
          <w:p w14:paraId="4BC67C17">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18</w:t>
            </w:r>
          </w:p>
        </w:tc>
        <w:tc>
          <w:tcPr>
            <w:tcW w:w="1860" w:type="dxa"/>
            <w:vMerge w:val="restart"/>
            <w:vAlign w:val="center"/>
          </w:tcPr>
          <w:p w14:paraId="7C8582B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合同类型</w:t>
            </w:r>
          </w:p>
        </w:tc>
        <w:tc>
          <w:tcPr>
            <w:tcW w:w="7544" w:type="dxa"/>
            <w:vAlign w:val="top"/>
          </w:tcPr>
          <w:p w14:paraId="32295EB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☑单价合同：发承包双方约定以工程量清单及其综合单价进行合同价款计算、调整和确认的建设工程施工合同。</w:t>
            </w:r>
          </w:p>
          <w:p w14:paraId="2158BF3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219FD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582" w:type="dxa"/>
            <w:vMerge w:val="continue"/>
            <w:vAlign w:val="center"/>
          </w:tcPr>
          <w:p w14:paraId="2941AE80">
            <w:pPr>
              <w:spacing w:before="57" w:line="195" w:lineRule="auto"/>
              <w:jc w:val="center"/>
              <w:rPr>
                <w:rFonts w:hint="eastAsia" w:asciiTheme="minorEastAsia" w:hAnsiTheme="minorEastAsia" w:eastAsiaTheme="minorEastAsia" w:cstheme="minorEastAsia"/>
                <w:color w:val="auto"/>
                <w:spacing w:val="-8"/>
                <w:sz w:val="21"/>
                <w:szCs w:val="21"/>
                <w:highlight w:val="none"/>
              </w:rPr>
            </w:pPr>
          </w:p>
        </w:tc>
        <w:tc>
          <w:tcPr>
            <w:tcW w:w="1860" w:type="dxa"/>
            <w:vMerge w:val="continue"/>
            <w:vAlign w:val="center"/>
          </w:tcPr>
          <w:p w14:paraId="035DBDE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p>
        </w:tc>
        <w:tc>
          <w:tcPr>
            <w:tcW w:w="7544" w:type="dxa"/>
            <w:vAlign w:val="top"/>
          </w:tcPr>
          <w:p w14:paraId="7E667DD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 xml:space="preserve">□总价合同：发承包双方约定以施工图及其预算和有关条件进行合同价款计算、调整和确认的建设工程施工合同。 </w:t>
            </w:r>
          </w:p>
          <w:p w14:paraId="29EEDD8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0E6B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82" w:type="dxa"/>
            <w:vAlign w:val="center"/>
          </w:tcPr>
          <w:p w14:paraId="5972A2CD">
            <w:pPr>
              <w:spacing w:before="19"/>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19</w:t>
            </w:r>
          </w:p>
        </w:tc>
        <w:tc>
          <w:tcPr>
            <w:tcW w:w="1860" w:type="dxa"/>
            <w:vAlign w:val="center"/>
          </w:tcPr>
          <w:p w14:paraId="2898AA7D">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房屋建筑工程绿色建筑标准</w:t>
            </w:r>
          </w:p>
        </w:tc>
        <w:tc>
          <w:tcPr>
            <w:tcW w:w="7544" w:type="dxa"/>
            <w:vAlign w:val="center"/>
          </w:tcPr>
          <w:p w14:paraId="43CBE360">
            <w:pPr>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本招标项目纳入绿色建设实施范围，要求达到《绿色建筑评价标准》GB/T51141-2015 等规范要求规定的一星级标准。</w:t>
            </w:r>
          </w:p>
        </w:tc>
      </w:tr>
      <w:tr w14:paraId="76353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582" w:type="dxa"/>
            <w:vAlign w:val="center"/>
          </w:tcPr>
          <w:p w14:paraId="73257DF0">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19.</w:t>
            </w:r>
            <w:r>
              <w:rPr>
                <w:rFonts w:hint="eastAsia" w:asciiTheme="minorEastAsia" w:hAnsiTheme="minorEastAsia" w:eastAsiaTheme="minorEastAsia" w:cstheme="minorEastAsia"/>
                <w:color w:val="auto"/>
                <w:spacing w:val="-26"/>
                <w:sz w:val="21"/>
                <w:szCs w:val="21"/>
                <w:highlight w:val="none"/>
              </w:rPr>
              <w:t xml:space="preserve"> </w:t>
            </w:r>
            <w:r>
              <w:rPr>
                <w:rFonts w:hint="eastAsia" w:asciiTheme="minorEastAsia" w:hAnsiTheme="minorEastAsia" w:eastAsiaTheme="minorEastAsia" w:cstheme="minorEastAsia"/>
                <w:color w:val="auto"/>
                <w:spacing w:val="-3"/>
                <w:sz w:val="21"/>
                <w:szCs w:val="21"/>
                <w:highlight w:val="none"/>
              </w:rPr>
              <w:t>1</w:t>
            </w:r>
          </w:p>
        </w:tc>
        <w:tc>
          <w:tcPr>
            <w:tcW w:w="1860" w:type="dxa"/>
            <w:vAlign w:val="center"/>
          </w:tcPr>
          <w:p w14:paraId="2598019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装配式建筑标准</w:t>
            </w:r>
          </w:p>
        </w:tc>
        <w:tc>
          <w:tcPr>
            <w:tcW w:w="7544" w:type="dxa"/>
            <w:vAlign w:val="center"/>
          </w:tcPr>
          <w:p w14:paraId="654C85A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w:t>
            </w:r>
            <w:r>
              <w:rPr>
                <w:rFonts w:hint="eastAsia" w:asciiTheme="minorEastAsia" w:hAnsiTheme="minorEastAsia" w:eastAsiaTheme="minorEastAsia" w:cstheme="minorEastAsia"/>
                <w:snapToGrid w:val="0"/>
                <w:color w:val="auto"/>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kern w:val="0"/>
                <w:sz w:val="21"/>
                <w:szCs w:val="21"/>
                <w:highlight w:val="none"/>
                <w:lang w:eastAsia="zh-CN"/>
              </w:rPr>
              <w:t>纳入装配式建造建设实施范围。</w:t>
            </w:r>
          </w:p>
        </w:tc>
      </w:tr>
      <w:tr w14:paraId="5ABB3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F56262D">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20</w:t>
            </w:r>
          </w:p>
        </w:tc>
        <w:tc>
          <w:tcPr>
            <w:tcW w:w="1860" w:type="dxa"/>
            <w:vAlign w:val="center"/>
          </w:tcPr>
          <w:p w14:paraId="7A9699B3">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发包人提供材料和工程设备</w:t>
            </w:r>
          </w:p>
        </w:tc>
        <w:tc>
          <w:tcPr>
            <w:tcW w:w="7544" w:type="dxa"/>
            <w:vAlign w:val="center"/>
          </w:tcPr>
          <w:p w14:paraId="041C9A4A">
            <w:pPr>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发包人提供材料和工程设备： ☑无     □有：</w:t>
            </w:r>
          </w:p>
        </w:tc>
      </w:tr>
      <w:tr w14:paraId="09BD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5" w:hRule="atLeast"/>
        </w:trPr>
        <w:tc>
          <w:tcPr>
            <w:tcW w:w="582" w:type="dxa"/>
            <w:vAlign w:val="center"/>
          </w:tcPr>
          <w:p w14:paraId="2A7C3934">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21</w:t>
            </w:r>
          </w:p>
        </w:tc>
        <w:tc>
          <w:tcPr>
            <w:tcW w:w="1860" w:type="dxa"/>
            <w:vAlign w:val="center"/>
          </w:tcPr>
          <w:p w14:paraId="2B19F4D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承包人提供材料和工程设备</w:t>
            </w:r>
          </w:p>
        </w:tc>
        <w:tc>
          <w:tcPr>
            <w:tcW w:w="7544" w:type="dxa"/>
            <w:vAlign w:val="top"/>
          </w:tcPr>
          <w:p w14:paraId="25B336F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 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11881E8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□其它说明：鼓励承包人积极采购环保产品进行施工。</w:t>
            </w:r>
          </w:p>
        </w:tc>
      </w:tr>
      <w:tr w14:paraId="4B494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0" w:hRule="atLeast"/>
        </w:trPr>
        <w:tc>
          <w:tcPr>
            <w:tcW w:w="582" w:type="dxa"/>
            <w:vAlign w:val="center"/>
          </w:tcPr>
          <w:p w14:paraId="5BDE6007">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22</w:t>
            </w:r>
          </w:p>
        </w:tc>
        <w:tc>
          <w:tcPr>
            <w:tcW w:w="1860" w:type="dxa"/>
            <w:vAlign w:val="center"/>
          </w:tcPr>
          <w:p w14:paraId="079BF0E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最高投标限价</w:t>
            </w:r>
          </w:p>
        </w:tc>
        <w:tc>
          <w:tcPr>
            <w:tcW w:w="7544" w:type="dxa"/>
            <w:vAlign w:val="center"/>
          </w:tcPr>
          <w:p w14:paraId="699A3BF0">
            <w:pPr>
              <w:pageBreakBefore w:val="0"/>
              <w:widowControl w:val="0"/>
              <w:kinsoku/>
              <w:wordWrap w:val="0"/>
              <w:overflowPunct/>
              <w:topLinePunct w:val="0"/>
              <w:autoSpaceDE/>
              <w:autoSpaceDN/>
              <w:bidi w:val="0"/>
              <w:adjustRightInd w:val="0"/>
              <w:snapToGrid w:val="0"/>
              <w:spacing w:line="400" w:lineRule="exact"/>
              <w:ind w:left="0" w:leftChars="0" w:firstLine="401" w:firstLineChars="1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本工程最高投标限价在投标截止时间前15天以补充公告的形式在广东省招标投标监管网（http://zbtb.gd.gov.cn）、全国公共资源交易平台 （广东省 · 韶关市）（https://ygp.gdzwfw.gov.cn/ggzy-portal/#/440200/index）网站公布，各投标人可在上述网站上自行下载。</w:t>
            </w:r>
          </w:p>
        </w:tc>
      </w:tr>
      <w:tr w14:paraId="4E4F5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2" w:hRule="atLeast"/>
        </w:trPr>
        <w:tc>
          <w:tcPr>
            <w:tcW w:w="582" w:type="dxa"/>
            <w:vAlign w:val="center"/>
          </w:tcPr>
          <w:p w14:paraId="3E0E6845">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23</w:t>
            </w:r>
          </w:p>
        </w:tc>
        <w:tc>
          <w:tcPr>
            <w:tcW w:w="1860" w:type="dxa"/>
            <w:vAlign w:val="center"/>
          </w:tcPr>
          <w:p w14:paraId="0D0D0A1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投标人的投标报价</w:t>
            </w:r>
          </w:p>
        </w:tc>
        <w:tc>
          <w:tcPr>
            <w:tcW w:w="7544" w:type="dxa"/>
            <w:vAlign w:val="center"/>
          </w:tcPr>
          <w:p w14:paraId="7133753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01DD1AE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投标报价方式： ☑工程量清单报</w:t>
            </w:r>
          </w:p>
        </w:tc>
      </w:tr>
      <w:tr w14:paraId="664F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2B41BF8F">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24</w:t>
            </w:r>
          </w:p>
        </w:tc>
        <w:tc>
          <w:tcPr>
            <w:tcW w:w="1860" w:type="dxa"/>
            <w:vAlign w:val="center"/>
          </w:tcPr>
          <w:p w14:paraId="1820F47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投标报价风险</w:t>
            </w:r>
          </w:p>
        </w:tc>
        <w:tc>
          <w:tcPr>
            <w:tcW w:w="7544" w:type="dxa"/>
            <w:vAlign w:val="center"/>
          </w:tcPr>
          <w:p w14:paraId="2E356AE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☑投标人依据招标文件约定自行考虑风险因素，一旦中标，投标报价（合同价）除合同另有约定外将不因市场变化而调整。</w:t>
            </w:r>
          </w:p>
          <w:p w14:paraId="0602711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☑投标报价中应包括工程量清单项目所发生的人工费、材料费、机具费、管理费、利润、措施项目费、其它项目费、税金、暂列金额、</w:t>
            </w:r>
            <w:r>
              <w:rPr>
                <w:rFonts w:hint="eastAsia" w:asciiTheme="minorEastAsia" w:hAnsiTheme="minorEastAsia" w:eastAsiaTheme="minorEastAsia" w:cstheme="minorEastAsia"/>
                <w:snapToGrid w:val="0"/>
                <w:color w:val="auto"/>
                <w:kern w:val="0"/>
                <w:sz w:val="21"/>
                <w:szCs w:val="21"/>
                <w:highlight w:val="none"/>
                <w:lang w:val="en-US" w:eastAsia="zh-CN"/>
              </w:rPr>
              <w:t>专业工程</w:t>
            </w:r>
            <w:r>
              <w:rPr>
                <w:rFonts w:hint="eastAsia" w:asciiTheme="minorEastAsia" w:hAnsiTheme="minorEastAsia" w:eastAsiaTheme="minorEastAsia" w:cstheme="minorEastAsia"/>
                <w:snapToGrid w:val="0"/>
                <w:color w:val="auto"/>
                <w:kern w:val="0"/>
                <w:sz w:val="21"/>
                <w:szCs w:val="21"/>
                <w:highlight w:val="none"/>
                <w:lang w:eastAsia="zh-CN"/>
              </w:rPr>
              <w:t>暂估价以及所有风险、责任等各项费用。</w:t>
            </w:r>
          </w:p>
          <w:p w14:paraId="6588B20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☑人工费、材料费、机具费、管理费、利润、措施项目费（不含</w:t>
            </w:r>
            <w:r>
              <w:rPr>
                <w:rFonts w:hint="eastAsia" w:asciiTheme="minorEastAsia" w:hAnsiTheme="minorEastAsia" w:eastAsiaTheme="minorEastAsia" w:cstheme="minorEastAsia"/>
                <w:snapToGrid w:val="0"/>
                <w:color w:val="auto"/>
                <w:kern w:val="0"/>
                <w:sz w:val="21"/>
                <w:szCs w:val="21"/>
                <w:highlight w:val="none"/>
                <w:lang w:val="en-US" w:eastAsia="zh-CN"/>
              </w:rPr>
              <w:t>安全生产措施费</w:t>
            </w:r>
            <w:r>
              <w:rPr>
                <w:rFonts w:hint="eastAsia" w:asciiTheme="minorEastAsia" w:hAnsiTheme="minorEastAsia" w:eastAsiaTheme="minorEastAsia" w:cstheme="minorEastAsia"/>
                <w:snapToGrid w:val="0"/>
                <w:color w:val="auto"/>
                <w:kern w:val="0"/>
                <w:sz w:val="21"/>
                <w:szCs w:val="21"/>
                <w:highlight w:val="none"/>
                <w:lang w:eastAsia="zh-CN"/>
              </w:rPr>
              <w:t>）投标人漏报或不报，招标人视为有关费用已包括在工程量清单项目的其它单价及合价中不予另外增加。</w:t>
            </w:r>
          </w:p>
          <w:p w14:paraId="648E63A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b/>
                <w:bCs/>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lang w:eastAsia="zh-CN"/>
              </w:rPr>
              <w:t>措施项目中的安全生产措施费，必须按国家、省级、市级（即工程所在地）行业建设主管部门的规定计算，不得作为竞争性费用。</w:t>
            </w:r>
          </w:p>
          <w:p w14:paraId="7D8A46B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☑投标人应按照招标文件提供的工程量清单逐项填写单价和合价，投标人未填写的项目，招标人将视为此项费用已包括在工程量清单项目的其它单价及合价中不予另外增加。</w:t>
            </w:r>
          </w:p>
          <w:p w14:paraId="58860A4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☑投标人应按《建设工程工程量清单计价标准》（GB/T 50500-2024）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1EFA524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☑招标人向投标人提供的有关施工现场资料及数据，是招标人现有的能使投标人利用的资料，招标人对投标人据此作出的推论及理解概不负责。</w:t>
            </w:r>
          </w:p>
          <w:p w14:paraId="4E438C3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3893664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☑错漏项的认定。中标人已标价工程量清单中，任一清单项目未填报价格或价格为零的，招标人将视为此项费用已包括在工程量清单项目的其它单价及合价中不予另外增加。</w:t>
            </w:r>
          </w:p>
        </w:tc>
      </w:tr>
      <w:tr w14:paraId="66E56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rPr>
        <w:tc>
          <w:tcPr>
            <w:tcW w:w="582" w:type="dxa"/>
            <w:vAlign w:val="center"/>
          </w:tcPr>
          <w:p w14:paraId="6414FDC8">
            <w:pPr>
              <w:spacing w:before="284"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25</w:t>
            </w:r>
          </w:p>
        </w:tc>
        <w:tc>
          <w:tcPr>
            <w:tcW w:w="1860" w:type="dxa"/>
            <w:vAlign w:val="center"/>
          </w:tcPr>
          <w:p w14:paraId="4C71A8E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投标费用</w:t>
            </w:r>
          </w:p>
        </w:tc>
        <w:tc>
          <w:tcPr>
            <w:tcW w:w="7544" w:type="dxa"/>
            <w:vAlign w:val="center"/>
          </w:tcPr>
          <w:p w14:paraId="225B857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投标人自行承担编制与递交投标文件的一切费用。</w:t>
            </w:r>
          </w:p>
        </w:tc>
      </w:tr>
      <w:tr w14:paraId="5FFFB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8" w:hRule="atLeast"/>
        </w:trPr>
        <w:tc>
          <w:tcPr>
            <w:tcW w:w="582" w:type="dxa"/>
            <w:vAlign w:val="center"/>
          </w:tcPr>
          <w:p w14:paraId="7A4811E9">
            <w:pPr>
              <w:spacing w:before="69" w:line="188"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3"/>
                <w:sz w:val="21"/>
                <w:szCs w:val="21"/>
                <w:highlight w:val="none"/>
              </w:rPr>
              <w:t>2</w:t>
            </w:r>
            <w:r>
              <w:rPr>
                <w:rFonts w:hint="eastAsia" w:asciiTheme="minorEastAsia" w:hAnsiTheme="minorEastAsia" w:eastAsiaTheme="minorEastAsia" w:cstheme="minorEastAsia"/>
                <w:color w:val="auto"/>
                <w:spacing w:val="-3"/>
                <w:sz w:val="21"/>
                <w:szCs w:val="21"/>
                <w:highlight w:val="none"/>
                <w:lang w:val="en-US" w:eastAsia="zh-CN"/>
              </w:rPr>
              <w:t>6</w:t>
            </w:r>
          </w:p>
        </w:tc>
        <w:tc>
          <w:tcPr>
            <w:tcW w:w="1860" w:type="dxa"/>
            <w:vAlign w:val="center"/>
          </w:tcPr>
          <w:p w14:paraId="0786E8B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投标人资格要求</w:t>
            </w:r>
          </w:p>
        </w:tc>
        <w:tc>
          <w:tcPr>
            <w:tcW w:w="7544" w:type="dxa"/>
            <w:vAlign w:val="center"/>
          </w:tcPr>
          <w:p w14:paraId="1F0406C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1.本次招标</w:t>
            </w:r>
            <w:r>
              <w:rPr>
                <w:rFonts w:hint="eastAsia" w:asciiTheme="minorEastAsia" w:hAnsiTheme="minorEastAsia" w:eastAsiaTheme="minorEastAsia" w:cstheme="minorEastAsia"/>
                <w:snapToGrid w:val="0"/>
                <w:color w:val="auto"/>
                <w:kern w:val="0"/>
                <w:sz w:val="21"/>
                <w:szCs w:val="21"/>
                <w:highlight w:val="none"/>
                <w:u w:val="single"/>
                <w:lang w:eastAsia="zh-CN"/>
              </w:rPr>
              <w:t>不接受</w:t>
            </w:r>
            <w:r>
              <w:rPr>
                <w:rFonts w:hint="eastAsia" w:asciiTheme="minorEastAsia" w:hAnsiTheme="minorEastAsia" w:eastAsiaTheme="minorEastAsia" w:cstheme="minorEastAsia"/>
                <w:snapToGrid w:val="0"/>
                <w:color w:val="auto"/>
                <w:kern w:val="0"/>
                <w:sz w:val="21"/>
                <w:szCs w:val="21"/>
                <w:highlight w:val="none"/>
                <w:lang w:eastAsia="zh-CN"/>
              </w:rPr>
              <w:t>联合体投标。</w:t>
            </w:r>
          </w:p>
          <w:p w14:paraId="249C9AE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2．资质要求</w:t>
            </w:r>
          </w:p>
          <w:p w14:paraId="64899B7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2.1 投标人须具备独立法人资格，按国家法律经营。</w:t>
            </w:r>
          </w:p>
          <w:p w14:paraId="710042A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2.2 投标人须持有建设行政主管部门颁发的企业资质证书及安全生产许可证。</w:t>
            </w:r>
          </w:p>
          <w:p w14:paraId="42052BA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2.3 投标人须具备以下资质：</w:t>
            </w:r>
            <w:r>
              <w:rPr>
                <w:rFonts w:hint="eastAsia" w:asciiTheme="minorEastAsia" w:hAnsiTheme="minorEastAsia" w:eastAsiaTheme="minorEastAsia" w:cstheme="minorEastAsia"/>
                <w:snapToGrid w:val="0"/>
                <w:color w:val="auto"/>
                <w:kern w:val="0"/>
                <w:sz w:val="21"/>
                <w:szCs w:val="21"/>
                <w:highlight w:val="none"/>
                <w:u w:val="single"/>
                <w:lang w:eastAsia="zh-CN"/>
              </w:rPr>
              <w:t>具有建设行政主管部门颁发的</w:t>
            </w:r>
            <w:r>
              <w:rPr>
                <w:rFonts w:hint="eastAsia" w:asciiTheme="minorEastAsia" w:hAnsiTheme="minorEastAsia" w:eastAsiaTheme="minorEastAsia" w:cstheme="minorEastAsia"/>
                <w:snapToGrid w:val="0"/>
                <w:color w:val="auto"/>
                <w:kern w:val="0"/>
                <w:sz w:val="21"/>
                <w:szCs w:val="21"/>
                <w:highlight w:val="none"/>
                <w:u w:val="single"/>
                <w:lang w:val="en-US" w:eastAsia="zh-CN"/>
              </w:rPr>
              <w:t>建筑工程施工总承包三级以上（含三级）</w:t>
            </w:r>
            <w:r>
              <w:rPr>
                <w:rFonts w:hint="eastAsia" w:asciiTheme="minorEastAsia" w:hAnsiTheme="minorEastAsia" w:eastAsiaTheme="minorEastAsia" w:cstheme="minorEastAsia"/>
                <w:snapToGrid w:val="0"/>
                <w:color w:val="auto"/>
                <w:kern w:val="0"/>
                <w:sz w:val="21"/>
                <w:szCs w:val="21"/>
                <w:highlight w:val="none"/>
                <w:u w:val="single"/>
                <w:lang w:eastAsia="zh-CN"/>
              </w:rPr>
              <w:t>以上资质</w:t>
            </w:r>
            <w:r>
              <w:rPr>
                <w:rFonts w:hint="eastAsia" w:asciiTheme="minorEastAsia" w:hAnsiTheme="minorEastAsia" w:eastAsiaTheme="minorEastAsia" w:cstheme="minorEastAsia"/>
                <w:snapToGrid w:val="0"/>
                <w:color w:val="auto"/>
                <w:kern w:val="0"/>
                <w:sz w:val="21"/>
                <w:szCs w:val="21"/>
                <w:highlight w:val="none"/>
                <w:lang w:eastAsia="zh-CN"/>
              </w:rPr>
              <w:t>。</w:t>
            </w:r>
          </w:p>
          <w:p w14:paraId="60E86E35">
            <w:pPr>
              <w:pageBreakBefore w:val="0"/>
              <w:widowControl w:val="0"/>
              <w:kinsoku/>
              <w:wordWrap w:val="0"/>
              <w:overflowPunct/>
              <w:topLinePunct w:val="0"/>
              <w:autoSpaceDE/>
              <w:autoSpaceDN/>
              <w:bidi w:val="0"/>
              <w:adjustRightInd w:val="0"/>
              <w:snapToGrid w:val="0"/>
              <w:spacing w:line="400" w:lineRule="exact"/>
              <w:ind w:left="0" w:leftChars="0" w:right="5" w:righ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2.4 </w:t>
            </w:r>
            <w:r>
              <w:rPr>
                <w:rFonts w:hint="eastAsia" w:asciiTheme="minorEastAsia" w:hAnsiTheme="minorEastAsia" w:eastAsiaTheme="minorEastAsia" w:cstheme="minorEastAsia"/>
                <w:snapToGrid w:val="0"/>
                <w:color w:val="auto"/>
                <w:kern w:val="0"/>
                <w:sz w:val="21"/>
                <w:szCs w:val="21"/>
                <w:highlight w:val="none"/>
                <w:lang w:val="en-US"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0C01C18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3．相关人员要求</w:t>
            </w:r>
          </w:p>
          <w:p w14:paraId="6FC8303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3.1  </w:t>
            </w:r>
            <w:r>
              <w:rPr>
                <w:rFonts w:hint="eastAsia" w:asciiTheme="minorEastAsia" w:hAnsiTheme="minorEastAsia" w:eastAsiaTheme="minorEastAsia" w:cstheme="minorEastAsia"/>
                <w:snapToGrid w:val="0"/>
                <w:color w:val="auto"/>
                <w:kern w:val="0"/>
                <w:sz w:val="21"/>
                <w:szCs w:val="21"/>
                <w:highlight w:val="none"/>
                <w:lang w:val="en-US" w:eastAsia="zh-CN"/>
              </w:rPr>
              <w:t>拟派项目经理为</w:t>
            </w:r>
            <w:r>
              <w:rPr>
                <w:rFonts w:hint="eastAsia" w:asciiTheme="minorEastAsia" w:hAnsiTheme="minorEastAsia" w:eastAsiaTheme="minorEastAsia" w:cstheme="minorEastAsia"/>
                <w:snapToGrid w:val="0"/>
                <w:color w:val="auto"/>
                <w:kern w:val="0"/>
                <w:sz w:val="21"/>
                <w:szCs w:val="21"/>
                <w:highlight w:val="none"/>
                <w:u w:val="single"/>
                <w:lang w:val="en-US" w:eastAsia="zh-CN"/>
              </w:rPr>
              <w:t xml:space="preserve"> 建筑工程 </w:t>
            </w:r>
            <w:r>
              <w:rPr>
                <w:rFonts w:hint="eastAsia" w:asciiTheme="minorEastAsia" w:hAnsiTheme="minorEastAsia" w:eastAsiaTheme="minorEastAsia" w:cstheme="minorEastAsia"/>
                <w:snapToGrid w:val="0"/>
                <w:color w:val="auto"/>
                <w:kern w:val="0"/>
                <w:sz w:val="21"/>
                <w:szCs w:val="21"/>
                <w:highlight w:val="none"/>
                <w:lang w:val="en-US" w:eastAsia="zh-CN"/>
              </w:rPr>
              <w:t>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w:t>
            </w:r>
            <w:r>
              <w:rPr>
                <w:rFonts w:hint="eastAsia" w:asciiTheme="minorEastAsia" w:hAnsiTheme="minorEastAsia" w:eastAsiaTheme="minorEastAsia" w:cstheme="minorEastAsia"/>
                <w:snapToGrid w:val="0"/>
                <w:color w:val="auto"/>
                <w:kern w:val="0"/>
                <w:sz w:val="21"/>
                <w:szCs w:val="21"/>
                <w:highlight w:val="none"/>
                <w:lang w:eastAsia="zh-CN"/>
              </w:rPr>
              <w:t>。</w:t>
            </w:r>
          </w:p>
          <w:p w14:paraId="60D9B5C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3.2 拟派项目技术负责人须具备</w:t>
            </w:r>
            <w:r>
              <w:rPr>
                <w:rFonts w:hint="eastAsia" w:asciiTheme="minorEastAsia" w:hAnsiTheme="minorEastAsia" w:eastAsiaTheme="minorEastAsia" w:cstheme="minorEastAsia"/>
                <w:snapToGrid w:val="0"/>
                <w:color w:val="auto"/>
                <w:kern w:val="0"/>
                <w:sz w:val="21"/>
                <w:szCs w:val="21"/>
                <w:highlight w:val="none"/>
                <w:u w:val="single"/>
                <w:lang w:val="en-US" w:eastAsia="zh-CN"/>
              </w:rPr>
              <w:t>建筑工程</w:t>
            </w:r>
            <w:r>
              <w:rPr>
                <w:rFonts w:hint="eastAsia" w:asciiTheme="minorEastAsia" w:hAnsiTheme="minorEastAsia" w:eastAsiaTheme="minorEastAsia" w:cstheme="minorEastAsia"/>
                <w:snapToGrid w:val="0"/>
                <w:color w:val="auto"/>
                <w:kern w:val="0"/>
                <w:sz w:val="21"/>
                <w:szCs w:val="21"/>
                <w:highlight w:val="none"/>
                <w:u w:val="none"/>
                <w:lang w:val="en-US" w:eastAsia="zh-CN"/>
              </w:rPr>
              <w:t>类</w:t>
            </w:r>
            <w:r>
              <w:rPr>
                <w:rFonts w:hint="eastAsia" w:asciiTheme="minorEastAsia" w:hAnsiTheme="minorEastAsia" w:eastAsiaTheme="minorEastAsia" w:cstheme="minorEastAsia"/>
                <w:snapToGrid w:val="0"/>
                <w:color w:val="auto"/>
                <w:kern w:val="0"/>
                <w:sz w:val="21"/>
                <w:szCs w:val="21"/>
                <w:highlight w:val="none"/>
                <w:lang w:eastAsia="zh-CN"/>
              </w:rPr>
              <w:t>相关专业</w:t>
            </w:r>
            <w:r>
              <w:rPr>
                <w:rFonts w:hint="eastAsia" w:asciiTheme="minorEastAsia" w:hAnsiTheme="minorEastAsia" w:eastAsiaTheme="minorEastAsia" w:cstheme="minorEastAsia"/>
                <w:snapToGrid w:val="0"/>
                <w:color w:val="auto"/>
                <w:kern w:val="0"/>
                <w:sz w:val="21"/>
                <w:szCs w:val="21"/>
                <w:highlight w:val="none"/>
                <w:lang w:val="en-US" w:eastAsia="zh-CN"/>
              </w:rPr>
              <w:t>中</w:t>
            </w:r>
            <w:r>
              <w:rPr>
                <w:rFonts w:hint="eastAsia" w:asciiTheme="minorEastAsia" w:hAnsiTheme="minorEastAsia" w:eastAsiaTheme="minorEastAsia" w:cstheme="minorEastAsia"/>
                <w:snapToGrid w:val="0"/>
                <w:color w:val="auto"/>
                <w:kern w:val="0"/>
                <w:sz w:val="21"/>
                <w:szCs w:val="21"/>
                <w:highlight w:val="none"/>
                <w:lang w:eastAsia="zh-CN"/>
              </w:rPr>
              <w:t>级以上（含</w:t>
            </w:r>
            <w:r>
              <w:rPr>
                <w:rFonts w:hint="eastAsia" w:asciiTheme="minorEastAsia" w:hAnsiTheme="minorEastAsia" w:eastAsiaTheme="minorEastAsia" w:cstheme="minorEastAsia"/>
                <w:snapToGrid w:val="0"/>
                <w:color w:val="auto"/>
                <w:kern w:val="0"/>
                <w:sz w:val="21"/>
                <w:szCs w:val="21"/>
                <w:highlight w:val="none"/>
                <w:lang w:val="en-US" w:eastAsia="zh-CN"/>
              </w:rPr>
              <w:t>中</w:t>
            </w:r>
            <w:r>
              <w:rPr>
                <w:rFonts w:hint="eastAsia" w:asciiTheme="minorEastAsia" w:hAnsiTheme="minorEastAsia" w:eastAsiaTheme="minorEastAsia" w:cstheme="minorEastAsia"/>
                <w:snapToGrid w:val="0"/>
                <w:color w:val="auto"/>
                <w:kern w:val="0"/>
                <w:sz w:val="21"/>
                <w:szCs w:val="21"/>
                <w:highlight w:val="none"/>
                <w:lang w:eastAsia="zh-CN"/>
              </w:rPr>
              <w:t>级）技术职称。</w:t>
            </w:r>
          </w:p>
          <w:p w14:paraId="2030FE5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3.3 投标人拟派专职安全生产管理人员须具备有效安全生产考核合格证明（C证，安全生产考核合格证书或“广东省建筑施工企业管理人员安全生产考核系统”考核合格信息打印页），且不少于 </w:t>
            </w:r>
            <w:r>
              <w:rPr>
                <w:rFonts w:hint="eastAsia" w:asciiTheme="minorEastAsia" w:hAnsiTheme="minorEastAsia" w:eastAsiaTheme="minorEastAsia" w:cstheme="minorEastAsia"/>
                <w:snapToGrid w:val="0"/>
                <w:color w:val="auto"/>
                <w:kern w:val="0"/>
                <w:sz w:val="21"/>
                <w:szCs w:val="21"/>
                <w:highlight w:val="none"/>
                <w:lang w:val="en-US" w:eastAsia="zh-CN"/>
              </w:rPr>
              <w:t>1</w:t>
            </w:r>
            <w:r>
              <w:rPr>
                <w:rFonts w:hint="eastAsia" w:asciiTheme="minorEastAsia" w:hAnsiTheme="minorEastAsia" w:eastAsiaTheme="minorEastAsia" w:cstheme="minorEastAsia"/>
                <w:snapToGrid w:val="0"/>
                <w:color w:val="auto"/>
                <w:kern w:val="0"/>
                <w:sz w:val="21"/>
                <w:szCs w:val="21"/>
                <w:highlight w:val="none"/>
                <w:lang w:eastAsia="zh-CN"/>
              </w:rPr>
              <w:t xml:space="preserve"> 人。</w:t>
            </w:r>
          </w:p>
          <w:p w14:paraId="21CFF58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3.4 投标人与其拟派往本项目管理机构的所有人员之间必须具备合法、唯一的劳动聘用关系。拟派人员中具备注册执业资格的，其注册单位须与投标人保持一致（提供社保缴纳证明或劳动合同）。</w:t>
            </w:r>
          </w:p>
          <w:p w14:paraId="4626643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 ．禁止投标条款：</w:t>
            </w:r>
          </w:p>
          <w:p w14:paraId="74FC150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4.1  投标人不得存在下列情形之一：</w:t>
            </w:r>
          </w:p>
          <w:p w14:paraId="6B9ABBE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（1）为招标人不具有独立法人资格的附属机构（单位）；</w:t>
            </w:r>
          </w:p>
          <w:p w14:paraId="633C9F8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（2）为本招标项目前期准备提供设计或咨询服务的；</w:t>
            </w:r>
          </w:p>
          <w:p w14:paraId="7070AC1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（3）与本招标项目的其他投标人为同一个单位负责人；</w:t>
            </w:r>
          </w:p>
          <w:p w14:paraId="49F4C83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（4）与本招标项目的其他投标人存在控股、管理关系；</w:t>
            </w:r>
          </w:p>
          <w:p w14:paraId="29D809C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（5）为本招标项目的监理人；</w:t>
            </w:r>
          </w:p>
          <w:p w14:paraId="040C32B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（6）为本招标项目的代建人；</w:t>
            </w:r>
          </w:p>
          <w:p w14:paraId="249688B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（7）为本招标项目的招标代理机构；</w:t>
            </w:r>
          </w:p>
          <w:p w14:paraId="0D904BC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（8）与本招标项目的监理人或代建人或招标代理机构同为一个法定代表人；</w:t>
            </w:r>
          </w:p>
          <w:p w14:paraId="2A03126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（9）与本招标项目的监理人或代建人或招标代理机构存在控股或参股关系；</w:t>
            </w:r>
          </w:p>
          <w:p w14:paraId="4426A53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（10）与本招标项目的监理人或代建人或招标代理机构存在相互任职或工作关系；</w:t>
            </w:r>
          </w:p>
          <w:p w14:paraId="033E4C8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（11）被依法暂停或者取消投标资格；</w:t>
            </w:r>
          </w:p>
          <w:p w14:paraId="56D9D60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（12）被责令停产停业、暂扣或者吊销许可证、暂扣或者吊销执照；</w:t>
            </w:r>
          </w:p>
          <w:p w14:paraId="1992EDF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（13）进入清算程序，或被宣告破产，或其他丧失履约能力的情形；</w:t>
            </w:r>
          </w:p>
          <w:p w14:paraId="56C6214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（14）在最近三年内发生重大工程质量或安全问题（以相关行业 主管部门的行政处罚决定或司法机关出具的有关法律文书为准）；</w:t>
            </w:r>
          </w:p>
          <w:p w14:paraId="5C943DD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（15）被“信用中国 ”网站（https://www.creditchina.gov.cn）发布的《法人和非法人组织公共信用信息报告》列为严重失信主体名单的。</w:t>
            </w:r>
          </w:p>
          <w:p w14:paraId="51742BA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4.2  招标人拒绝以下名单中的单位参加本次投标：</w:t>
            </w:r>
          </w:p>
          <w:tbl>
            <w:tblPr>
              <w:tblStyle w:val="14"/>
              <w:tblW w:w="6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3367"/>
              <w:gridCol w:w="2910"/>
            </w:tblGrid>
            <w:tr w14:paraId="118EC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61" w:type="dxa"/>
                  <w:vAlign w:val="center"/>
                </w:tcPr>
                <w:p w14:paraId="6CBCE8F7">
                  <w:pPr>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序号</w:t>
                  </w:r>
                </w:p>
              </w:tc>
              <w:tc>
                <w:tcPr>
                  <w:tcW w:w="3367" w:type="dxa"/>
                  <w:vAlign w:val="center"/>
                </w:tcPr>
                <w:p w14:paraId="68D924E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单位名称</w:t>
                  </w:r>
                </w:p>
              </w:tc>
              <w:tc>
                <w:tcPr>
                  <w:tcW w:w="2910" w:type="dxa"/>
                  <w:vAlign w:val="center"/>
                </w:tcPr>
                <w:p w14:paraId="1ED3D5D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拒绝原因</w:t>
                  </w:r>
                </w:p>
              </w:tc>
            </w:tr>
            <w:tr w14:paraId="0248B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661" w:type="dxa"/>
                  <w:vAlign w:val="center"/>
                </w:tcPr>
                <w:p w14:paraId="222835B7">
                  <w:pPr>
                    <w:pStyle w:val="23"/>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1</w:t>
                  </w:r>
                </w:p>
              </w:tc>
              <w:tc>
                <w:tcPr>
                  <w:tcW w:w="3367" w:type="dxa"/>
                  <w:vAlign w:val="center"/>
                </w:tcPr>
                <w:p w14:paraId="3C439119">
                  <w:pPr>
                    <w:pStyle w:val="23"/>
                    <w:wordWrap w:val="0"/>
                    <w:adjustRightInd w:val="0"/>
                    <w:snapToGrid w:val="0"/>
                    <w:spacing w:line="340" w:lineRule="exact"/>
                    <w:jc w:val="center"/>
                    <w:rPr>
                      <w:rFonts w:hint="eastAsia" w:ascii="宋体" w:hAnsi="宋体" w:eastAsia="宋体" w:cs="宋体"/>
                      <w:color w:val="auto"/>
                      <w:sz w:val="21"/>
                      <w:szCs w:val="21"/>
                      <w:highlight w:val="none"/>
                      <w:lang w:val="en-US" w:eastAsia="zh-CN"/>
                    </w:rPr>
                  </w:pPr>
                  <w:r>
                    <w:rPr>
                      <w:rFonts w:hint="eastAsia" w:ascii="宋体" w:hAnsi="宋体" w:cs="宋体"/>
                      <w:snapToGrid w:val="0"/>
                      <w:color w:val="auto"/>
                      <w:kern w:val="0"/>
                      <w:sz w:val="21"/>
                      <w:szCs w:val="21"/>
                      <w:highlight w:val="none"/>
                      <w:lang w:eastAsia="zh-CN"/>
                    </w:rPr>
                    <w:t>韶关市武江区江湾镇人民政府</w:t>
                  </w:r>
                </w:p>
              </w:tc>
              <w:tc>
                <w:tcPr>
                  <w:tcW w:w="2910" w:type="dxa"/>
                  <w:vAlign w:val="center"/>
                </w:tcPr>
                <w:p w14:paraId="49CCDC7E">
                  <w:pPr>
                    <w:pStyle w:val="23"/>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为本招标项目的招标人</w:t>
                  </w:r>
                </w:p>
              </w:tc>
            </w:tr>
            <w:tr w14:paraId="538AA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61" w:type="dxa"/>
                  <w:vAlign w:val="center"/>
                </w:tcPr>
                <w:p w14:paraId="2BC09F4D">
                  <w:pPr>
                    <w:pStyle w:val="23"/>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2</w:t>
                  </w:r>
                </w:p>
              </w:tc>
              <w:tc>
                <w:tcPr>
                  <w:tcW w:w="3367" w:type="dxa"/>
                  <w:vAlign w:val="center"/>
                </w:tcPr>
                <w:p w14:paraId="2B44927A">
                  <w:pPr>
                    <w:pStyle w:val="23"/>
                    <w:wordWrap w:val="0"/>
                    <w:adjustRightInd w:val="0"/>
                    <w:snapToGrid w:val="0"/>
                    <w:spacing w:line="340" w:lineRule="exact"/>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海通国际设计有限公司</w:t>
                  </w:r>
                </w:p>
              </w:tc>
              <w:tc>
                <w:tcPr>
                  <w:tcW w:w="2910" w:type="dxa"/>
                  <w:vAlign w:val="center"/>
                </w:tcPr>
                <w:p w14:paraId="2A87CD39">
                  <w:pPr>
                    <w:pStyle w:val="23"/>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为本招标项目的招标代理机构</w:t>
                  </w:r>
                </w:p>
              </w:tc>
            </w:tr>
            <w:tr w14:paraId="79F3C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661" w:type="dxa"/>
                  <w:vAlign w:val="center"/>
                </w:tcPr>
                <w:p w14:paraId="053DDA25">
                  <w:pPr>
                    <w:pStyle w:val="23"/>
                    <w:wordWrap w:val="0"/>
                    <w:adjustRightInd w:val="0"/>
                    <w:snapToGrid w:val="0"/>
                    <w:spacing w:line="34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3</w:t>
                  </w:r>
                </w:p>
              </w:tc>
              <w:tc>
                <w:tcPr>
                  <w:tcW w:w="3367" w:type="dxa"/>
                  <w:vAlign w:val="center"/>
                </w:tcPr>
                <w:p w14:paraId="39E4800A">
                  <w:pPr>
                    <w:pStyle w:val="23"/>
                    <w:wordWrap w:val="0"/>
                    <w:adjustRightInd w:val="0"/>
                    <w:snapToGrid w:val="0"/>
                    <w:spacing w:line="340" w:lineRule="exact"/>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天尚设计集团有限公司</w:t>
                  </w:r>
                </w:p>
              </w:tc>
              <w:tc>
                <w:tcPr>
                  <w:tcW w:w="2910" w:type="dxa"/>
                  <w:vAlign w:val="center"/>
                </w:tcPr>
                <w:p w14:paraId="74FCA806">
                  <w:pPr>
                    <w:pStyle w:val="23"/>
                    <w:wordWrap w:val="0"/>
                    <w:adjustRightInd w:val="0"/>
                    <w:snapToGrid w:val="0"/>
                    <w:spacing w:line="340" w:lineRule="exact"/>
                    <w:jc w:val="center"/>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w:t>
                  </w:r>
                  <w:r>
                    <w:rPr>
                      <w:rFonts w:hint="eastAsia" w:ascii="宋体" w:hAnsi="宋体" w:cs="宋体"/>
                      <w:snapToGrid w:val="0"/>
                      <w:color w:val="auto"/>
                      <w:kern w:val="0"/>
                      <w:sz w:val="21"/>
                      <w:szCs w:val="21"/>
                      <w:highlight w:val="none"/>
                      <w:lang w:val="en-US" w:eastAsia="zh-CN"/>
                    </w:rPr>
                    <w:t>设计单位</w:t>
                  </w:r>
                </w:p>
              </w:tc>
            </w:tr>
            <w:tr w14:paraId="394A5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61" w:type="dxa"/>
                  <w:vAlign w:val="center"/>
                </w:tcPr>
                <w:p w14:paraId="735212A2">
                  <w:pPr>
                    <w:pStyle w:val="23"/>
                    <w:wordWrap w:val="0"/>
                    <w:adjustRightInd w:val="0"/>
                    <w:snapToGrid w:val="0"/>
                    <w:spacing w:line="340" w:lineRule="exact"/>
                    <w:jc w:val="center"/>
                    <w:rPr>
                      <w:rFonts w:hint="default" w:ascii="宋体" w:hAnsi="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4</w:t>
                  </w:r>
                </w:p>
              </w:tc>
              <w:tc>
                <w:tcPr>
                  <w:tcW w:w="3367" w:type="dxa"/>
                  <w:vAlign w:val="center"/>
                </w:tcPr>
                <w:p w14:paraId="7ADA1766">
                  <w:pPr>
                    <w:keepNext w:val="0"/>
                    <w:keepLines w:val="0"/>
                    <w:pageBreakBefore w:val="0"/>
                    <w:widowControl w:val="0"/>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智埔国际建设集团有限公司</w:t>
                  </w:r>
                </w:p>
              </w:tc>
              <w:tc>
                <w:tcPr>
                  <w:tcW w:w="2910" w:type="dxa"/>
                  <w:vAlign w:val="center"/>
                </w:tcPr>
                <w:p w14:paraId="30A71577">
                  <w:pPr>
                    <w:keepNext w:val="0"/>
                    <w:keepLines w:val="0"/>
                    <w:pageBreakBefore w:val="0"/>
                    <w:widowControl w:val="0"/>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为本招标项目的全过程造价咨询单位</w:t>
                  </w:r>
                </w:p>
              </w:tc>
            </w:tr>
            <w:tr w14:paraId="096BD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661" w:type="dxa"/>
                  <w:vAlign w:val="center"/>
                </w:tcPr>
                <w:p w14:paraId="40D58EC4">
                  <w:pPr>
                    <w:pStyle w:val="23"/>
                    <w:wordWrap w:val="0"/>
                    <w:adjustRightInd w:val="0"/>
                    <w:snapToGrid w:val="0"/>
                    <w:spacing w:line="340" w:lineRule="exact"/>
                    <w:jc w:val="center"/>
                    <w:rPr>
                      <w:rFonts w:hint="default" w:ascii="宋体" w:hAnsi="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5</w:t>
                  </w:r>
                </w:p>
              </w:tc>
              <w:tc>
                <w:tcPr>
                  <w:tcW w:w="3367" w:type="dxa"/>
                  <w:vAlign w:val="center"/>
                </w:tcPr>
                <w:p w14:paraId="2221752A">
                  <w:pPr>
                    <w:keepNext w:val="0"/>
                    <w:keepLines w:val="0"/>
                    <w:pageBreakBefore w:val="0"/>
                    <w:widowControl w:val="0"/>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韶关地质工程勘察院有限公司</w:t>
                  </w:r>
                </w:p>
              </w:tc>
              <w:tc>
                <w:tcPr>
                  <w:tcW w:w="2910" w:type="dxa"/>
                  <w:vAlign w:val="center"/>
                </w:tcPr>
                <w:p w14:paraId="4B7354DB">
                  <w:pPr>
                    <w:keepNext w:val="0"/>
                    <w:keepLines w:val="0"/>
                    <w:pageBreakBefore w:val="0"/>
                    <w:widowControl w:val="0"/>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本项目工程勘察单位</w:t>
                  </w:r>
                </w:p>
              </w:tc>
            </w:tr>
            <w:tr w14:paraId="34433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661" w:type="dxa"/>
                  <w:vAlign w:val="center"/>
                </w:tcPr>
                <w:p w14:paraId="438D8D30">
                  <w:pPr>
                    <w:pStyle w:val="23"/>
                    <w:wordWrap w:val="0"/>
                    <w:adjustRightInd w:val="0"/>
                    <w:snapToGrid w:val="0"/>
                    <w:spacing w:line="340" w:lineRule="exact"/>
                    <w:jc w:val="center"/>
                    <w:rPr>
                      <w:rFonts w:hint="default" w:ascii="宋体" w:hAnsi="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6</w:t>
                  </w:r>
                </w:p>
              </w:tc>
              <w:tc>
                <w:tcPr>
                  <w:tcW w:w="3367" w:type="dxa"/>
                  <w:vAlign w:val="center"/>
                </w:tcPr>
                <w:p w14:paraId="0EF517D6">
                  <w:pPr>
                    <w:keepNext w:val="0"/>
                    <w:keepLines w:val="0"/>
                    <w:pageBreakBefore w:val="0"/>
                    <w:widowControl w:val="0"/>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广东省华源建设项目管理有限公司</w:t>
                  </w:r>
                </w:p>
              </w:tc>
              <w:tc>
                <w:tcPr>
                  <w:tcW w:w="2910" w:type="dxa"/>
                  <w:vAlign w:val="center"/>
                </w:tcPr>
                <w:p w14:paraId="7C2D1807">
                  <w:pPr>
                    <w:keepNext w:val="0"/>
                    <w:keepLines w:val="0"/>
                    <w:pageBreakBefore w:val="0"/>
                    <w:widowControl w:val="0"/>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为本项目可行性研究报告单位</w:t>
                  </w:r>
                </w:p>
              </w:tc>
            </w:tr>
          </w:tbl>
          <w:p w14:paraId="4842427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5 ．其他要求</w:t>
            </w:r>
          </w:p>
          <w:p w14:paraId="1C70EAF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省外企业及其拟派往本项目管理机构的所有人员均须按照《广东省住房和城乡建设厅关于取消省外建筑企业和人员进粤信息备案有关工作的通知》（粤建市﹝2015 ﹞52 号）规定在“进粤企业和人员诚信信息登记平台”录入相关信息并通过数据规范检查。</w:t>
            </w:r>
          </w:p>
        </w:tc>
      </w:tr>
      <w:tr w14:paraId="4DA7A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6" w:hRule="atLeast"/>
        </w:trPr>
        <w:tc>
          <w:tcPr>
            <w:tcW w:w="582" w:type="dxa"/>
            <w:vAlign w:val="center"/>
          </w:tcPr>
          <w:p w14:paraId="6C795553">
            <w:pPr>
              <w:spacing w:before="19"/>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27</w:t>
            </w:r>
          </w:p>
        </w:tc>
        <w:tc>
          <w:tcPr>
            <w:tcW w:w="1860" w:type="dxa"/>
            <w:vAlign w:val="center"/>
          </w:tcPr>
          <w:p w14:paraId="315C6AC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投标有效期</w:t>
            </w:r>
          </w:p>
        </w:tc>
        <w:tc>
          <w:tcPr>
            <w:tcW w:w="7544" w:type="dxa"/>
            <w:vAlign w:val="center"/>
          </w:tcPr>
          <w:p w14:paraId="10AD749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本次招标的投标有效期为</w:t>
            </w:r>
            <w:r>
              <w:rPr>
                <w:rFonts w:hint="eastAsia" w:asciiTheme="minorEastAsia" w:hAnsiTheme="minorEastAsia" w:eastAsiaTheme="minorEastAsia" w:cstheme="minorEastAsia"/>
                <w:snapToGrid w:val="0"/>
                <w:color w:val="auto"/>
                <w:kern w:val="0"/>
                <w:sz w:val="21"/>
                <w:szCs w:val="21"/>
                <w:highlight w:val="none"/>
                <w:u w:val="single"/>
                <w:lang w:eastAsia="zh-CN"/>
              </w:rPr>
              <w:t>90</w:t>
            </w:r>
            <w:r>
              <w:rPr>
                <w:rFonts w:hint="eastAsia" w:asciiTheme="minorEastAsia" w:hAnsiTheme="minorEastAsia" w:eastAsiaTheme="minorEastAsia" w:cstheme="minorEastAsia"/>
                <w:snapToGrid w:val="0"/>
                <w:color w:val="auto"/>
                <w:kern w:val="0"/>
                <w:sz w:val="21"/>
                <w:szCs w:val="21"/>
                <w:highlight w:val="none"/>
                <w:lang w:eastAsia="zh-CN"/>
              </w:rPr>
              <w:t xml:space="preserve"> 个日历天。</w:t>
            </w:r>
          </w:p>
        </w:tc>
      </w:tr>
      <w:tr w14:paraId="0581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trPr>
        <w:tc>
          <w:tcPr>
            <w:tcW w:w="582" w:type="dxa"/>
            <w:vAlign w:val="center"/>
          </w:tcPr>
          <w:p w14:paraId="7E0149C9">
            <w:pPr>
              <w:spacing w:before="19"/>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3"/>
                <w:sz w:val="21"/>
                <w:szCs w:val="21"/>
                <w:highlight w:val="none"/>
              </w:rPr>
              <w:t>2</w:t>
            </w:r>
            <w:r>
              <w:rPr>
                <w:rFonts w:hint="eastAsia" w:asciiTheme="minorEastAsia" w:hAnsiTheme="minorEastAsia" w:eastAsiaTheme="minorEastAsia" w:cstheme="minorEastAsia"/>
                <w:color w:val="auto"/>
                <w:spacing w:val="-3"/>
                <w:sz w:val="21"/>
                <w:szCs w:val="21"/>
                <w:highlight w:val="none"/>
                <w:lang w:val="en-US" w:eastAsia="zh-CN"/>
              </w:rPr>
              <w:t>8</w:t>
            </w:r>
          </w:p>
        </w:tc>
        <w:tc>
          <w:tcPr>
            <w:tcW w:w="1860" w:type="dxa"/>
            <w:vAlign w:val="center"/>
          </w:tcPr>
          <w:p w14:paraId="21626DA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投标文件组成</w:t>
            </w:r>
          </w:p>
        </w:tc>
        <w:tc>
          <w:tcPr>
            <w:tcW w:w="7544" w:type="dxa"/>
            <w:vAlign w:val="center"/>
          </w:tcPr>
          <w:p w14:paraId="0891F66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投标文件包括商务标书、经济标书、施工组织设计</w:t>
            </w:r>
            <w:r>
              <w:rPr>
                <w:rFonts w:hint="eastAsia" w:asciiTheme="minorEastAsia" w:hAnsiTheme="minorEastAsia" w:eastAsiaTheme="minorEastAsia" w:cstheme="minorEastAsia"/>
                <w:snapToGrid w:val="0"/>
                <w:color w:val="auto"/>
                <w:kern w:val="0"/>
                <w:sz w:val="21"/>
                <w:szCs w:val="21"/>
                <w:highlight w:val="none"/>
                <w:lang w:val="en-US" w:eastAsia="zh-CN"/>
              </w:rPr>
              <w:t>和</w:t>
            </w:r>
            <w:r>
              <w:rPr>
                <w:rFonts w:hint="eastAsia" w:asciiTheme="minorEastAsia" w:hAnsiTheme="minorEastAsia" w:eastAsiaTheme="minorEastAsia" w:cstheme="minorEastAsia"/>
                <w:snapToGrid w:val="0"/>
                <w:color w:val="auto"/>
                <w:kern w:val="0"/>
                <w:sz w:val="21"/>
                <w:szCs w:val="21"/>
                <w:highlight w:val="none"/>
                <w:lang w:eastAsia="zh-CN"/>
              </w:rPr>
              <w:t>定标文件四个分册。</w:t>
            </w:r>
          </w:p>
        </w:tc>
      </w:tr>
      <w:tr w14:paraId="69F1D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82" w:type="dxa"/>
            <w:vAlign w:val="center"/>
          </w:tcPr>
          <w:p w14:paraId="080D10B9">
            <w:pPr>
              <w:spacing w:before="69" w:line="188" w:lineRule="auto"/>
              <w:ind w:left="205" w:leftChars="0"/>
              <w:jc w:val="both"/>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3"/>
                <w:sz w:val="21"/>
                <w:szCs w:val="21"/>
                <w:highlight w:val="none"/>
                <w:lang w:val="en-US" w:eastAsia="zh-CN"/>
              </w:rPr>
              <w:t>29</w:t>
            </w:r>
          </w:p>
        </w:tc>
        <w:tc>
          <w:tcPr>
            <w:tcW w:w="1860" w:type="dxa"/>
            <w:vAlign w:val="center"/>
          </w:tcPr>
          <w:p w14:paraId="60E2025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施工组织设计评审方式</w:t>
            </w:r>
          </w:p>
        </w:tc>
        <w:tc>
          <w:tcPr>
            <w:tcW w:w="7544" w:type="dxa"/>
            <w:vAlign w:val="center"/>
          </w:tcPr>
          <w:p w14:paraId="044BE8C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本次招标施工组织设计 不采用 “暗标 ”方式进行评审。</w:t>
            </w:r>
          </w:p>
        </w:tc>
      </w:tr>
      <w:tr w14:paraId="1418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vAlign w:val="center"/>
          </w:tcPr>
          <w:p w14:paraId="2A7F5E06">
            <w:pPr>
              <w:spacing w:before="69" w:line="188" w:lineRule="auto"/>
              <w:ind w:left="205" w:leftChars="0"/>
              <w:jc w:val="both"/>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3"/>
                <w:sz w:val="21"/>
                <w:szCs w:val="21"/>
                <w:highlight w:val="none"/>
                <w:lang w:val="en-US" w:eastAsia="zh-CN"/>
              </w:rPr>
              <w:t>30</w:t>
            </w:r>
          </w:p>
        </w:tc>
        <w:tc>
          <w:tcPr>
            <w:tcW w:w="1860" w:type="dxa"/>
            <w:vAlign w:val="center"/>
          </w:tcPr>
          <w:p w14:paraId="0106153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评标委员会</w:t>
            </w:r>
          </w:p>
        </w:tc>
        <w:tc>
          <w:tcPr>
            <w:tcW w:w="7544" w:type="dxa"/>
            <w:vAlign w:val="top"/>
          </w:tcPr>
          <w:p w14:paraId="1DF9186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评标委员会由 5 人组成，其中招标人代表</w:t>
            </w:r>
            <w:r>
              <w:rPr>
                <w:rFonts w:hint="eastAsia" w:asciiTheme="minorEastAsia" w:hAnsiTheme="minorEastAsia" w:eastAsiaTheme="minorEastAsia" w:cstheme="minorEastAsia"/>
                <w:snapToGrid w:val="0"/>
                <w:color w:val="auto"/>
                <w:kern w:val="0"/>
                <w:sz w:val="21"/>
                <w:szCs w:val="21"/>
                <w:highlight w:val="none"/>
                <w:lang w:val="en-US" w:eastAsia="zh-CN"/>
              </w:rPr>
              <w:t>1</w:t>
            </w:r>
            <w:r>
              <w:rPr>
                <w:rFonts w:hint="eastAsia" w:asciiTheme="minorEastAsia" w:hAnsiTheme="minorEastAsia" w:eastAsiaTheme="minorEastAsia" w:cstheme="minorEastAsia"/>
                <w:snapToGrid w:val="0"/>
                <w:color w:val="auto"/>
                <w:kern w:val="0"/>
                <w:sz w:val="21"/>
                <w:szCs w:val="21"/>
                <w:highlight w:val="none"/>
                <w:lang w:eastAsia="zh-CN"/>
              </w:rPr>
              <w:t xml:space="preserve"> 人，专家 </w:t>
            </w:r>
            <w:r>
              <w:rPr>
                <w:rFonts w:hint="eastAsia" w:asciiTheme="minorEastAsia" w:hAnsiTheme="minorEastAsia" w:eastAsiaTheme="minorEastAsia" w:cstheme="minorEastAsia"/>
                <w:snapToGrid w:val="0"/>
                <w:color w:val="auto"/>
                <w:kern w:val="0"/>
                <w:sz w:val="21"/>
                <w:szCs w:val="21"/>
                <w:highlight w:val="none"/>
                <w:lang w:val="en-US" w:eastAsia="zh-CN"/>
              </w:rPr>
              <w:t>4</w:t>
            </w:r>
            <w:r>
              <w:rPr>
                <w:rFonts w:hint="eastAsia" w:asciiTheme="minorEastAsia" w:hAnsiTheme="minorEastAsia" w:eastAsiaTheme="minorEastAsia" w:cstheme="minorEastAsia"/>
                <w:snapToGrid w:val="0"/>
                <w:color w:val="auto"/>
                <w:kern w:val="0"/>
                <w:sz w:val="21"/>
                <w:szCs w:val="21"/>
                <w:highlight w:val="none"/>
                <w:lang w:eastAsia="zh-CN"/>
              </w:rPr>
              <w:t xml:space="preserve"> 人。专家从广东省综合评标评审专家库中随机抽取，其中技术类专家 </w:t>
            </w:r>
            <w:r>
              <w:rPr>
                <w:rFonts w:hint="eastAsia" w:asciiTheme="minorEastAsia" w:hAnsiTheme="minorEastAsia" w:eastAsiaTheme="minorEastAsia" w:cstheme="minorEastAsia"/>
                <w:snapToGrid w:val="0"/>
                <w:color w:val="auto"/>
                <w:kern w:val="0"/>
                <w:sz w:val="21"/>
                <w:szCs w:val="21"/>
                <w:highlight w:val="none"/>
                <w:lang w:val="en-US" w:eastAsia="zh-CN"/>
              </w:rPr>
              <w:t>2</w:t>
            </w:r>
            <w:r>
              <w:rPr>
                <w:rFonts w:hint="eastAsia" w:asciiTheme="minorEastAsia" w:hAnsiTheme="minorEastAsia" w:eastAsiaTheme="minorEastAsia" w:cstheme="minorEastAsia"/>
                <w:snapToGrid w:val="0"/>
                <w:color w:val="auto"/>
                <w:kern w:val="0"/>
                <w:sz w:val="21"/>
                <w:szCs w:val="21"/>
                <w:highlight w:val="none"/>
                <w:lang w:eastAsia="zh-CN"/>
              </w:rPr>
              <w:t xml:space="preserve"> 人，经济类专家 2 人。</w:t>
            </w:r>
          </w:p>
          <w:p w14:paraId="1070B1F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color w:val="auto"/>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根据《广东省远程异地评标招标项目范围规定（试行）》，本项目需抽取省内异地评委远程参与评标。</w:t>
            </w:r>
          </w:p>
        </w:tc>
      </w:tr>
      <w:tr w14:paraId="76C08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vAlign w:val="center"/>
          </w:tcPr>
          <w:p w14:paraId="2AD4F28B">
            <w:pPr>
              <w:spacing w:before="69" w:line="188" w:lineRule="auto"/>
              <w:ind w:left="209" w:leftChars="0"/>
              <w:jc w:val="both"/>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rPr>
              <w:t>3</w:t>
            </w:r>
            <w:r>
              <w:rPr>
                <w:rFonts w:hint="eastAsia" w:asciiTheme="minorEastAsia" w:hAnsiTheme="minorEastAsia" w:eastAsiaTheme="minorEastAsia" w:cstheme="minorEastAsia"/>
                <w:color w:val="auto"/>
                <w:spacing w:val="-5"/>
                <w:sz w:val="21"/>
                <w:szCs w:val="21"/>
                <w:highlight w:val="none"/>
                <w:lang w:val="en-US" w:eastAsia="zh-CN"/>
              </w:rPr>
              <w:t>1</w:t>
            </w:r>
          </w:p>
        </w:tc>
        <w:tc>
          <w:tcPr>
            <w:tcW w:w="1860" w:type="dxa"/>
            <w:vAlign w:val="center"/>
          </w:tcPr>
          <w:p w14:paraId="36288FE7">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color w:val="auto"/>
                <w:sz w:val="21"/>
                <w:szCs w:val="21"/>
                <w:highlight w:val="none"/>
                <w:lang w:eastAsia="zh-CN"/>
              </w:rPr>
              <w:t>定</w:t>
            </w:r>
            <w:r>
              <w:rPr>
                <w:rFonts w:hint="eastAsia" w:ascii="宋体" w:hAnsi="宋体" w:eastAsia="宋体" w:cs="宋体"/>
                <w:color w:val="auto"/>
                <w:sz w:val="21"/>
                <w:szCs w:val="21"/>
                <w:highlight w:val="none"/>
              </w:rPr>
              <w:t>标委员会</w:t>
            </w:r>
          </w:p>
        </w:tc>
        <w:tc>
          <w:tcPr>
            <w:tcW w:w="7544" w:type="dxa"/>
            <w:vAlign w:val="center"/>
          </w:tcPr>
          <w:p w14:paraId="625D2317">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color w:val="auto"/>
                <w:sz w:val="21"/>
                <w:szCs w:val="21"/>
                <w:highlight w:val="none"/>
                <w:u w:val="none"/>
                <w:lang w:val="en-US" w:eastAsia="zh-CN"/>
              </w:rPr>
              <w:t>本</w:t>
            </w:r>
            <w:r>
              <w:rPr>
                <w:rFonts w:hint="eastAsia" w:ascii="宋体" w:hAnsi="宋体" w:eastAsia="宋体" w:cs="宋体"/>
                <w:color w:val="auto"/>
                <w:sz w:val="21"/>
                <w:szCs w:val="21"/>
                <w:highlight w:val="none"/>
                <w:u w:val="none"/>
                <w:lang w:eastAsia="zh-CN"/>
              </w:rPr>
              <w:t>项目</w:t>
            </w:r>
            <w:r>
              <w:rPr>
                <w:rFonts w:hint="eastAsia" w:ascii="宋体" w:hAnsi="宋体" w:eastAsia="宋体" w:cs="宋体"/>
                <w:color w:val="auto"/>
                <w:sz w:val="21"/>
                <w:szCs w:val="21"/>
                <w:highlight w:val="none"/>
                <w:u w:val="none"/>
              </w:rPr>
              <w:t>定标委员会</w:t>
            </w:r>
            <w:r>
              <w:rPr>
                <w:rFonts w:hint="eastAsia" w:ascii="宋体" w:hAnsi="宋体" w:eastAsia="宋体" w:cs="宋体"/>
                <w:color w:val="auto"/>
                <w:sz w:val="21"/>
                <w:szCs w:val="21"/>
                <w:highlight w:val="none"/>
                <w:u w:val="none"/>
                <w:lang w:eastAsia="zh-CN"/>
              </w:rPr>
              <w:t>组成人</w:t>
            </w:r>
            <w:r>
              <w:rPr>
                <w:rFonts w:hint="eastAsia" w:ascii="宋体" w:hAnsi="宋体" w:eastAsia="宋体" w:cs="宋体"/>
                <w:color w:val="auto"/>
                <w:sz w:val="21"/>
                <w:szCs w:val="21"/>
                <w:highlight w:val="none"/>
                <w:u w:val="none"/>
              </w:rPr>
              <w:t>员为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7 </w:t>
            </w:r>
            <w:r>
              <w:rPr>
                <w:rFonts w:hint="eastAsia" w:ascii="宋体" w:hAnsi="宋体" w:eastAsia="宋体" w:cs="宋体"/>
                <w:color w:val="auto"/>
                <w:sz w:val="21"/>
                <w:szCs w:val="21"/>
                <w:highlight w:val="none"/>
              </w:rPr>
              <w:t>人</w:t>
            </w:r>
            <w:r>
              <w:rPr>
                <w:rFonts w:hint="eastAsia" w:ascii="宋体" w:hAnsi="宋体" w:eastAsia="宋体" w:cs="宋体"/>
                <w:color w:val="auto"/>
                <w:sz w:val="21"/>
                <w:szCs w:val="21"/>
                <w:highlight w:val="none"/>
                <w:u w:val="none"/>
                <w:lang w:eastAsia="zh-CN"/>
              </w:rPr>
              <w:t>。</w:t>
            </w:r>
          </w:p>
        </w:tc>
      </w:tr>
      <w:tr w14:paraId="1DA8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58D68E09">
            <w:pPr>
              <w:spacing w:before="69" w:line="188" w:lineRule="auto"/>
              <w:ind w:left="209" w:leftChars="0"/>
              <w:jc w:val="both"/>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32</w:t>
            </w:r>
          </w:p>
        </w:tc>
        <w:tc>
          <w:tcPr>
            <w:tcW w:w="1860" w:type="dxa"/>
            <w:vAlign w:val="center"/>
          </w:tcPr>
          <w:p w14:paraId="1729A2D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评标方法</w:t>
            </w:r>
          </w:p>
        </w:tc>
        <w:tc>
          <w:tcPr>
            <w:tcW w:w="7544" w:type="dxa"/>
            <w:vAlign w:val="center"/>
          </w:tcPr>
          <w:p w14:paraId="196FD55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A＋B 值评标法  □经评审的最低投标价法   ☑综合评估法</w:t>
            </w:r>
          </w:p>
        </w:tc>
      </w:tr>
      <w:tr w14:paraId="3A74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06AF2062">
            <w:pPr>
              <w:spacing w:before="258" w:line="188" w:lineRule="auto"/>
              <w:ind w:left="209" w:leftChars="0"/>
              <w:jc w:val="both"/>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33</w:t>
            </w:r>
          </w:p>
        </w:tc>
        <w:tc>
          <w:tcPr>
            <w:tcW w:w="1860" w:type="dxa"/>
            <w:vAlign w:val="center"/>
          </w:tcPr>
          <w:p w14:paraId="065EB7B0">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投标文件编制</w:t>
            </w:r>
            <w:r>
              <w:rPr>
                <w:rFonts w:hint="eastAsia" w:ascii="宋体" w:hAnsi="宋体" w:eastAsia="宋体" w:cs="宋体"/>
                <w:snapToGrid w:val="0"/>
                <w:color w:val="auto"/>
                <w:kern w:val="0"/>
                <w:sz w:val="21"/>
                <w:szCs w:val="21"/>
                <w:highlight w:val="none"/>
                <w:lang w:eastAsia="zh-CN"/>
              </w:rPr>
              <w:t>及</w:t>
            </w:r>
            <w:r>
              <w:rPr>
                <w:rFonts w:hint="eastAsia" w:ascii="宋体" w:hAnsi="宋体" w:eastAsia="宋体" w:cs="宋体"/>
                <w:snapToGrid w:val="0"/>
                <w:color w:val="auto"/>
                <w:kern w:val="0"/>
                <w:sz w:val="21"/>
                <w:szCs w:val="21"/>
                <w:highlight w:val="none"/>
              </w:rPr>
              <w:t>份数要求</w:t>
            </w:r>
          </w:p>
        </w:tc>
        <w:tc>
          <w:tcPr>
            <w:tcW w:w="7544" w:type="dxa"/>
            <w:vAlign w:val="center"/>
          </w:tcPr>
          <w:p w14:paraId="66F22651">
            <w:pPr>
              <w:keepNext w:val="0"/>
              <w:keepLines w:val="0"/>
              <w:pageBreakBefore w:val="0"/>
              <w:widowControl/>
              <w:suppressLineNumbers w:val="0"/>
              <w:shd w:val="clear" w:color="auto" w:fill="auto"/>
              <w:overflowPunct/>
              <w:topLinePunct w:val="0"/>
              <w:bidi w:val="0"/>
              <w:spacing w:line="360" w:lineRule="auto"/>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投标人须上传（递交）投标文件：</w:t>
            </w:r>
          </w:p>
          <w:p w14:paraId="563C340A">
            <w:pPr>
              <w:keepNext w:val="0"/>
              <w:keepLines w:val="0"/>
              <w:pageBreakBefore w:val="0"/>
              <w:widowControl/>
              <w:suppressLineNumbers w:val="0"/>
              <w:shd w:val="clear" w:color="auto" w:fill="auto"/>
              <w:overflowPunct/>
              <w:topLinePunct w:val="0"/>
              <w:bidi w:val="0"/>
              <w:spacing w:line="360" w:lineRule="auto"/>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1、电子投标文件一套：</w:t>
            </w:r>
          </w:p>
          <w:p w14:paraId="25FB02E9">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（1）商务标书1份；</w:t>
            </w:r>
          </w:p>
          <w:p w14:paraId="440EA8CF">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（2）经济标书1份；</w:t>
            </w:r>
          </w:p>
          <w:p w14:paraId="4387DA43">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 xml:space="preserve">（3）施工组织设计1份； </w:t>
            </w:r>
          </w:p>
          <w:p w14:paraId="16B57936">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（4）定标文件1份；</w:t>
            </w:r>
          </w:p>
          <w:p w14:paraId="168A6273">
            <w:pPr>
              <w:keepNext w:val="0"/>
              <w:keepLines w:val="0"/>
              <w:pageBreakBefore w:val="0"/>
              <w:widowControl/>
              <w:suppressLineNumbers w:val="0"/>
              <w:shd w:val="clear" w:color="auto" w:fill="auto"/>
              <w:overflowPunct/>
              <w:topLinePunct w:val="0"/>
              <w:bidi w:val="0"/>
              <w:spacing w:line="360" w:lineRule="auto"/>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2、对应评审要求的分项响应文件（如有）。</w:t>
            </w:r>
          </w:p>
          <w:p w14:paraId="7FA3B351">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2F569048">
            <w:pPr>
              <w:keepNext w:val="0"/>
              <w:keepLines w:val="0"/>
              <w:pageBreakBefore w:val="0"/>
              <w:widowControl w:val="0"/>
              <w:suppressLineNumbers w:val="0"/>
              <w:kinsoku/>
              <w:wordWrap/>
              <w:overflowPunct/>
              <w:topLinePunct w:val="0"/>
              <w:autoSpaceDE/>
              <w:autoSpaceDN/>
              <w:bidi w:val="0"/>
              <w:adjustRightInd/>
              <w:snapToGrid/>
              <w:spacing w:line="360" w:lineRule="auto"/>
              <w:ind w:left="105" w:leftChars="50" w:right="105" w:rightChars="50" w:firstLine="420" w:firstLineChars="200"/>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bCs/>
                <w:snapToGrid w:val="0"/>
                <w:color w:val="auto"/>
                <w:kern w:val="0"/>
                <w:sz w:val="21"/>
                <w:szCs w:val="21"/>
                <w:highlight w:val="none"/>
                <w:lang w:val="en-US" w:eastAsia="zh-CN"/>
              </w:rPr>
              <w:t>注：投标人被确定为中标人后，应从交易系统打印两套纸质投标文件（含签名盖章页），内容同电子投标文件，在签订本招标项目承包合同前分别提交给招标人。（除招标文件约定外，纸质标书须与电子标书一致，不一致的以电子标书为准）。</w:t>
            </w:r>
          </w:p>
        </w:tc>
      </w:tr>
      <w:tr w14:paraId="170F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2168BB35">
            <w:pPr>
              <w:spacing w:before="258" w:line="188" w:lineRule="auto"/>
              <w:ind w:left="209" w:leftChars="0"/>
              <w:jc w:val="both"/>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34</w:t>
            </w:r>
          </w:p>
        </w:tc>
        <w:tc>
          <w:tcPr>
            <w:tcW w:w="1860" w:type="dxa"/>
            <w:vAlign w:val="center"/>
          </w:tcPr>
          <w:p w14:paraId="1FA89293">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定标办法</w:t>
            </w:r>
          </w:p>
        </w:tc>
        <w:tc>
          <w:tcPr>
            <w:tcW w:w="7544" w:type="dxa"/>
            <w:vAlign w:val="center"/>
          </w:tcPr>
          <w:p w14:paraId="07F682DE">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采用</w:t>
            </w:r>
            <w:r>
              <w:rPr>
                <w:rFonts w:hint="eastAsia" w:ascii="宋体" w:hAnsi="宋体" w:eastAsia="宋体" w:cs="宋体"/>
                <w:b/>
                <w:bCs w:val="0"/>
                <w:snapToGrid w:val="0"/>
                <w:color w:val="auto"/>
                <w:kern w:val="0"/>
                <w:sz w:val="21"/>
                <w:szCs w:val="21"/>
                <w:highlight w:val="none"/>
                <w:lang w:val="en-US" w:eastAsia="zh-CN"/>
              </w:rPr>
              <w:t>评定分离</w:t>
            </w:r>
            <w:r>
              <w:rPr>
                <w:rFonts w:hint="eastAsia" w:ascii="宋体" w:hAnsi="宋体" w:eastAsia="宋体" w:cs="宋体"/>
                <w:bCs/>
                <w:snapToGrid w:val="0"/>
                <w:color w:val="auto"/>
                <w:kern w:val="0"/>
                <w:sz w:val="21"/>
                <w:szCs w:val="21"/>
                <w:highlight w:val="none"/>
                <w:lang w:val="en-US" w:eastAsia="zh-CN"/>
              </w:rPr>
              <w:t>的项目，应选定下列定标办法：</w:t>
            </w:r>
          </w:p>
          <w:p w14:paraId="09851633">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☑票决数量法</w:t>
            </w:r>
          </w:p>
          <w:p w14:paraId="42DC2268">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□票决计分法</w:t>
            </w:r>
          </w:p>
          <w:p w14:paraId="352F7AFA">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□集体议事法</w:t>
            </w:r>
          </w:p>
          <w:p w14:paraId="345DD05E">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□其他方法：</w:t>
            </w:r>
          </w:p>
        </w:tc>
      </w:tr>
      <w:tr w14:paraId="7640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4E5940B1">
            <w:pPr>
              <w:spacing w:before="258" w:line="188" w:lineRule="auto"/>
              <w:ind w:left="209" w:leftChars="0"/>
              <w:jc w:val="both"/>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35</w:t>
            </w:r>
          </w:p>
        </w:tc>
        <w:tc>
          <w:tcPr>
            <w:tcW w:w="1860" w:type="dxa"/>
            <w:vAlign w:val="center"/>
          </w:tcPr>
          <w:p w14:paraId="33814F5A">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color w:val="auto"/>
                <w:sz w:val="21"/>
                <w:szCs w:val="21"/>
                <w:highlight w:val="none"/>
              </w:rPr>
              <w:t>纳入百千万工程公益性项目</w:t>
            </w:r>
          </w:p>
        </w:tc>
        <w:tc>
          <w:tcPr>
            <w:tcW w:w="7544" w:type="dxa"/>
            <w:vAlign w:val="center"/>
          </w:tcPr>
          <w:p w14:paraId="657FEDFF">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firstLine="420" w:firstLineChars="20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本次招标鼓励投标人积极响应政策号召，充分利用其人才、技术、专业、资源、资金、设备或管理优势，通过技术创新和资源优化，以投标人自愿为原则，助力百千万工程公益性项目。以投标人自愿为原则，按招标文件格式格式十六要求提供《助力项目承诺书》。</w:t>
            </w:r>
          </w:p>
        </w:tc>
      </w:tr>
      <w:tr w14:paraId="0A107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3" w:hRule="atLeast"/>
        </w:trPr>
        <w:tc>
          <w:tcPr>
            <w:tcW w:w="582" w:type="dxa"/>
            <w:vAlign w:val="center"/>
          </w:tcPr>
          <w:p w14:paraId="5A8F9F23">
            <w:pPr>
              <w:spacing w:before="258" w:line="188" w:lineRule="auto"/>
              <w:ind w:left="209" w:leftChars="0"/>
              <w:jc w:val="both"/>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36</w:t>
            </w:r>
          </w:p>
        </w:tc>
        <w:tc>
          <w:tcPr>
            <w:tcW w:w="1860" w:type="dxa"/>
            <w:vAlign w:val="center"/>
          </w:tcPr>
          <w:p w14:paraId="5E4B993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招标文件要求提交的用于评审的证书、证件、证明原件</w:t>
            </w:r>
          </w:p>
        </w:tc>
        <w:tc>
          <w:tcPr>
            <w:tcW w:w="7544" w:type="dxa"/>
            <w:vAlign w:val="top"/>
          </w:tcPr>
          <w:p w14:paraId="11169AF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投标人在提交用于评审的证书、证件、证明原件的，投标人应自行将所需原件密封于文件袋（箱）中，并自行准备两张“原件一览表 ” (详见格式十五，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6688F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5" w:hRule="atLeast"/>
        </w:trPr>
        <w:tc>
          <w:tcPr>
            <w:tcW w:w="582" w:type="dxa"/>
            <w:vAlign w:val="center"/>
          </w:tcPr>
          <w:p w14:paraId="6E15237F">
            <w:pPr>
              <w:spacing w:before="57" w:line="195" w:lineRule="auto"/>
              <w:jc w:val="center"/>
              <w:rPr>
                <w:rFonts w:hint="eastAsia" w:asciiTheme="minorEastAsia" w:hAnsiTheme="minorEastAsia" w:eastAsiaTheme="minorEastAsia" w:cstheme="minorEastAsia"/>
                <w:color w:val="auto"/>
                <w:spacing w:val="-5"/>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37</w:t>
            </w:r>
          </w:p>
        </w:tc>
        <w:tc>
          <w:tcPr>
            <w:tcW w:w="1860" w:type="dxa"/>
            <w:vAlign w:val="center"/>
          </w:tcPr>
          <w:p w14:paraId="6186C35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招标代理费</w:t>
            </w:r>
          </w:p>
        </w:tc>
        <w:tc>
          <w:tcPr>
            <w:tcW w:w="7544" w:type="dxa"/>
            <w:vAlign w:val="center"/>
          </w:tcPr>
          <w:p w14:paraId="7ABDDE2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本项目由中标人支付招标代理费，代理费根据国家计委 关于印发《招标代理服务收费管理暂行办法》的通知计价格〔2002〕1980号计取。</w:t>
            </w:r>
          </w:p>
        </w:tc>
      </w:tr>
      <w:tr w14:paraId="7FD7F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9" w:hRule="atLeast"/>
        </w:trPr>
        <w:tc>
          <w:tcPr>
            <w:tcW w:w="582" w:type="dxa"/>
            <w:vAlign w:val="center"/>
          </w:tcPr>
          <w:p w14:paraId="37D7D386">
            <w:pPr>
              <w:spacing w:before="69" w:line="188" w:lineRule="auto"/>
              <w:ind w:left="209" w:leftChars="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5"/>
                <w:sz w:val="21"/>
                <w:szCs w:val="21"/>
                <w:highlight w:val="none"/>
                <w:lang w:eastAsia="zh-CN"/>
              </w:rPr>
              <w:t>3</w:t>
            </w:r>
            <w:r>
              <w:rPr>
                <w:rFonts w:hint="eastAsia" w:asciiTheme="minorEastAsia" w:hAnsiTheme="minorEastAsia" w:eastAsiaTheme="minorEastAsia" w:cstheme="minorEastAsia"/>
                <w:color w:val="auto"/>
                <w:spacing w:val="-5"/>
                <w:sz w:val="21"/>
                <w:szCs w:val="21"/>
                <w:highlight w:val="none"/>
                <w:lang w:val="en-US" w:eastAsia="zh-CN"/>
              </w:rPr>
              <w:t>8</w:t>
            </w:r>
          </w:p>
        </w:tc>
        <w:tc>
          <w:tcPr>
            <w:tcW w:w="1860" w:type="dxa"/>
            <w:vAlign w:val="center"/>
          </w:tcPr>
          <w:p w14:paraId="5DBBB6F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招标人</w:t>
            </w:r>
          </w:p>
          <w:p w14:paraId="36239D2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联系方式</w:t>
            </w:r>
          </w:p>
        </w:tc>
        <w:tc>
          <w:tcPr>
            <w:tcW w:w="7544" w:type="dxa"/>
            <w:vAlign w:val="center"/>
          </w:tcPr>
          <w:p w14:paraId="294DCE90">
            <w:pPr>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单位名称：韶关市武江区江湾镇人民政府</w:t>
            </w:r>
          </w:p>
          <w:p w14:paraId="04C4DC4A">
            <w:pPr>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办公地址：韶关市武江区江湾街6号</w:t>
            </w:r>
          </w:p>
          <w:p w14:paraId="5B16EB9D">
            <w:pPr>
              <w:pageBreakBefore w:val="0"/>
              <w:widowControl w:val="0"/>
              <w:kinsoku/>
              <w:wordWrap w:val="0"/>
              <w:overflowPunct/>
              <w:topLinePunct w:val="0"/>
              <w:autoSpaceDE/>
              <w:autoSpaceDN/>
              <w:bidi w:val="0"/>
              <w:adjustRightInd w:val="0"/>
              <w:snapToGrid w:val="0"/>
              <w:spacing w:line="400" w:lineRule="exact"/>
              <w:jc w:val="left"/>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联系人（部门）：</w:t>
            </w:r>
            <w:r>
              <w:rPr>
                <w:rFonts w:hint="eastAsia" w:asciiTheme="minorEastAsia" w:hAnsiTheme="minorEastAsia" w:eastAsiaTheme="minorEastAsia" w:cstheme="minorEastAsia"/>
                <w:snapToGrid w:val="0"/>
                <w:color w:val="auto"/>
                <w:kern w:val="0"/>
                <w:sz w:val="21"/>
                <w:szCs w:val="21"/>
                <w:highlight w:val="none"/>
                <w:lang w:val="en-US" w:eastAsia="zh-CN"/>
              </w:rPr>
              <w:t>黄工</w:t>
            </w:r>
          </w:p>
          <w:p w14:paraId="01E5EFA9">
            <w:pPr>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联系电话：18902306006</w:t>
            </w:r>
          </w:p>
        </w:tc>
      </w:tr>
      <w:tr w14:paraId="101C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6" w:hRule="atLeast"/>
        </w:trPr>
        <w:tc>
          <w:tcPr>
            <w:tcW w:w="582" w:type="dxa"/>
            <w:vAlign w:val="center"/>
          </w:tcPr>
          <w:p w14:paraId="7AB56B55">
            <w:pPr>
              <w:spacing w:before="69" w:line="188" w:lineRule="auto"/>
              <w:jc w:val="center"/>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rPr>
              <w:t>3</w:t>
            </w:r>
            <w:r>
              <w:rPr>
                <w:rFonts w:hint="eastAsia" w:asciiTheme="minorEastAsia" w:hAnsiTheme="minorEastAsia" w:eastAsiaTheme="minorEastAsia" w:cstheme="minorEastAsia"/>
                <w:color w:val="auto"/>
                <w:spacing w:val="-5"/>
                <w:sz w:val="21"/>
                <w:szCs w:val="21"/>
                <w:highlight w:val="none"/>
                <w:lang w:val="en-US" w:eastAsia="zh-CN"/>
              </w:rPr>
              <w:t>9</w:t>
            </w:r>
          </w:p>
        </w:tc>
        <w:tc>
          <w:tcPr>
            <w:tcW w:w="1860" w:type="dxa"/>
            <w:vAlign w:val="center"/>
          </w:tcPr>
          <w:p w14:paraId="57A132E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招标代理机构</w:t>
            </w:r>
          </w:p>
          <w:p w14:paraId="3F031D7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联系方式</w:t>
            </w:r>
          </w:p>
        </w:tc>
        <w:tc>
          <w:tcPr>
            <w:tcW w:w="7544" w:type="dxa"/>
            <w:vAlign w:val="center"/>
          </w:tcPr>
          <w:p w14:paraId="1EFF326B">
            <w:pPr>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单位名称：海通国际设计有限公司</w:t>
            </w:r>
          </w:p>
          <w:p w14:paraId="47CE0A07">
            <w:pPr>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办公地址：韶关市武江区西联镇新323线南侧54号韶关市明顺实业有限公司综合楼自编号702房</w:t>
            </w:r>
          </w:p>
          <w:p w14:paraId="302859BB">
            <w:pPr>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项目负责人：</w:t>
            </w:r>
            <w:r>
              <w:rPr>
                <w:rFonts w:hint="eastAsia" w:asciiTheme="minorEastAsia" w:hAnsiTheme="minorEastAsia" w:eastAsiaTheme="minorEastAsia" w:cstheme="minorEastAsia"/>
                <w:snapToGrid w:val="0"/>
                <w:color w:val="auto"/>
                <w:kern w:val="0"/>
                <w:sz w:val="21"/>
                <w:szCs w:val="21"/>
                <w:highlight w:val="none"/>
                <w:lang w:val="en-US" w:eastAsia="zh-CN"/>
              </w:rPr>
              <w:t>陈工</w:t>
            </w:r>
          </w:p>
          <w:p w14:paraId="245C4B76">
            <w:pPr>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电    话：</w:t>
            </w:r>
            <w:r>
              <w:rPr>
                <w:rFonts w:hint="eastAsia" w:asciiTheme="minorEastAsia" w:hAnsiTheme="minorEastAsia" w:eastAsiaTheme="minorEastAsia" w:cstheme="minorEastAsia"/>
                <w:snapToGrid w:val="0"/>
                <w:color w:val="auto"/>
                <w:kern w:val="0"/>
                <w:sz w:val="21"/>
                <w:szCs w:val="21"/>
                <w:highlight w:val="none"/>
                <w:lang w:val="en-US" w:eastAsia="zh-CN"/>
              </w:rPr>
              <w:t>0751-8962686</w:t>
            </w:r>
          </w:p>
        </w:tc>
      </w:tr>
      <w:tr w14:paraId="5459D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4" w:hRule="atLeast"/>
        </w:trPr>
        <w:tc>
          <w:tcPr>
            <w:tcW w:w="582" w:type="dxa"/>
            <w:vAlign w:val="center"/>
          </w:tcPr>
          <w:p w14:paraId="18F6589E">
            <w:pPr>
              <w:spacing w:before="69" w:line="188" w:lineRule="auto"/>
              <w:jc w:val="center"/>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40</w:t>
            </w:r>
          </w:p>
        </w:tc>
        <w:tc>
          <w:tcPr>
            <w:tcW w:w="1860" w:type="dxa"/>
            <w:vAlign w:val="center"/>
          </w:tcPr>
          <w:p w14:paraId="1AD5452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交易场所联系方式</w:t>
            </w:r>
          </w:p>
        </w:tc>
        <w:tc>
          <w:tcPr>
            <w:tcW w:w="7544" w:type="dxa"/>
            <w:vAlign w:val="center"/>
          </w:tcPr>
          <w:p w14:paraId="1DAA017F">
            <w:pPr>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单位名称：韶关市公共资源交易中心</w:t>
            </w:r>
          </w:p>
          <w:p w14:paraId="1AEA20E5">
            <w:pPr>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 xml:space="preserve">办公地址：广东省韶关市武江区西联镇 </w:t>
            </w:r>
          </w:p>
          <w:p w14:paraId="5CDE5F31">
            <w:pPr>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联系人（部门）：工程交易股</w:t>
            </w:r>
          </w:p>
          <w:p w14:paraId="5676E727">
            <w:pPr>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联系电话：0751-8633211</w:t>
            </w:r>
          </w:p>
        </w:tc>
      </w:tr>
      <w:tr w14:paraId="03DC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4" w:hRule="atLeast"/>
        </w:trPr>
        <w:tc>
          <w:tcPr>
            <w:tcW w:w="582" w:type="dxa"/>
            <w:vAlign w:val="center"/>
          </w:tcPr>
          <w:p w14:paraId="6CED66FD">
            <w:pPr>
              <w:spacing w:before="69" w:line="188" w:lineRule="auto"/>
              <w:jc w:val="center"/>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41</w:t>
            </w:r>
          </w:p>
        </w:tc>
        <w:tc>
          <w:tcPr>
            <w:tcW w:w="1860" w:type="dxa"/>
            <w:vAlign w:val="center"/>
          </w:tcPr>
          <w:p w14:paraId="2B5659C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行政监督部</w:t>
            </w:r>
          </w:p>
          <w:p w14:paraId="205A3A6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门联系方式</w:t>
            </w:r>
          </w:p>
        </w:tc>
        <w:tc>
          <w:tcPr>
            <w:tcW w:w="7544" w:type="dxa"/>
            <w:vAlign w:val="center"/>
          </w:tcPr>
          <w:p w14:paraId="319CFF1F">
            <w:pPr>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单位名称：韶关市住房和城乡建设管理局</w:t>
            </w:r>
          </w:p>
          <w:p w14:paraId="1BCD3BC3">
            <w:pPr>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办公地址：广东省韶关市武江区芙蓉东路5号</w:t>
            </w:r>
          </w:p>
          <w:p w14:paraId="3F725540">
            <w:pPr>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联系人（部门）：建筑业市场管理科</w:t>
            </w:r>
          </w:p>
          <w:p w14:paraId="17558AFA">
            <w:pPr>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联系电话：0751-8892601</w:t>
            </w:r>
          </w:p>
        </w:tc>
      </w:tr>
    </w:tbl>
    <w:p w14:paraId="2196EE89">
      <w:pPr>
        <w:rPr>
          <w:rFonts w:hint="eastAsia" w:ascii="宋体" w:hAnsi="宋体" w:eastAsia="宋体" w:cs="宋体"/>
          <w:b/>
          <w:bCs/>
          <w:color w:val="auto"/>
          <w:spacing w:val="-3"/>
          <w:sz w:val="24"/>
          <w:szCs w:val="24"/>
          <w:highlight w:val="none"/>
        </w:rPr>
      </w:pPr>
      <w:bookmarkStart w:id="5" w:name="bookmark115"/>
      <w:bookmarkEnd w:id="5"/>
      <w:r>
        <w:rPr>
          <w:rFonts w:hint="eastAsia" w:ascii="宋体" w:hAnsi="宋体" w:eastAsia="宋体" w:cs="宋体"/>
          <w:b/>
          <w:bCs/>
          <w:color w:val="auto"/>
          <w:spacing w:val="-3"/>
          <w:sz w:val="24"/>
          <w:szCs w:val="24"/>
          <w:highlight w:val="none"/>
        </w:rPr>
        <w:br w:type="page"/>
      </w:r>
    </w:p>
    <w:p w14:paraId="2A3BA98B">
      <w:pPr>
        <w:spacing w:before="156" w:line="219" w:lineRule="auto"/>
        <w:ind w:left="17"/>
        <w:jc w:val="left"/>
        <w:outlineLvl w:val="1"/>
        <w:rPr>
          <w:rFonts w:hint="eastAsia" w:ascii="宋体" w:hAnsi="宋体" w:eastAsia="宋体" w:cs="宋体"/>
          <w:color w:val="auto"/>
          <w:highlight w:val="none"/>
        </w:rPr>
      </w:pPr>
      <w:bookmarkStart w:id="6" w:name="_Toc14297"/>
      <w:r>
        <w:rPr>
          <w:rFonts w:hint="eastAsia" w:ascii="宋体" w:hAnsi="宋体" w:eastAsia="宋体" w:cs="宋体"/>
          <w:b/>
          <w:bCs/>
          <w:color w:val="auto"/>
          <w:spacing w:val="-3"/>
          <w:sz w:val="24"/>
          <w:szCs w:val="24"/>
          <w:highlight w:val="none"/>
        </w:rPr>
        <w:t>第二节 重要事项时间地点一览表</w:t>
      </w:r>
      <w:bookmarkEnd w:id="6"/>
    </w:p>
    <w:p w14:paraId="69A179A8">
      <w:pPr>
        <w:pStyle w:val="5"/>
        <w:rPr>
          <w:rFonts w:hint="eastAsia" w:ascii="宋体" w:hAnsi="宋体" w:eastAsia="宋体" w:cs="宋体"/>
          <w:color w:val="auto"/>
          <w:highlight w:val="none"/>
        </w:rPr>
      </w:pPr>
    </w:p>
    <w:tbl>
      <w:tblPr>
        <w:tblStyle w:val="14"/>
        <w:tblW w:w="5016"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50"/>
        <w:gridCol w:w="1406"/>
        <w:gridCol w:w="7931"/>
      </w:tblGrid>
      <w:tr w14:paraId="1FCC57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415154A6">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1</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7FC0689B">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招标公告</w:t>
            </w:r>
          </w:p>
          <w:p w14:paraId="6CF9F9BC">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发布时间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71A14D70">
            <w:pPr>
              <w:pStyle w:val="23"/>
              <w:widowControl/>
              <w:snapToGrid w:val="0"/>
              <w:jc w:val="left"/>
              <w:rPr>
                <w:rFonts w:hint="eastAsia" w:ascii="宋体" w:hAnsi="宋体" w:eastAsia="宋体" w:cs="宋体"/>
                <w:snapToGrid w:val="0"/>
                <w:color w:val="auto"/>
                <w:kern w:val="0"/>
                <w:sz w:val="22"/>
                <w:szCs w:val="22"/>
                <w:highlight w:val="none"/>
                <w:lang w:eastAsia="zh-CN"/>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8</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31 </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16</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rPr>
              <w:t>分</w:t>
            </w:r>
            <w:r>
              <w:rPr>
                <w:rFonts w:hint="eastAsia" w:ascii="宋体" w:hAnsi="宋体" w:cs="宋体"/>
                <w:color w:val="auto"/>
                <w:kern w:val="0"/>
                <w:sz w:val="22"/>
                <w:szCs w:val="22"/>
                <w:highlight w:val="none"/>
                <w:lang w:val="en-US" w:eastAsia="zh-CN"/>
              </w:rPr>
              <w:t xml:space="preserve"> </w:t>
            </w:r>
          </w:p>
        </w:tc>
      </w:tr>
      <w:tr w14:paraId="19E577F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24"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5A45AD0F">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2</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251929FC">
            <w:pPr>
              <w:pStyle w:val="23"/>
              <w:wordWrap w:val="0"/>
              <w:adjustRightInd w:val="0"/>
              <w:snapToGrid w:val="0"/>
              <w:spacing w:line="360" w:lineRule="exact"/>
              <w:jc w:val="center"/>
              <w:rPr>
                <w:rFonts w:hint="default" w:ascii="宋体" w:hAnsi="宋体" w:eastAsia="宋体" w:cs="宋体"/>
                <w:snapToGrid w:val="0"/>
                <w:color w:val="auto"/>
                <w:kern w:val="0"/>
                <w:sz w:val="22"/>
                <w:szCs w:val="22"/>
                <w:highlight w:val="none"/>
                <w:lang w:val="en-US" w:eastAsia="zh-CN"/>
              </w:rPr>
            </w:pPr>
            <w:r>
              <w:rPr>
                <w:rFonts w:hint="eastAsia" w:ascii="宋体" w:hAnsi="宋体" w:cs="宋体"/>
                <w:snapToGrid w:val="0"/>
                <w:color w:val="auto"/>
                <w:kern w:val="0"/>
                <w:sz w:val="22"/>
                <w:szCs w:val="22"/>
                <w:highlight w:val="none"/>
                <w:lang w:val="en-US" w:eastAsia="zh-CN"/>
              </w:rPr>
              <w:t>获取招标文件</w:t>
            </w:r>
          </w:p>
          <w:p w14:paraId="13B17BC0">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截止时间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56576377">
            <w:pPr>
              <w:pStyle w:val="23"/>
              <w:widowControl/>
              <w:snapToGrid w:val="0"/>
              <w:jc w:val="left"/>
              <w:rPr>
                <w:rFonts w:hint="eastAsia" w:ascii="宋体" w:hAnsi="宋体" w:cs="宋体"/>
                <w:snapToGrid w:val="0"/>
                <w:color w:val="auto"/>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22</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p>
        </w:tc>
      </w:tr>
      <w:tr w14:paraId="193087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6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4D32DC5D">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3</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0AF3A7CB">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网上提问</w:t>
            </w:r>
          </w:p>
          <w:p w14:paraId="2BE90DC1">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截止时间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6516B27F">
            <w:pPr>
              <w:pStyle w:val="23"/>
              <w:wordWrap w:val="0"/>
              <w:adjustRightInd w:val="0"/>
              <w:snapToGrid w:val="0"/>
              <w:spacing w:line="400" w:lineRule="exact"/>
              <w:jc w:val="left"/>
              <w:rPr>
                <w:rFonts w:hint="eastAsia" w:ascii="宋体" w:hAnsi="宋体" w:cs="宋体"/>
                <w:snapToGrid w:val="0"/>
                <w:color w:val="auto"/>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12</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16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rPr>
              <w:t>分</w:t>
            </w:r>
          </w:p>
        </w:tc>
      </w:tr>
      <w:tr w14:paraId="01F57E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9"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498C0766">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4</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34139913">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网上答疑</w:t>
            </w:r>
          </w:p>
          <w:p w14:paraId="70A9C70E">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时间</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39EFA0E5">
            <w:pPr>
              <w:pStyle w:val="23"/>
              <w:widowControl/>
              <w:snapToGrid w:val="0"/>
              <w:jc w:val="left"/>
              <w:rPr>
                <w:rFonts w:hint="eastAsia" w:ascii="宋体" w:hAnsi="宋体" w:cs="宋体"/>
                <w:snapToGrid w:val="0"/>
                <w:color w:val="auto"/>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12</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16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30 </w:t>
            </w:r>
            <w:r>
              <w:rPr>
                <w:rFonts w:hint="eastAsia" w:ascii="宋体" w:hAnsi="宋体" w:cs="宋体"/>
                <w:color w:val="auto"/>
                <w:kern w:val="0"/>
                <w:sz w:val="22"/>
                <w:szCs w:val="22"/>
                <w:highlight w:val="none"/>
              </w:rPr>
              <w:t>分至</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15</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16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00</w:t>
            </w:r>
            <w:r>
              <w:rPr>
                <w:rFonts w:hint="eastAsia" w:ascii="宋体" w:hAnsi="宋体" w:cs="宋体"/>
                <w:color w:val="auto"/>
                <w:kern w:val="0"/>
                <w:sz w:val="22"/>
                <w:szCs w:val="22"/>
                <w:highlight w:val="none"/>
              </w:rPr>
              <w:t>分</w:t>
            </w:r>
          </w:p>
        </w:tc>
      </w:tr>
      <w:tr w14:paraId="1F4DA0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54"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1050AA6F">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5</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50B31F86">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投标保证缴</w:t>
            </w:r>
          </w:p>
          <w:p w14:paraId="249647CA">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纳截止时间</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00544092">
            <w:pPr>
              <w:pStyle w:val="23"/>
              <w:widowControl/>
              <w:snapToGrid w:val="0"/>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投标保证金到账截止时间：</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21</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p>
          <w:p w14:paraId="534D20EF">
            <w:pPr>
              <w:pStyle w:val="23"/>
              <w:widowControl/>
              <w:snapToGrid w:val="0"/>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投标保证担保上传截止时间：</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21</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p>
          <w:p w14:paraId="086C2F12">
            <w:pPr>
              <w:pStyle w:val="23"/>
              <w:widowControl/>
              <w:snapToGrid w:val="0"/>
              <w:jc w:val="left"/>
              <w:rPr>
                <w:rFonts w:hint="eastAsia" w:ascii="宋体" w:hAnsi="宋体" w:cs="宋体"/>
                <w:snapToGrid w:val="0"/>
                <w:color w:val="auto"/>
                <w:kern w:val="0"/>
                <w:sz w:val="22"/>
                <w:szCs w:val="22"/>
                <w:highlight w:val="none"/>
              </w:rPr>
            </w:pPr>
            <w:r>
              <w:rPr>
                <w:rFonts w:hint="eastAsia" w:ascii="宋体" w:hAnsi="宋体" w:cs="宋体"/>
                <w:color w:val="auto"/>
                <w:kern w:val="0"/>
                <w:sz w:val="22"/>
                <w:szCs w:val="22"/>
                <w:highlight w:val="none"/>
              </w:rPr>
              <w:t>投标保证保险投保截止时间：</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21</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p>
        </w:tc>
      </w:tr>
      <w:tr w14:paraId="5CEC71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91"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213E411F">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6</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67DAD104">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电子投标</w:t>
            </w:r>
          </w:p>
          <w:p w14:paraId="3E473E72">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截止时间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2EF7FFA6">
            <w:pPr>
              <w:pStyle w:val="23"/>
              <w:widowControl/>
              <w:snapToGrid w:val="0"/>
              <w:jc w:val="left"/>
              <w:rPr>
                <w:rFonts w:hint="eastAsia" w:ascii="宋体" w:hAnsi="宋体" w:cs="宋体"/>
                <w:snapToGrid w:val="0"/>
                <w:color w:val="auto"/>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22</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p>
        </w:tc>
      </w:tr>
      <w:tr w14:paraId="255B6A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90"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0CC6312E">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7</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2ED64A0B">
            <w:pPr>
              <w:pStyle w:val="23"/>
              <w:wordWrap w:val="0"/>
              <w:adjustRightInd w:val="0"/>
              <w:snapToGrid w:val="0"/>
              <w:spacing w:line="360" w:lineRule="exact"/>
              <w:jc w:val="center"/>
              <w:rPr>
                <w:rFonts w:hint="eastAsia" w:ascii="宋体" w:hAnsi="宋体" w:cs="宋体"/>
                <w:snapToGrid w:val="0"/>
                <w:color w:val="auto"/>
                <w:kern w:val="0"/>
                <w:sz w:val="22"/>
                <w:szCs w:val="22"/>
                <w:highlight w:val="none"/>
                <w:lang w:val="en-US" w:eastAsia="zh-CN"/>
              </w:rPr>
            </w:pPr>
            <w:r>
              <w:rPr>
                <w:rFonts w:hint="eastAsia" w:ascii="宋体" w:hAnsi="宋体" w:cs="宋体"/>
                <w:snapToGrid w:val="0"/>
                <w:color w:val="auto"/>
                <w:kern w:val="0"/>
                <w:sz w:val="22"/>
                <w:szCs w:val="22"/>
                <w:highlight w:val="none"/>
                <w:lang w:val="en-US" w:eastAsia="zh-CN"/>
              </w:rPr>
              <w:t>投标评审原件（如有）</w:t>
            </w:r>
          </w:p>
          <w:p w14:paraId="7F77CCDF">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lang w:val="en-US" w:eastAsia="zh-CN"/>
              </w:rPr>
              <w:t>递交时间</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32F71BF2">
            <w:pPr>
              <w:pStyle w:val="23"/>
              <w:widowControl/>
              <w:snapToGrid w:val="0"/>
              <w:jc w:val="left"/>
              <w:rPr>
                <w:rFonts w:hint="eastAsia" w:ascii="宋体" w:hAnsi="宋体" w:cs="宋体"/>
                <w:snapToGrid w:val="0"/>
                <w:color w:val="auto"/>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22</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rPr>
              <w:t>分至</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22</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p>
        </w:tc>
      </w:tr>
      <w:tr w14:paraId="7281FC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90"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7EB5C072">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8</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39E24EC4">
            <w:pPr>
              <w:pStyle w:val="23"/>
              <w:wordWrap w:val="0"/>
              <w:adjustRightInd w:val="0"/>
              <w:snapToGrid w:val="0"/>
              <w:spacing w:line="360" w:lineRule="exact"/>
              <w:jc w:val="center"/>
              <w:rPr>
                <w:rFonts w:hint="eastAsia" w:ascii="宋体" w:hAnsi="宋体" w:cs="宋体"/>
                <w:snapToGrid w:val="0"/>
                <w:color w:val="auto"/>
                <w:kern w:val="0"/>
                <w:sz w:val="22"/>
                <w:szCs w:val="22"/>
                <w:highlight w:val="none"/>
                <w:lang w:val="en-US" w:eastAsia="zh-CN"/>
              </w:rPr>
            </w:pPr>
            <w:r>
              <w:rPr>
                <w:rFonts w:hint="eastAsia" w:ascii="宋体" w:hAnsi="宋体" w:cs="宋体"/>
                <w:snapToGrid w:val="0"/>
                <w:color w:val="auto"/>
                <w:kern w:val="0"/>
                <w:sz w:val="22"/>
                <w:szCs w:val="22"/>
                <w:highlight w:val="none"/>
                <w:lang w:val="en-US" w:eastAsia="zh-CN"/>
              </w:rPr>
              <w:t>投标评审原件（如有）</w:t>
            </w:r>
          </w:p>
          <w:p w14:paraId="3261A94D">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lang w:val="en-US" w:eastAsia="zh-CN"/>
              </w:rPr>
              <w:t>递交地点</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1769D75D">
            <w:pPr>
              <w:pStyle w:val="23"/>
              <w:wordWrap w:val="0"/>
              <w:adjustRightInd w:val="0"/>
              <w:snapToGrid w:val="0"/>
              <w:spacing w:line="400" w:lineRule="exact"/>
              <w:ind w:firstLine="220" w:firstLineChars="100"/>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递交场所：韶关市公共资源交易中心</w:t>
            </w:r>
          </w:p>
          <w:p w14:paraId="54D0F656">
            <w:pPr>
              <w:pStyle w:val="23"/>
              <w:wordWrap w:val="0"/>
              <w:adjustRightInd w:val="0"/>
              <w:snapToGrid w:val="0"/>
              <w:spacing w:line="400" w:lineRule="exact"/>
              <w:ind w:firstLine="220" w:firstLineChars="100"/>
              <w:jc w:val="left"/>
              <w:rPr>
                <w:rFonts w:hint="eastAsia" w:ascii="宋体" w:hAnsi="宋体" w:eastAsia="宋体" w:cs="宋体"/>
                <w:snapToGrid w:val="0"/>
                <w:color w:val="auto"/>
                <w:kern w:val="0"/>
                <w:sz w:val="22"/>
                <w:szCs w:val="22"/>
                <w:highlight w:val="none"/>
                <w:lang w:eastAsia="zh-CN"/>
              </w:rPr>
            </w:pPr>
            <w:r>
              <w:rPr>
                <w:rFonts w:hint="eastAsia" w:ascii="宋体" w:hAnsi="宋体" w:cs="宋体"/>
                <w:snapToGrid w:val="0"/>
                <w:color w:val="auto"/>
                <w:kern w:val="0"/>
                <w:sz w:val="22"/>
                <w:szCs w:val="22"/>
                <w:highlight w:val="none"/>
              </w:rPr>
              <w:t>地址：广东省韶关市武江区西联镇，具体房间号以当日现场通知为准</w:t>
            </w:r>
            <w:r>
              <w:rPr>
                <w:rFonts w:hint="eastAsia" w:ascii="宋体" w:hAnsi="宋体" w:cs="宋体"/>
                <w:snapToGrid w:val="0"/>
                <w:color w:val="auto"/>
                <w:kern w:val="0"/>
                <w:sz w:val="22"/>
                <w:szCs w:val="22"/>
                <w:highlight w:val="none"/>
                <w:lang w:eastAsia="zh-CN"/>
              </w:rPr>
              <w:t>。</w:t>
            </w:r>
          </w:p>
        </w:tc>
      </w:tr>
      <w:tr w14:paraId="6DA9E2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71"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56908499">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9</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542877DA">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开标时间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2A9DFEE6">
            <w:pPr>
              <w:pStyle w:val="23"/>
              <w:wordWrap w:val="0"/>
              <w:adjustRightInd w:val="0"/>
              <w:snapToGrid w:val="0"/>
              <w:spacing w:line="400" w:lineRule="exact"/>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 </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22</w:t>
            </w:r>
            <w:bookmarkStart w:id="277" w:name="_GoBack"/>
            <w:bookmarkEnd w:id="277"/>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p>
        </w:tc>
      </w:tr>
      <w:tr w14:paraId="600A21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0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13530CF7">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10</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37D61018">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开标地点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1DF9C1CA">
            <w:pPr>
              <w:pStyle w:val="23"/>
              <w:wordWrap w:val="0"/>
              <w:adjustRightInd w:val="0"/>
              <w:snapToGrid w:val="0"/>
              <w:spacing w:line="400" w:lineRule="exact"/>
              <w:ind w:firstLine="220" w:firstLineChars="100"/>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开标场所：韶关市公共资源交易中心</w:t>
            </w:r>
          </w:p>
          <w:p w14:paraId="03D1D3BA">
            <w:pPr>
              <w:pStyle w:val="23"/>
              <w:wordWrap w:val="0"/>
              <w:adjustRightInd w:val="0"/>
              <w:snapToGrid w:val="0"/>
              <w:spacing w:line="400" w:lineRule="exact"/>
              <w:ind w:firstLine="220" w:firstLineChars="100"/>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地址：广东省韶关市武江区西联镇，具体房间号以当日现场通知为准</w:t>
            </w:r>
            <w:r>
              <w:rPr>
                <w:rFonts w:hint="eastAsia" w:ascii="宋体" w:hAnsi="宋体" w:cs="宋体"/>
                <w:snapToGrid w:val="0"/>
                <w:color w:val="auto"/>
                <w:kern w:val="0"/>
                <w:sz w:val="22"/>
                <w:szCs w:val="22"/>
                <w:highlight w:val="none"/>
                <w:lang w:eastAsia="zh-CN"/>
              </w:rPr>
              <w:t>。</w:t>
            </w:r>
          </w:p>
        </w:tc>
      </w:tr>
      <w:tr w14:paraId="4FC692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13" w:hRule="exact"/>
        </w:trPr>
        <w:tc>
          <w:tcPr>
            <w:tcW w:w="948" w:type="pct"/>
            <w:gridSpan w:val="2"/>
            <w:tcBorders>
              <w:top w:val="single" w:color="080000" w:sz="4" w:space="0"/>
              <w:left w:val="single" w:color="080000" w:sz="4" w:space="0"/>
              <w:bottom w:val="single" w:color="080000" w:sz="4" w:space="0"/>
              <w:right w:val="single" w:color="080000" w:sz="4" w:space="0"/>
            </w:tcBorders>
            <w:noWrap w:val="0"/>
            <w:vAlign w:val="center"/>
          </w:tcPr>
          <w:p w14:paraId="2F0B7FAB">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lang w:val="en-US" w:eastAsia="zh-CN"/>
              </w:rPr>
              <w:t>备注</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2344A197">
            <w:pPr>
              <w:pStyle w:val="23"/>
              <w:wordWrap w:val="0"/>
              <w:adjustRightInd w:val="0"/>
              <w:snapToGrid w:val="0"/>
              <w:spacing w:line="400" w:lineRule="exact"/>
              <w:ind w:firstLine="220" w:firstLineChars="100"/>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自行下载招标文件、资料文件及招标答疑书等。若由于投标人自身原因未能及时取得上述资料的，由此发生的任何责任由投标人自负。</w:t>
            </w:r>
          </w:p>
        </w:tc>
      </w:tr>
    </w:tbl>
    <w:p w14:paraId="05CEB252">
      <w:pPr>
        <w:tabs>
          <w:tab w:val="left" w:pos="8820"/>
        </w:tabs>
        <w:rPr>
          <w:rFonts w:hint="eastAsia" w:ascii="宋体" w:hAnsi="宋体" w:eastAsia="宋体" w:cs="宋体"/>
          <w:b w:val="0"/>
          <w:bCs w:val="0"/>
          <w:color w:val="auto"/>
          <w:sz w:val="24"/>
          <w:szCs w:val="24"/>
          <w:highlight w:val="none"/>
        </w:rPr>
        <w:sectPr>
          <w:headerReference r:id="rId7" w:type="default"/>
          <w:footerReference r:id="rId8" w:type="default"/>
          <w:pgSz w:w="11906" w:h="16839"/>
          <w:pgMar w:top="1440" w:right="1080" w:bottom="1440" w:left="1080" w:header="0" w:footer="1085" w:gutter="0"/>
          <w:pgBorders>
            <w:top w:val="none" w:sz="0" w:space="0"/>
            <w:left w:val="none" w:sz="0" w:space="0"/>
            <w:bottom w:val="none" w:sz="0" w:space="0"/>
            <w:right w:val="none" w:sz="0" w:space="0"/>
          </w:pgBorders>
          <w:cols w:space="720" w:num="1"/>
        </w:sectPr>
      </w:pPr>
    </w:p>
    <w:p w14:paraId="433C4EC2">
      <w:pPr>
        <w:jc w:val="center"/>
        <w:outlineLvl w:val="1"/>
        <w:rPr>
          <w:rFonts w:hint="eastAsia" w:ascii="宋体" w:hAnsi="宋体" w:eastAsia="宋体" w:cs="宋体"/>
          <w:color w:val="auto"/>
          <w:sz w:val="24"/>
          <w:szCs w:val="24"/>
          <w:highlight w:val="none"/>
        </w:rPr>
      </w:pPr>
      <w:bookmarkStart w:id="7" w:name="_Toc9283"/>
      <w:r>
        <w:rPr>
          <w:rFonts w:hint="eastAsia" w:ascii="宋体" w:hAnsi="宋体" w:eastAsia="宋体" w:cs="宋体"/>
          <w:b/>
          <w:bCs/>
          <w:color w:val="auto"/>
          <w:spacing w:val="-3"/>
          <w:sz w:val="24"/>
          <w:szCs w:val="24"/>
          <w:highlight w:val="none"/>
        </w:rPr>
        <w:t>第三节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投标人须知正文</w:t>
      </w:r>
      <w:bookmarkEnd w:id="7"/>
    </w:p>
    <w:p w14:paraId="73B8EDD5">
      <w:pPr>
        <w:pStyle w:val="5"/>
        <w:spacing w:line="256" w:lineRule="auto"/>
        <w:rPr>
          <w:rFonts w:hint="eastAsia" w:ascii="宋体" w:hAnsi="宋体" w:eastAsia="宋体" w:cs="宋体"/>
          <w:color w:val="auto"/>
          <w:highlight w:val="none"/>
        </w:rPr>
      </w:pPr>
    </w:p>
    <w:p w14:paraId="6017DF82">
      <w:pPr>
        <w:pStyle w:val="5"/>
        <w:spacing w:line="257" w:lineRule="auto"/>
        <w:rPr>
          <w:rFonts w:hint="eastAsia" w:ascii="宋体" w:hAnsi="宋体" w:eastAsia="宋体" w:cs="宋体"/>
          <w:color w:val="auto"/>
          <w:highlight w:val="none"/>
        </w:rPr>
      </w:pPr>
    </w:p>
    <w:p w14:paraId="2BD22834">
      <w:pPr>
        <w:keepNext w:val="0"/>
        <w:keepLines w:val="0"/>
        <w:widowControl/>
        <w:suppressLineNumbers w:val="0"/>
        <w:spacing w:line="360" w:lineRule="auto"/>
        <w:ind w:right="-258" w:rightChars="-123" w:firstLine="480" w:firstLineChars="200"/>
        <w:jc w:val="left"/>
        <w:rPr>
          <w:rFonts w:hint="eastAsia" w:ascii="宋体" w:hAnsi="宋体" w:eastAsia="宋体" w:cs="宋体"/>
          <w:color w:val="auto"/>
          <w:sz w:val="36"/>
          <w:szCs w:val="36"/>
          <w:highlight w:val="none"/>
        </w:rPr>
      </w:pPr>
      <w:r>
        <w:rPr>
          <w:rFonts w:hint="eastAsia" w:ascii="宋体" w:hAnsi="宋体" w:eastAsia="宋体" w:cs="宋体"/>
          <w:snapToGrid w:val="0"/>
          <w:color w:val="auto"/>
          <w:kern w:val="0"/>
          <w:sz w:val="24"/>
          <w:szCs w:val="32"/>
          <w:highlight w:val="none"/>
          <w:u w:val="single"/>
          <w:lang w:eastAsia="zh-CN"/>
        </w:rPr>
        <w:t>江湾镇倒流水村避险安置小区项目</w:t>
      </w:r>
      <w:r>
        <w:rPr>
          <w:rFonts w:hint="eastAsia" w:ascii="宋体" w:hAnsi="宋体" w:eastAsia="宋体" w:cs="宋体"/>
          <w:snapToGrid w:val="0"/>
          <w:color w:val="auto"/>
          <w:kern w:val="0"/>
          <w:sz w:val="24"/>
          <w:szCs w:val="32"/>
          <w:highlight w:val="none"/>
          <w:u w:val="none"/>
          <w:lang w:eastAsia="zh-CN"/>
        </w:rPr>
        <w:t>经</w:t>
      </w:r>
      <w:r>
        <w:rPr>
          <w:rFonts w:hint="eastAsia" w:ascii="宋体" w:hAnsi="宋体" w:eastAsia="宋体" w:cs="宋体"/>
          <w:snapToGrid w:val="0"/>
          <w:color w:val="auto"/>
          <w:kern w:val="0"/>
          <w:sz w:val="24"/>
          <w:szCs w:val="32"/>
          <w:highlight w:val="none"/>
          <w:u w:val="single"/>
          <w:lang w:eastAsia="zh-CN"/>
        </w:rPr>
        <w:t>韶关市武江区发展和改革局以《韶关市武江区发展和改革局关于江湾镇倒流水村避险安置小区项目可行性研究报告的批复》、《韶关市武江区发展和改革局关于江湾镇倒流水村避险安置小区项目初步设计概算的批复》（</w:t>
      </w:r>
      <w:r>
        <w:rPr>
          <w:rFonts w:hint="eastAsia" w:ascii="宋体" w:hAnsi="宋体" w:eastAsia="宋体" w:cs="宋体"/>
          <w:snapToGrid w:val="0"/>
          <w:color w:val="auto"/>
          <w:kern w:val="0"/>
          <w:sz w:val="24"/>
          <w:szCs w:val="32"/>
          <w:highlight w:val="none"/>
          <w:u w:val="single"/>
          <w:lang w:val="en-US" w:eastAsia="zh-CN"/>
        </w:rPr>
        <w:t>韶武发改投审〔2026〕4号、韶武发改投审〔2026〕28号</w:t>
      </w:r>
      <w:r>
        <w:rPr>
          <w:rFonts w:hint="eastAsia" w:ascii="宋体" w:hAnsi="宋体" w:eastAsia="宋体" w:cs="宋体"/>
          <w:snapToGrid w:val="0"/>
          <w:color w:val="auto"/>
          <w:kern w:val="0"/>
          <w:sz w:val="24"/>
          <w:szCs w:val="32"/>
          <w:highlight w:val="none"/>
          <w:u w:val="single"/>
          <w:lang w:eastAsia="zh-CN"/>
        </w:rPr>
        <w:t>）</w:t>
      </w:r>
      <w:r>
        <w:rPr>
          <w:rFonts w:hint="eastAsia" w:ascii="宋体" w:hAnsi="宋体" w:eastAsia="宋体" w:cs="宋体"/>
          <w:snapToGrid w:val="0"/>
          <w:color w:val="auto"/>
          <w:kern w:val="0"/>
          <w:sz w:val="24"/>
          <w:szCs w:val="32"/>
          <w:highlight w:val="none"/>
        </w:rPr>
        <w:t>批准建设，项目代码为</w:t>
      </w:r>
      <w:r>
        <w:rPr>
          <w:rFonts w:hint="eastAsia" w:ascii="宋体" w:hAnsi="宋体" w:eastAsia="宋体" w:cs="宋体"/>
          <w:snapToGrid w:val="0"/>
          <w:color w:val="auto"/>
          <w:kern w:val="0"/>
          <w:sz w:val="24"/>
          <w:szCs w:val="32"/>
          <w:highlight w:val="none"/>
          <w:u w:val="single"/>
          <w:lang w:eastAsia="zh-CN"/>
        </w:rPr>
        <w:t>2601-440203-20-01-228935</w:t>
      </w:r>
      <w:r>
        <w:rPr>
          <w:rFonts w:hint="eastAsia" w:ascii="宋体" w:hAnsi="宋体" w:eastAsia="宋体" w:cs="宋体"/>
          <w:snapToGrid w:val="0"/>
          <w:color w:val="auto"/>
          <w:kern w:val="0"/>
          <w:sz w:val="24"/>
          <w:szCs w:val="32"/>
          <w:highlight w:val="none"/>
        </w:rPr>
        <w:t>。项目业主为</w:t>
      </w:r>
      <w:r>
        <w:rPr>
          <w:rFonts w:hint="eastAsia" w:ascii="宋体" w:hAnsi="宋体" w:eastAsia="宋体" w:cs="宋体"/>
          <w:snapToGrid w:val="0"/>
          <w:color w:val="auto"/>
          <w:kern w:val="0"/>
          <w:sz w:val="24"/>
          <w:szCs w:val="32"/>
          <w:highlight w:val="none"/>
          <w:u w:val="single"/>
          <w:lang w:eastAsia="zh-CN"/>
        </w:rPr>
        <w:t>韶关市武江区江湾镇人民政府</w:t>
      </w:r>
      <w:r>
        <w:rPr>
          <w:rFonts w:hint="eastAsia" w:ascii="宋体" w:hAnsi="宋体" w:eastAsia="宋体" w:cs="宋体"/>
          <w:snapToGrid w:val="0"/>
          <w:color w:val="auto"/>
          <w:kern w:val="0"/>
          <w:sz w:val="24"/>
          <w:szCs w:val="32"/>
          <w:highlight w:val="none"/>
        </w:rPr>
        <w:t>，建设资金来自</w:t>
      </w:r>
      <w:r>
        <w:rPr>
          <w:rFonts w:hint="eastAsia" w:ascii="宋体" w:hAnsi="宋体" w:eastAsia="宋体" w:cs="宋体"/>
          <w:snapToGrid w:val="0"/>
          <w:color w:val="auto"/>
          <w:kern w:val="0"/>
          <w:sz w:val="24"/>
          <w:szCs w:val="32"/>
          <w:highlight w:val="none"/>
          <w:u w:val="single"/>
          <w:lang w:eastAsia="zh-CN"/>
        </w:rPr>
        <w:t>区财政统筹解决</w:t>
      </w:r>
      <w:r>
        <w:rPr>
          <w:rFonts w:hint="eastAsia" w:ascii="宋体" w:hAnsi="宋体" w:eastAsia="宋体" w:cs="宋体"/>
          <w:snapToGrid w:val="0"/>
          <w:color w:val="auto"/>
          <w:kern w:val="0"/>
          <w:sz w:val="24"/>
          <w:szCs w:val="32"/>
          <w:highlight w:val="none"/>
        </w:rPr>
        <w:t>，出资比例</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rPr>
        <w:t>100%</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，招标人为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lang w:eastAsia="zh-CN"/>
        </w:rPr>
        <w:t>韶关市武江区江湾镇人民政府</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，招标代理机构为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color w:val="auto"/>
          <w:kern w:val="0"/>
          <w:sz w:val="24"/>
          <w:szCs w:val="24"/>
          <w:highlight w:val="none"/>
          <w:u w:val="single"/>
          <w:lang w:eastAsia="zh-CN"/>
        </w:rPr>
        <w:t>海通国际设计有限公司</w:t>
      </w:r>
      <w:r>
        <w:rPr>
          <w:rFonts w:hint="eastAsia" w:ascii="宋体" w:hAnsi="宋体" w:eastAsia="宋体" w:cs="宋体"/>
          <w:snapToGrid w:val="0"/>
          <w:color w:val="auto"/>
          <w:kern w:val="0"/>
          <w:sz w:val="24"/>
          <w:szCs w:val="32"/>
          <w:highlight w:val="none"/>
        </w:rPr>
        <w:t>。</w:t>
      </w:r>
      <w:r>
        <w:rPr>
          <w:rFonts w:hint="eastAsia" w:ascii="宋体" w:hAnsi="宋体" w:eastAsia="宋体" w:cs="宋体"/>
          <w:snapToGrid w:val="0"/>
          <w:color w:val="auto"/>
          <w:kern w:val="0"/>
          <w:sz w:val="24"/>
          <w:szCs w:val="24"/>
          <w:highlight w:val="none"/>
        </w:rPr>
        <w:t>项目已具备招标条件，现对</w:t>
      </w:r>
      <w:r>
        <w:rPr>
          <w:rFonts w:hint="eastAsia" w:ascii="宋体" w:hAnsi="宋体" w:eastAsia="宋体" w:cs="宋体"/>
          <w:snapToGrid w:val="0"/>
          <w:color w:val="auto"/>
          <w:kern w:val="0"/>
          <w:sz w:val="24"/>
          <w:szCs w:val="24"/>
          <w:highlight w:val="none"/>
          <w:u w:val="single"/>
          <w:lang w:val="en-US" w:eastAsia="zh-CN"/>
        </w:rPr>
        <w:t>江湾镇倒流水村避险安置小区项目施工</w:t>
      </w:r>
      <w:r>
        <w:rPr>
          <w:rFonts w:hint="eastAsia" w:ascii="宋体" w:hAnsi="宋体" w:eastAsia="宋体" w:cs="宋体"/>
          <w:snapToGrid w:val="0"/>
          <w:color w:val="auto"/>
          <w:kern w:val="0"/>
          <w:sz w:val="24"/>
          <w:szCs w:val="24"/>
          <w:highlight w:val="none"/>
        </w:rPr>
        <w:t>进行公开招标。</w:t>
      </w:r>
    </w:p>
    <w:p w14:paraId="58CD94D9">
      <w:pPr>
        <w:spacing w:before="78" w:line="220" w:lineRule="auto"/>
        <w:ind w:left="496"/>
        <w:outlineLvl w:val="2"/>
        <w:rPr>
          <w:rFonts w:hint="eastAsia" w:ascii="宋体" w:hAnsi="宋体" w:eastAsia="宋体" w:cs="宋体"/>
          <w:color w:val="auto"/>
          <w:sz w:val="24"/>
          <w:szCs w:val="24"/>
          <w:highlight w:val="none"/>
        </w:rPr>
      </w:pPr>
      <w:bookmarkStart w:id="8" w:name="bookmark59"/>
      <w:bookmarkEnd w:id="8"/>
      <w:bookmarkStart w:id="9" w:name="bookmark73"/>
      <w:bookmarkEnd w:id="9"/>
      <w:bookmarkStart w:id="10" w:name="bookmark52"/>
      <w:bookmarkEnd w:id="10"/>
      <w:bookmarkStart w:id="11" w:name="_Toc19017"/>
      <w:bookmarkStart w:id="12" w:name="_Toc15993"/>
      <w:r>
        <w:rPr>
          <w:rFonts w:hint="eastAsia" w:ascii="宋体" w:hAnsi="宋体" w:eastAsia="宋体" w:cs="宋体"/>
          <w:b/>
          <w:bCs/>
          <w:color w:val="auto"/>
          <w:spacing w:val="-4"/>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4"/>
          <w:sz w:val="24"/>
          <w:szCs w:val="24"/>
          <w:highlight w:val="none"/>
        </w:rPr>
        <w:t>．项目概况、招标范围和标段划分、投标费用等</w:t>
      </w:r>
      <w:bookmarkEnd w:id="11"/>
      <w:bookmarkEnd w:id="12"/>
    </w:p>
    <w:p w14:paraId="37B86162">
      <w:pPr>
        <w:spacing w:before="153" w:line="36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5"/>
          <w:sz w:val="24"/>
          <w:szCs w:val="24"/>
          <w:highlight w:val="none"/>
        </w:rPr>
        <w:t>项目概况</w:t>
      </w:r>
    </w:p>
    <w:p w14:paraId="0DC5D727">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1.1.1  </w:t>
      </w:r>
      <w:r>
        <w:rPr>
          <w:rFonts w:hint="eastAsia" w:ascii="宋体" w:hAnsi="宋体" w:eastAsia="宋体" w:cs="宋体"/>
          <w:color w:val="auto"/>
          <w:spacing w:val="-2"/>
          <w:sz w:val="24"/>
          <w:szCs w:val="24"/>
          <w:highlight w:val="none"/>
        </w:rPr>
        <w:t>建设地点：</w:t>
      </w:r>
      <w:r>
        <w:rPr>
          <w:rFonts w:hint="eastAsia" w:ascii="宋体" w:hAnsi="宋体" w:eastAsia="宋体" w:cs="宋体"/>
          <w:color w:val="auto"/>
          <w:sz w:val="24"/>
          <w:szCs w:val="24"/>
          <w:highlight w:val="none"/>
          <w:u w:val="single"/>
          <w:lang w:val="en-US" w:eastAsia="zh-CN"/>
        </w:rPr>
        <w:t>江湾镇湖洋村委倒流水村小组。</w:t>
      </w:r>
    </w:p>
    <w:p w14:paraId="45A735E9">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1.1.2  </w:t>
      </w:r>
      <w:r>
        <w:rPr>
          <w:rFonts w:hint="eastAsia" w:ascii="宋体" w:hAnsi="宋体" w:eastAsia="宋体" w:cs="宋体"/>
          <w:color w:val="auto"/>
          <w:spacing w:val="-2"/>
          <w:sz w:val="24"/>
          <w:szCs w:val="24"/>
          <w:highlight w:val="none"/>
        </w:rPr>
        <w:t>建设内容和规模：</w:t>
      </w:r>
      <w:r>
        <w:rPr>
          <w:rFonts w:hint="eastAsia" w:ascii="宋体" w:hAnsi="宋体" w:eastAsia="宋体" w:cs="宋体"/>
          <w:color w:val="auto"/>
          <w:sz w:val="24"/>
          <w:szCs w:val="24"/>
          <w:highlight w:val="none"/>
          <w:u w:val="single"/>
          <w:lang w:val="en-US" w:eastAsia="zh-CN"/>
        </w:rPr>
        <w:t>新建住宅5栋，用地面积4895.50平方米，新建住宅5栋，总建筑面积4667.86平方米，其中:1#楼建筑面积640.39平方米，共3层，建筑高度10.21米;2#楼建筑面积862.25平方米，共2层，建筑高度为8.35米;3#楼建筑面积1277.06平方米，共3层，建筑高度10.21米;4#楼建筑面积433.45平方米，共2层，建筑高度为8.35米;5#楼建筑面积1454.71平方米，共3层，建筑高度10.29米;新建停车场1个;配套建设园建、绿化、室外给排水、室外电气、照明、安装标识、挡土墙等附属工程。</w:t>
      </w:r>
    </w:p>
    <w:p w14:paraId="45B0CA02">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1.1.3  </w:t>
      </w:r>
      <w:r>
        <w:rPr>
          <w:rFonts w:hint="eastAsia" w:ascii="宋体" w:hAnsi="宋体" w:eastAsia="宋体" w:cs="宋体"/>
          <w:color w:val="auto"/>
          <w:spacing w:val="-2"/>
          <w:sz w:val="24"/>
          <w:szCs w:val="24"/>
          <w:highlight w:val="none"/>
        </w:rPr>
        <w:t>项目总投资</w:t>
      </w:r>
      <w:r>
        <w:rPr>
          <w:rStyle w:val="21"/>
          <w:rFonts w:hint="eastAsia" w:ascii="宋体" w:hAnsi="宋体" w:eastAsia="宋体" w:cs="宋体"/>
          <w:color w:val="auto"/>
          <w:kern w:val="0"/>
          <w:sz w:val="24"/>
          <w:szCs w:val="24"/>
          <w:highlight w:val="none"/>
        </w:rPr>
        <w:t>：</w:t>
      </w:r>
      <w:r>
        <w:rPr>
          <w:rStyle w:val="21"/>
          <w:rFonts w:hint="eastAsia" w:ascii="宋体" w:hAnsi="宋体" w:eastAsia="宋体" w:cs="宋体"/>
          <w:color w:val="auto"/>
          <w:kern w:val="0"/>
          <w:sz w:val="24"/>
          <w:szCs w:val="24"/>
          <w:highlight w:val="none"/>
          <w:u w:val="single"/>
          <w:lang w:val="en-US" w:eastAsia="zh-CN"/>
        </w:rPr>
        <w:t>项目概算总投资2715.00万元，其中工程费用1916.90万。</w:t>
      </w:r>
    </w:p>
    <w:p w14:paraId="76EA2F0B">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z w:val="24"/>
          <w:szCs w:val="24"/>
          <w:highlight w:val="none"/>
          <w:u w:val="none"/>
          <w:lang w:val="en-US" w:eastAsia="zh-CN"/>
        </w:rPr>
        <w:t>1</w:t>
      </w:r>
      <w:r>
        <w:rPr>
          <w:rFonts w:hint="eastAsia" w:ascii="宋体" w:hAnsi="宋体" w:eastAsia="宋体" w:cs="宋体"/>
          <w:b/>
          <w:bCs/>
          <w:color w:val="auto"/>
          <w:spacing w:val="-2"/>
          <w:sz w:val="24"/>
          <w:szCs w:val="24"/>
          <w:highlight w:val="none"/>
          <w:u w:val="none"/>
          <w:lang w:val="en-US" w:eastAsia="zh-CN"/>
        </w:rPr>
        <w:t xml:space="preserve">.2 </w:t>
      </w:r>
      <w:r>
        <w:rPr>
          <w:rFonts w:hint="eastAsia" w:ascii="宋体" w:hAnsi="宋体" w:eastAsia="宋体" w:cs="宋体"/>
          <w:color w:val="auto"/>
          <w:sz w:val="24"/>
          <w:szCs w:val="24"/>
          <w:highlight w:val="none"/>
          <w:u w:val="single"/>
          <w:lang w:val="en-US" w:eastAsia="zh-CN"/>
        </w:rPr>
        <w:t xml:space="preserve"> 招标范围和标段划分</w:t>
      </w:r>
    </w:p>
    <w:p w14:paraId="2307A456">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rPr>
        <w:t xml:space="preserve">1.2.1  </w:t>
      </w:r>
      <w:r>
        <w:rPr>
          <w:rFonts w:hint="eastAsia" w:ascii="宋体" w:hAnsi="宋体" w:eastAsia="宋体" w:cs="宋体"/>
          <w:color w:val="auto"/>
          <w:spacing w:val="-2"/>
          <w:sz w:val="24"/>
          <w:szCs w:val="24"/>
          <w:highlight w:val="none"/>
        </w:rPr>
        <w:t>招标范围：</w:t>
      </w:r>
      <w:r>
        <w:rPr>
          <w:rFonts w:hint="eastAsia" w:ascii="宋体" w:hAnsi="宋体" w:eastAsia="宋体" w:cs="宋体"/>
          <w:color w:val="auto"/>
          <w:spacing w:val="-1"/>
          <w:sz w:val="24"/>
          <w:szCs w:val="24"/>
          <w:highlight w:val="none"/>
          <w:lang w:eastAsia="zh-CN"/>
        </w:rPr>
        <w:t>按审查合格的施工图纸及工程量清单内容施工。</w:t>
      </w:r>
    </w:p>
    <w:p w14:paraId="1F279E88">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outlineLvl w:val="9"/>
        <w:rPr>
          <w:rFonts w:hint="eastAsia" w:ascii="宋体" w:hAnsi="宋体" w:eastAsia="宋体" w:cs="宋体"/>
          <w:color w:val="auto"/>
          <w:sz w:val="24"/>
          <w:szCs w:val="24"/>
          <w:highlight w:val="none"/>
        </w:rPr>
      </w:pPr>
      <w:bookmarkStart w:id="13" w:name="_Toc28202"/>
      <w:bookmarkStart w:id="14" w:name="_Toc14190"/>
      <w:bookmarkStart w:id="15" w:name="_Toc20855"/>
      <w:bookmarkStart w:id="16" w:name="_Toc24593"/>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标段划分：本招标项目不划分标段。</w:t>
      </w:r>
      <w:bookmarkEnd w:id="13"/>
      <w:bookmarkEnd w:id="14"/>
      <w:bookmarkEnd w:id="15"/>
      <w:bookmarkEnd w:id="16"/>
    </w:p>
    <w:p w14:paraId="6D2283DD">
      <w:pPr>
        <w:keepNext w:val="0"/>
        <w:keepLines w:val="0"/>
        <w:pageBreakBefore w:val="0"/>
        <w:widowControl/>
        <w:kinsoku w:val="0"/>
        <w:overflowPunct/>
        <w:topLinePunct w:val="0"/>
        <w:autoSpaceDE w:val="0"/>
        <w:autoSpaceDN w:val="0"/>
        <w:bidi w:val="0"/>
        <w:adjustRightInd w:val="0"/>
        <w:snapToGrid w:val="0"/>
        <w:spacing w:line="360" w:lineRule="auto"/>
        <w:ind w:left="13" w:right="65" w:firstLine="53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  </w:t>
      </w:r>
      <w:r>
        <w:rPr>
          <w:rFonts w:hint="eastAsia" w:ascii="宋体" w:hAnsi="宋体" w:eastAsia="宋体" w:cs="宋体"/>
          <w:color w:val="auto"/>
          <w:spacing w:val="-1"/>
          <w:sz w:val="24"/>
          <w:szCs w:val="24"/>
          <w:highlight w:val="none"/>
        </w:rPr>
        <w:t>投标费用：投标人应承担所有准备和参加投标的相关费用，不</w:t>
      </w:r>
      <w:r>
        <w:rPr>
          <w:rFonts w:hint="eastAsia" w:ascii="宋体" w:hAnsi="宋体" w:eastAsia="宋体" w:cs="宋体"/>
          <w:color w:val="auto"/>
          <w:spacing w:val="-2"/>
          <w:sz w:val="24"/>
          <w:szCs w:val="24"/>
          <w:highlight w:val="none"/>
        </w:rPr>
        <w:t>论投标结果如</w:t>
      </w:r>
      <w:r>
        <w:rPr>
          <w:rFonts w:hint="eastAsia" w:ascii="宋体" w:hAnsi="宋体" w:eastAsia="宋体" w:cs="宋体"/>
          <w:color w:val="auto"/>
          <w:spacing w:val="-1"/>
          <w:sz w:val="24"/>
          <w:szCs w:val="24"/>
          <w:highlight w:val="none"/>
        </w:rPr>
        <w:t>何，招标人均无义务和责任承担这些费用。</w:t>
      </w:r>
    </w:p>
    <w:p w14:paraId="51512139">
      <w:pPr>
        <w:keepNext w:val="0"/>
        <w:keepLines w:val="0"/>
        <w:pageBreakBefore w:val="0"/>
        <w:widowControl/>
        <w:kinsoku w:val="0"/>
        <w:overflowPunct/>
        <w:topLinePunct w:val="0"/>
        <w:autoSpaceDE w:val="0"/>
        <w:autoSpaceDN w:val="0"/>
        <w:bidi w:val="0"/>
        <w:adjustRightInd w:val="0"/>
        <w:snapToGrid w:val="0"/>
        <w:spacing w:line="360" w:lineRule="auto"/>
        <w:ind w:left="49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 xml:space="preserve">1.4  </w:t>
      </w:r>
      <w:r>
        <w:rPr>
          <w:rFonts w:hint="eastAsia" w:ascii="宋体" w:hAnsi="宋体" w:eastAsia="宋体" w:cs="宋体"/>
          <w:color w:val="auto"/>
          <w:spacing w:val="-6"/>
          <w:sz w:val="24"/>
          <w:szCs w:val="24"/>
          <w:highlight w:val="none"/>
        </w:rPr>
        <w:t>招标代理费用：</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82"/>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w:t>
      </w:r>
      <w:r>
        <w:rPr>
          <w:rFonts w:hint="eastAsia" w:ascii="宋体" w:hAnsi="宋体" w:eastAsia="宋体" w:cs="宋体"/>
          <w:color w:val="auto"/>
          <w:spacing w:val="6"/>
          <w:sz w:val="24"/>
          <w:szCs w:val="24"/>
          <w:highlight w:val="none"/>
        </w:rPr>
        <w:t>项目业主</w:t>
      </w:r>
      <w:r>
        <w:rPr>
          <w:rFonts w:hint="eastAsia" w:ascii="宋体" w:hAnsi="宋体" w:eastAsia="宋体" w:cs="宋体"/>
          <w:color w:val="auto"/>
          <w:spacing w:val="-6"/>
          <w:sz w:val="24"/>
          <w:szCs w:val="24"/>
          <w:highlight w:val="none"/>
          <w:shd w:val="clear" w:color="auto" w:fill="FFFFFF"/>
        </w:rPr>
        <w:t>支</w:t>
      </w:r>
      <w:r>
        <w:rPr>
          <w:rFonts w:hint="eastAsia" w:ascii="宋体" w:hAnsi="宋体" w:eastAsia="宋体" w:cs="宋体"/>
          <w:color w:val="auto"/>
          <w:spacing w:val="-6"/>
          <w:sz w:val="24"/>
          <w:szCs w:val="24"/>
          <w:highlight w:val="none"/>
        </w:rPr>
        <w:t>付</w:t>
      </w:r>
      <w:r>
        <w:rPr>
          <w:rFonts w:hint="eastAsia" w:ascii="宋体" w:hAnsi="宋体" w:eastAsia="宋体" w:cs="宋体"/>
          <w:color w:val="auto"/>
          <w:position w:val="-6"/>
          <w:sz w:val="24"/>
          <w:szCs w:val="24"/>
          <w:highlight w:val="none"/>
          <w:shd w:val="clear" w:color="auto" w:fill="FFFFFF"/>
          <w:lang w:eastAsia="zh-CN"/>
        </w:rPr>
        <w:t xml:space="preserve"> </w:t>
      </w:r>
      <w:r>
        <w:rPr>
          <w:rFonts w:hint="eastAsia" w:ascii="宋体" w:hAnsi="宋体" w:eastAsia="宋体" w:cs="宋体"/>
          <w:color w:val="auto"/>
          <w:spacing w:val="-6"/>
          <w:sz w:val="24"/>
          <w:szCs w:val="24"/>
          <w:highlight w:val="none"/>
          <w:shd w:val="clear" w:color="auto" w:fill="FFFFFF"/>
          <w:lang w:eastAsia="zh-CN"/>
        </w:rPr>
        <w:t>☑</w:t>
      </w:r>
      <w:r>
        <w:rPr>
          <w:rFonts w:hint="eastAsia" w:ascii="宋体" w:hAnsi="宋体" w:eastAsia="宋体" w:cs="宋体"/>
          <w:color w:val="auto"/>
          <w:spacing w:val="-81"/>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由中标人支付。</w:t>
      </w:r>
    </w:p>
    <w:p w14:paraId="03E76911">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82" w:firstLineChars="200"/>
        <w:jc w:val="left"/>
        <w:textAlignment w:val="baseline"/>
        <w:outlineLvl w:val="2"/>
        <w:rPr>
          <w:rFonts w:hint="eastAsia" w:ascii="宋体" w:hAnsi="宋体" w:eastAsia="宋体" w:cs="宋体"/>
          <w:b w:val="0"/>
          <w:bCs w:val="0"/>
          <w:color w:val="auto"/>
          <w:sz w:val="24"/>
          <w:szCs w:val="24"/>
          <w:highlight w:val="none"/>
        </w:rPr>
      </w:pPr>
      <w:bookmarkStart w:id="17" w:name="_Toc21208"/>
      <w:r>
        <w:rPr>
          <w:rFonts w:hint="eastAsia" w:ascii="宋体" w:hAnsi="宋体" w:eastAsia="宋体" w:cs="宋体"/>
          <w:b/>
          <w:bCs/>
          <w:color w:val="auto"/>
          <w:sz w:val="24"/>
          <w:szCs w:val="24"/>
          <w:highlight w:val="none"/>
        </w:rPr>
        <w:t>2．</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资质要求</w:t>
      </w:r>
      <w:bookmarkEnd w:id="17"/>
    </w:p>
    <w:p w14:paraId="23060124">
      <w:pPr>
        <w:wordWrap w:val="0"/>
        <w:adjustRightInd w:val="0"/>
        <w:snapToGrid w:val="0"/>
        <w:spacing w:line="360" w:lineRule="auto"/>
        <w:ind w:firstLine="482" w:firstLineChars="200"/>
        <w:rPr>
          <w:rStyle w:val="21"/>
          <w:rFonts w:hint="eastAsia" w:ascii="宋体" w:hAnsi="宋体" w:eastAsia="宋体" w:cs="宋体"/>
          <w:b/>
          <w:bCs/>
          <w:color w:val="auto"/>
          <w:kern w:val="0"/>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2.1</w:t>
      </w:r>
      <w:r>
        <w:rPr>
          <w:rStyle w:val="21"/>
          <w:rFonts w:hint="eastAsia" w:ascii="宋体" w:hAnsi="宋体" w:eastAsia="宋体" w:cs="宋体"/>
          <w:b w:val="0"/>
          <w:bCs w:val="0"/>
          <w:color w:val="auto"/>
          <w:kern w:val="0"/>
          <w:sz w:val="24"/>
          <w:szCs w:val="24"/>
          <w:highlight w:val="none"/>
          <w:lang w:val="en-US" w:eastAsia="zh-CN"/>
        </w:rPr>
        <w:t xml:space="preserve"> 本次招标不接受联合体投标。</w:t>
      </w:r>
    </w:p>
    <w:p w14:paraId="35E5AE8D">
      <w:pPr>
        <w:wordWrap w:val="0"/>
        <w:adjustRightInd w:val="0"/>
        <w:snapToGrid w:val="0"/>
        <w:spacing w:line="360" w:lineRule="auto"/>
        <w:ind w:firstLine="482" w:firstLineChars="200"/>
        <w:rPr>
          <w:rStyle w:val="21"/>
          <w:rFonts w:hint="eastAsia" w:ascii="宋体" w:hAnsi="宋体" w:eastAsia="宋体" w:cs="宋体"/>
          <w:b w:val="0"/>
          <w:bCs w:val="0"/>
          <w:color w:val="auto"/>
          <w:kern w:val="0"/>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2.2 </w:t>
      </w:r>
      <w:r>
        <w:rPr>
          <w:rStyle w:val="21"/>
          <w:rFonts w:hint="eastAsia" w:ascii="宋体" w:hAnsi="宋体" w:eastAsia="宋体" w:cs="宋体"/>
          <w:b w:val="0"/>
          <w:bCs w:val="0"/>
          <w:color w:val="auto"/>
          <w:kern w:val="0"/>
          <w:sz w:val="24"/>
          <w:szCs w:val="24"/>
          <w:highlight w:val="none"/>
          <w:lang w:val="en-US" w:eastAsia="zh-CN"/>
        </w:rPr>
        <w:t>资格资质要求</w:t>
      </w:r>
    </w:p>
    <w:p w14:paraId="62376B47">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2.2.1 </w:t>
      </w:r>
      <w:r>
        <w:rPr>
          <w:rFonts w:hint="eastAsia" w:ascii="宋体" w:hAnsi="宋体" w:eastAsia="宋体" w:cs="宋体"/>
          <w:b w:val="0"/>
          <w:bCs w:val="0"/>
          <w:color w:val="auto"/>
          <w:sz w:val="24"/>
          <w:szCs w:val="24"/>
          <w:highlight w:val="none"/>
          <w:lang w:val="en-US" w:eastAsia="zh-CN"/>
        </w:rPr>
        <w:t>投标人须具备独立法人资格，按国家法律经营。</w:t>
      </w:r>
    </w:p>
    <w:p w14:paraId="6CD5160B">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2.2.2 </w:t>
      </w:r>
      <w:r>
        <w:rPr>
          <w:rFonts w:hint="eastAsia" w:ascii="宋体" w:hAnsi="宋体" w:eastAsia="宋体" w:cs="宋体"/>
          <w:b w:val="0"/>
          <w:bCs w:val="0"/>
          <w:color w:val="auto"/>
          <w:sz w:val="24"/>
          <w:szCs w:val="24"/>
          <w:highlight w:val="none"/>
          <w:lang w:val="en-US" w:eastAsia="zh-CN"/>
        </w:rPr>
        <w:t>投标人须持有建设行政主管部门颁发的企业资质证书及安全生产许可证。</w:t>
      </w:r>
    </w:p>
    <w:p w14:paraId="043527F0">
      <w:pPr>
        <w:wordWrap w:val="0"/>
        <w:adjustRightInd w:val="0"/>
        <w:snapToGrid w:val="0"/>
        <w:spacing w:line="360" w:lineRule="auto"/>
        <w:ind w:firstLine="482" w:firstLineChars="200"/>
        <w:rPr>
          <w:rStyle w:val="21"/>
          <w:rFonts w:hint="eastAsia" w:ascii="宋体" w:hAnsi="宋体" w:eastAsia="宋体" w:cs="宋体"/>
          <w:b/>
          <w:bCs/>
          <w:color w:val="auto"/>
          <w:kern w:val="0"/>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2.2.3 </w:t>
      </w:r>
      <w:r>
        <w:rPr>
          <w:rFonts w:hint="eastAsia" w:ascii="宋体" w:hAnsi="宋体" w:eastAsia="宋体" w:cs="宋体"/>
          <w:b w:val="0"/>
          <w:bCs w:val="0"/>
          <w:color w:val="auto"/>
          <w:sz w:val="24"/>
          <w:szCs w:val="24"/>
          <w:highlight w:val="none"/>
          <w:lang w:val="en-US" w:eastAsia="zh-CN"/>
        </w:rPr>
        <w:t>投标人须具备以下资质：</w:t>
      </w:r>
      <w:r>
        <w:rPr>
          <w:rFonts w:hint="eastAsia" w:ascii="宋体" w:hAnsi="宋体" w:eastAsia="宋体" w:cs="宋体"/>
          <w:b w:val="0"/>
          <w:bCs w:val="0"/>
          <w:color w:val="auto"/>
          <w:sz w:val="24"/>
          <w:szCs w:val="24"/>
          <w:highlight w:val="none"/>
          <w:u w:val="single"/>
          <w:lang w:val="en-US" w:eastAsia="zh-CN"/>
        </w:rPr>
        <w:t>具有建设行政主管部门颁发的建筑工程施工总承包三级以上（含三级）以上资质。</w:t>
      </w:r>
    </w:p>
    <w:p w14:paraId="1396A9AD">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2.2.4 </w:t>
      </w:r>
      <w:r>
        <w:rPr>
          <w:rFonts w:hint="eastAsia" w:ascii="宋体" w:hAnsi="宋体" w:eastAsia="宋体" w:cs="宋体"/>
          <w:b w:val="0"/>
          <w:bCs w:val="0"/>
          <w:color w:val="auto"/>
          <w:sz w:val="24"/>
          <w:szCs w:val="24"/>
          <w:highlight w:val="none"/>
          <w:lang w:val="en-US"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1B37663C">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2.3 </w:t>
      </w:r>
      <w:r>
        <w:rPr>
          <w:rFonts w:hint="eastAsia" w:ascii="宋体" w:hAnsi="宋体" w:eastAsia="宋体" w:cs="宋体"/>
          <w:b w:val="0"/>
          <w:bCs w:val="0"/>
          <w:color w:val="auto"/>
          <w:sz w:val="24"/>
          <w:szCs w:val="24"/>
          <w:highlight w:val="none"/>
          <w:lang w:val="en-US" w:eastAsia="zh-CN"/>
        </w:rPr>
        <w:t>相关人员要求</w:t>
      </w:r>
    </w:p>
    <w:p w14:paraId="6C531DE2">
      <w:pPr>
        <w:wordWrap w:val="0"/>
        <w:adjustRightInd w:val="0"/>
        <w:snapToGrid w:val="0"/>
        <w:spacing w:line="360" w:lineRule="auto"/>
        <w:ind w:firstLine="482" w:firstLineChars="200"/>
        <w:rPr>
          <w:rStyle w:val="21"/>
          <w:rFonts w:hint="eastAsia" w:ascii="宋体" w:hAnsi="宋体" w:eastAsia="宋体" w:cs="宋体"/>
          <w:b/>
          <w:bCs/>
          <w:color w:val="auto"/>
          <w:kern w:val="0"/>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2.3.1 </w:t>
      </w:r>
      <w:r>
        <w:rPr>
          <w:rFonts w:hint="eastAsia" w:ascii="宋体" w:hAnsi="宋体" w:eastAsia="宋体" w:cs="宋体"/>
          <w:b w:val="0"/>
          <w:bCs w:val="0"/>
          <w:color w:val="auto"/>
          <w:sz w:val="24"/>
          <w:szCs w:val="24"/>
          <w:highlight w:val="none"/>
          <w:lang w:val="en-US" w:eastAsia="zh-CN"/>
        </w:rPr>
        <w:t>拟派项目经理为</w:t>
      </w:r>
      <w:r>
        <w:rPr>
          <w:rFonts w:hint="eastAsia" w:ascii="宋体" w:hAnsi="宋体" w:eastAsia="宋体" w:cs="宋体"/>
          <w:b w:val="0"/>
          <w:bCs w:val="0"/>
          <w:color w:val="auto"/>
          <w:sz w:val="24"/>
          <w:szCs w:val="24"/>
          <w:highlight w:val="none"/>
          <w:u w:val="single"/>
          <w:lang w:val="en-US" w:eastAsia="zh-CN"/>
        </w:rPr>
        <w:t xml:space="preserve"> 建筑工程 </w:t>
      </w:r>
      <w:r>
        <w:rPr>
          <w:rFonts w:hint="eastAsia" w:ascii="宋体" w:hAnsi="宋体" w:eastAsia="宋体" w:cs="宋体"/>
          <w:b w:val="0"/>
          <w:bCs w:val="0"/>
          <w:color w:val="auto"/>
          <w:sz w:val="24"/>
          <w:szCs w:val="24"/>
          <w:highlight w:val="none"/>
          <w:lang w:val="en-US" w:eastAsia="zh-CN"/>
        </w:rPr>
        <w:t xml:space="preserve">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  </w:t>
      </w:r>
    </w:p>
    <w:p w14:paraId="736A2627">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2.3.2 </w:t>
      </w:r>
      <w:r>
        <w:rPr>
          <w:rFonts w:hint="eastAsia" w:ascii="宋体" w:hAnsi="宋体" w:eastAsia="宋体" w:cs="宋体"/>
          <w:b w:val="0"/>
          <w:bCs w:val="0"/>
          <w:color w:val="auto"/>
          <w:sz w:val="24"/>
          <w:szCs w:val="24"/>
          <w:highlight w:val="none"/>
          <w:lang w:val="en-US" w:eastAsia="zh-CN"/>
        </w:rPr>
        <w:t>拟派项目技术负责人须具备</w:t>
      </w:r>
      <w:r>
        <w:rPr>
          <w:rFonts w:hint="eastAsia" w:ascii="宋体" w:hAnsi="宋体" w:eastAsia="宋体" w:cs="宋体"/>
          <w:b w:val="0"/>
          <w:bCs w:val="0"/>
          <w:color w:val="auto"/>
          <w:sz w:val="24"/>
          <w:szCs w:val="24"/>
          <w:highlight w:val="none"/>
          <w:u w:val="single"/>
          <w:lang w:val="en-US" w:eastAsia="zh-CN"/>
        </w:rPr>
        <w:t xml:space="preserve"> 建筑工程</w:t>
      </w:r>
      <w:r>
        <w:rPr>
          <w:rFonts w:hint="eastAsia" w:ascii="宋体" w:hAnsi="宋体" w:eastAsia="宋体" w:cs="宋体"/>
          <w:b w:val="0"/>
          <w:bCs w:val="0"/>
          <w:color w:val="auto"/>
          <w:sz w:val="24"/>
          <w:szCs w:val="24"/>
          <w:highlight w:val="none"/>
          <w:lang w:val="en-US" w:eastAsia="zh-CN"/>
        </w:rPr>
        <w:t>类相关专业中级或以上技术职称。</w:t>
      </w:r>
    </w:p>
    <w:p w14:paraId="3C9096CE">
      <w:pPr>
        <w:wordWrap w:val="0"/>
        <w:adjustRightInd w:val="0"/>
        <w:snapToGrid w:val="0"/>
        <w:spacing w:line="360" w:lineRule="auto"/>
        <w:ind w:firstLine="482" w:firstLineChars="200"/>
        <w:rPr>
          <w:rStyle w:val="21"/>
          <w:rFonts w:hint="eastAsia" w:ascii="宋体" w:hAnsi="宋体" w:eastAsia="宋体" w:cs="宋体"/>
          <w:b/>
          <w:bCs/>
          <w:color w:val="auto"/>
          <w:kern w:val="0"/>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2.3.3 </w:t>
      </w:r>
      <w:r>
        <w:rPr>
          <w:rFonts w:hint="eastAsia" w:ascii="宋体" w:hAnsi="宋体" w:eastAsia="宋体" w:cs="宋体"/>
          <w:b w:val="0"/>
          <w:bCs w:val="0"/>
          <w:color w:val="auto"/>
          <w:sz w:val="24"/>
          <w:szCs w:val="24"/>
          <w:highlight w:val="none"/>
          <w:lang w:val="en-US" w:eastAsia="zh-CN"/>
        </w:rPr>
        <w:t xml:space="preserve">拟派专职安全生产管理人员须具备有效安全生产考核合格证明（C证，安全生产考核合格证书或“广东省建筑施工企业管理人员安全生产考核信息系统”考核合格信息打印页），且不少于1人。 </w:t>
      </w:r>
    </w:p>
    <w:p w14:paraId="711B4950">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2.3.4 </w:t>
      </w:r>
      <w:r>
        <w:rPr>
          <w:rFonts w:hint="eastAsia" w:ascii="宋体" w:hAnsi="宋体" w:eastAsia="宋体" w:cs="宋体"/>
          <w:b w:val="0"/>
          <w:bCs w:val="0"/>
          <w:color w:val="auto"/>
          <w:sz w:val="24"/>
          <w:szCs w:val="24"/>
          <w:highlight w:val="none"/>
          <w:lang w:val="en-US" w:eastAsia="zh-CN"/>
        </w:rPr>
        <w:t>投标人与其拟派往本项目管理机构的所有人员之间必须具备合法、唯一的劳动聘用关系。拟派人员中具备注册执业资格的，其注册单位须与投标人保持一致（提供社保缴纳证明或劳动合同）。</w:t>
      </w:r>
    </w:p>
    <w:p w14:paraId="6B0DD0FC">
      <w:pPr>
        <w:spacing w:before="78" w:line="22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  </w:t>
      </w:r>
      <w:r>
        <w:rPr>
          <w:rFonts w:hint="eastAsia" w:ascii="宋体" w:hAnsi="宋体" w:eastAsia="宋体" w:cs="宋体"/>
          <w:color w:val="auto"/>
          <w:spacing w:val="-1"/>
          <w:sz w:val="24"/>
          <w:szCs w:val="24"/>
          <w:highlight w:val="none"/>
        </w:rPr>
        <w:t>禁止投标条款</w:t>
      </w:r>
    </w:p>
    <w:p w14:paraId="198E7E83">
      <w:pPr>
        <w:spacing w:before="153" w:line="22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2.4.1  </w:t>
      </w:r>
      <w:r>
        <w:rPr>
          <w:rFonts w:hint="eastAsia" w:ascii="宋体" w:hAnsi="宋体" w:eastAsia="宋体" w:cs="宋体"/>
          <w:color w:val="auto"/>
          <w:spacing w:val="-1"/>
          <w:sz w:val="24"/>
          <w:szCs w:val="24"/>
          <w:highlight w:val="none"/>
        </w:rPr>
        <w:t>投标人不得存在下列情形之一：</w:t>
      </w:r>
    </w:p>
    <w:p w14:paraId="6C5CBCD6">
      <w:pPr>
        <w:spacing w:before="153"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（1）为招标人不具有独立法人资格的附属机构（单位</w:t>
      </w:r>
      <w:r>
        <w:rPr>
          <w:rFonts w:hint="eastAsia" w:ascii="宋体" w:hAnsi="宋体" w:eastAsia="宋体" w:cs="宋体"/>
          <w:color w:val="auto"/>
          <w:spacing w:val="1"/>
          <w:sz w:val="24"/>
          <w:szCs w:val="24"/>
          <w:highlight w:val="none"/>
        </w:rPr>
        <w:t>）；</w:t>
      </w:r>
    </w:p>
    <w:p w14:paraId="00645A12">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（2）为本招标项目前期准备提供设计或咨询服务的；</w:t>
      </w:r>
    </w:p>
    <w:p w14:paraId="466E2120">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（3）与本招标项目的其他投标人为同一个单位负责人；</w:t>
      </w:r>
    </w:p>
    <w:p w14:paraId="358EB851">
      <w:pPr>
        <w:spacing w:before="155"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（4）与本招标项目的其他投标人存在控股、管理关系；</w:t>
      </w:r>
    </w:p>
    <w:p w14:paraId="6D365ADF">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（5）为本招标项目的监理人；</w:t>
      </w:r>
    </w:p>
    <w:p w14:paraId="661267E9">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（6）为本招标项目的代建人；</w:t>
      </w:r>
    </w:p>
    <w:p w14:paraId="6248B25F">
      <w:pPr>
        <w:spacing w:before="155"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（7）为本招标项目的招标代理机构；</w:t>
      </w:r>
    </w:p>
    <w:p w14:paraId="199345F5">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（8）与本招标项目的监理人或代建人或招标代理机构同为一个法定代表人；</w:t>
      </w:r>
    </w:p>
    <w:p w14:paraId="42A9F078">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（9）与本招标项目的监理人或代建人或招标代理机构存在控股或参股关系；</w:t>
      </w:r>
    </w:p>
    <w:p w14:paraId="3ED798D0">
      <w:pPr>
        <w:spacing w:before="155" w:line="219" w:lineRule="auto"/>
        <w:ind w:firstLine="468"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（10）与本招标项目的监理人或代建人或招标代理机构存在相互</w:t>
      </w:r>
      <w:r>
        <w:rPr>
          <w:rFonts w:hint="eastAsia" w:ascii="宋体" w:hAnsi="宋体" w:eastAsia="宋体" w:cs="宋体"/>
          <w:color w:val="auto"/>
          <w:spacing w:val="-4"/>
          <w:sz w:val="24"/>
          <w:szCs w:val="24"/>
          <w:highlight w:val="none"/>
        </w:rPr>
        <w:t>任职或工作关系；</w:t>
      </w:r>
    </w:p>
    <w:p w14:paraId="3D5B3F7C">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（11）被依法暂停或者取消投标资格；</w:t>
      </w:r>
    </w:p>
    <w:p w14:paraId="649343BB">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（12）被责令停产停业、暂扣或者吊销许可证、暂扣或者吊销执照；</w:t>
      </w:r>
    </w:p>
    <w:p w14:paraId="1E4B846B">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（13）进入清算程序，或被宣告破产，或其他丧失履约能力的情形；</w:t>
      </w:r>
    </w:p>
    <w:p w14:paraId="73DFCEAC">
      <w:pPr>
        <w:pStyle w:val="23"/>
        <w:wordWrap w:val="0"/>
        <w:adjustRightInd w:val="0"/>
        <w:snapToGrid w:val="0"/>
        <w:spacing w:line="440" w:lineRule="exact"/>
        <w:ind w:firstLine="480"/>
        <w:jc w:val="left"/>
        <w:rPr>
          <w:rFonts w:hint="eastAsia" w:ascii="宋体" w:hAnsi="宋体" w:eastAsia="宋体" w:cs="宋体"/>
          <w:color w:val="auto"/>
          <w:spacing w:val="2"/>
          <w:sz w:val="24"/>
          <w:szCs w:val="24"/>
          <w:highlight w:val="none"/>
        </w:rPr>
      </w:pPr>
      <w:bookmarkStart w:id="18" w:name="bookmark116"/>
      <w:bookmarkEnd w:id="18"/>
      <w:r>
        <w:rPr>
          <w:rFonts w:hint="eastAsia" w:ascii="宋体" w:hAnsi="宋体" w:eastAsia="宋体" w:cs="宋体"/>
          <w:color w:val="auto"/>
          <w:spacing w:val="-1"/>
          <w:sz w:val="24"/>
          <w:szCs w:val="24"/>
          <w:highlight w:val="none"/>
        </w:rPr>
        <w:t>处罚决定或司法机关出具的有关法律文书为准</w:t>
      </w:r>
      <w:r>
        <w:rPr>
          <w:rFonts w:hint="eastAsia" w:ascii="宋体" w:hAnsi="宋体" w:eastAsia="宋体" w:cs="宋体"/>
          <w:color w:val="auto"/>
          <w:spacing w:val="2"/>
          <w:sz w:val="24"/>
          <w:szCs w:val="24"/>
          <w:highlight w:val="none"/>
        </w:rPr>
        <w:t>）；</w:t>
      </w:r>
    </w:p>
    <w:p w14:paraId="39E50891">
      <w:pPr>
        <w:pStyle w:val="23"/>
        <w:wordWrap w:val="0"/>
        <w:adjustRightInd w:val="0"/>
        <w:snapToGrid w:val="0"/>
        <w:spacing w:line="44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highlight w:val="none"/>
        </w:rPr>
        <w:t>（14）在最近三年内发生重大工程质量或安全问题（以相关行业主管部门的行政处罚决定或司法机关出具的有关法律文书为准）；</w:t>
      </w:r>
    </w:p>
    <w:p w14:paraId="40B021B1">
      <w:pPr>
        <w:spacing w:before="118" w:line="293" w:lineRule="auto"/>
        <w:ind w:left="232" w:right="99" w:firstLine="36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（15）被“信用中国</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”网站（https://www.creditchina.gov.cn）发布的《法人和</w:t>
      </w:r>
      <w:r>
        <w:rPr>
          <w:rFonts w:hint="eastAsia" w:ascii="宋体" w:hAnsi="宋体" w:eastAsia="宋体" w:cs="宋体"/>
          <w:color w:val="auto"/>
          <w:spacing w:val="-3"/>
          <w:sz w:val="24"/>
          <w:szCs w:val="24"/>
          <w:highlight w:val="none"/>
        </w:rPr>
        <w:t>非法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人组织公共信用信息报告</w:t>
      </w:r>
      <w:r>
        <w:rPr>
          <w:rFonts w:hint="eastAsia" w:ascii="宋体" w:hAnsi="宋体" w:eastAsia="宋体" w:cs="宋体"/>
          <w:snapToGrid w:val="0"/>
          <w:color w:val="auto"/>
          <w:kern w:val="0"/>
          <w:sz w:val="24"/>
          <w:szCs w:val="24"/>
          <w:highlight w:val="none"/>
          <w:lang w:val="en-US" w:eastAsia="zh-CN" w:bidi="ar-SA"/>
        </w:rPr>
        <w:t>》列为严重失信主体名单的</w:t>
      </w:r>
      <w:r>
        <w:rPr>
          <w:rFonts w:hint="eastAsia" w:ascii="宋体" w:hAnsi="宋体" w:eastAsia="宋体" w:cs="宋体"/>
          <w:color w:val="auto"/>
          <w:spacing w:val="2"/>
          <w:sz w:val="24"/>
          <w:szCs w:val="24"/>
          <w:highlight w:val="none"/>
        </w:rPr>
        <w:t>。</w:t>
      </w:r>
    </w:p>
    <w:p w14:paraId="26B8C09D">
      <w:pPr>
        <w:spacing w:before="155" w:line="219" w:lineRule="auto"/>
        <w:ind w:left="706"/>
        <w:rPr>
          <w:rFonts w:hint="eastAsia" w:ascii="宋体" w:hAnsi="宋体" w:eastAsia="宋体" w:cs="宋体"/>
          <w:color w:val="auto"/>
          <w:spacing w:val="-1"/>
          <w:sz w:val="24"/>
          <w:szCs w:val="24"/>
          <w:highlight w:val="none"/>
        </w:rPr>
      </w:pPr>
      <w:r>
        <w:rPr>
          <w:rFonts w:hint="eastAsia" w:ascii="宋体" w:hAnsi="宋体" w:eastAsia="宋体" w:cs="宋体"/>
          <w:b/>
          <w:bCs/>
          <w:color w:val="auto"/>
          <w:sz w:val="24"/>
          <w:szCs w:val="24"/>
          <w:highlight w:val="none"/>
        </w:rPr>
        <w:t xml:space="preserve">2.4.2  </w:t>
      </w:r>
      <w:r>
        <w:rPr>
          <w:rFonts w:hint="eastAsia" w:ascii="宋体" w:hAnsi="宋体" w:eastAsia="宋体" w:cs="宋体"/>
          <w:color w:val="auto"/>
          <w:sz w:val="24"/>
          <w:szCs w:val="24"/>
          <w:highlight w:val="none"/>
        </w:rPr>
        <w:t>招标人拒绝以下名单中的单位</w:t>
      </w:r>
      <w:r>
        <w:rPr>
          <w:rFonts w:hint="eastAsia" w:ascii="宋体" w:hAnsi="宋体" w:eastAsia="宋体" w:cs="宋体"/>
          <w:color w:val="auto"/>
          <w:spacing w:val="-1"/>
          <w:sz w:val="24"/>
          <w:szCs w:val="24"/>
          <w:highlight w:val="none"/>
        </w:rPr>
        <w:t>参加本次投标：</w:t>
      </w:r>
    </w:p>
    <w:p w14:paraId="3814204B">
      <w:pPr>
        <w:spacing w:line="93" w:lineRule="auto"/>
        <w:rPr>
          <w:rFonts w:hint="eastAsia" w:ascii="宋体" w:hAnsi="宋体" w:eastAsia="宋体" w:cs="宋体"/>
          <w:color w:val="auto"/>
          <w:sz w:val="2"/>
          <w:highlight w:val="none"/>
        </w:rPr>
      </w:pPr>
    </w:p>
    <w:p w14:paraId="39F06E94">
      <w:pPr>
        <w:spacing w:line="93" w:lineRule="auto"/>
        <w:rPr>
          <w:rFonts w:hint="eastAsia" w:ascii="宋体" w:hAnsi="宋体" w:eastAsia="宋体" w:cs="宋体"/>
          <w:color w:val="auto"/>
          <w:sz w:val="2"/>
          <w:highlight w:val="none"/>
        </w:rPr>
      </w:pPr>
    </w:p>
    <w:tbl>
      <w:tblPr>
        <w:tblStyle w:val="14"/>
        <w:tblW w:w="73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2840"/>
        <w:gridCol w:w="3629"/>
      </w:tblGrid>
      <w:tr w14:paraId="13F65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49" w:type="dxa"/>
            <w:vAlign w:val="center"/>
          </w:tcPr>
          <w:p w14:paraId="50EF8474">
            <w:pPr>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序号</w:t>
            </w:r>
          </w:p>
        </w:tc>
        <w:tc>
          <w:tcPr>
            <w:tcW w:w="2840" w:type="dxa"/>
            <w:vAlign w:val="center"/>
          </w:tcPr>
          <w:p w14:paraId="3DEBCEC6">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单位名称</w:t>
            </w:r>
          </w:p>
        </w:tc>
        <w:tc>
          <w:tcPr>
            <w:tcW w:w="3629" w:type="dxa"/>
            <w:vAlign w:val="center"/>
          </w:tcPr>
          <w:p w14:paraId="5475587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拒绝原因</w:t>
            </w:r>
          </w:p>
        </w:tc>
      </w:tr>
      <w:tr w14:paraId="7E567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849" w:type="dxa"/>
            <w:vAlign w:val="center"/>
          </w:tcPr>
          <w:p w14:paraId="373D6C09">
            <w:pPr>
              <w:widowControl w:val="0"/>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w:t>
            </w:r>
          </w:p>
        </w:tc>
        <w:tc>
          <w:tcPr>
            <w:tcW w:w="2840" w:type="dxa"/>
            <w:vAlign w:val="center"/>
          </w:tcPr>
          <w:p w14:paraId="5C8A48C5">
            <w:pPr>
              <w:widowControl w:val="0"/>
              <w:wordWrap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韶关市武江区江湾镇人民政府</w:t>
            </w:r>
          </w:p>
        </w:tc>
        <w:tc>
          <w:tcPr>
            <w:tcW w:w="3629" w:type="dxa"/>
            <w:vAlign w:val="center"/>
          </w:tcPr>
          <w:p w14:paraId="5864B7A1">
            <w:pPr>
              <w:widowControl w:val="0"/>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为本招标项目的招标人</w:t>
            </w:r>
          </w:p>
        </w:tc>
      </w:tr>
      <w:tr w14:paraId="6CD2D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849" w:type="dxa"/>
            <w:vAlign w:val="center"/>
          </w:tcPr>
          <w:p w14:paraId="21C254DA">
            <w:pPr>
              <w:widowControl w:val="0"/>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w:t>
            </w:r>
          </w:p>
        </w:tc>
        <w:tc>
          <w:tcPr>
            <w:tcW w:w="2840" w:type="dxa"/>
            <w:vAlign w:val="center"/>
          </w:tcPr>
          <w:p w14:paraId="18DF1A27">
            <w:pPr>
              <w:widowControl w:val="0"/>
              <w:wordWrap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海通国际设计有限公司</w:t>
            </w:r>
          </w:p>
        </w:tc>
        <w:tc>
          <w:tcPr>
            <w:tcW w:w="3629" w:type="dxa"/>
            <w:vAlign w:val="center"/>
          </w:tcPr>
          <w:p w14:paraId="5121C95E">
            <w:pPr>
              <w:widowControl w:val="0"/>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为本招标项目的招标代理机构</w:t>
            </w:r>
          </w:p>
        </w:tc>
      </w:tr>
      <w:tr w14:paraId="56E68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849" w:type="dxa"/>
            <w:vAlign w:val="center"/>
          </w:tcPr>
          <w:p w14:paraId="6AC2BB2D">
            <w:pPr>
              <w:widowControl w:val="0"/>
              <w:wordWrap w:val="0"/>
              <w:adjustRightInd w:val="0"/>
              <w:snapToGrid w:val="0"/>
              <w:spacing w:line="340" w:lineRule="exact"/>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3</w:t>
            </w:r>
          </w:p>
        </w:tc>
        <w:tc>
          <w:tcPr>
            <w:tcW w:w="2840" w:type="dxa"/>
            <w:vAlign w:val="center"/>
          </w:tcPr>
          <w:p w14:paraId="21BA6912">
            <w:pPr>
              <w:widowControl w:val="0"/>
              <w:wordWrap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天尚设计集团有限公司</w:t>
            </w:r>
          </w:p>
        </w:tc>
        <w:tc>
          <w:tcPr>
            <w:tcW w:w="3629" w:type="dxa"/>
            <w:vAlign w:val="center"/>
          </w:tcPr>
          <w:p w14:paraId="1A061402">
            <w:pPr>
              <w:widowControl w:val="0"/>
              <w:wordWrap w:val="0"/>
              <w:adjustRightInd w:val="0"/>
              <w:snapToGrid w:val="0"/>
              <w:spacing w:line="340" w:lineRule="exact"/>
              <w:jc w:val="center"/>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为本招标项目的设计单位</w:t>
            </w:r>
          </w:p>
        </w:tc>
      </w:tr>
      <w:tr w14:paraId="2A883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849" w:type="dxa"/>
            <w:vAlign w:val="center"/>
          </w:tcPr>
          <w:p w14:paraId="0843396D">
            <w:pPr>
              <w:pStyle w:val="23"/>
              <w:wordWrap w:val="0"/>
              <w:adjustRightInd w:val="0"/>
              <w:snapToGrid w:val="0"/>
              <w:spacing w:line="340" w:lineRule="exact"/>
              <w:jc w:val="center"/>
              <w:rPr>
                <w:rFonts w:hint="default" w:ascii="宋体" w:hAnsi="宋体" w:eastAsia="宋体" w:cs="宋体"/>
                <w:snapToGrid w:val="0"/>
                <w:color w:val="auto"/>
                <w:kern w:val="0"/>
                <w:sz w:val="21"/>
                <w:szCs w:val="21"/>
                <w:highlight w:val="none"/>
                <w:lang w:val="en-US" w:eastAsia="zh-CN" w:bidi="ar-SA"/>
              </w:rPr>
            </w:pPr>
            <w:r>
              <w:rPr>
                <w:rFonts w:hint="eastAsia" w:ascii="宋体" w:hAnsi="宋体" w:cs="宋体"/>
                <w:snapToGrid w:val="0"/>
                <w:color w:val="auto"/>
                <w:kern w:val="0"/>
                <w:sz w:val="21"/>
                <w:szCs w:val="21"/>
                <w:highlight w:val="none"/>
                <w:lang w:val="en-US" w:eastAsia="zh-CN"/>
              </w:rPr>
              <w:t>4</w:t>
            </w:r>
          </w:p>
        </w:tc>
        <w:tc>
          <w:tcPr>
            <w:tcW w:w="2840" w:type="dxa"/>
            <w:vAlign w:val="center"/>
          </w:tcPr>
          <w:p w14:paraId="2C6B1923">
            <w:pPr>
              <w:keepNext w:val="0"/>
              <w:keepLines w:val="0"/>
              <w:pageBreakBefore w:val="0"/>
              <w:widowControl w:val="0"/>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智埔国际建设集团有限公司</w:t>
            </w:r>
          </w:p>
        </w:tc>
        <w:tc>
          <w:tcPr>
            <w:tcW w:w="3629" w:type="dxa"/>
            <w:vAlign w:val="center"/>
          </w:tcPr>
          <w:p w14:paraId="01720CCB">
            <w:pPr>
              <w:keepNext w:val="0"/>
              <w:keepLines w:val="0"/>
              <w:pageBreakBefore w:val="0"/>
              <w:widowControl w:val="0"/>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为本招标项目的全过程造价咨询单位</w:t>
            </w:r>
          </w:p>
        </w:tc>
      </w:tr>
      <w:tr w14:paraId="28A3D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849" w:type="dxa"/>
            <w:vAlign w:val="center"/>
          </w:tcPr>
          <w:p w14:paraId="1426FF2D">
            <w:pPr>
              <w:pStyle w:val="23"/>
              <w:wordWrap w:val="0"/>
              <w:adjustRightInd w:val="0"/>
              <w:snapToGrid w:val="0"/>
              <w:spacing w:line="340" w:lineRule="exact"/>
              <w:jc w:val="center"/>
              <w:rPr>
                <w:rFonts w:hint="default" w:ascii="宋体" w:hAnsi="宋体" w:eastAsia="宋体" w:cs="宋体"/>
                <w:snapToGrid w:val="0"/>
                <w:color w:val="auto"/>
                <w:kern w:val="0"/>
                <w:sz w:val="21"/>
                <w:szCs w:val="21"/>
                <w:highlight w:val="none"/>
                <w:lang w:val="en-US" w:eastAsia="zh-CN" w:bidi="ar-SA"/>
              </w:rPr>
            </w:pPr>
            <w:r>
              <w:rPr>
                <w:rFonts w:hint="eastAsia" w:ascii="宋体" w:hAnsi="宋体" w:cs="宋体"/>
                <w:snapToGrid w:val="0"/>
                <w:color w:val="auto"/>
                <w:kern w:val="0"/>
                <w:sz w:val="21"/>
                <w:szCs w:val="21"/>
                <w:highlight w:val="none"/>
                <w:lang w:val="en-US" w:eastAsia="zh-CN"/>
              </w:rPr>
              <w:t>5</w:t>
            </w:r>
          </w:p>
        </w:tc>
        <w:tc>
          <w:tcPr>
            <w:tcW w:w="2840" w:type="dxa"/>
            <w:vAlign w:val="center"/>
          </w:tcPr>
          <w:p w14:paraId="39C68697">
            <w:pPr>
              <w:keepNext w:val="0"/>
              <w:keepLines w:val="0"/>
              <w:pageBreakBefore w:val="0"/>
              <w:widowControl w:val="0"/>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韶关地质工程勘察院有限公司</w:t>
            </w:r>
          </w:p>
        </w:tc>
        <w:tc>
          <w:tcPr>
            <w:tcW w:w="3629" w:type="dxa"/>
            <w:vAlign w:val="center"/>
          </w:tcPr>
          <w:p w14:paraId="7E7654D5">
            <w:pPr>
              <w:keepNext w:val="0"/>
              <w:keepLines w:val="0"/>
              <w:pageBreakBefore w:val="0"/>
              <w:widowControl w:val="0"/>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本项目工程勘察单位</w:t>
            </w:r>
          </w:p>
        </w:tc>
      </w:tr>
      <w:tr w14:paraId="6946D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49" w:type="dxa"/>
            <w:vAlign w:val="center"/>
          </w:tcPr>
          <w:p w14:paraId="39300F59">
            <w:pPr>
              <w:pStyle w:val="23"/>
              <w:wordWrap w:val="0"/>
              <w:adjustRightInd w:val="0"/>
              <w:snapToGrid w:val="0"/>
              <w:spacing w:line="340" w:lineRule="exact"/>
              <w:jc w:val="center"/>
              <w:rPr>
                <w:rFonts w:hint="default" w:ascii="宋体" w:hAnsi="宋体" w:eastAsia="宋体" w:cs="宋体"/>
                <w:snapToGrid w:val="0"/>
                <w:color w:val="auto"/>
                <w:kern w:val="0"/>
                <w:sz w:val="21"/>
                <w:szCs w:val="21"/>
                <w:highlight w:val="none"/>
                <w:lang w:val="en-US" w:eastAsia="zh-CN" w:bidi="ar-SA"/>
              </w:rPr>
            </w:pPr>
            <w:r>
              <w:rPr>
                <w:rFonts w:hint="eastAsia" w:ascii="宋体" w:hAnsi="宋体" w:cs="宋体"/>
                <w:snapToGrid w:val="0"/>
                <w:color w:val="auto"/>
                <w:kern w:val="0"/>
                <w:sz w:val="21"/>
                <w:szCs w:val="21"/>
                <w:highlight w:val="none"/>
                <w:lang w:val="en-US" w:eastAsia="zh-CN"/>
              </w:rPr>
              <w:t>6</w:t>
            </w:r>
          </w:p>
        </w:tc>
        <w:tc>
          <w:tcPr>
            <w:tcW w:w="2840" w:type="dxa"/>
            <w:vAlign w:val="center"/>
          </w:tcPr>
          <w:p w14:paraId="59434F12">
            <w:pPr>
              <w:keepNext w:val="0"/>
              <w:keepLines w:val="0"/>
              <w:pageBreakBefore w:val="0"/>
              <w:widowControl w:val="0"/>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广东省华源建设项目管理有限公司</w:t>
            </w:r>
          </w:p>
        </w:tc>
        <w:tc>
          <w:tcPr>
            <w:tcW w:w="3629" w:type="dxa"/>
            <w:vAlign w:val="center"/>
          </w:tcPr>
          <w:p w14:paraId="080FE5C9">
            <w:pPr>
              <w:keepNext w:val="0"/>
              <w:keepLines w:val="0"/>
              <w:pageBreakBefore w:val="0"/>
              <w:widowControl w:val="0"/>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为本项目可行性研究报告单位</w:t>
            </w:r>
          </w:p>
        </w:tc>
      </w:tr>
    </w:tbl>
    <w:p w14:paraId="18833F3E">
      <w:pPr>
        <w:spacing w:before="153" w:line="221" w:lineRule="auto"/>
        <w:rPr>
          <w:rFonts w:hint="eastAsia" w:ascii="宋体" w:hAnsi="宋体" w:eastAsia="宋体" w:cs="宋体"/>
          <w:b/>
          <w:bCs/>
          <w:color w:val="auto"/>
          <w:spacing w:val="-1"/>
          <w:sz w:val="24"/>
          <w:szCs w:val="24"/>
          <w:highlight w:val="none"/>
        </w:rPr>
      </w:pPr>
    </w:p>
    <w:p w14:paraId="44FD298A">
      <w:pPr>
        <w:spacing w:before="153" w:line="221" w:lineRule="auto"/>
        <w:ind w:left="70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其他要求</w:t>
      </w:r>
    </w:p>
    <w:p w14:paraId="329532D5">
      <w:pPr>
        <w:spacing w:before="150" w:line="334" w:lineRule="auto"/>
        <w:ind w:left="232" w:right="99" w:firstLine="481"/>
        <w:rPr>
          <w:rFonts w:hint="eastAsia" w:ascii="宋体" w:hAnsi="宋体" w:eastAsia="宋体" w:cs="宋体"/>
          <w:color w:val="auto"/>
          <w:highlight w:val="none"/>
        </w:rPr>
      </w:pPr>
      <w:r>
        <w:rPr>
          <w:rFonts w:hint="eastAsia" w:ascii="宋体" w:hAnsi="宋体" w:eastAsia="宋体" w:cs="宋体"/>
          <w:color w:val="auto"/>
          <w:spacing w:val="-1"/>
          <w:sz w:val="24"/>
          <w:szCs w:val="24"/>
          <w:highlight w:val="none"/>
        </w:rPr>
        <w:t>省外企业及其拟派往本项目管理机构的所有</w:t>
      </w:r>
      <w:r>
        <w:rPr>
          <w:rFonts w:hint="eastAsia" w:ascii="宋体" w:hAnsi="宋体" w:eastAsia="宋体" w:cs="宋体"/>
          <w:color w:val="auto"/>
          <w:spacing w:val="-2"/>
          <w:sz w:val="24"/>
          <w:szCs w:val="24"/>
          <w:highlight w:val="none"/>
        </w:rPr>
        <w:t>人员均须按照《广东省住房和城乡建</w:t>
      </w:r>
      <w:r>
        <w:rPr>
          <w:rFonts w:hint="eastAsia" w:ascii="宋体" w:hAnsi="宋体" w:eastAsia="宋体" w:cs="宋体"/>
          <w:color w:val="auto"/>
          <w:spacing w:val="-1"/>
          <w:sz w:val="24"/>
          <w:szCs w:val="24"/>
          <w:highlight w:val="none"/>
        </w:rPr>
        <w:t>设厅关于取消省外建筑企业和人员进粤信息备案有关工作的通知》</w:t>
      </w:r>
      <w:r>
        <w:rPr>
          <w:rFonts w:hint="eastAsia" w:ascii="宋体" w:hAnsi="宋体" w:eastAsia="宋体" w:cs="宋体"/>
          <w:color w:val="auto"/>
          <w:spacing w:val="-2"/>
          <w:sz w:val="24"/>
          <w:szCs w:val="24"/>
          <w:highlight w:val="none"/>
        </w:rPr>
        <w:t>（粤建市﹝2015﹞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52</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4"/>
          <w:sz w:val="24"/>
          <w:szCs w:val="24"/>
          <w:highlight w:val="none"/>
        </w:rPr>
        <w:t>号）规定在“进粤企业和人员诚信信息登记平台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”录入相关信息并通过数</w:t>
      </w:r>
      <w:r>
        <w:rPr>
          <w:rFonts w:hint="eastAsia" w:ascii="宋体" w:hAnsi="宋体" w:eastAsia="宋体" w:cs="宋体"/>
          <w:color w:val="auto"/>
          <w:spacing w:val="-5"/>
          <w:sz w:val="24"/>
          <w:szCs w:val="24"/>
          <w:highlight w:val="none"/>
        </w:rPr>
        <w:t>据规范检</w:t>
      </w:r>
      <w:r>
        <w:rPr>
          <w:rFonts w:hint="eastAsia" w:ascii="宋体" w:hAnsi="宋体" w:eastAsia="宋体" w:cs="宋体"/>
          <w:color w:val="auto"/>
          <w:spacing w:val="-6"/>
          <w:sz w:val="24"/>
          <w:szCs w:val="24"/>
          <w:highlight w:val="none"/>
        </w:rPr>
        <w:t>查。</w:t>
      </w:r>
    </w:p>
    <w:p w14:paraId="0063DCBD">
      <w:pPr>
        <w:spacing w:before="79" w:line="220" w:lineRule="auto"/>
        <w:ind w:left="715"/>
        <w:outlineLvl w:val="2"/>
        <w:rPr>
          <w:rFonts w:hint="eastAsia" w:ascii="宋体" w:hAnsi="宋体" w:eastAsia="宋体" w:cs="宋体"/>
          <w:color w:val="auto"/>
          <w:sz w:val="24"/>
          <w:szCs w:val="24"/>
          <w:highlight w:val="none"/>
        </w:rPr>
      </w:pPr>
      <w:bookmarkStart w:id="19" w:name="_Toc23243"/>
      <w:bookmarkStart w:id="20" w:name="_Toc21490"/>
      <w:r>
        <w:rPr>
          <w:rFonts w:hint="eastAsia" w:ascii="宋体" w:hAnsi="宋体" w:eastAsia="宋体" w:cs="宋体"/>
          <w:b/>
          <w:bCs/>
          <w:color w:val="auto"/>
          <w:spacing w:val="-4"/>
          <w:sz w:val="24"/>
          <w:szCs w:val="24"/>
          <w:highlight w:val="none"/>
        </w:rPr>
        <w:t>3．招标文件的获取</w:t>
      </w:r>
      <w:bookmarkEnd w:id="19"/>
      <w:bookmarkEnd w:id="20"/>
    </w:p>
    <w:p w14:paraId="6F47DB12">
      <w:pPr>
        <w:spacing w:before="182" w:line="219" w:lineRule="auto"/>
        <w:ind w:left="70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3.1  </w:t>
      </w:r>
      <w:r>
        <w:rPr>
          <w:rFonts w:hint="eastAsia" w:ascii="宋体" w:hAnsi="宋体" w:eastAsia="宋体" w:cs="宋体"/>
          <w:color w:val="auto"/>
          <w:spacing w:val="-1"/>
          <w:sz w:val="24"/>
          <w:szCs w:val="24"/>
          <w:highlight w:val="none"/>
        </w:rPr>
        <w:t>本次招标实行电子投标。</w:t>
      </w:r>
    </w:p>
    <w:p w14:paraId="53B49621">
      <w:pPr>
        <w:spacing w:before="178" w:line="355" w:lineRule="auto"/>
        <w:ind w:left="229" w:firstLine="48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本次招标实行电子投标。本项目招标文件随招标公</w:t>
      </w:r>
      <w:r>
        <w:rPr>
          <w:rFonts w:hint="eastAsia" w:ascii="宋体" w:hAnsi="宋体" w:eastAsia="宋体" w:cs="宋体"/>
          <w:color w:val="auto"/>
          <w:spacing w:val="-2"/>
          <w:sz w:val="24"/>
          <w:szCs w:val="24"/>
          <w:highlight w:val="none"/>
        </w:rPr>
        <w:t>告一并在全国公共资源交易平台（广东省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56"/>
          <w:sz w:val="24"/>
          <w:szCs w:val="24"/>
          <w:highlight w:val="none"/>
        </w:rPr>
        <w:t>）（</w:t>
      </w:r>
      <w:r>
        <w:rPr>
          <w:rFonts w:hint="eastAsia" w:ascii="宋体" w:hAnsi="宋体" w:eastAsia="宋体" w:cs="宋体"/>
          <w:color w:val="auto"/>
          <w:spacing w:val="-56"/>
          <w:sz w:val="24"/>
          <w:szCs w:val="24"/>
          <w:highlight w:val="none"/>
          <w:lang w:val="en-US" w:eastAsia="zh-CN"/>
        </w:rPr>
        <w:t xml:space="preserve">              </w:t>
      </w:r>
      <w:r>
        <w:rPr>
          <w:rFonts w:hint="eastAsia" w:ascii="宋体" w:hAnsi="宋体" w:eastAsia="宋体" w:cs="宋体"/>
          <w:color w:val="auto"/>
          <w:spacing w:val="-2"/>
          <w:sz w:val="24"/>
          <w:szCs w:val="24"/>
          <w:highlight w:val="none"/>
        </w:rPr>
        <w:t>https://yg</w:t>
      </w:r>
      <w:r>
        <w:rPr>
          <w:rFonts w:hint="eastAsia" w:ascii="宋体" w:hAnsi="宋体" w:eastAsia="宋体" w:cs="宋体"/>
          <w:color w:val="auto"/>
          <w:spacing w:val="-3"/>
          <w:sz w:val="24"/>
          <w:szCs w:val="24"/>
          <w:highlight w:val="none"/>
        </w:rPr>
        <w:t>p.gdzwfw.gov.cn/ggzy-portal/#/440200/index）</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网站发布。招标文件一经发布，视为发送投标人，招标文件及相</w:t>
      </w:r>
      <w:r>
        <w:rPr>
          <w:rFonts w:hint="eastAsia" w:ascii="宋体" w:hAnsi="宋体" w:eastAsia="宋体" w:cs="宋体"/>
          <w:color w:val="auto"/>
          <w:spacing w:val="-2"/>
          <w:sz w:val="24"/>
          <w:szCs w:val="24"/>
          <w:highlight w:val="none"/>
        </w:rPr>
        <w:t>关附件由投标人自行</w:t>
      </w:r>
      <w:r>
        <w:rPr>
          <w:rFonts w:hint="eastAsia" w:ascii="宋体" w:hAnsi="宋体" w:eastAsia="宋体" w:cs="宋体"/>
          <w:color w:val="auto"/>
          <w:spacing w:val="-7"/>
          <w:sz w:val="24"/>
          <w:szCs w:val="24"/>
          <w:highlight w:val="none"/>
        </w:rPr>
        <w:t>在全国公共资源交易平台（广东省</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7"/>
          <w:sz w:val="24"/>
          <w:szCs w:val="24"/>
          <w:highlight w:val="none"/>
        </w:rPr>
        <w:t>·韶关市）网站下载。请于招标文件获取期间,（见</w:t>
      </w:r>
      <w:r>
        <w:rPr>
          <w:rFonts w:hint="eastAsia" w:ascii="宋体" w:hAnsi="宋体" w:eastAsia="宋体" w:cs="宋体"/>
          <w:color w:val="auto"/>
          <w:spacing w:val="-2"/>
          <w:sz w:val="24"/>
          <w:szCs w:val="24"/>
          <w:highlight w:val="none"/>
        </w:rPr>
        <w:t>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”）招标文件获取期间与招标公告发</w:t>
      </w:r>
      <w:r>
        <w:rPr>
          <w:rFonts w:hint="eastAsia" w:ascii="宋体" w:hAnsi="宋体" w:eastAsia="宋体" w:cs="宋体"/>
          <w:color w:val="auto"/>
          <w:spacing w:val="-3"/>
          <w:sz w:val="24"/>
          <w:szCs w:val="24"/>
          <w:highlight w:val="none"/>
        </w:rPr>
        <w:t>布时间一</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致，投标人须登录全国公共资源交易平台（广东省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·韶关市</w:t>
      </w:r>
      <w:r>
        <w:rPr>
          <w:rFonts w:hint="eastAsia" w:ascii="宋体" w:hAnsi="宋体" w:eastAsia="宋体" w:cs="宋体"/>
          <w:color w:val="auto"/>
          <w:spacing w:val="-40"/>
          <w:sz w:val="24"/>
          <w:szCs w:val="24"/>
          <w:highlight w:val="none"/>
        </w:rPr>
        <w:t>）（</w:t>
      </w:r>
      <w:r>
        <w:rPr>
          <w:rFonts w:hint="eastAsia" w:ascii="宋体" w:hAnsi="宋体" w:eastAsia="宋体" w:cs="宋体"/>
          <w:color w:val="auto"/>
          <w:spacing w:val="-40"/>
          <w:sz w:val="24"/>
          <w:szCs w:val="24"/>
          <w:highlight w:val="none"/>
          <w:lang w:val="en-US" w:eastAsia="zh-CN"/>
        </w:rPr>
        <w:t xml:space="preserve">   </w:t>
      </w:r>
      <w:r>
        <w:rPr>
          <w:rFonts w:hint="eastAsia" w:ascii="宋体" w:hAnsi="宋体" w:eastAsia="宋体" w:cs="宋体"/>
          <w:color w:val="auto"/>
          <w:spacing w:val="-4"/>
          <w:sz w:val="24"/>
          <w:szCs w:val="24"/>
          <w:highlight w:val="none"/>
        </w:rPr>
        <w:t>https://ygp.gdzwfw.</w:t>
      </w:r>
      <w:r>
        <w:rPr>
          <w:rFonts w:hint="eastAsia" w:ascii="宋体" w:hAnsi="宋体" w:eastAsia="宋体" w:cs="宋体"/>
          <w:color w:val="auto"/>
          <w:sz w:val="24"/>
          <w:szCs w:val="24"/>
          <w:highlight w:val="none"/>
        </w:rPr>
        <w:t xml:space="preserve">  gov</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ggzy</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portal</w:t>
      </w:r>
      <w:r>
        <w:rPr>
          <w:rFonts w:hint="eastAsia" w:ascii="宋体" w:hAnsi="宋体" w:eastAsia="宋体" w:cs="宋体"/>
          <w:color w:val="auto"/>
          <w:spacing w:val="2"/>
          <w:sz w:val="24"/>
          <w:szCs w:val="24"/>
          <w:highlight w:val="none"/>
        </w:rPr>
        <w:t>/#/440200/</w:t>
      </w:r>
      <w:r>
        <w:rPr>
          <w:rFonts w:hint="eastAsia" w:ascii="宋体" w:hAnsi="宋体" w:eastAsia="宋体" w:cs="宋体"/>
          <w:color w:val="auto"/>
          <w:sz w:val="24"/>
          <w:szCs w:val="24"/>
          <w:highlight w:val="none"/>
        </w:rPr>
        <w:t>index</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2"/>
          <w:sz w:val="24"/>
          <w:szCs w:val="24"/>
          <w:highlight w:val="none"/>
        </w:rPr>
        <w:t>使用新建设工程交易系统进行下载</w:t>
      </w:r>
      <w:r>
        <w:rPr>
          <w:rFonts w:hint="eastAsia" w:ascii="宋体" w:hAnsi="宋体" w:eastAsia="宋体" w:cs="宋体"/>
          <w:color w:val="auto"/>
          <w:spacing w:val="1"/>
          <w:sz w:val="24"/>
          <w:szCs w:val="24"/>
          <w:highlight w:val="none"/>
        </w:rPr>
        <w:t>招标文</w:t>
      </w:r>
      <w:r>
        <w:rPr>
          <w:rFonts w:hint="eastAsia" w:ascii="宋体" w:hAnsi="宋体" w:eastAsia="宋体" w:cs="宋体"/>
          <w:color w:val="auto"/>
          <w:spacing w:val="-6"/>
          <w:sz w:val="24"/>
          <w:szCs w:val="24"/>
          <w:highlight w:val="none"/>
        </w:rPr>
        <w:t>件及相关附件，并于电子投标截止时间（见本章第二节“重要事项时间地点一览表</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6"/>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前完成电子投标。投标人可登录全国公共资源交易平</w:t>
      </w:r>
      <w:r>
        <w:rPr>
          <w:rFonts w:hint="eastAsia" w:ascii="宋体" w:hAnsi="宋体" w:eastAsia="宋体" w:cs="宋体"/>
          <w:color w:val="auto"/>
          <w:spacing w:val="-3"/>
          <w:sz w:val="24"/>
          <w:szCs w:val="24"/>
          <w:highlight w:val="none"/>
        </w:rPr>
        <w:t>台（广东省</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·韶关市</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5"/>
          <w:sz w:val="24"/>
          <w:szCs w:val="24"/>
          <w:highlight w:val="none"/>
          <w:lang w:val="en-US" w:eastAsia="zh-CN"/>
        </w:rPr>
        <w:t xml:space="preserve">   </w:t>
      </w:r>
      <w:r>
        <w:rPr>
          <w:rFonts w:hint="eastAsia" w:ascii="宋体" w:hAnsi="宋体" w:eastAsia="宋体" w:cs="宋体"/>
          <w:color w:val="auto"/>
          <w:spacing w:val="-3"/>
          <w:sz w:val="24"/>
          <w:szCs w:val="24"/>
          <w:highlight w:val="none"/>
        </w:rPr>
        <w:t>https:</w:t>
      </w:r>
      <w:r>
        <w:rPr>
          <w:rFonts w:hint="eastAsia" w:ascii="宋体" w:hAnsi="宋体" w:eastAsia="宋体" w:cs="宋体"/>
          <w:color w:val="auto"/>
          <w:sz w:val="24"/>
          <w:szCs w:val="24"/>
          <w:highlight w:val="none"/>
        </w:rPr>
        <w:t>//ygp.gdzwfw.gov.cn/ggz</w:t>
      </w:r>
      <w:r>
        <w:rPr>
          <w:rFonts w:hint="eastAsia" w:ascii="宋体" w:hAnsi="宋体" w:eastAsia="宋体" w:cs="宋体"/>
          <w:color w:val="auto"/>
          <w:spacing w:val="-1"/>
          <w:sz w:val="24"/>
          <w:szCs w:val="24"/>
          <w:highlight w:val="none"/>
        </w:rPr>
        <w:t>y-portal/#/440200/index</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1"/>
          <w:sz w:val="24"/>
          <w:szCs w:val="24"/>
          <w:highlight w:val="none"/>
        </w:rPr>
        <w:t>在【服务指南】栏目中建设</w:t>
      </w:r>
      <w:r>
        <w:rPr>
          <w:rFonts w:hint="eastAsia" w:ascii="宋体" w:hAnsi="宋体" w:eastAsia="宋体" w:cs="宋体"/>
          <w:color w:val="auto"/>
          <w:spacing w:val="-2"/>
          <w:sz w:val="24"/>
          <w:szCs w:val="24"/>
          <w:highlight w:val="none"/>
        </w:rPr>
        <w:t>工程交易中下载《韶关市公共资源建设工程交易系统-投</w:t>
      </w:r>
      <w:r>
        <w:rPr>
          <w:rFonts w:hint="eastAsia" w:ascii="宋体" w:hAnsi="宋体" w:eastAsia="宋体" w:cs="宋体"/>
          <w:color w:val="auto"/>
          <w:spacing w:val="-1"/>
          <w:sz w:val="24"/>
          <w:szCs w:val="24"/>
          <w:highlight w:val="none"/>
        </w:rPr>
        <w:t>标人操作指南（电子评标）》 （附件 2），了解网上获取招标文件操作流程。技术咨询电话：0751-837</w:t>
      </w:r>
      <w:r>
        <w:rPr>
          <w:rFonts w:hint="eastAsia" w:ascii="宋体" w:hAnsi="宋体" w:eastAsia="宋体" w:cs="宋体"/>
          <w:color w:val="auto"/>
          <w:spacing w:val="-4"/>
          <w:sz w:val="24"/>
          <w:szCs w:val="24"/>
          <w:highlight w:val="none"/>
        </w:rPr>
        <w:t>9671 伍</w:t>
      </w:r>
      <w:r>
        <w:rPr>
          <w:rFonts w:hint="eastAsia" w:ascii="宋体" w:hAnsi="宋体" w:eastAsia="宋体" w:cs="宋体"/>
          <w:color w:val="auto"/>
          <w:spacing w:val="-5"/>
          <w:sz w:val="24"/>
          <w:szCs w:val="24"/>
          <w:highlight w:val="none"/>
        </w:rPr>
        <w:t>先生，</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业务咨询电话：0751-8633211。</w:t>
      </w:r>
    </w:p>
    <w:p w14:paraId="68899B1C">
      <w:pPr>
        <w:spacing w:before="142" w:line="330" w:lineRule="auto"/>
        <w:ind w:left="11" w:right="105" w:firstLine="473"/>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3.2  </w:t>
      </w:r>
      <w:r>
        <w:rPr>
          <w:rFonts w:hint="eastAsia" w:ascii="宋体" w:hAnsi="宋体" w:eastAsia="宋体" w:cs="宋体"/>
          <w:color w:val="auto"/>
          <w:spacing w:val="-1"/>
          <w:sz w:val="24"/>
          <w:szCs w:val="24"/>
          <w:highlight w:val="none"/>
        </w:rPr>
        <w:t>只有申领了数字证书（CA）、“粤企签</w:t>
      </w:r>
      <w:r>
        <w:rPr>
          <w:rFonts w:hint="eastAsia" w:ascii="宋体" w:hAnsi="宋体" w:eastAsia="宋体" w:cs="宋体"/>
          <w:color w:val="auto"/>
          <w:spacing w:val="-76"/>
          <w:sz w:val="24"/>
          <w:szCs w:val="24"/>
          <w:highlight w:val="none"/>
        </w:rPr>
        <w:t xml:space="preserve"> </w:t>
      </w:r>
      <w:r>
        <w:rPr>
          <w:rFonts w:hint="eastAsia" w:ascii="宋体" w:hAnsi="宋体" w:eastAsia="宋体" w:cs="宋体"/>
          <w:color w:val="auto"/>
          <w:spacing w:val="-1"/>
          <w:sz w:val="24"/>
          <w:szCs w:val="24"/>
          <w:highlight w:val="none"/>
        </w:rPr>
        <w:t>”或</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GDCA/SZCA/NETCA</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1"/>
          <w:sz w:val="24"/>
          <w:szCs w:val="24"/>
          <w:highlight w:val="none"/>
        </w:rPr>
        <w:t>等符合法律法规规定的电子印章，并在交易系统中完成企业信息数据入库</w:t>
      </w:r>
      <w:r>
        <w:rPr>
          <w:rFonts w:hint="eastAsia" w:ascii="宋体" w:hAnsi="宋体" w:eastAsia="宋体" w:cs="宋体"/>
          <w:color w:val="auto"/>
          <w:spacing w:val="-2"/>
          <w:sz w:val="24"/>
          <w:szCs w:val="24"/>
          <w:highlight w:val="none"/>
        </w:rPr>
        <w:t>的投标人，方可使用建设</w:t>
      </w:r>
      <w:r>
        <w:rPr>
          <w:rFonts w:hint="eastAsia" w:ascii="宋体" w:hAnsi="宋体" w:eastAsia="宋体" w:cs="宋体"/>
          <w:color w:val="auto"/>
          <w:spacing w:val="-1"/>
          <w:sz w:val="24"/>
          <w:szCs w:val="24"/>
          <w:highlight w:val="none"/>
        </w:rPr>
        <w:t>工程交易系统进行招标文件及附件获取和电子投标。</w:t>
      </w:r>
    </w:p>
    <w:p w14:paraId="66BF8C88">
      <w:pPr>
        <w:spacing w:before="32" w:line="332" w:lineRule="auto"/>
        <w:ind w:left="10" w:right="90"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首次在韶关市参与建设工程招标投标活动的</w:t>
      </w:r>
      <w:r>
        <w:rPr>
          <w:rFonts w:hint="eastAsia" w:ascii="宋体" w:hAnsi="宋体" w:eastAsia="宋体" w:cs="宋体"/>
          <w:color w:val="auto"/>
          <w:spacing w:val="-2"/>
          <w:sz w:val="24"/>
          <w:szCs w:val="24"/>
          <w:highlight w:val="none"/>
        </w:rPr>
        <w:t>投标人，必须在平台系统上传企业相</w:t>
      </w:r>
      <w:r>
        <w:rPr>
          <w:rFonts w:hint="eastAsia" w:ascii="宋体" w:hAnsi="宋体" w:eastAsia="宋体" w:cs="宋体"/>
          <w:color w:val="auto"/>
          <w:spacing w:val="-3"/>
          <w:sz w:val="24"/>
          <w:szCs w:val="24"/>
          <w:highlight w:val="none"/>
        </w:rPr>
        <w:t>关资料办理企业入库事宜。投标人可登录全国公共资源</w:t>
      </w:r>
      <w:r>
        <w:rPr>
          <w:rFonts w:hint="eastAsia" w:ascii="宋体" w:hAnsi="宋体" w:eastAsia="宋体" w:cs="宋体"/>
          <w:color w:val="auto"/>
          <w:spacing w:val="-4"/>
          <w:sz w:val="24"/>
          <w:szCs w:val="24"/>
          <w:highlight w:val="none"/>
        </w:rPr>
        <w:t>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·韶关市）</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"https://ygp.gdzwfw.gov.cn/ggzy-portal/#/440200/index"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1"/>
          <w:sz w:val="24"/>
          <w:szCs w:val="24"/>
          <w:highlight w:val="none"/>
        </w:rPr>
        <w:t>https://ygp.gdzwfw.gov.cn/ggzy-portal/#/440200/index</w:t>
      </w:r>
      <w:r>
        <w:rPr>
          <w:rFonts w:hint="eastAsia" w:ascii="宋体" w:hAnsi="宋体" w:eastAsia="宋体" w:cs="宋体"/>
          <w:color w:val="auto"/>
          <w:spacing w:val="-1"/>
          <w:sz w:val="24"/>
          <w:szCs w:val="24"/>
          <w:highlight w:val="none"/>
        </w:rPr>
        <w:fldChar w:fldCharType="end"/>
      </w:r>
      <w:r>
        <w:rPr>
          <w:rFonts w:hint="eastAsia" w:ascii="宋体" w:hAnsi="宋体" w:eastAsia="宋体" w:cs="宋体"/>
          <w:color w:val="auto"/>
          <w:spacing w:val="-1"/>
          <w:sz w:val="24"/>
          <w:szCs w:val="24"/>
          <w:highlight w:val="none"/>
        </w:rPr>
        <w:t>）办理企业入库、数字证书及电子印章事宜，具体请在平台查阅相应的交易指引。</w:t>
      </w:r>
    </w:p>
    <w:p w14:paraId="2BFC4BF1">
      <w:pPr>
        <w:spacing w:before="37" w:line="329" w:lineRule="auto"/>
        <w:ind w:left="9" w:right="105"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已入库企业有关信息（如单位名称、基本账号、资质、人员等）发生变化</w:t>
      </w:r>
      <w:r>
        <w:rPr>
          <w:rFonts w:hint="eastAsia" w:ascii="宋体" w:hAnsi="宋体" w:eastAsia="宋体" w:cs="宋体"/>
          <w:color w:val="auto"/>
          <w:spacing w:val="-3"/>
          <w:sz w:val="24"/>
          <w:szCs w:val="24"/>
          <w:highlight w:val="none"/>
        </w:rPr>
        <w:t>的，须</w:t>
      </w:r>
      <w:r>
        <w:rPr>
          <w:rFonts w:hint="eastAsia" w:ascii="宋体" w:hAnsi="宋体" w:eastAsia="宋体" w:cs="宋体"/>
          <w:color w:val="auto"/>
          <w:spacing w:val="-1"/>
          <w:sz w:val="24"/>
          <w:szCs w:val="24"/>
          <w:highlight w:val="none"/>
        </w:rPr>
        <w:t>及时在交易系统进行相应变更。投标人未及时变更信息而造成的</w:t>
      </w:r>
      <w:r>
        <w:rPr>
          <w:rFonts w:hint="eastAsia" w:ascii="宋体" w:hAnsi="宋体" w:eastAsia="宋体" w:cs="宋体"/>
          <w:color w:val="auto"/>
          <w:spacing w:val="-2"/>
          <w:sz w:val="24"/>
          <w:szCs w:val="24"/>
          <w:highlight w:val="none"/>
        </w:rPr>
        <w:t>损失和后果，由投标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人自行承担。</w:t>
      </w:r>
    </w:p>
    <w:p w14:paraId="3B9F37C6">
      <w:pPr>
        <w:spacing w:before="33" w:line="335" w:lineRule="auto"/>
        <w:ind w:left="10" w:right="105" w:firstLine="508"/>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电子印章：是指获得国家工业和信息化部颁发的《电子认证服务许可</w:t>
      </w:r>
      <w:r>
        <w:rPr>
          <w:rFonts w:hint="eastAsia" w:ascii="宋体" w:hAnsi="宋体" w:eastAsia="宋体" w:cs="宋体"/>
          <w:color w:val="auto"/>
          <w:spacing w:val="-3"/>
          <w:sz w:val="24"/>
          <w:szCs w:val="24"/>
          <w:highlight w:val="none"/>
        </w:rPr>
        <w:t>证》、国家</w:t>
      </w:r>
      <w:r>
        <w:rPr>
          <w:rFonts w:hint="eastAsia" w:ascii="宋体" w:hAnsi="宋体" w:eastAsia="宋体" w:cs="宋体"/>
          <w:color w:val="auto"/>
          <w:spacing w:val="-1"/>
          <w:sz w:val="24"/>
          <w:szCs w:val="24"/>
          <w:highlight w:val="none"/>
        </w:rPr>
        <w:t>密码管理局颁发的《电子认证服务使用密码许可证》等资质，</w:t>
      </w:r>
      <w:r>
        <w:rPr>
          <w:rFonts w:hint="eastAsia" w:ascii="宋体" w:hAnsi="宋体" w:eastAsia="宋体" w:cs="宋体"/>
          <w:color w:val="auto"/>
          <w:spacing w:val="-2"/>
          <w:sz w:val="24"/>
          <w:szCs w:val="24"/>
          <w:highlight w:val="none"/>
        </w:rPr>
        <w:t>具备承担因数字证书原</w:t>
      </w:r>
      <w:r>
        <w:rPr>
          <w:rFonts w:hint="eastAsia" w:ascii="宋体" w:hAnsi="宋体" w:eastAsia="宋体" w:cs="宋体"/>
          <w:color w:val="auto"/>
          <w:spacing w:val="-1"/>
          <w:sz w:val="24"/>
          <w:szCs w:val="24"/>
          <w:highlight w:val="none"/>
        </w:rPr>
        <w:t>因产生纠纷的相关责任的能力，且在广东省内具有数量基础和</w:t>
      </w:r>
      <w:r>
        <w:rPr>
          <w:rFonts w:hint="eastAsia" w:ascii="宋体" w:hAnsi="宋体" w:eastAsia="宋体" w:cs="宋体"/>
          <w:color w:val="auto"/>
          <w:spacing w:val="-2"/>
          <w:sz w:val="24"/>
          <w:szCs w:val="24"/>
          <w:highlight w:val="none"/>
        </w:rPr>
        <w:t>服务能力的依法设立的</w:t>
      </w:r>
      <w:r>
        <w:rPr>
          <w:rFonts w:hint="eastAsia" w:ascii="宋体" w:hAnsi="宋体" w:eastAsia="宋体" w:cs="宋体"/>
          <w:color w:val="auto"/>
          <w:spacing w:val="3"/>
          <w:sz w:val="24"/>
          <w:szCs w:val="24"/>
          <w:highlight w:val="none"/>
        </w:rPr>
        <w:t>电子认证服务机构签发的电子签章认证证书（即</w:t>
      </w:r>
      <w:r>
        <w:rPr>
          <w:rFonts w:hint="eastAsia" w:ascii="宋体" w:hAnsi="宋体" w:eastAsia="宋体" w:cs="宋体"/>
          <w:color w:val="auto"/>
          <w:sz w:val="24"/>
          <w:szCs w:val="24"/>
          <w:highlight w:val="none"/>
        </w:rPr>
        <w:t>CA</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数字证书）。投标人应当到相关</w:t>
      </w:r>
      <w:r>
        <w:rPr>
          <w:rFonts w:hint="eastAsia" w:ascii="宋体" w:hAnsi="宋体" w:eastAsia="宋体" w:cs="宋体"/>
          <w:color w:val="auto"/>
          <w:spacing w:val="-1"/>
          <w:sz w:val="24"/>
          <w:szCs w:val="24"/>
          <w:highlight w:val="none"/>
        </w:rPr>
        <w:t>服务机构办理并取得数字证书介质和应用。电子印章包括机构</w:t>
      </w:r>
      <w:r>
        <w:rPr>
          <w:rFonts w:hint="eastAsia" w:ascii="宋体" w:hAnsi="宋体" w:eastAsia="宋体" w:cs="宋体"/>
          <w:color w:val="auto"/>
          <w:spacing w:val="-2"/>
          <w:sz w:val="24"/>
          <w:szCs w:val="24"/>
          <w:highlight w:val="none"/>
        </w:rPr>
        <w:t>法人电子形式印章，单</w:t>
      </w:r>
      <w:r>
        <w:rPr>
          <w:rFonts w:hint="eastAsia" w:ascii="宋体" w:hAnsi="宋体" w:eastAsia="宋体" w:cs="宋体"/>
          <w:color w:val="auto"/>
          <w:spacing w:val="-1"/>
          <w:sz w:val="24"/>
          <w:szCs w:val="24"/>
          <w:highlight w:val="none"/>
        </w:rPr>
        <w:t>位法定代表人、被委托人及其他个人的电子形式印章。电子印</w:t>
      </w:r>
      <w:r>
        <w:rPr>
          <w:rFonts w:hint="eastAsia" w:ascii="宋体" w:hAnsi="宋体" w:eastAsia="宋体" w:cs="宋体"/>
          <w:color w:val="auto"/>
          <w:spacing w:val="-2"/>
          <w:sz w:val="24"/>
          <w:szCs w:val="24"/>
          <w:highlight w:val="none"/>
        </w:rPr>
        <w:t>章与手写签名或者盖章</w:t>
      </w:r>
      <w:r>
        <w:rPr>
          <w:rFonts w:hint="eastAsia" w:ascii="宋体" w:hAnsi="宋体" w:eastAsia="宋体" w:cs="宋体"/>
          <w:color w:val="auto"/>
          <w:spacing w:val="-1"/>
          <w:sz w:val="24"/>
          <w:szCs w:val="24"/>
          <w:highlight w:val="none"/>
        </w:rPr>
        <w:t>具有同等的法律效力。</w:t>
      </w:r>
    </w:p>
    <w:p w14:paraId="05AB0BB7">
      <w:pPr>
        <w:spacing w:before="33" w:line="221"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3.3</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3"/>
          <w:sz w:val="24"/>
          <w:szCs w:val="24"/>
          <w:highlight w:val="none"/>
        </w:rPr>
        <w:t>投标保证</w:t>
      </w:r>
    </w:p>
    <w:p w14:paraId="050F418D">
      <w:pPr>
        <w:spacing w:before="152" w:line="280" w:lineRule="auto"/>
        <w:ind w:left="8" w:right="105"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3.3.1  </w:t>
      </w:r>
      <w:r>
        <w:rPr>
          <w:rFonts w:hint="eastAsia" w:ascii="宋体" w:hAnsi="宋体" w:eastAsia="宋体" w:cs="宋体"/>
          <w:color w:val="auto"/>
          <w:spacing w:val="-1"/>
          <w:sz w:val="24"/>
          <w:szCs w:val="24"/>
          <w:highlight w:val="none"/>
        </w:rPr>
        <w:t>投标人须缴纳金额为</w:t>
      </w:r>
      <w:r>
        <w:rPr>
          <w:rFonts w:hint="eastAsia" w:ascii="宋体" w:hAnsi="宋体" w:eastAsia="宋体" w:cs="宋体"/>
          <w:color w:val="auto"/>
          <w:spacing w:val="-1"/>
          <w:sz w:val="24"/>
          <w:szCs w:val="24"/>
          <w:highlight w:val="none"/>
          <w:u w:val="single"/>
          <w:lang w:val="en-US" w:eastAsia="zh-CN"/>
        </w:rPr>
        <w:t>30万元</w:t>
      </w:r>
      <w:r>
        <w:rPr>
          <w:rFonts w:hint="eastAsia" w:ascii="宋体" w:hAnsi="宋体" w:eastAsia="宋体" w:cs="宋体"/>
          <w:color w:val="auto"/>
          <w:spacing w:val="-1"/>
          <w:sz w:val="24"/>
          <w:szCs w:val="24"/>
          <w:highlight w:val="none"/>
        </w:rPr>
        <w:t xml:space="preserve">人民币的投标保证。 </w:t>
      </w:r>
    </w:p>
    <w:p w14:paraId="28067BD7">
      <w:pPr>
        <w:spacing w:before="35" w:line="325" w:lineRule="auto"/>
        <w:ind w:left="12" w:right="108" w:firstLine="471"/>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 xml:space="preserve">3.3.2  </w:t>
      </w:r>
      <w:r>
        <w:rPr>
          <w:rFonts w:hint="eastAsia" w:ascii="宋体" w:hAnsi="宋体" w:eastAsia="宋体" w:cs="宋体"/>
          <w:color w:val="auto"/>
          <w:spacing w:val="2"/>
          <w:sz w:val="24"/>
          <w:szCs w:val="24"/>
          <w:highlight w:val="none"/>
        </w:rPr>
        <w:t>投标保证的形式包括投标保证金、投标保证担保、投标保证保险三种</w:t>
      </w:r>
      <w:r>
        <w:rPr>
          <w:rFonts w:hint="eastAsia" w:ascii="宋体" w:hAnsi="宋体" w:eastAsia="宋体" w:cs="宋体"/>
          <w:color w:val="auto"/>
          <w:spacing w:val="1"/>
          <w:sz w:val="24"/>
          <w:szCs w:val="24"/>
          <w:highlight w:val="none"/>
        </w:rPr>
        <w:t>，由</w:t>
      </w:r>
      <w:r>
        <w:rPr>
          <w:rFonts w:hint="eastAsia" w:ascii="宋体" w:hAnsi="宋体" w:eastAsia="宋体" w:cs="宋体"/>
          <w:color w:val="auto"/>
          <w:spacing w:val="-2"/>
          <w:sz w:val="24"/>
          <w:szCs w:val="24"/>
          <w:highlight w:val="none"/>
        </w:rPr>
        <w:t>投标人自主选择。</w:t>
      </w:r>
    </w:p>
    <w:p w14:paraId="353E08E8">
      <w:pPr>
        <w:spacing w:before="78" w:line="334" w:lineRule="auto"/>
        <w:ind w:left="12" w:right="2" w:firstLine="490"/>
        <w:jc w:val="both"/>
        <w:rPr>
          <w:rFonts w:hint="eastAsia" w:ascii="宋体" w:hAnsi="宋体" w:eastAsia="宋体" w:cs="宋体"/>
          <w:color w:val="auto"/>
          <w:spacing w:val="-1"/>
          <w:sz w:val="24"/>
          <w:szCs w:val="24"/>
          <w:highlight w:val="none"/>
        </w:rPr>
      </w:pPr>
      <w:bookmarkStart w:id="21" w:name="bookmark117"/>
      <w:bookmarkEnd w:id="21"/>
      <w:r>
        <w:rPr>
          <w:rFonts w:hint="eastAsia" w:ascii="宋体" w:hAnsi="宋体" w:eastAsia="宋体" w:cs="宋体"/>
          <w:color w:val="auto"/>
          <w:spacing w:val="2"/>
          <w:sz w:val="24"/>
          <w:szCs w:val="24"/>
          <w:highlight w:val="none"/>
        </w:rPr>
        <w:t>（1）采用投标保证金的，投标人在建设工程交易系统获取招</w:t>
      </w:r>
      <w:r>
        <w:rPr>
          <w:rFonts w:hint="eastAsia" w:ascii="宋体" w:hAnsi="宋体" w:eastAsia="宋体" w:cs="宋体"/>
          <w:color w:val="auto"/>
          <w:spacing w:val="1"/>
          <w:sz w:val="24"/>
          <w:szCs w:val="24"/>
          <w:highlight w:val="none"/>
        </w:rPr>
        <w:t>标文件完毕后，即</w:t>
      </w:r>
      <w:r>
        <w:rPr>
          <w:rFonts w:hint="eastAsia" w:ascii="宋体" w:hAnsi="宋体" w:eastAsia="宋体" w:cs="宋体"/>
          <w:color w:val="auto"/>
          <w:spacing w:val="-1"/>
          <w:sz w:val="24"/>
          <w:szCs w:val="24"/>
          <w:highlight w:val="none"/>
        </w:rPr>
        <w:t>可在系统申请缴纳投标保证金，获取本次招标投标保证金缴</w:t>
      </w:r>
      <w:r>
        <w:rPr>
          <w:rFonts w:hint="eastAsia" w:ascii="宋体" w:hAnsi="宋体" w:eastAsia="宋体" w:cs="宋体"/>
          <w:color w:val="auto"/>
          <w:spacing w:val="-2"/>
          <w:sz w:val="24"/>
          <w:szCs w:val="24"/>
          <w:highlight w:val="none"/>
        </w:rPr>
        <w:t>纳账号。投标人必须于投标保证金到账截</w:t>
      </w:r>
      <w:r>
        <w:rPr>
          <w:rFonts w:hint="eastAsia" w:ascii="宋体" w:hAnsi="宋体" w:eastAsia="宋体" w:cs="宋体"/>
          <w:color w:val="auto"/>
          <w:spacing w:val="-1"/>
          <w:sz w:val="24"/>
          <w:szCs w:val="24"/>
          <w:highlight w:val="none"/>
        </w:rPr>
        <w:t>止时间（见本招标文件“重要事项时间地点一览表 ”）前，从其基本账户将投标保证金转账到指定的缴纳账号。逾期到账的、从非投标人基本账户转出的，其投标无效。</w:t>
      </w:r>
    </w:p>
    <w:p w14:paraId="2D0F206B">
      <w:pPr>
        <w:spacing w:before="78" w:line="334" w:lineRule="auto"/>
        <w:ind w:left="12" w:right="2" w:firstLine="490"/>
        <w:jc w:val="both"/>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 ”）前，使用工程建设交易系统完成网上办理电子保函或保证保险。</w:t>
      </w:r>
    </w:p>
    <w:p w14:paraId="66F9AA94">
      <w:pPr>
        <w:spacing w:before="78" w:line="334" w:lineRule="auto"/>
        <w:ind w:left="12" w:right="2" w:firstLine="490"/>
        <w:jc w:val="both"/>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（3）采用投标保证保险的，投标人须在投标保证保险投保截止时间（见本招标文件“重要事项时间地点一览表 ”）前，使用建设工程交易系统完成网上投保。投标人可在系统选择保险机构、录入投保信息、支付保费、打印</w:t>
      </w:r>
      <w:r>
        <w:rPr>
          <w:rFonts w:hint="eastAsia" w:ascii="宋体" w:hAnsi="宋体" w:eastAsia="宋体" w:cs="宋体"/>
          <w:color w:val="auto"/>
          <w:spacing w:val="-2"/>
          <w:sz w:val="24"/>
          <w:szCs w:val="24"/>
          <w:highlight w:val="none"/>
        </w:rPr>
        <w:t>电子保单，电子保单的有</w:t>
      </w:r>
      <w:r>
        <w:rPr>
          <w:rFonts w:hint="eastAsia" w:ascii="宋体" w:hAnsi="宋体" w:eastAsia="宋体" w:cs="宋体"/>
          <w:color w:val="auto"/>
          <w:spacing w:val="-3"/>
          <w:sz w:val="24"/>
          <w:szCs w:val="24"/>
          <w:highlight w:val="none"/>
        </w:rPr>
        <w:t>效期不得短于投标有效期。投标人可登录全国公共资源交易平台（广东省 ·韶关市） （</w:t>
      </w:r>
      <w:r>
        <w:rPr>
          <w:rFonts w:hint="eastAsia" w:ascii="宋体" w:hAnsi="宋体" w:eastAsia="宋体" w:cs="宋体"/>
          <w:color w:val="auto"/>
          <w:spacing w:val="-3"/>
          <w:sz w:val="24"/>
          <w:szCs w:val="24"/>
          <w:highlight w:val="none"/>
        </w:rPr>
        <w:fldChar w:fldCharType="begin"/>
      </w:r>
      <w:r>
        <w:rPr>
          <w:rFonts w:hint="eastAsia" w:ascii="宋体" w:hAnsi="宋体" w:eastAsia="宋体" w:cs="宋体"/>
          <w:color w:val="auto"/>
          <w:spacing w:val="-3"/>
          <w:sz w:val="24"/>
          <w:szCs w:val="24"/>
          <w:highlight w:val="none"/>
        </w:rPr>
        <w:instrText xml:space="preserve"> HYPERLINK "https://ygp.gdzwfw.gov.cn/ggzy-portal/#/440200/index" </w:instrText>
      </w:r>
      <w:r>
        <w:rPr>
          <w:rFonts w:hint="eastAsia" w:ascii="宋体" w:hAnsi="宋体" w:eastAsia="宋体" w:cs="宋体"/>
          <w:color w:val="auto"/>
          <w:spacing w:val="-3"/>
          <w:sz w:val="24"/>
          <w:szCs w:val="24"/>
          <w:highlight w:val="none"/>
        </w:rPr>
        <w:fldChar w:fldCharType="separate"/>
      </w:r>
      <w:r>
        <w:rPr>
          <w:rFonts w:hint="eastAsia" w:ascii="宋体" w:hAnsi="宋体" w:eastAsia="宋体" w:cs="宋体"/>
          <w:color w:val="auto"/>
          <w:spacing w:val="-3"/>
          <w:sz w:val="24"/>
          <w:szCs w:val="24"/>
          <w:highlight w:val="none"/>
        </w:rPr>
        <w:t>https://ygp.gdzwfw.gov.cn/ggzy-portal/#/440200/index</w:t>
      </w:r>
      <w:r>
        <w:rPr>
          <w:rFonts w:hint="eastAsia" w:ascii="宋体" w:hAnsi="宋体" w:eastAsia="宋体" w:cs="宋体"/>
          <w:color w:val="auto"/>
          <w:spacing w:val="-3"/>
          <w:sz w:val="24"/>
          <w:szCs w:val="24"/>
          <w:highlight w:val="none"/>
        </w:rPr>
        <w:fldChar w:fldCharType="end"/>
      </w:r>
      <w:r>
        <w:rPr>
          <w:rFonts w:hint="eastAsia" w:ascii="宋体" w:hAnsi="宋体" w:eastAsia="宋体" w:cs="宋体"/>
          <w:color w:val="auto"/>
          <w:spacing w:val="-3"/>
          <w:sz w:val="24"/>
          <w:szCs w:val="24"/>
          <w:highlight w:val="none"/>
        </w:rPr>
        <w:t>），在【服务指南】栏 目中下载《建设工程网上交易系统保险保证金缴纳操作指南》，了解网上投保具体操 作流程。逾期投保的，其投标无效。</w:t>
      </w:r>
    </w:p>
    <w:p w14:paraId="6CFA3F60">
      <w:pPr>
        <w:spacing w:before="78" w:line="334" w:lineRule="auto"/>
        <w:ind w:left="12" w:right="2" w:firstLine="490"/>
        <w:jc w:val="both"/>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温馨提示：1.投标人采用投标保证担保或投标保证保险的，为避免在评标过程中因有效期发生争议，建议投标人将银行保函或电子保单有效期设置为较招标文件规定的投标有效期延长不少于 20 个日历天。</w:t>
      </w:r>
    </w:p>
    <w:p w14:paraId="06BEDC68">
      <w:pPr>
        <w:spacing w:before="78" w:line="334" w:lineRule="auto"/>
        <w:ind w:left="12" w:right="2" w:firstLine="490"/>
        <w:jc w:val="both"/>
        <w:rPr>
          <w:rFonts w:hint="eastAsia" w:ascii="宋体" w:hAnsi="宋体" w:eastAsia="宋体" w:cs="宋体"/>
          <w:color w:val="auto"/>
          <w:highlight w:val="none"/>
        </w:rPr>
      </w:pPr>
      <w:r>
        <w:rPr>
          <w:rFonts w:hint="eastAsia" w:ascii="宋体" w:hAnsi="宋体" w:eastAsia="宋体" w:cs="宋体"/>
          <w:b/>
          <w:bCs/>
          <w:color w:val="auto"/>
          <w:spacing w:val="-3"/>
          <w:sz w:val="24"/>
          <w:szCs w:val="24"/>
          <w:highlight w:val="none"/>
        </w:rPr>
        <w:t xml:space="preserve">3.4 </w:t>
      </w:r>
      <w:r>
        <w:rPr>
          <w:rFonts w:hint="eastAsia" w:ascii="宋体" w:hAnsi="宋体" w:eastAsia="宋体" w:cs="宋体"/>
          <w:color w:val="auto"/>
          <w:spacing w:val="-3"/>
          <w:sz w:val="24"/>
          <w:szCs w:val="24"/>
          <w:highlight w:val="none"/>
        </w:rPr>
        <w:t xml:space="preserve"> 若投标人因自身原因未能正确完成获取招标文件</w:t>
      </w:r>
      <w:r>
        <w:rPr>
          <w:rFonts w:hint="eastAsia" w:ascii="宋体" w:hAnsi="宋体" w:eastAsia="宋体" w:cs="宋体"/>
          <w:color w:val="auto"/>
          <w:sz w:val="24"/>
          <w:szCs w:val="24"/>
          <w:highlight w:val="none"/>
        </w:rPr>
        <w:t>、电子投标、缴纳投标保证</w:t>
      </w:r>
      <w:r>
        <w:rPr>
          <w:rFonts w:hint="eastAsia" w:ascii="宋体" w:hAnsi="宋体" w:eastAsia="宋体" w:cs="宋体"/>
          <w:color w:val="auto"/>
          <w:spacing w:val="-4"/>
          <w:sz w:val="24"/>
          <w:szCs w:val="24"/>
          <w:highlight w:val="none"/>
        </w:rPr>
        <w:t>的，其投标无效。</w:t>
      </w:r>
    </w:p>
    <w:p w14:paraId="31109792">
      <w:pPr>
        <w:spacing w:before="79" w:line="221" w:lineRule="auto"/>
        <w:ind w:left="487"/>
        <w:outlineLvl w:val="2"/>
        <w:rPr>
          <w:rFonts w:hint="eastAsia" w:ascii="宋体" w:hAnsi="宋体" w:eastAsia="宋体" w:cs="宋体"/>
          <w:color w:val="auto"/>
          <w:sz w:val="24"/>
          <w:szCs w:val="24"/>
          <w:highlight w:val="none"/>
        </w:rPr>
      </w:pPr>
      <w:bookmarkStart w:id="22" w:name="bookmark78"/>
      <w:bookmarkEnd w:id="22"/>
      <w:bookmarkStart w:id="23" w:name="bookmark64"/>
      <w:bookmarkEnd w:id="23"/>
      <w:bookmarkStart w:id="24" w:name="_Toc15498"/>
      <w:bookmarkStart w:id="25" w:name="_Toc8255"/>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8"/>
          <w:sz w:val="24"/>
          <w:szCs w:val="24"/>
          <w:highlight w:val="none"/>
          <w:lang w:val="en-US" w:eastAsia="zh-CN"/>
        </w:rPr>
        <w:t xml:space="preserve"> </w:t>
      </w:r>
      <w:r>
        <w:rPr>
          <w:rFonts w:hint="eastAsia" w:ascii="宋体" w:hAnsi="宋体" w:eastAsia="宋体" w:cs="宋体"/>
          <w:b/>
          <w:bCs/>
          <w:color w:val="auto"/>
          <w:spacing w:val="-8"/>
          <w:sz w:val="24"/>
          <w:szCs w:val="24"/>
          <w:highlight w:val="none"/>
        </w:rPr>
        <w:t>．工期要求</w:t>
      </w:r>
      <w:bookmarkEnd w:id="24"/>
      <w:bookmarkEnd w:id="25"/>
    </w:p>
    <w:p w14:paraId="492DB599">
      <w:pPr>
        <w:spacing w:before="153" w:line="324" w:lineRule="auto"/>
        <w:ind w:left="30" w:right="65" w:firstLine="46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本招标项目招标工期为</w:t>
      </w:r>
      <w:r>
        <w:rPr>
          <w:rFonts w:hint="eastAsia" w:ascii="宋体" w:hAnsi="宋体" w:eastAsia="宋体" w:cs="宋体"/>
          <w:color w:val="auto"/>
          <w:spacing w:val="-2"/>
          <w:sz w:val="24"/>
          <w:szCs w:val="24"/>
          <w:highlight w:val="none"/>
          <w:u w:val="single"/>
          <w:lang w:val="en-US" w:eastAsia="zh-CN"/>
        </w:rPr>
        <w:t>120个日历天</w:t>
      </w:r>
      <w:r>
        <w:rPr>
          <w:rFonts w:hint="eastAsia" w:ascii="宋体" w:hAnsi="宋体" w:eastAsia="宋体" w:cs="宋体"/>
          <w:color w:val="auto"/>
          <w:spacing w:val="-2"/>
          <w:sz w:val="24"/>
          <w:szCs w:val="24"/>
          <w:highlight w:val="none"/>
        </w:rPr>
        <w:t>，中标人必须在招标工期内完成招标范围内</w:t>
      </w:r>
      <w:r>
        <w:rPr>
          <w:rFonts w:hint="eastAsia" w:ascii="宋体" w:hAnsi="宋体" w:eastAsia="宋体" w:cs="宋体"/>
          <w:color w:val="auto"/>
          <w:spacing w:val="-5"/>
          <w:sz w:val="24"/>
          <w:szCs w:val="24"/>
          <w:highlight w:val="none"/>
        </w:rPr>
        <w:t>的全部内容。</w:t>
      </w:r>
    </w:p>
    <w:p w14:paraId="6CEF653C">
      <w:pPr>
        <w:spacing w:before="78" w:line="219" w:lineRule="auto"/>
        <w:ind w:left="488"/>
        <w:outlineLvl w:val="2"/>
        <w:rPr>
          <w:rFonts w:hint="eastAsia" w:ascii="宋体" w:hAnsi="宋体" w:eastAsia="宋体" w:cs="宋体"/>
          <w:color w:val="auto"/>
          <w:sz w:val="24"/>
          <w:szCs w:val="24"/>
          <w:highlight w:val="none"/>
        </w:rPr>
      </w:pPr>
      <w:bookmarkStart w:id="26" w:name="_Toc4154"/>
      <w:bookmarkStart w:id="27" w:name="_Toc11449"/>
      <w:r>
        <w:rPr>
          <w:rFonts w:hint="eastAsia" w:ascii="宋体" w:hAnsi="宋体" w:eastAsia="宋体" w:cs="宋体"/>
          <w:b/>
          <w:bCs/>
          <w:color w:val="auto"/>
          <w:spacing w:val="-5"/>
          <w:sz w:val="24"/>
          <w:szCs w:val="24"/>
          <w:highlight w:val="none"/>
        </w:rPr>
        <w:t>5</w:t>
      </w:r>
      <w:r>
        <w:rPr>
          <w:rFonts w:hint="eastAsia" w:ascii="宋体" w:hAnsi="宋体" w:eastAsia="宋体" w:cs="宋体"/>
          <w:b/>
          <w:bCs/>
          <w:color w:val="auto"/>
          <w:spacing w:val="-5"/>
          <w:sz w:val="24"/>
          <w:szCs w:val="24"/>
          <w:highlight w:val="none"/>
          <w:lang w:val="en-US" w:eastAsia="zh-CN"/>
        </w:rPr>
        <w:t xml:space="preserve"> </w:t>
      </w:r>
      <w:r>
        <w:rPr>
          <w:rFonts w:hint="eastAsia" w:ascii="宋体" w:hAnsi="宋体" w:eastAsia="宋体" w:cs="宋体"/>
          <w:b/>
          <w:bCs/>
          <w:color w:val="auto"/>
          <w:spacing w:val="-5"/>
          <w:sz w:val="24"/>
          <w:szCs w:val="24"/>
          <w:highlight w:val="none"/>
        </w:rPr>
        <w:t>．质量标准和材料、机械要求</w:t>
      </w:r>
      <w:bookmarkEnd w:id="26"/>
      <w:bookmarkEnd w:id="27"/>
    </w:p>
    <w:p w14:paraId="6580E484">
      <w:pPr>
        <w:spacing w:before="154" w:line="279" w:lineRule="auto"/>
        <w:ind w:left="11" w:right="99" w:firstLine="477"/>
        <w:rPr>
          <w:rFonts w:hint="eastAsia" w:ascii="宋体" w:hAnsi="宋体" w:eastAsia="宋体" w:cs="宋体"/>
          <w:color w:val="auto"/>
          <w:sz w:val="24"/>
          <w:szCs w:val="24"/>
          <w:highlight w:val="none"/>
          <w:u w:val="none"/>
        </w:rPr>
      </w:pPr>
      <w:r>
        <w:rPr>
          <w:rFonts w:hint="eastAsia" w:ascii="宋体" w:hAnsi="宋体" w:eastAsia="宋体" w:cs="宋体"/>
          <w:b/>
          <w:bCs/>
          <w:color w:val="auto"/>
          <w:sz w:val="24"/>
          <w:szCs w:val="24"/>
          <w:highlight w:val="none"/>
        </w:rPr>
        <w:t xml:space="preserve">5.1  </w:t>
      </w:r>
      <w:r>
        <w:rPr>
          <w:rFonts w:hint="eastAsia" w:ascii="宋体" w:hAnsi="宋体" w:eastAsia="宋体" w:cs="宋体"/>
          <w:color w:val="auto"/>
          <w:sz w:val="24"/>
          <w:szCs w:val="24"/>
          <w:highlight w:val="none"/>
        </w:rPr>
        <w:t>施工工艺严格按照国家和广东省的有关现行施工技术规范及标准执行，</w:t>
      </w:r>
      <w:r>
        <w:rPr>
          <w:rFonts w:hint="eastAsia" w:ascii="宋体" w:hAnsi="宋体" w:eastAsia="宋体" w:cs="宋体"/>
          <w:color w:val="auto"/>
          <w:sz w:val="24"/>
          <w:szCs w:val="24"/>
          <w:highlight w:val="none"/>
          <w:u w:val="none"/>
        </w:rPr>
        <w:t>工程</w:t>
      </w:r>
      <w:r>
        <w:rPr>
          <w:rFonts w:hint="eastAsia" w:ascii="宋体" w:hAnsi="宋体" w:eastAsia="宋体" w:cs="宋体"/>
          <w:color w:val="auto"/>
          <w:spacing w:val="-1"/>
          <w:sz w:val="24"/>
          <w:szCs w:val="24"/>
          <w:highlight w:val="none"/>
          <w:u w:val="none"/>
        </w:rPr>
        <w:t>质量标准须</w:t>
      </w:r>
      <w:r>
        <w:rPr>
          <w:rFonts w:hint="eastAsia" w:ascii="宋体" w:hAnsi="宋体" w:eastAsia="宋体" w:cs="宋体"/>
          <w:color w:val="auto"/>
          <w:spacing w:val="-1"/>
          <w:sz w:val="24"/>
          <w:szCs w:val="24"/>
          <w:highlight w:val="none"/>
          <w:u w:val="single"/>
          <w:lang w:val="en-US" w:eastAsia="zh-CN"/>
        </w:rPr>
        <w:t>符合现行国家有关工程施工质量验收规范和标准的要求</w:t>
      </w:r>
      <w:r>
        <w:rPr>
          <w:rFonts w:hint="eastAsia" w:ascii="宋体" w:hAnsi="宋体" w:eastAsia="宋体" w:cs="宋体"/>
          <w:color w:val="auto"/>
          <w:spacing w:val="-1"/>
          <w:sz w:val="24"/>
          <w:szCs w:val="24"/>
          <w:highlight w:val="none"/>
          <w:u w:val="none"/>
          <w:lang w:val="en-US" w:eastAsia="zh-CN"/>
        </w:rPr>
        <w:t>且达到</w:t>
      </w:r>
      <w:r>
        <w:rPr>
          <w:rFonts w:hint="eastAsia" w:ascii="宋体" w:hAnsi="宋体" w:eastAsia="宋体" w:cs="宋体"/>
          <w:color w:val="auto"/>
          <w:spacing w:val="-1"/>
          <w:sz w:val="24"/>
          <w:szCs w:val="24"/>
          <w:highlight w:val="none"/>
          <w:u w:val="single"/>
          <w:lang w:val="en-US" w:eastAsia="zh-CN"/>
        </w:rPr>
        <w:t>合格</w:t>
      </w:r>
      <w:r>
        <w:rPr>
          <w:rFonts w:hint="eastAsia" w:ascii="宋体" w:hAnsi="宋体" w:eastAsia="宋体" w:cs="宋体"/>
          <w:color w:val="auto"/>
          <w:spacing w:val="-1"/>
          <w:sz w:val="24"/>
          <w:szCs w:val="24"/>
          <w:highlight w:val="none"/>
          <w:u w:val="none"/>
          <w:lang w:val="en-US" w:eastAsia="zh-CN"/>
        </w:rPr>
        <w:t>标准</w:t>
      </w:r>
      <w:r>
        <w:rPr>
          <w:rFonts w:hint="eastAsia" w:ascii="宋体" w:hAnsi="宋体" w:eastAsia="宋体" w:cs="宋体"/>
          <w:color w:val="auto"/>
          <w:spacing w:val="-1"/>
          <w:sz w:val="24"/>
          <w:szCs w:val="24"/>
          <w:highlight w:val="none"/>
          <w:u w:val="none"/>
        </w:rPr>
        <w:t>。</w:t>
      </w:r>
    </w:p>
    <w:p w14:paraId="549FF2FB">
      <w:pPr>
        <w:spacing w:before="154" w:line="279" w:lineRule="auto"/>
        <w:ind w:left="10" w:right="99"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5.2</w:t>
      </w:r>
      <w:r>
        <w:rPr>
          <w:rFonts w:hint="eastAsia" w:ascii="宋体" w:hAnsi="宋体" w:eastAsia="宋体" w:cs="宋体"/>
          <w:b/>
          <w:bCs/>
          <w:color w:val="auto"/>
          <w:spacing w:val="21"/>
          <w:w w:val="101"/>
          <w:sz w:val="24"/>
          <w:szCs w:val="24"/>
          <w:highlight w:val="none"/>
        </w:rPr>
        <w:t xml:space="preserve">  </w:t>
      </w:r>
      <w:r>
        <w:rPr>
          <w:rFonts w:hint="eastAsia" w:ascii="宋体" w:hAnsi="宋体" w:eastAsia="宋体" w:cs="宋体"/>
          <w:color w:val="auto"/>
          <w:spacing w:val="-3"/>
          <w:sz w:val="24"/>
          <w:szCs w:val="24"/>
          <w:highlight w:val="none"/>
        </w:rPr>
        <w:t>中标人在施工中如果工程质量不符合设计要求和有关规定，招标人或监理单</w:t>
      </w:r>
      <w:r>
        <w:rPr>
          <w:rFonts w:hint="eastAsia" w:ascii="宋体" w:hAnsi="宋体" w:eastAsia="宋体" w:cs="宋体"/>
          <w:color w:val="auto"/>
          <w:sz w:val="24"/>
          <w:szCs w:val="24"/>
          <w:highlight w:val="none"/>
        </w:rPr>
        <w:t>位要求停工和返工的必须立即执行，并承担由此产生的各</w:t>
      </w:r>
      <w:r>
        <w:rPr>
          <w:rFonts w:hint="eastAsia" w:ascii="宋体" w:hAnsi="宋体" w:eastAsia="宋体" w:cs="宋体"/>
          <w:color w:val="auto"/>
          <w:spacing w:val="-1"/>
          <w:sz w:val="24"/>
          <w:szCs w:val="24"/>
          <w:highlight w:val="none"/>
        </w:rPr>
        <w:t>种费用，工期不予顺延。</w:t>
      </w:r>
    </w:p>
    <w:p w14:paraId="1B48C340">
      <w:pPr>
        <w:spacing w:before="152" w:line="309" w:lineRule="auto"/>
        <w:ind w:left="9" w:firstLine="568"/>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6"/>
          <w:sz w:val="24"/>
          <w:szCs w:val="24"/>
          <w:highlight w:val="none"/>
        </w:rPr>
        <w:t xml:space="preserve">5.3  </w:t>
      </w:r>
      <w:r>
        <w:rPr>
          <w:rFonts w:hint="eastAsia" w:ascii="宋体" w:hAnsi="宋体" w:eastAsia="宋体" w:cs="宋体"/>
          <w:color w:val="auto"/>
          <w:spacing w:val="-6"/>
          <w:sz w:val="24"/>
          <w:szCs w:val="24"/>
          <w:highlight w:val="none"/>
        </w:rPr>
        <w:t>保修期限按《建设工程质量管理条例》（中华人民共和国国务院令第</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6"/>
          <w:sz w:val="24"/>
          <w:szCs w:val="24"/>
          <w:highlight w:val="none"/>
        </w:rPr>
        <w:t>279</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6"/>
          <w:sz w:val="24"/>
          <w:szCs w:val="24"/>
          <w:highlight w:val="none"/>
        </w:rPr>
        <w:t>号）</w:t>
      </w:r>
      <w:r>
        <w:rPr>
          <w:rFonts w:hint="eastAsia" w:ascii="宋体" w:hAnsi="宋体" w:eastAsia="宋体" w:cs="宋体"/>
          <w:color w:val="auto"/>
          <w:spacing w:val="-1"/>
          <w:sz w:val="24"/>
          <w:szCs w:val="24"/>
          <w:highlight w:val="none"/>
        </w:rPr>
        <w:t>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6F4EC01E">
      <w:pPr>
        <w:spacing w:before="152" w:line="309" w:lineRule="auto"/>
        <w:ind w:left="9" w:firstLine="568"/>
        <w:rPr>
          <w:rFonts w:hint="eastAsia" w:ascii="宋体" w:hAnsi="宋体" w:eastAsia="宋体" w:cs="宋体"/>
          <w:color w:val="auto"/>
          <w:spacing w:val="-6"/>
          <w:sz w:val="24"/>
          <w:szCs w:val="24"/>
          <w:highlight w:val="none"/>
        </w:rPr>
      </w:pPr>
      <w:r>
        <w:rPr>
          <w:rFonts w:hint="eastAsia" w:ascii="宋体" w:hAnsi="宋体" w:eastAsia="宋体" w:cs="宋体"/>
          <w:b/>
          <w:bCs/>
          <w:color w:val="auto"/>
          <w:spacing w:val="-1"/>
          <w:sz w:val="24"/>
          <w:szCs w:val="24"/>
          <w:highlight w:val="none"/>
        </w:rPr>
        <w:t>5.4</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6"/>
          <w:sz w:val="24"/>
          <w:szCs w:val="24"/>
          <w:highlight w:val="none"/>
          <w:lang w:val="en-US" w:eastAsia="zh-CN"/>
        </w:rPr>
        <w:t>根据韶关市人民政府《关于加快推进全市绿色建筑发展工作的通知》（韶府办明电〔2013〕277 号）有关规定，结合《韶关市住建管理局关于贯彻落实&lt;广东省绿色建筑条例&gt;有关工作的通知》（韶市建字〔2021〕85 号）等有关规定，</w:t>
      </w:r>
      <w:r>
        <w:rPr>
          <w:rFonts w:hint="eastAsia" w:ascii="宋体" w:hAnsi="宋体" w:eastAsia="宋体" w:cs="宋体"/>
          <w:color w:val="auto"/>
          <w:spacing w:val="-6"/>
          <w:sz w:val="24"/>
          <w:szCs w:val="24"/>
          <w:highlight w:val="none"/>
          <w:lang w:eastAsia="zh-CN"/>
        </w:rPr>
        <w:t>本招标项目纳入绿色建设实施范围，要求达到《绿色建筑评价标准》GB/T51141-2015 等规范要求规定的一星级标准。</w:t>
      </w:r>
    </w:p>
    <w:p w14:paraId="3EA8CECA">
      <w:pPr>
        <w:spacing w:before="152" w:line="309" w:lineRule="auto"/>
        <w:ind w:left="9" w:firstLine="568"/>
        <w:rPr>
          <w:rFonts w:hint="eastAsia" w:ascii="宋体" w:hAnsi="宋体" w:eastAsia="宋体" w:cs="宋体"/>
          <w:color w:val="auto"/>
          <w:spacing w:val="-1"/>
          <w:sz w:val="24"/>
          <w:szCs w:val="24"/>
          <w:highlight w:val="none"/>
          <w:lang w:val="en-US" w:eastAsia="zh-CN"/>
        </w:rPr>
      </w:pPr>
      <w:r>
        <w:rPr>
          <w:rFonts w:hint="eastAsia" w:ascii="宋体" w:hAnsi="宋体" w:eastAsia="宋体" w:cs="宋体"/>
          <w:b/>
          <w:bCs/>
          <w:color w:val="auto"/>
          <w:spacing w:val="-1"/>
          <w:sz w:val="24"/>
          <w:szCs w:val="24"/>
          <w:highlight w:val="none"/>
        </w:rPr>
        <w:t>5.5</w:t>
      </w:r>
      <w:r>
        <w:rPr>
          <w:rFonts w:hint="eastAsia" w:ascii="宋体" w:hAnsi="宋体" w:eastAsia="宋体" w:cs="宋体"/>
          <w:color w:val="auto"/>
          <w:spacing w:val="-1"/>
          <w:sz w:val="24"/>
          <w:szCs w:val="24"/>
          <w:highlight w:val="none"/>
        </w:rPr>
        <w:t xml:space="preserve">  其它：</w:t>
      </w:r>
      <w:r>
        <w:rPr>
          <w:rFonts w:hint="eastAsia" w:ascii="宋体" w:hAnsi="宋体" w:eastAsia="宋体" w:cs="宋体"/>
          <w:color w:val="auto"/>
          <w:spacing w:val="-1"/>
          <w:sz w:val="24"/>
          <w:szCs w:val="24"/>
          <w:highlight w:val="none"/>
          <w:lang w:eastAsia="zh-CN"/>
        </w:rPr>
        <w:t>本招标项目</w:t>
      </w:r>
      <w:r>
        <w:rPr>
          <w:rFonts w:hint="eastAsia" w:ascii="宋体" w:hAnsi="宋体" w:eastAsia="宋体" w:cs="宋体"/>
          <w:color w:val="auto"/>
          <w:spacing w:val="-1"/>
          <w:sz w:val="24"/>
          <w:szCs w:val="24"/>
          <w:highlight w:val="none"/>
          <w:lang w:val="en-US" w:eastAsia="zh-CN"/>
        </w:rPr>
        <w:t>不</w:t>
      </w:r>
      <w:r>
        <w:rPr>
          <w:rFonts w:hint="eastAsia" w:ascii="宋体" w:hAnsi="宋体" w:eastAsia="宋体" w:cs="宋体"/>
          <w:color w:val="auto"/>
          <w:spacing w:val="-1"/>
          <w:sz w:val="24"/>
          <w:szCs w:val="24"/>
          <w:highlight w:val="none"/>
          <w:lang w:eastAsia="zh-CN"/>
        </w:rPr>
        <w:t>纳入装配式建造建设实施范围。</w:t>
      </w:r>
    </w:p>
    <w:p w14:paraId="529B9570">
      <w:pPr>
        <w:spacing w:before="152" w:line="309" w:lineRule="auto"/>
        <w:ind w:left="9" w:firstLine="568"/>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5.6</w:t>
      </w:r>
      <w:r>
        <w:rPr>
          <w:rFonts w:hint="eastAsia" w:ascii="宋体" w:hAnsi="宋体" w:eastAsia="宋体" w:cs="宋体"/>
          <w:color w:val="auto"/>
          <w:spacing w:val="-1"/>
          <w:sz w:val="24"/>
          <w:szCs w:val="24"/>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则中标人必须使用合格材料或设备。</w:t>
      </w:r>
    </w:p>
    <w:p w14:paraId="7DD80F84">
      <w:pPr>
        <w:spacing w:before="152" w:line="309" w:lineRule="auto"/>
        <w:ind w:left="9" w:firstLine="568"/>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w:t>
      </w:r>
      <w:r>
        <w:rPr>
          <w:rFonts w:hint="eastAsia" w:ascii="宋体" w:hAnsi="宋体" w:eastAsia="宋体" w:cs="宋体"/>
          <w:b/>
          <w:bCs/>
          <w:color w:val="auto"/>
          <w:spacing w:val="-1"/>
          <w:sz w:val="24"/>
          <w:szCs w:val="24"/>
          <w:highlight w:val="none"/>
          <w:lang w:eastAsia="zh-CN"/>
        </w:rPr>
        <w:t>7</w:t>
      </w:r>
      <w:r>
        <w:rPr>
          <w:rFonts w:hint="eastAsia" w:ascii="宋体" w:hAnsi="宋体" w:eastAsia="宋体" w:cs="宋体"/>
          <w:color w:val="auto"/>
          <w:spacing w:val="-1"/>
          <w:sz w:val="24"/>
          <w:szCs w:val="24"/>
          <w:highlight w:val="none"/>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4A8A6FE1">
      <w:pPr>
        <w:spacing w:before="78" w:line="220" w:lineRule="auto"/>
        <w:ind w:left="489"/>
        <w:outlineLvl w:val="2"/>
        <w:rPr>
          <w:rFonts w:hint="eastAsia" w:ascii="宋体" w:hAnsi="宋体" w:eastAsia="宋体" w:cs="宋体"/>
          <w:color w:val="auto"/>
          <w:sz w:val="24"/>
          <w:szCs w:val="24"/>
          <w:highlight w:val="none"/>
        </w:rPr>
      </w:pPr>
      <w:bookmarkStart w:id="28" w:name="_Toc21146"/>
      <w:bookmarkStart w:id="29" w:name="_Toc7763"/>
      <w:r>
        <w:rPr>
          <w:rFonts w:hint="eastAsia" w:ascii="宋体" w:hAnsi="宋体" w:eastAsia="宋体" w:cs="宋体"/>
          <w:b/>
          <w:bCs/>
          <w:color w:val="auto"/>
          <w:spacing w:val="-6"/>
          <w:sz w:val="24"/>
          <w:szCs w:val="24"/>
          <w:highlight w:val="none"/>
        </w:rPr>
        <w:t>6</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b/>
          <w:bCs/>
          <w:color w:val="auto"/>
          <w:spacing w:val="-6"/>
          <w:sz w:val="24"/>
          <w:szCs w:val="24"/>
          <w:highlight w:val="none"/>
        </w:rPr>
        <w:t>．施工条件及现场踏勘</w:t>
      </w:r>
      <w:bookmarkEnd w:id="28"/>
      <w:bookmarkEnd w:id="29"/>
    </w:p>
    <w:p w14:paraId="4C828FEF">
      <w:pPr>
        <w:spacing w:before="155" w:line="240" w:lineRule="auto"/>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6.1  </w:t>
      </w:r>
      <w:r>
        <w:rPr>
          <w:rFonts w:hint="eastAsia" w:ascii="宋体" w:hAnsi="宋体" w:eastAsia="宋体" w:cs="宋体"/>
          <w:color w:val="auto"/>
          <w:spacing w:val="-2"/>
          <w:sz w:val="24"/>
          <w:szCs w:val="24"/>
          <w:highlight w:val="none"/>
        </w:rPr>
        <w:t>招标人仅在本招标项目征地红线范围内提供场地，其他一切场地费用由中标人自行负责（含临时道路）。</w:t>
      </w:r>
    </w:p>
    <w:p w14:paraId="2BD082AA">
      <w:pPr>
        <w:spacing w:before="155" w:line="240" w:lineRule="auto"/>
        <w:ind w:left="12" w:right="99" w:firstLine="556"/>
        <w:rPr>
          <w:rFonts w:hint="eastAsia" w:ascii="宋体" w:hAnsi="宋体" w:eastAsia="宋体" w:cs="宋体"/>
          <w:color w:val="auto"/>
          <w:spacing w:val="-2"/>
          <w:sz w:val="24"/>
          <w:szCs w:val="24"/>
          <w:highlight w:val="none"/>
        </w:rPr>
      </w:pPr>
      <w:bookmarkStart w:id="30" w:name="bookmark118"/>
      <w:bookmarkEnd w:id="30"/>
      <w:r>
        <w:rPr>
          <w:rFonts w:hint="eastAsia" w:ascii="宋体" w:hAnsi="宋体" w:eastAsia="宋体" w:cs="宋体"/>
          <w:b/>
          <w:bCs/>
          <w:color w:val="auto"/>
          <w:spacing w:val="-2"/>
          <w:sz w:val="24"/>
          <w:szCs w:val="24"/>
          <w:highlight w:val="none"/>
        </w:rPr>
        <w:t>6.2</w:t>
      </w:r>
      <w:r>
        <w:rPr>
          <w:rFonts w:hint="eastAsia" w:ascii="宋体" w:hAnsi="宋体" w:eastAsia="宋体" w:cs="宋体"/>
          <w:color w:val="auto"/>
          <w:spacing w:val="-2"/>
          <w:sz w:val="24"/>
          <w:szCs w:val="24"/>
          <w:highlight w:val="none"/>
        </w:rPr>
        <w:t xml:space="preserve">  施工用水：</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1C5809E9">
      <w:pPr>
        <w:spacing w:before="155" w:line="240" w:lineRule="auto"/>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6.3</w:t>
      </w:r>
      <w:r>
        <w:rPr>
          <w:rFonts w:hint="eastAsia" w:ascii="宋体" w:hAnsi="宋体" w:eastAsia="宋体" w:cs="宋体"/>
          <w:color w:val="auto"/>
          <w:spacing w:val="-2"/>
          <w:sz w:val="24"/>
          <w:szCs w:val="24"/>
          <w:highlight w:val="none"/>
        </w:rPr>
        <w:t xml:space="preserve">  施工用电：</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62AE4415">
      <w:pPr>
        <w:spacing w:before="153" w:line="240" w:lineRule="auto"/>
        <w:ind w:left="568"/>
        <w:rPr>
          <w:rFonts w:hint="eastAsia" w:ascii="宋体" w:hAnsi="宋体" w:eastAsia="宋体" w:cs="宋体"/>
          <w:b w:val="0"/>
          <w:bCs w:val="0"/>
          <w:color w:val="auto"/>
          <w:spacing w:val="-2"/>
          <w:sz w:val="24"/>
          <w:szCs w:val="24"/>
          <w:highlight w:val="none"/>
        </w:rPr>
      </w:pPr>
      <w:r>
        <w:rPr>
          <w:rFonts w:hint="eastAsia" w:ascii="宋体" w:hAnsi="宋体" w:eastAsia="宋体" w:cs="宋体"/>
          <w:b/>
          <w:bCs/>
          <w:color w:val="auto"/>
          <w:spacing w:val="-2"/>
          <w:sz w:val="24"/>
          <w:szCs w:val="24"/>
          <w:highlight w:val="none"/>
          <w:lang w:val="en-US" w:eastAsia="zh-CN"/>
        </w:rPr>
        <w:t>6.4</w:t>
      </w:r>
      <w:r>
        <w:rPr>
          <w:rFonts w:hint="eastAsia" w:ascii="宋体" w:hAnsi="宋体" w:eastAsia="宋体" w:cs="宋体"/>
          <w:b w:val="0"/>
          <w:bCs w:val="0"/>
          <w:color w:val="auto"/>
          <w:spacing w:val="-2"/>
          <w:sz w:val="24"/>
          <w:szCs w:val="24"/>
          <w:highlight w:val="none"/>
          <w:lang w:val="en-US" w:eastAsia="zh-CN"/>
        </w:rPr>
        <w:t xml:space="preserve"> 施工用水、用电各提供一驳接点到现场边缘。要求中标人单独安装水表、电表，其水、电费按项目所在地基建工程水、电计费标准计算并由中标人缴纳。 </w:t>
      </w:r>
    </w:p>
    <w:p w14:paraId="48BF9A50">
      <w:pPr>
        <w:spacing w:before="153" w:line="240" w:lineRule="auto"/>
        <w:ind w:left="568"/>
        <w:rPr>
          <w:rFonts w:hint="eastAsia" w:ascii="宋体" w:hAnsi="宋体" w:eastAsia="宋体" w:cs="宋体"/>
          <w:b w:val="0"/>
          <w:bCs w:val="0"/>
          <w:color w:val="auto"/>
          <w:spacing w:val="-2"/>
          <w:sz w:val="24"/>
          <w:szCs w:val="24"/>
          <w:highlight w:val="none"/>
        </w:rPr>
      </w:pPr>
      <w:r>
        <w:rPr>
          <w:rFonts w:hint="eastAsia" w:ascii="宋体" w:hAnsi="宋体" w:eastAsia="宋体" w:cs="宋体"/>
          <w:b/>
          <w:bCs/>
          <w:color w:val="auto"/>
          <w:spacing w:val="-2"/>
          <w:sz w:val="24"/>
          <w:szCs w:val="24"/>
          <w:highlight w:val="none"/>
          <w:lang w:val="en-US" w:eastAsia="zh-CN"/>
        </w:rPr>
        <w:t>6.5</w:t>
      </w:r>
      <w:r>
        <w:rPr>
          <w:rFonts w:hint="eastAsia" w:ascii="宋体" w:hAnsi="宋体" w:eastAsia="宋体" w:cs="宋体"/>
          <w:b w:val="0"/>
          <w:bCs w:val="0"/>
          <w:color w:val="auto"/>
          <w:spacing w:val="-2"/>
          <w:sz w:val="24"/>
          <w:szCs w:val="24"/>
          <w:highlight w:val="none"/>
          <w:lang w:val="en-US" w:eastAsia="zh-CN"/>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 </w:t>
      </w:r>
    </w:p>
    <w:p w14:paraId="2FF7D91D">
      <w:pPr>
        <w:spacing w:before="153" w:line="240" w:lineRule="auto"/>
        <w:ind w:left="568"/>
        <w:rPr>
          <w:rFonts w:hint="eastAsia" w:ascii="宋体" w:hAnsi="宋体" w:eastAsia="宋体" w:cs="宋体"/>
          <w:b w:val="0"/>
          <w:bCs w:val="0"/>
          <w:color w:val="auto"/>
          <w:spacing w:val="-2"/>
          <w:sz w:val="24"/>
          <w:szCs w:val="24"/>
          <w:highlight w:val="none"/>
        </w:rPr>
      </w:pPr>
      <w:r>
        <w:rPr>
          <w:rFonts w:hint="eastAsia" w:ascii="宋体" w:hAnsi="宋体" w:eastAsia="宋体" w:cs="宋体"/>
          <w:b/>
          <w:bCs/>
          <w:color w:val="auto"/>
          <w:spacing w:val="-2"/>
          <w:sz w:val="24"/>
          <w:szCs w:val="24"/>
          <w:highlight w:val="none"/>
          <w:lang w:val="en-US" w:eastAsia="zh-CN"/>
        </w:rPr>
        <w:t>6.6</w:t>
      </w:r>
      <w:r>
        <w:rPr>
          <w:rFonts w:hint="eastAsia" w:ascii="宋体" w:hAnsi="宋体" w:eastAsia="宋体" w:cs="宋体"/>
          <w:b w:val="0"/>
          <w:bCs w:val="0"/>
          <w:color w:val="auto"/>
          <w:spacing w:val="-2"/>
          <w:sz w:val="24"/>
          <w:szCs w:val="24"/>
          <w:highlight w:val="none"/>
          <w:lang w:val="en-US" w:eastAsia="zh-CN"/>
        </w:rPr>
        <w:t xml:space="preserve"> 在现场踏勘过程中，投标人应确保自身安全，投标人如果发生人身伤亡、财物或其他损失，法律法规有规定的按有关规定处理，没有规定的由投标人自行负责。 </w:t>
      </w:r>
    </w:p>
    <w:p w14:paraId="501C0A08">
      <w:pPr>
        <w:spacing w:before="153" w:line="240" w:lineRule="auto"/>
        <w:ind w:left="568"/>
        <w:rPr>
          <w:rFonts w:hint="eastAsia" w:ascii="宋体" w:hAnsi="宋体" w:eastAsia="宋体" w:cs="宋体"/>
          <w:b w:val="0"/>
          <w:bCs w:val="0"/>
          <w:color w:val="auto"/>
          <w:spacing w:val="-2"/>
          <w:sz w:val="24"/>
          <w:szCs w:val="24"/>
          <w:highlight w:val="none"/>
        </w:rPr>
      </w:pPr>
      <w:r>
        <w:rPr>
          <w:rFonts w:hint="eastAsia" w:ascii="宋体" w:hAnsi="宋体" w:eastAsia="宋体" w:cs="宋体"/>
          <w:b/>
          <w:bCs/>
          <w:color w:val="auto"/>
          <w:spacing w:val="-2"/>
          <w:sz w:val="24"/>
          <w:szCs w:val="24"/>
          <w:highlight w:val="none"/>
          <w:lang w:val="en-US" w:eastAsia="zh-CN"/>
        </w:rPr>
        <w:t xml:space="preserve">6.7 </w:t>
      </w:r>
      <w:r>
        <w:rPr>
          <w:rFonts w:hint="eastAsia" w:ascii="宋体" w:hAnsi="宋体" w:eastAsia="宋体" w:cs="宋体"/>
          <w:b w:val="0"/>
          <w:bCs w:val="0"/>
          <w:color w:val="auto"/>
          <w:spacing w:val="-2"/>
          <w:sz w:val="24"/>
          <w:szCs w:val="24"/>
          <w:highlight w:val="none"/>
          <w:lang w:val="en-US" w:eastAsia="zh-CN"/>
        </w:rPr>
        <w:t>现场踏勘期间的交通、食宿由投标人自行安排，费用自理。</w:t>
      </w:r>
    </w:p>
    <w:p w14:paraId="35DD5CF7">
      <w:pPr>
        <w:spacing w:before="78" w:line="220" w:lineRule="auto"/>
        <w:ind w:left="488"/>
        <w:outlineLvl w:val="2"/>
        <w:rPr>
          <w:rFonts w:hint="eastAsia" w:ascii="宋体" w:hAnsi="宋体" w:eastAsia="宋体" w:cs="宋体"/>
          <w:color w:val="auto"/>
          <w:sz w:val="24"/>
          <w:szCs w:val="24"/>
          <w:highlight w:val="none"/>
        </w:rPr>
      </w:pPr>
      <w:bookmarkStart w:id="31" w:name="bookmark81"/>
      <w:bookmarkEnd w:id="31"/>
      <w:bookmarkStart w:id="32" w:name="bookmark69"/>
      <w:bookmarkEnd w:id="32"/>
      <w:bookmarkStart w:id="33" w:name="bookmark67"/>
      <w:bookmarkEnd w:id="33"/>
      <w:bookmarkStart w:id="34" w:name="_Toc15543"/>
      <w:bookmarkStart w:id="35" w:name="_Toc24768"/>
      <w:r>
        <w:rPr>
          <w:rFonts w:hint="eastAsia" w:ascii="宋体" w:hAnsi="宋体" w:eastAsia="宋体" w:cs="宋体"/>
          <w:b/>
          <w:bCs/>
          <w:color w:val="auto"/>
          <w:spacing w:val="-5"/>
          <w:sz w:val="24"/>
          <w:szCs w:val="24"/>
          <w:highlight w:val="none"/>
        </w:rPr>
        <w:t>7</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5"/>
          <w:sz w:val="24"/>
          <w:szCs w:val="24"/>
          <w:highlight w:val="none"/>
        </w:rPr>
        <w:t>．招标文件的提问和答疑</w:t>
      </w:r>
      <w:bookmarkEnd w:id="34"/>
      <w:bookmarkEnd w:id="35"/>
    </w:p>
    <w:p w14:paraId="318A4AA7">
      <w:pPr>
        <w:spacing w:before="153" w:line="299" w:lineRule="auto"/>
        <w:ind w:left="9" w:right="16" w:firstLine="478"/>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7.1  </w:t>
      </w:r>
      <w:r>
        <w:rPr>
          <w:rFonts w:hint="eastAsia" w:ascii="宋体" w:hAnsi="宋体" w:eastAsia="宋体" w:cs="宋体"/>
          <w:color w:val="auto"/>
          <w:sz w:val="24"/>
          <w:szCs w:val="24"/>
          <w:highlight w:val="none"/>
        </w:rPr>
        <w:t>投标人若对招标文件（含施工图、招标工程量清单）有疑问，应在提问截止</w:t>
      </w:r>
      <w:r>
        <w:rPr>
          <w:rFonts w:hint="eastAsia" w:ascii="宋体" w:hAnsi="宋体" w:eastAsia="宋体" w:cs="宋体"/>
          <w:color w:val="auto"/>
          <w:spacing w:val="-2"/>
          <w:sz w:val="24"/>
          <w:szCs w:val="24"/>
          <w:highlight w:val="none"/>
        </w:rPr>
        <w:t>时间（见本章第二节“重要事项时间地点一览表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”）前使用建设工程交易</w:t>
      </w:r>
      <w:r>
        <w:rPr>
          <w:rFonts w:hint="eastAsia" w:ascii="宋体" w:hAnsi="宋体" w:eastAsia="宋体" w:cs="宋体"/>
          <w:color w:val="auto"/>
          <w:spacing w:val="-3"/>
          <w:sz w:val="24"/>
          <w:szCs w:val="24"/>
          <w:highlight w:val="none"/>
        </w:rPr>
        <w:t>系统提出问</w:t>
      </w:r>
      <w:r>
        <w:rPr>
          <w:rFonts w:hint="eastAsia" w:ascii="宋体" w:hAnsi="宋体" w:eastAsia="宋体" w:cs="宋体"/>
          <w:color w:val="auto"/>
          <w:spacing w:val="-1"/>
          <w:sz w:val="24"/>
          <w:szCs w:val="24"/>
          <w:highlight w:val="none"/>
        </w:rPr>
        <w:t>题。未在指定时间前、未采用指定方式提出的，招标人不予受理。</w:t>
      </w:r>
    </w:p>
    <w:p w14:paraId="0C4E75E3">
      <w:pPr>
        <w:spacing w:before="154" w:line="309"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7.2  </w:t>
      </w:r>
      <w:r>
        <w:rPr>
          <w:rFonts w:hint="eastAsia" w:ascii="宋体" w:hAnsi="宋体" w:eastAsia="宋体" w:cs="宋体"/>
          <w:color w:val="auto"/>
          <w:spacing w:val="-1"/>
          <w:sz w:val="24"/>
          <w:szCs w:val="24"/>
          <w:highlight w:val="none"/>
        </w:rPr>
        <w:t>招标人在提问截止时间（见本章第二节“重要</w:t>
      </w:r>
      <w:r>
        <w:rPr>
          <w:rFonts w:hint="eastAsia" w:ascii="宋体" w:hAnsi="宋体" w:eastAsia="宋体" w:cs="宋体"/>
          <w:color w:val="auto"/>
          <w:spacing w:val="-2"/>
          <w:sz w:val="24"/>
          <w:szCs w:val="24"/>
          <w:highlight w:val="none"/>
        </w:rPr>
        <w:t>事项时间地点一览表</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2"/>
          <w:sz w:val="24"/>
          <w:szCs w:val="24"/>
          <w:highlight w:val="none"/>
        </w:rPr>
        <w:t>”）后</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日内，一次性对收到的所有问题作出答复，并形成答疑（或修</w:t>
      </w:r>
      <w:r>
        <w:rPr>
          <w:rFonts w:hint="eastAsia" w:ascii="宋体" w:hAnsi="宋体" w:eastAsia="宋体" w:cs="宋体"/>
          <w:color w:val="auto"/>
          <w:spacing w:val="-2"/>
          <w:sz w:val="24"/>
          <w:szCs w:val="24"/>
          <w:highlight w:val="none"/>
        </w:rPr>
        <w:t>改）公告在发布招标公</w:t>
      </w:r>
      <w:r>
        <w:rPr>
          <w:rFonts w:hint="eastAsia" w:ascii="宋体" w:hAnsi="宋体" w:eastAsia="宋体" w:cs="宋体"/>
          <w:color w:val="auto"/>
          <w:spacing w:val="-1"/>
          <w:sz w:val="24"/>
          <w:szCs w:val="24"/>
          <w:highlight w:val="none"/>
        </w:rPr>
        <w:t>告的媒介上公开发布。答疑（或修改）公告一旦发布，即视所</w:t>
      </w:r>
      <w:r>
        <w:rPr>
          <w:rFonts w:hint="eastAsia" w:ascii="宋体" w:hAnsi="宋体" w:eastAsia="宋体" w:cs="宋体"/>
          <w:color w:val="auto"/>
          <w:spacing w:val="-2"/>
          <w:sz w:val="24"/>
          <w:szCs w:val="24"/>
          <w:highlight w:val="none"/>
        </w:rPr>
        <w:t>有潜在投标人已经知悉</w:t>
      </w:r>
      <w:r>
        <w:rPr>
          <w:rFonts w:hint="eastAsia" w:ascii="宋体" w:hAnsi="宋体" w:eastAsia="宋体" w:cs="宋体"/>
          <w:color w:val="auto"/>
          <w:spacing w:val="-1"/>
          <w:sz w:val="24"/>
          <w:szCs w:val="24"/>
          <w:highlight w:val="none"/>
        </w:rPr>
        <w:t>答疑（或修改）内容，投标人未及时关注而造成的损失和后果</w:t>
      </w:r>
      <w:r>
        <w:rPr>
          <w:rFonts w:hint="eastAsia" w:ascii="宋体" w:hAnsi="宋体" w:eastAsia="宋体" w:cs="宋体"/>
          <w:color w:val="auto"/>
          <w:spacing w:val="-2"/>
          <w:sz w:val="24"/>
          <w:szCs w:val="24"/>
          <w:highlight w:val="none"/>
        </w:rPr>
        <w:t>，由投标人自行承担。</w:t>
      </w:r>
    </w:p>
    <w:p w14:paraId="3207CA6F">
      <w:pPr>
        <w:spacing w:before="152" w:line="219" w:lineRule="auto"/>
        <w:ind w:firstLine="478" w:firstLineChars="200"/>
        <w:jc w:val="both"/>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7.3  </w:t>
      </w:r>
      <w:r>
        <w:rPr>
          <w:rFonts w:hint="eastAsia" w:ascii="宋体" w:hAnsi="宋体" w:eastAsia="宋体" w:cs="宋体"/>
          <w:color w:val="auto"/>
          <w:spacing w:val="-1"/>
          <w:sz w:val="24"/>
          <w:szCs w:val="24"/>
          <w:highlight w:val="none"/>
        </w:rPr>
        <w:t>招标人对招标文件所作的答疑（或修改）公告，构成</w:t>
      </w:r>
      <w:r>
        <w:rPr>
          <w:rFonts w:hint="eastAsia" w:ascii="宋体" w:hAnsi="宋体" w:eastAsia="宋体" w:cs="宋体"/>
          <w:color w:val="auto"/>
          <w:spacing w:val="-2"/>
          <w:sz w:val="24"/>
          <w:szCs w:val="24"/>
          <w:highlight w:val="none"/>
        </w:rPr>
        <w:t>招标文件的组成部分。</w:t>
      </w:r>
    </w:p>
    <w:p w14:paraId="1728F14D">
      <w:pPr>
        <w:spacing w:before="79" w:line="219" w:lineRule="auto"/>
        <w:ind w:left="488"/>
        <w:outlineLvl w:val="2"/>
        <w:rPr>
          <w:rFonts w:hint="eastAsia" w:ascii="宋体" w:hAnsi="宋体" w:eastAsia="宋体" w:cs="宋体"/>
          <w:color w:val="auto"/>
          <w:sz w:val="24"/>
          <w:szCs w:val="24"/>
          <w:highlight w:val="none"/>
          <w:lang w:eastAsia="zh-CN"/>
        </w:rPr>
      </w:pPr>
      <w:bookmarkStart w:id="36" w:name="_Toc20958"/>
      <w:bookmarkStart w:id="37" w:name="_Toc6897"/>
      <w:r>
        <w:rPr>
          <w:rFonts w:hint="eastAsia" w:ascii="宋体" w:hAnsi="宋体" w:eastAsia="宋体" w:cs="宋体"/>
          <w:b/>
          <w:bCs/>
          <w:color w:val="auto"/>
          <w:spacing w:val="-5"/>
          <w:sz w:val="24"/>
          <w:szCs w:val="24"/>
          <w:highlight w:val="none"/>
        </w:rPr>
        <w:t>8</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5"/>
          <w:sz w:val="24"/>
          <w:szCs w:val="24"/>
          <w:highlight w:val="none"/>
        </w:rPr>
        <w:t>．</w:t>
      </w:r>
      <w:r>
        <w:rPr>
          <w:rFonts w:hint="eastAsia" w:ascii="宋体" w:hAnsi="宋体" w:eastAsia="宋体" w:cs="宋体"/>
          <w:b/>
          <w:bCs/>
          <w:color w:val="auto"/>
          <w:spacing w:val="-1"/>
          <w:sz w:val="24"/>
          <w:szCs w:val="24"/>
          <w:highlight w:val="none"/>
          <w:lang w:eastAsia="zh-CN"/>
        </w:rPr>
        <w:t>最高投标限价</w:t>
      </w:r>
      <w:bookmarkEnd w:id="36"/>
      <w:bookmarkEnd w:id="37"/>
    </w:p>
    <w:p w14:paraId="483B6E50">
      <w:pPr>
        <w:spacing w:before="155"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8.1  </w:t>
      </w:r>
      <w:r>
        <w:rPr>
          <w:rFonts w:hint="eastAsia" w:ascii="宋体" w:hAnsi="宋体" w:eastAsia="宋体" w:cs="宋体"/>
          <w:color w:val="auto"/>
          <w:spacing w:val="-1"/>
          <w:sz w:val="24"/>
          <w:szCs w:val="24"/>
          <w:highlight w:val="none"/>
        </w:rPr>
        <w:t>本招标项目按照以下依据编制</w:t>
      </w:r>
      <w:r>
        <w:rPr>
          <w:rFonts w:hint="eastAsia" w:ascii="宋体" w:hAnsi="宋体" w:eastAsia="宋体" w:cs="宋体"/>
          <w:b/>
          <w:bCs/>
          <w:color w:val="auto"/>
          <w:spacing w:val="-1"/>
          <w:sz w:val="24"/>
          <w:szCs w:val="24"/>
          <w:highlight w:val="none"/>
          <w:lang w:eastAsia="zh-CN"/>
        </w:rPr>
        <w:t>最高投标限价</w:t>
      </w:r>
      <w:r>
        <w:rPr>
          <w:rFonts w:hint="eastAsia" w:ascii="宋体" w:hAnsi="宋体" w:eastAsia="宋体" w:cs="宋体"/>
          <w:color w:val="auto"/>
          <w:spacing w:val="-1"/>
          <w:sz w:val="24"/>
          <w:szCs w:val="24"/>
          <w:highlight w:val="none"/>
        </w:rPr>
        <w:t>：</w:t>
      </w:r>
    </w:p>
    <w:p w14:paraId="50AB2042">
      <w:pPr>
        <w:keepNext w:val="0"/>
        <w:keepLines w:val="0"/>
        <w:pageBreakBefore w:val="0"/>
        <w:widowControl/>
        <w:kinsoku w:val="0"/>
        <w:wordWrap/>
        <w:overflowPunct/>
        <w:topLinePunct w:val="0"/>
        <w:autoSpaceDE w:val="0"/>
        <w:autoSpaceDN w:val="0"/>
        <w:bidi w:val="0"/>
        <w:adjustRightInd w:val="0"/>
        <w:snapToGrid w:val="0"/>
        <w:spacing w:before="157" w:line="360" w:lineRule="auto"/>
        <w:ind w:left="50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》（GB/T 50500-2024）；</w:t>
      </w:r>
    </w:p>
    <w:p w14:paraId="55BAFE0B">
      <w:pPr>
        <w:keepNext w:val="0"/>
        <w:keepLines w:val="0"/>
        <w:pageBreakBefore w:val="0"/>
        <w:widowControl/>
        <w:kinsoku w:val="0"/>
        <w:wordWrap/>
        <w:overflowPunct/>
        <w:topLinePunct w:val="0"/>
        <w:autoSpaceDE w:val="0"/>
        <w:autoSpaceDN w:val="0"/>
        <w:bidi w:val="0"/>
        <w:adjustRightInd w:val="0"/>
        <w:snapToGrid w:val="0"/>
        <w:spacing w:line="360" w:lineRule="auto"/>
        <w:ind w:left="11" w:right="17"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071273A5">
      <w:pPr>
        <w:keepNext w:val="0"/>
        <w:keepLines w:val="0"/>
        <w:pageBreakBefore w:val="0"/>
        <w:widowControl/>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（3）施工图及相关资料；</w:t>
      </w:r>
    </w:p>
    <w:p w14:paraId="3F87E4AE">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bookmarkStart w:id="38" w:name="bookmark119"/>
      <w:bookmarkEnd w:id="38"/>
      <w:r>
        <w:rPr>
          <w:rFonts w:hint="eastAsia" w:ascii="宋体" w:hAnsi="宋体" w:eastAsia="宋体" w:cs="宋体"/>
          <w:color w:val="auto"/>
          <w:spacing w:val="-2"/>
          <w:sz w:val="24"/>
          <w:szCs w:val="24"/>
          <w:highlight w:val="none"/>
        </w:rPr>
        <w:t>（4）招标文件及招标工程量清单；</w:t>
      </w:r>
    </w:p>
    <w:p w14:paraId="50D8453D">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（5）施工现场情况、工程特点及常规施工方案；</w:t>
      </w:r>
    </w:p>
    <w:p w14:paraId="7B3A9415">
      <w:pPr>
        <w:keepNext w:val="0"/>
        <w:keepLines w:val="0"/>
        <w:pageBreakBefore w:val="0"/>
        <w:widowControl/>
        <w:kinsoku w:val="0"/>
        <w:wordWrap/>
        <w:overflowPunct/>
        <w:topLinePunct w:val="0"/>
        <w:autoSpaceDE w:val="0"/>
        <w:autoSpaceDN w:val="0"/>
        <w:bidi w:val="0"/>
        <w:adjustRightInd w:val="0"/>
        <w:snapToGrid w:val="0"/>
        <w:spacing w:line="360" w:lineRule="auto"/>
        <w:ind w:left="12" w:right="136" w:firstLine="48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（6）项目所在地工程造价管理机构发布的工程造价信息，工程造</w:t>
      </w:r>
      <w:r>
        <w:rPr>
          <w:rFonts w:hint="eastAsia" w:ascii="宋体" w:hAnsi="宋体" w:eastAsia="宋体" w:cs="宋体"/>
          <w:color w:val="auto"/>
          <w:spacing w:val="-4"/>
          <w:sz w:val="24"/>
          <w:szCs w:val="24"/>
          <w:highlight w:val="none"/>
        </w:rPr>
        <w:t>价信息缺项的，</w:t>
      </w:r>
      <w:r>
        <w:rPr>
          <w:rFonts w:hint="eastAsia" w:ascii="宋体" w:hAnsi="宋体" w:eastAsia="宋体" w:cs="宋体"/>
          <w:color w:val="auto"/>
          <w:spacing w:val="-2"/>
          <w:sz w:val="24"/>
          <w:szCs w:val="24"/>
          <w:highlight w:val="none"/>
        </w:rPr>
        <w:t>参照市场价格；</w:t>
      </w:r>
    </w:p>
    <w:p w14:paraId="7F6D825D">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（7）与建设项目相关的标准、规范、技术资料。</w:t>
      </w:r>
    </w:p>
    <w:p w14:paraId="74CD6E43">
      <w:pPr>
        <w:spacing w:before="79" w:line="333" w:lineRule="auto"/>
        <w:ind w:firstLine="482" w:firstLineChars="200"/>
        <w:jc w:val="both"/>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宋体" w:hAnsi="宋体" w:eastAsia="宋体" w:cs="宋体"/>
          <w:b/>
          <w:bCs/>
          <w:color w:val="auto"/>
          <w:sz w:val="24"/>
          <w:szCs w:val="24"/>
          <w:highlight w:val="none"/>
        </w:rPr>
        <w:t>8.2</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本工程最高投标限价在投标截止时间前15天以补充公告的形式在广东省招标投标监管网（http://zbtb.gd.gov.cn）、全国公共资源交易平台 （广东省 · 韶关市）（https://ygp.gdzwfw.gov.cn/ggzy-portal/#/440200/index）网站公布，各投标人可在上述网站上自行下载。</w:t>
      </w:r>
    </w:p>
    <w:p w14:paraId="37A2572C">
      <w:pPr>
        <w:spacing w:before="79" w:line="333" w:lineRule="auto"/>
        <w:ind w:firstLine="482"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3</w:t>
      </w:r>
      <w:r>
        <w:rPr>
          <w:rFonts w:hint="eastAsia" w:ascii="宋体" w:hAnsi="宋体" w:eastAsia="宋体" w:cs="宋体"/>
          <w:color w:val="auto"/>
          <w:sz w:val="24"/>
          <w:szCs w:val="24"/>
          <w:highlight w:val="none"/>
        </w:rPr>
        <w:t>暂估价指在工程量清单中提供的、用于支付设计图纸要求必需使用但招标时‌价格尚未确定‌的材料（不含增值税）的预估价格</w:t>
      </w:r>
      <w:r>
        <w:rPr>
          <w:rFonts w:hint="eastAsia" w:ascii="宋体" w:hAnsi="宋体" w:eastAsia="宋体" w:cs="宋体"/>
          <w:color w:val="auto"/>
          <w:sz w:val="24"/>
          <w:szCs w:val="24"/>
          <w:highlight w:val="none"/>
          <w:lang w:val="en-US" w:eastAsia="zh-CN"/>
        </w:rPr>
        <w:t>以及在</w:t>
      </w:r>
      <w:r>
        <w:rPr>
          <w:rFonts w:hint="eastAsia" w:ascii="宋体" w:hAnsi="宋体" w:eastAsia="宋体" w:cs="宋体"/>
          <w:color w:val="auto"/>
          <w:sz w:val="24"/>
          <w:szCs w:val="24"/>
          <w:highlight w:val="none"/>
          <w:lang w:eastAsia="zh-CN"/>
        </w:rPr>
        <w:t>招标时设计未明确、规格不确定但必然发生的‌专业分包工程‌（如消防、智能化、幕墙等）所预估的‌含税总价</w:t>
      </w:r>
      <w:r>
        <w:rPr>
          <w:rFonts w:hint="eastAsia" w:ascii="宋体" w:hAnsi="宋体" w:eastAsia="宋体" w:cs="宋体"/>
          <w:color w:val="auto"/>
          <w:spacing w:val="-1"/>
          <w:sz w:val="24"/>
          <w:szCs w:val="24"/>
          <w:highlight w:val="none"/>
        </w:rPr>
        <w:t>‌；暂列金额指招标</w:t>
      </w:r>
      <w:r>
        <w:rPr>
          <w:rFonts w:hint="eastAsia" w:ascii="宋体" w:hAnsi="宋体" w:eastAsia="宋体" w:cs="宋体"/>
          <w:color w:val="auto"/>
          <w:spacing w:val="-2"/>
          <w:sz w:val="24"/>
          <w:szCs w:val="24"/>
          <w:highlight w:val="none"/>
        </w:rPr>
        <w:t>工程量清单中暂定并包括在合同价款中的一笔款项，用于工程合同签订时尚未确定或</w:t>
      </w:r>
      <w:r>
        <w:rPr>
          <w:rFonts w:hint="eastAsia" w:ascii="宋体" w:hAnsi="宋体" w:eastAsia="宋体" w:cs="宋体"/>
          <w:color w:val="auto"/>
          <w:spacing w:val="-3"/>
          <w:sz w:val="24"/>
          <w:szCs w:val="24"/>
          <w:highlight w:val="none"/>
        </w:rPr>
        <w:t>者不可预见的所需材料、</w:t>
      </w:r>
      <w:r>
        <w:rPr>
          <w:rFonts w:hint="eastAsia" w:ascii="宋体" w:hAnsi="宋体" w:eastAsia="宋体" w:cs="宋体"/>
          <w:color w:val="auto"/>
          <w:spacing w:val="-1"/>
          <w:sz w:val="24"/>
          <w:szCs w:val="24"/>
          <w:highlight w:val="none"/>
        </w:rPr>
        <w:t>工程设备、服务的采购，施工中可能发生的工程变更、合同约</w:t>
      </w:r>
      <w:r>
        <w:rPr>
          <w:rFonts w:hint="eastAsia" w:ascii="宋体" w:hAnsi="宋体" w:eastAsia="宋体" w:cs="宋体"/>
          <w:color w:val="auto"/>
          <w:spacing w:val="-2"/>
          <w:sz w:val="24"/>
          <w:szCs w:val="24"/>
          <w:highlight w:val="none"/>
        </w:rPr>
        <w:t>定调整因素出现时的合</w:t>
      </w:r>
      <w:r>
        <w:rPr>
          <w:rFonts w:hint="eastAsia" w:ascii="宋体" w:hAnsi="宋体" w:eastAsia="宋体" w:cs="宋体"/>
          <w:color w:val="auto"/>
          <w:spacing w:val="-1"/>
          <w:sz w:val="24"/>
          <w:szCs w:val="24"/>
          <w:highlight w:val="none"/>
        </w:rPr>
        <w:t>同价款调整以及发生的索赔、现场签证确认等的费用。</w:t>
      </w:r>
    </w:p>
    <w:p w14:paraId="092D0327">
      <w:pPr>
        <w:spacing w:before="36" w:line="278" w:lineRule="auto"/>
        <w:ind w:left="10" w:right="200" w:firstLine="480"/>
        <w:rPr>
          <w:rFonts w:hint="eastAsia" w:ascii="宋体" w:hAnsi="宋体" w:eastAsia="宋体" w:cs="宋体"/>
          <w:color w:val="auto"/>
          <w:sz w:val="24"/>
          <w:szCs w:val="24"/>
          <w:highlight w:val="none"/>
          <w:u w:val="singl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本招标项目以暂估价形式列入招标工程量清单中的材料暂估价及专业工程暂估价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pacing w:val="-2"/>
          <w:sz w:val="24"/>
          <w:szCs w:val="24"/>
          <w:highlight w:val="none"/>
        </w:rPr>
        <w:t>包括：</w:t>
      </w:r>
      <w:r>
        <w:rPr>
          <w:rFonts w:hint="eastAsia" w:ascii="宋体" w:hAnsi="宋体" w:eastAsia="宋体" w:cs="宋体"/>
          <w:color w:val="auto"/>
          <w:spacing w:val="-2"/>
          <w:sz w:val="24"/>
          <w:szCs w:val="24"/>
          <w:highlight w:val="none"/>
          <w:lang w:val="en-US" w:eastAsia="zh-CN"/>
        </w:rPr>
        <w:t>招标人</w:t>
      </w:r>
      <w:r>
        <w:rPr>
          <w:rFonts w:hint="eastAsia" w:ascii="宋体" w:hAnsi="宋体" w:eastAsia="宋体" w:cs="宋体"/>
          <w:color w:val="auto"/>
          <w:sz w:val="24"/>
          <w:szCs w:val="24"/>
          <w:highlight w:val="none"/>
          <w:u w:val="single"/>
        </w:rPr>
        <w:t>在工程量清单中提供的、用于支付设计图纸要求必需使用但招标时‌价格尚未确定‌的材料（不含增值税）的预估价格</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在</w:t>
      </w:r>
      <w:r>
        <w:rPr>
          <w:rFonts w:hint="eastAsia" w:ascii="宋体" w:hAnsi="宋体" w:eastAsia="宋体" w:cs="宋体"/>
          <w:color w:val="auto"/>
          <w:sz w:val="24"/>
          <w:szCs w:val="24"/>
          <w:highlight w:val="none"/>
          <w:u w:val="single"/>
          <w:lang w:eastAsia="zh-CN"/>
        </w:rPr>
        <w:t>招标时设计未明确、规格不确定但必然发生的‌专业分包工程‌（如消防、智能化、幕墙等）所预估的‌含税总价</w:t>
      </w:r>
      <w:r>
        <w:rPr>
          <w:rFonts w:hint="eastAsia" w:ascii="宋体" w:hAnsi="宋体" w:eastAsia="宋体" w:cs="宋体"/>
          <w:color w:val="auto"/>
          <w:sz w:val="24"/>
          <w:szCs w:val="24"/>
          <w:highlight w:val="none"/>
          <w:u w:val="single"/>
        </w:rPr>
        <w:t>。</w:t>
      </w:r>
    </w:p>
    <w:p w14:paraId="6A226F91">
      <w:pPr>
        <w:spacing w:before="36" w:line="278" w:lineRule="auto"/>
        <w:ind w:left="10" w:right="200" w:firstLine="480"/>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u w:val="single"/>
        </w:rPr>
        <w:t>材料暂估价投标时必须按招标清单给定的‌不含税暂估单价‌计入综合单价，不得擅自更改</w:t>
      </w:r>
      <w:r>
        <w:rPr>
          <w:rFonts w:hint="eastAsia" w:ascii="宋体" w:hAnsi="宋体" w:eastAsia="宋体" w:cs="宋体"/>
          <w:color w:val="auto"/>
          <w:sz w:val="24"/>
          <w:szCs w:val="24"/>
          <w:highlight w:val="none"/>
          <w:u w:val="single"/>
          <w:lang w:eastAsia="zh-CN"/>
        </w:rPr>
        <w:t>；</w:t>
      </w:r>
    </w:p>
    <w:p w14:paraId="1F29C3EF">
      <w:pPr>
        <w:spacing w:before="36" w:line="278" w:lineRule="auto"/>
        <w:ind w:left="10" w:right="200"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专业工程暂估价投标人必须按招标工程量清单中列出金额统一报价，其结算原则按本招标文件相关条款执行。</w:t>
      </w:r>
    </w:p>
    <w:p w14:paraId="12FE5072">
      <w:pPr>
        <w:spacing w:before="154" w:line="280" w:lineRule="auto"/>
        <w:ind w:left="12" w:right="200" w:firstLine="47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暂估价项目的内容、标准、要求在项目实施过程中得以深化、明确、固定</w:t>
      </w:r>
      <w:r>
        <w:rPr>
          <w:rFonts w:hint="eastAsia" w:ascii="宋体" w:hAnsi="宋体" w:eastAsia="宋体" w:cs="宋体"/>
          <w:color w:val="auto"/>
          <w:spacing w:val="-2"/>
          <w:sz w:val="24"/>
          <w:szCs w:val="24"/>
          <w:highlight w:val="none"/>
        </w:rPr>
        <w:t>后，按以下原则发包：</w:t>
      </w:r>
    </w:p>
    <w:p w14:paraId="0DB4AC8D">
      <w:pPr>
        <w:spacing w:before="153" w:line="219" w:lineRule="auto"/>
        <w:ind w:left="-3" w:leftChars="0"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（1）暂估价项目按</w:t>
      </w:r>
      <w:r>
        <w:rPr>
          <w:rFonts w:hint="eastAsia" w:ascii="宋体" w:hAnsi="宋体" w:eastAsia="宋体" w:cs="宋体"/>
          <w:color w:val="auto"/>
          <w:spacing w:val="2"/>
          <w:sz w:val="24"/>
          <w:szCs w:val="24"/>
          <w:highlight w:val="none"/>
          <w:lang w:val="en-US" w:eastAsia="zh-CN"/>
        </w:rPr>
        <w:t>工程、货物（指材料暂估价下同）的类别分类汇总的金额，</w:t>
      </w:r>
      <w:r>
        <w:rPr>
          <w:rFonts w:hint="eastAsia" w:ascii="宋体" w:hAnsi="宋体" w:eastAsia="宋体" w:cs="宋体"/>
          <w:color w:val="auto"/>
          <w:spacing w:val="2"/>
          <w:sz w:val="24"/>
          <w:szCs w:val="24"/>
          <w:highlight w:val="none"/>
        </w:rPr>
        <w:t>达到必须</w:t>
      </w:r>
      <w:r>
        <w:rPr>
          <w:rFonts w:hint="eastAsia" w:ascii="宋体" w:hAnsi="宋体" w:eastAsia="宋体" w:cs="宋体"/>
          <w:color w:val="auto"/>
          <w:spacing w:val="-3"/>
          <w:sz w:val="24"/>
          <w:szCs w:val="24"/>
          <w:highlight w:val="none"/>
        </w:rPr>
        <w:t>招标规模标准的，由</w:t>
      </w:r>
      <w:r>
        <w:rPr>
          <w:rFonts w:hint="eastAsia" w:ascii="宋体" w:hAnsi="宋体" w:eastAsia="宋体" w:cs="宋体"/>
          <w:bCs/>
          <w:color w:val="auto"/>
          <w:spacing w:val="-1"/>
          <w:sz w:val="24"/>
          <w:szCs w:val="24"/>
          <w:highlight w:val="none"/>
          <w:u w:val="single"/>
        </w:rPr>
        <w:t>中标人招标，招标人参与管理</w:t>
      </w:r>
      <w:r>
        <w:rPr>
          <w:rFonts w:hint="eastAsia" w:ascii="宋体" w:hAnsi="宋体" w:eastAsia="宋体" w:cs="宋体"/>
          <w:bCs/>
          <w:color w:val="auto"/>
          <w:spacing w:val="-1"/>
          <w:sz w:val="24"/>
          <w:szCs w:val="24"/>
          <w:highlight w:val="none"/>
        </w:rPr>
        <w:t>，</w:t>
      </w:r>
      <w:r>
        <w:rPr>
          <w:rFonts w:hint="eastAsia" w:ascii="宋体" w:hAnsi="宋体" w:eastAsia="宋体" w:cs="宋体"/>
          <w:bCs/>
          <w:color w:val="auto"/>
          <w:spacing w:val="-1"/>
          <w:sz w:val="24"/>
          <w:szCs w:val="24"/>
          <w:highlight w:val="none"/>
          <w:lang w:val="en-US" w:eastAsia="zh-CN"/>
        </w:rPr>
        <w:t>确</w:t>
      </w:r>
      <w:r>
        <w:rPr>
          <w:rFonts w:hint="eastAsia" w:ascii="宋体" w:hAnsi="宋体" w:eastAsia="宋体" w:cs="宋体"/>
          <w:color w:val="auto"/>
          <w:spacing w:val="-1"/>
          <w:sz w:val="24"/>
          <w:szCs w:val="24"/>
          <w:highlight w:val="none"/>
          <w:lang w:val="en-US" w:eastAsia="zh-CN"/>
        </w:rPr>
        <w:t>定专业工程承包人（或材料供应商）和合同价格</w:t>
      </w:r>
      <w:r>
        <w:rPr>
          <w:rFonts w:hint="eastAsia" w:ascii="宋体" w:hAnsi="宋体" w:eastAsia="宋体" w:cs="宋体"/>
          <w:color w:val="auto"/>
          <w:spacing w:val="-1"/>
          <w:sz w:val="24"/>
          <w:szCs w:val="24"/>
          <w:highlight w:val="none"/>
        </w:rPr>
        <w:t>。</w:t>
      </w:r>
    </w:p>
    <w:p w14:paraId="5BC4F323">
      <w:pPr>
        <w:spacing w:before="154" w:line="309" w:lineRule="auto"/>
        <w:ind w:left="11" w:right="65" w:firstLine="489"/>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val="en-US" w:eastAsia="zh-CN"/>
        </w:rPr>
        <w:t>（2）暂估价项目按工程、货物的类别分类汇总的金额，未达到必须招标规模标准但适用政府采购规定的，按照政府采购规定确定专业工程承包人（或材料供应商）和合同价格。</w:t>
      </w:r>
    </w:p>
    <w:p w14:paraId="1420A4A1">
      <w:pPr>
        <w:spacing w:before="154" w:line="309" w:lineRule="auto"/>
        <w:ind w:left="11" w:right="65" w:firstLine="489"/>
        <w:rPr>
          <w:rFonts w:hint="eastAsia"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lang w:val="en-US" w:eastAsia="zh-CN"/>
        </w:rPr>
        <w:t>3</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暂估价项目按工程、货物的类别分类汇总的金额，未达到必须招标规模标准也不适用政府采购规定，中标人具备相应资格条件的，由中标人承包；中标人不具备相应资格条件但具备分包权的，由中标人分包，招标人同中标人结算原则按本招标文件相关条款执行。</w:t>
      </w:r>
    </w:p>
    <w:p w14:paraId="6D932638">
      <w:pPr>
        <w:spacing w:before="155" w:line="333" w:lineRule="auto"/>
        <w:ind w:left="10" w:right="65" w:firstLine="478"/>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val="en-US" w:eastAsia="zh-CN"/>
        </w:rPr>
        <w:t xml:space="preserve">（4）暂估价项目按工程、货物的类别分类汇总的金额，未达到必须招标规模标准也不适用政府采购规定，中标人既不具备相应资格条件又不具备分包权的，由招标人另行发包。 </w:t>
      </w:r>
    </w:p>
    <w:p w14:paraId="3CDC8A65">
      <w:pPr>
        <w:spacing w:before="155" w:line="333" w:lineRule="auto"/>
        <w:ind w:left="10" w:right="65" w:firstLine="478"/>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val="en-US" w:eastAsia="zh-CN"/>
        </w:rPr>
        <w:t>（5）暂估价项目由其他承包人承包的，纳入中标人的管理和协调范围，由其他承包人向中标人承担质量、安全、文明施工、工期责任，中标人向招标人承担责任。</w:t>
      </w:r>
    </w:p>
    <w:p w14:paraId="34DBC168">
      <w:pPr>
        <w:spacing w:before="155" w:line="333" w:lineRule="auto"/>
        <w:ind w:left="10" w:right="65" w:firstLine="478"/>
        <w:jc w:val="both"/>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本招标项目以暂列金额形式列入招标工程量清单中的所需货物和服务的采购</w:t>
      </w:r>
      <w:r>
        <w:rPr>
          <w:rFonts w:hint="eastAsia" w:ascii="宋体" w:hAnsi="宋体" w:eastAsia="宋体" w:cs="宋体"/>
          <w:color w:val="auto"/>
          <w:spacing w:val="-1"/>
          <w:sz w:val="24"/>
          <w:szCs w:val="24"/>
          <w:highlight w:val="none"/>
        </w:rPr>
        <w:t>（以下统称“暂列金额项目</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”）若有发生，按照本节第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pacing w:val="-1"/>
          <w:sz w:val="24"/>
          <w:szCs w:val="24"/>
          <w:highlight w:val="none"/>
        </w:rPr>
        <w:t>8.</w:t>
      </w:r>
      <w:r>
        <w:rPr>
          <w:rFonts w:hint="eastAsia" w:ascii="宋体" w:hAnsi="宋体" w:eastAsia="宋体" w:cs="宋体"/>
          <w:b/>
          <w:bCs/>
          <w:color w:val="auto"/>
          <w:spacing w:val="-1"/>
          <w:sz w:val="24"/>
          <w:szCs w:val="24"/>
          <w:highlight w:val="none"/>
          <w:lang w:val="en-US" w:eastAsia="zh-CN"/>
        </w:rPr>
        <w:t>3</w:t>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条的规定确定货物（或服务）供应商和合同价格。暂列金额项目由其他承包人承包的</w:t>
      </w:r>
      <w:r>
        <w:rPr>
          <w:rFonts w:hint="eastAsia" w:ascii="宋体" w:hAnsi="宋体" w:eastAsia="宋体" w:cs="宋体"/>
          <w:color w:val="auto"/>
          <w:spacing w:val="-2"/>
          <w:sz w:val="24"/>
          <w:szCs w:val="24"/>
          <w:highlight w:val="none"/>
        </w:rPr>
        <w:t>，纳入中标人的管理和协</w:t>
      </w:r>
      <w:r>
        <w:rPr>
          <w:rFonts w:hint="eastAsia" w:ascii="宋体" w:hAnsi="宋体" w:eastAsia="宋体" w:cs="宋体"/>
          <w:color w:val="auto"/>
          <w:spacing w:val="-1"/>
          <w:sz w:val="24"/>
          <w:szCs w:val="24"/>
          <w:highlight w:val="none"/>
        </w:rPr>
        <w:t>调范围</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由其他承包人向中标人承担质量、安全、文明</w:t>
      </w:r>
      <w:r>
        <w:rPr>
          <w:rFonts w:hint="eastAsia" w:ascii="宋体" w:hAnsi="宋体" w:eastAsia="宋体" w:cs="宋体"/>
          <w:color w:val="auto"/>
          <w:spacing w:val="-2"/>
          <w:sz w:val="24"/>
          <w:szCs w:val="24"/>
          <w:highlight w:val="none"/>
        </w:rPr>
        <w:t>施工、工期责任，中标人向招标人承担责任。</w:t>
      </w:r>
    </w:p>
    <w:p w14:paraId="2AB78D5F">
      <w:pPr>
        <w:spacing w:before="79" w:line="219" w:lineRule="auto"/>
        <w:ind w:left="487"/>
        <w:outlineLvl w:val="2"/>
        <w:rPr>
          <w:rFonts w:hint="eastAsia" w:ascii="宋体" w:hAnsi="宋体" w:eastAsia="宋体" w:cs="宋体"/>
          <w:color w:val="auto"/>
          <w:sz w:val="24"/>
          <w:szCs w:val="24"/>
          <w:highlight w:val="none"/>
        </w:rPr>
      </w:pPr>
      <w:bookmarkStart w:id="39" w:name="_Toc22978"/>
      <w:bookmarkStart w:id="40" w:name="_Toc6911"/>
      <w:r>
        <w:rPr>
          <w:rFonts w:hint="eastAsia" w:ascii="宋体" w:hAnsi="宋体" w:eastAsia="宋体" w:cs="宋体"/>
          <w:b/>
          <w:bCs/>
          <w:color w:val="auto"/>
          <w:spacing w:val="-8"/>
          <w:sz w:val="24"/>
          <w:szCs w:val="24"/>
          <w:highlight w:val="none"/>
        </w:rPr>
        <w:t>9</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8"/>
          <w:sz w:val="24"/>
          <w:szCs w:val="24"/>
          <w:highlight w:val="none"/>
        </w:rPr>
        <w:t>．投标报价</w:t>
      </w:r>
      <w:bookmarkEnd w:id="39"/>
      <w:bookmarkEnd w:id="40"/>
    </w:p>
    <w:p w14:paraId="0CB59245">
      <w:pPr>
        <w:spacing w:before="157" w:line="219"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9.1  </w:t>
      </w:r>
      <w:r>
        <w:rPr>
          <w:rFonts w:hint="eastAsia" w:ascii="宋体" w:hAnsi="宋体" w:eastAsia="宋体" w:cs="宋体"/>
          <w:color w:val="auto"/>
          <w:spacing w:val="-1"/>
          <w:sz w:val="24"/>
          <w:szCs w:val="24"/>
          <w:highlight w:val="none"/>
        </w:rPr>
        <w:t>投标人应按照以下依据编制投标报价：</w:t>
      </w:r>
    </w:p>
    <w:p w14:paraId="324CCCE9">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（1）《建设工程工程量清单计价标准》（GB/T 50500-2024）</w:t>
      </w:r>
      <w:r>
        <w:rPr>
          <w:rFonts w:hint="eastAsia" w:ascii="宋体" w:hAnsi="宋体" w:eastAsia="宋体" w:cs="宋体"/>
          <w:color w:val="auto"/>
          <w:spacing w:val="4"/>
          <w:sz w:val="24"/>
          <w:szCs w:val="24"/>
          <w:highlight w:val="none"/>
        </w:rPr>
        <w:t>；</w:t>
      </w:r>
    </w:p>
    <w:p w14:paraId="1F123386">
      <w:pPr>
        <w:spacing w:before="153" w:line="309" w:lineRule="auto"/>
        <w:ind w:left="9" w:right="65"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工程工程量计算标准》(GB/T50857-2024）、《园林绿化工程工程量计算标准》(GB/T50858-2024）、2018年《广东省市政工程综合定额》、2018年《广东省园林绿化工程综合定额》及现行的建筑施工规范和省市有关文件、规定为编制依据进行编制</w:t>
      </w:r>
      <w:r>
        <w:rPr>
          <w:rFonts w:hint="eastAsia" w:ascii="宋体" w:hAnsi="宋体" w:eastAsia="宋体" w:cs="宋体"/>
          <w:color w:val="auto"/>
          <w:spacing w:val="-1"/>
          <w:sz w:val="24"/>
          <w:szCs w:val="24"/>
          <w:highlight w:val="none"/>
        </w:rPr>
        <w:t>；</w:t>
      </w:r>
    </w:p>
    <w:p w14:paraId="4CCDAD2F">
      <w:pPr>
        <w:spacing w:before="78" w:line="220" w:lineRule="auto"/>
        <w:ind w:left="501"/>
        <w:rPr>
          <w:rFonts w:hint="eastAsia" w:ascii="宋体" w:hAnsi="宋体" w:eastAsia="宋体" w:cs="宋体"/>
          <w:color w:val="auto"/>
          <w:sz w:val="24"/>
          <w:szCs w:val="24"/>
          <w:highlight w:val="none"/>
        </w:rPr>
      </w:pPr>
      <w:bookmarkStart w:id="41" w:name="bookmark120"/>
      <w:bookmarkEnd w:id="41"/>
      <w:r>
        <w:rPr>
          <w:rFonts w:hint="eastAsia" w:ascii="宋体" w:hAnsi="宋体" w:eastAsia="宋体" w:cs="宋体"/>
          <w:color w:val="auto"/>
          <w:spacing w:val="-3"/>
          <w:sz w:val="24"/>
          <w:szCs w:val="24"/>
          <w:highlight w:val="none"/>
        </w:rPr>
        <w:t>（3）企业定额；</w:t>
      </w:r>
    </w:p>
    <w:p w14:paraId="44753B79">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（4）招标文件及其答疑（或修改）公告、招标工程量清单；</w:t>
      </w:r>
    </w:p>
    <w:p w14:paraId="3CFD144F">
      <w:pPr>
        <w:spacing w:before="154" w:line="221"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（5）施工图及相关资料；</w:t>
      </w:r>
    </w:p>
    <w:p w14:paraId="3970D688">
      <w:pPr>
        <w:spacing w:before="152"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（6）施工现场情况、工程特点及投标时拟定的施工组织设计或施工方案；</w:t>
      </w:r>
    </w:p>
    <w:p w14:paraId="248C998C">
      <w:pPr>
        <w:spacing w:before="156"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（7）市场价格信息或项目所在地工程造价管理机构发布的工程造价信息；</w:t>
      </w:r>
    </w:p>
    <w:p w14:paraId="7BBE6412">
      <w:pPr>
        <w:spacing w:before="155"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（8）与建设项目相关的标准、规范、技术资料。</w:t>
      </w:r>
    </w:p>
    <w:p w14:paraId="5884AFD7">
      <w:pPr>
        <w:spacing w:before="153" w:line="309" w:lineRule="auto"/>
        <w:ind w:left="8" w:right="150"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9.2  </w:t>
      </w:r>
      <w:r>
        <w:rPr>
          <w:rFonts w:hint="eastAsia" w:ascii="宋体" w:hAnsi="宋体" w:eastAsia="宋体" w:cs="宋体"/>
          <w:color w:val="auto"/>
          <w:spacing w:val="-2"/>
          <w:sz w:val="24"/>
          <w:szCs w:val="24"/>
          <w:highlight w:val="none"/>
        </w:rPr>
        <w:t>投标人应根据招标工程量清单、工程量清单计价规范中的工作内容、设计文</w:t>
      </w:r>
      <w:r>
        <w:rPr>
          <w:rFonts w:hint="eastAsia" w:ascii="宋体" w:hAnsi="宋体" w:eastAsia="宋体" w:cs="宋体"/>
          <w:color w:val="auto"/>
          <w:spacing w:val="-1"/>
          <w:sz w:val="24"/>
          <w:szCs w:val="24"/>
          <w:highlight w:val="none"/>
        </w:rPr>
        <w:t>件和有关要求、施工现场实际情况、投标人拟定的施工组织设计</w:t>
      </w:r>
      <w:r>
        <w:rPr>
          <w:rFonts w:hint="eastAsia" w:ascii="宋体" w:hAnsi="宋体" w:eastAsia="宋体" w:cs="宋体"/>
          <w:color w:val="auto"/>
          <w:spacing w:val="-2"/>
          <w:sz w:val="24"/>
          <w:szCs w:val="24"/>
          <w:highlight w:val="none"/>
        </w:rPr>
        <w:t>、本单位的企业定额</w:t>
      </w:r>
      <w:r>
        <w:rPr>
          <w:rFonts w:hint="eastAsia" w:ascii="宋体" w:hAnsi="宋体" w:eastAsia="宋体" w:cs="宋体"/>
          <w:color w:val="auto"/>
          <w:spacing w:val="-1"/>
          <w:sz w:val="24"/>
          <w:szCs w:val="24"/>
          <w:highlight w:val="none"/>
        </w:rPr>
        <w:t>和市场价格进行编制，自行报价，并承担一定范围内的风险费用</w:t>
      </w:r>
      <w:r>
        <w:rPr>
          <w:rFonts w:hint="eastAsia" w:ascii="宋体" w:hAnsi="宋体" w:eastAsia="宋体" w:cs="宋体"/>
          <w:color w:val="auto"/>
          <w:spacing w:val="-2"/>
          <w:sz w:val="24"/>
          <w:szCs w:val="24"/>
          <w:highlight w:val="none"/>
        </w:rPr>
        <w:t>。所谓“一定范围内</w:t>
      </w:r>
      <w:r>
        <w:rPr>
          <w:rFonts w:hint="eastAsia" w:ascii="宋体" w:hAnsi="宋体" w:eastAsia="宋体" w:cs="宋体"/>
          <w:color w:val="auto"/>
          <w:spacing w:val="-3"/>
          <w:sz w:val="24"/>
          <w:szCs w:val="24"/>
          <w:highlight w:val="none"/>
        </w:rPr>
        <w:t>的风险</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”是指合同约定的风险。</w:t>
      </w:r>
    </w:p>
    <w:p w14:paraId="6F48F6C5">
      <w:pPr>
        <w:spacing w:before="152" w:line="309" w:lineRule="auto"/>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9.3  </w:t>
      </w:r>
      <w:r>
        <w:rPr>
          <w:rFonts w:hint="eastAsia" w:ascii="宋体" w:hAnsi="宋体" w:eastAsia="宋体" w:cs="宋体"/>
          <w:color w:val="auto"/>
          <w:spacing w:val="-2"/>
          <w:sz w:val="24"/>
          <w:szCs w:val="24"/>
          <w:highlight w:val="none"/>
        </w:rPr>
        <w:t>招标人及招标代理机构不集中组织现场踏勘，投标人需要了解现场情况的，</w:t>
      </w:r>
      <w:r>
        <w:rPr>
          <w:rFonts w:hint="eastAsia" w:ascii="宋体" w:hAnsi="宋体" w:eastAsia="宋体" w:cs="宋体"/>
          <w:color w:val="auto"/>
          <w:spacing w:val="-1"/>
          <w:sz w:val="24"/>
          <w:szCs w:val="24"/>
          <w:highlight w:val="none"/>
        </w:rPr>
        <w:t>可自行进行现场踏勘。各投标人应勘察施工现场及周围环</w:t>
      </w:r>
      <w:r>
        <w:rPr>
          <w:rFonts w:hint="eastAsia" w:ascii="宋体" w:hAnsi="宋体" w:eastAsia="宋体" w:cs="宋体"/>
          <w:color w:val="auto"/>
          <w:spacing w:val="-2"/>
          <w:sz w:val="24"/>
          <w:szCs w:val="24"/>
          <w:highlight w:val="none"/>
        </w:rPr>
        <w:t>境、地形、地貌、水文、交</w:t>
      </w:r>
      <w:r>
        <w:rPr>
          <w:rFonts w:hint="eastAsia" w:ascii="宋体" w:hAnsi="宋体" w:eastAsia="宋体" w:cs="宋体"/>
          <w:color w:val="auto"/>
          <w:spacing w:val="-1"/>
          <w:sz w:val="24"/>
          <w:szCs w:val="24"/>
          <w:highlight w:val="none"/>
        </w:rPr>
        <w:t>通等情况，以获得一切可能影响到投标的直接资料。投标人应</w:t>
      </w:r>
      <w:r>
        <w:rPr>
          <w:rFonts w:hint="eastAsia" w:ascii="宋体" w:hAnsi="宋体" w:eastAsia="宋体" w:cs="宋体"/>
          <w:color w:val="auto"/>
          <w:spacing w:val="-2"/>
          <w:sz w:val="24"/>
          <w:szCs w:val="24"/>
          <w:highlight w:val="none"/>
        </w:rPr>
        <w:t>针对现场情况编制施工</w:t>
      </w:r>
      <w:r>
        <w:rPr>
          <w:rFonts w:hint="eastAsia" w:ascii="宋体" w:hAnsi="宋体" w:eastAsia="宋体" w:cs="宋体"/>
          <w:color w:val="auto"/>
          <w:spacing w:val="-1"/>
          <w:sz w:val="24"/>
          <w:szCs w:val="24"/>
          <w:highlight w:val="none"/>
        </w:rPr>
        <w:t>组织设计，并在编制投标报价时考虑现场情况的影响。</w:t>
      </w:r>
    </w:p>
    <w:p w14:paraId="17C6A9C4">
      <w:pPr>
        <w:spacing w:before="155" w:line="279" w:lineRule="auto"/>
        <w:ind w:left="10" w:right="150" w:firstLine="55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9.4  </w:t>
      </w:r>
      <w:r>
        <w:rPr>
          <w:rFonts w:hint="eastAsia" w:ascii="宋体" w:hAnsi="宋体" w:eastAsia="宋体" w:cs="宋体"/>
          <w:color w:val="auto"/>
          <w:spacing w:val="-2"/>
          <w:sz w:val="24"/>
          <w:szCs w:val="24"/>
          <w:highlight w:val="none"/>
        </w:rPr>
        <w:t>招标人向投标人提供的有关现场的数据和资料，是招标人现有的能被投标人</w:t>
      </w:r>
      <w:r>
        <w:rPr>
          <w:rFonts w:hint="eastAsia" w:ascii="宋体" w:hAnsi="宋体" w:eastAsia="宋体" w:cs="宋体"/>
          <w:color w:val="auto"/>
          <w:sz w:val="24"/>
          <w:szCs w:val="24"/>
          <w:highlight w:val="none"/>
        </w:rPr>
        <w:t>利用的资料，招标人对投标人做出的任何推论</w:t>
      </w:r>
      <w:r>
        <w:rPr>
          <w:rFonts w:hint="eastAsia" w:ascii="宋体" w:hAnsi="宋体" w:eastAsia="宋体" w:cs="宋体"/>
          <w:color w:val="auto"/>
          <w:spacing w:val="-1"/>
          <w:sz w:val="24"/>
          <w:szCs w:val="24"/>
          <w:highlight w:val="none"/>
        </w:rPr>
        <w:t>、理解和结论均不负责任。</w:t>
      </w:r>
    </w:p>
    <w:p w14:paraId="58AFE0B2">
      <w:pPr>
        <w:spacing w:before="154" w:line="299" w:lineRule="auto"/>
        <w:ind w:left="12" w:firstLine="55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9.5  </w:t>
      </w:r>
      <w:r>
        <w:rPr>
          <w:rFonts w:hint="eastAsia" w:ascii="宋体" w:hAnsi="宋体" w:eastAsia="宋体" w:cs="宋体"/>
          <w:color w:val="auto"/>
          <w:spacing w:val="-2"/>
          <w:sz w:val="24"/>
          <w:szCs w:val="24"/>
          <w:highlight w:val="none"/>
        </w:rPr>
        <w:t>投标人必须按照招标工程量清单及表格填报价格。项目编码、项目名称、项</w:t>
      </w:r>
      <w:r>
        <w:rPr>
          <w:rFonts w:hint="eastAsia" w:ascii="宋体" w:hAnsi="宋体" w:eastAsia="宋体" w:cs="宋体"/>
          <w:color w:val="auto"/>
          <w:spacing w:val="2"/>
          <w:sz w:val="24"/>
          <w:szCs w:val="24"/>
          <w:highlight w:val="none"/>
        </w:rPr>
        <w:t>目特征、计量单位、工程量必须与招标工程量清单一致。所有报价均以人</w:t>
      </w:r>
      <w:r>
        <w:rPr>
          <w:rFonts w:hint="eastAsia" w:ascii="宋体" w:hAnsi="宋体" w:eastAsia="宋体" w:cs="宋体"/>
          <w:color w:val="auto"/>
          <w:spacing w:val="1"/>
          <w:sz w:val="24"/>
          <w:szCs w:val="24"/>
          <w:highlight w:val="none"/>
        </w:rPr>
        <w:t>民币“元</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rPr>
        <w:t>为单位，并保留小数点后两位。</w:t>
      </w:r>
    </w:p>
    <w:p w14:paraId="7A5201E3">
      <w:pPr>
        <w:spacing w:before="158" w:line="314" w:lineRule="auto"/>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9.6  </w:t>
      </w:r>
      <w:r>
        <w:rPr>
          <w:rFonts w:hint="eastAsia" w:ascii="宋体" w:hAnsi="宋体" w:eastAsia="宋体" w:cs="宋体"/>
          <w:color w:val="auto"/>
          <w:spacing w:val="-2"/>
          <w:sz w:val="24"/>
          <w:szCs w:val="24"/>
          <w:highlight w:val="none"/>
        </w:rPr>
        <w:t>投标人只允许有一个投标总价。投标总价必须同时用大、小写表示，大、小</w:t>
      </w:r>
      <w:r>
        <w:rPr>
          <w:rFonts w:hint="eastAsia" w:ascii="宋体" w:hAnsi="宋体" w:eastAsia="宋体" w:cs="宋体"/>
          <w:color w:val="auto"/>
          <w:spacing w:val="-1"/>
          <w:sz w:val="24"/>
          <w:szCs w:val="24"/>
          <w:highlight w:val="none"/>
        </w:rPr>
        <w:t>写报价应保持一致，若不一致，以大写报价为准。招标工程量</w:t>
      </w:r>
      <w:r>
        <w:rPr>
          <w:rFonts w:hint="eastAsia" w:ascii="宋体" w:hAnsi="宋体" w:eastAsia="宋体" w:cs="宋体"/>
          <w:color w:val="auto"/>
          <w:spacing w:val="-2"/>
          <w:sz w:val="24"/>
          <w:szCs w:val="24"/>
          <w:highlight w:val="none"/>
        </w:rPr>
        <w:t>清单与计价表中列明的</w:t>
      </w:r>
      <w:r>
        <w:rPr>
          <w:rFonts w:hint="eastAsia" w:ascii="宋体" w:hAnsi="宋体" w:eastAsia="宋体" w:cs="宋体"/>
          <w:color w:val="auto"/>
          <w:spacing w:val="-1"/>
          <w:sz w:val="24"/>
          <w:szCs w:val="24"/>
          <w:highlight w:val="none"/>
        </w:rPr>
        <w:t>所有需要填写单价和合价的项目，投标人均应填写且只允许有</w:t>
      </w:r>
      <w:r>
        <w:rPr>
          <w:rFonts w:hint="eastAsia" w:ascii="宋体" w:hAnsi="宋体" w:eastAsia="宋体" w:cs="宋体"/>
          <w:color w:val="auto"/>
          <w:spacing w:val="-2"/>
          <w:sz w:val="24"/>
          <w:szCs w:val="24"/>
          <w:highlight w:val="none"/>
        </w:rPr>
        <w:t>一个报价。未填写单价</w:t>
      </w:r>
      <w:r>
        <w:rPr>
          <w:rFonts w:hint="eastAsia" w:ascii="宋体" w:hAnsi="宋体" w:eastAsia="宋体" w:cs="宋体"/>
          <w:color w:val="auto"/>
          <w:spacing w:val="-1"/>
          <w:sz w:val="24"/>
          <w:szCs w:val="24"/>
          <w:highlight w:val="none"/>
        </w:rPr>
        <w:t>和合价的项目，视为此项费用已包含在已标价工程量清单其他</w:t>
      </w:r>
      <w:r>
        <w:rPr>
          <w:rFonts w:hint="eastAsia" w:ascii="宋体" w:hAnsi="宋体" w:eastAsia="宋体" w:cs="宋体"/>
          <w:color w:val="auto"/>
          <w:spacing w:val="-2"/>
          <w:sz w:val="24"/>
          <w:szCs w:val="24"/>
          <w:highlight w:val="none"/>
        </w:rPr>
        <w:t>项目的单价和合价中，</w:t>
      </w:r>
      <w:r>
        <w:rPr>
          <w:rFonts w:hint="eastAsia" w:ascii="宋体" w:hAnsi="宋体" w:eastAsia="宋体" w:cs="宋体"/>
          <w:color w:val="auto"/>
          <w:spacing w:val="-1"/>
          <w:sz w:val="24"/>
          <w:szCs w:val="24"/>
          <w:highlight w:val="none"/>
        </w:rPr>
        <w:t>竣工结算时不得重新组价和调整。</w:t>
      </w:r>
    </w:p>
    <w:p w14:paraId="680D700B">
      <w:pPr>
        <w:spacing w:before="152" w:line="309" w:lineRule="auto"/>
        <w:ind w:left="7" w:right="120" w:firstLine="480"/>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z w:val="24"/>
          <w:szCs w:val="24"/>
          <w:highlight w:val="none"/>
        </w:rPr>
        <w:t xml:space="preserve">9.7  </w:t>
      </w:r>
      <w:r>
        <w:rPr>
          <w:rFonts w:hint="eastAsia" w:ascii="宋体" w:hAnsi="宋体" w:eastAsia="宋体" w:cs="宋体"/>
          <w:color w:val="auto"/>
          <w:sz w:val="24"/>
          <w:szCs w:val="24"/>
          <w:highlight w:val="none"/>
        </w:rPr>
        <w:t>投标人的投标总价不得高于</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color w:val="auto"/>
          <w:sz w:val="24"/>
          <w:szCs w:val="24"/>
          <w:highlight w:val="none"/>
        </w:rPr>
        <w:t>，也不得低于工程成本。投标人对</w:t>
      </w:r>
      <w:r>
        <w:rPr>
          <w:rFonts w:hint="eastAsia" w:ascii="宋体" w:hAnsi="宋体" w:eastAsia="宋体" w:cs="宋体"/>
          <w:color w:val="auto"/>
          <w:spacing w:val="-1"/>
          <w:sz w:val="24"/>
          <w:szCs w:val="24"/>
          <w:highlight w:val="none"/>
        </w:rPr>
        <w:t>投标总价的所有优惠（降价、让利等</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1"/>
          <w:sz w:val="24"/>
          <w:szCs w:val="24"/>
          <w:highlight w:val="none"/>
        </w:rPr>
        <w:t>均应当反映在具体清单项目或其综合</w:t>
      </w:r>
      <w:r>
        <w:rPr>
          <w:rFonts w:hint="eastAsia" w:ascii="宋体" w:hAnsi="宋体" w:eastAsia="宋体" w:cs="宋体"/>
          <w:color w:val="auto"/>
          <w:spacing w:val="-2"/>
          <w:sz w:val="24"/>
          <w:szCs w:val="24"/>
          <w:highlight w:val="none"/>
        </w:rPr>
        <w:t>单价的</w:t>
      </w:r>
      <w:r>
        <w:rPr>
          <w:rFonts w:hint="eastAsia" w:ascii="宋体" w:hAnsi="宋体" w:eastAsia="宋体" w:cs="宋体"/>
          <w:color w:val="auto"/>
          <w:spacing w:val="1"/>
          <w:sz w:val="24"/>
          <w:szCs w:val="24"/>
          <w:highlight w:val="none"/>
        </w:rPr>
        <w:t>报价上。</w:t>
      </w:r>
      <w:r>
        <w:rPr>
          <w:rFonts w:hint="eastAsia" w:ascii="宋体" w:hAnsi="宋体" w:eastAsia="宋体" w:cs="宋体"/>
          <w:b/>
          <w:bCs/>
          <w:color w:val="auto"/>
          <w:spacing w:val="1"/>
          <w:sz w:val="24"/>
          <w:szCs w:val="24"/>
          <w:highlight w:val="none"/>
        </w:rPr>
        <w:t>如果投标人的投标总价下浮率高于</w:t>
      </w:r>
      <w:r>
        <w:rPr>
          <w:rFonts w:hint="eastAsia" w:ascii="宋体" w:hAnsi="宋体" w:eastAsia="宋体" w:cs="宋体"/>
          <w:color w:val="auto"/>
          <w:spacing w:val="-40"/>
          <w:sz w:val="24"/>
          <w:szCs w:val="24"/>
          <w:highlight w:val="none"/>
        </w:rPr>
        <w:t xml:space="preserve"> </w:t>
      </w:r>
      <w:r>
        <w:rPr>
          <w:rFonts w:hint="eastAsia" w:ascii="宋体" w:hAnsi="宋体" w:eastAsia="宋体" w:cs="宋体"/>
          <w:b/>
          <w:bCs/>
          <w:color w:val="auto"/>
          <w:spacing w:val="1"/>
          <w:sz w:val="24"/>
          <w:szCs w:val="24"/>
          <w:highlight w:val="none"/>
        </w:rPr>
        <w:t>15%时，投标人必须在投标文件中专项</w:t>
      </w:r>
      <w:r>
        <w:rPr>
          <w:rFonts w:hint="eastAsia" w:ascii="宋体" w:hAnsi="宋体" w:eastAsia="宋体" w:cs="宋体"/>
          <w:b/>
          <w:bCs/>
          <w:color w:val="auto"/>
          <w:spacing w:val="-3"/>
          <w:sz w:val="24"/>
          <w:szCs w:val="24"/>
          <w:highlight w:val="none"/>
        </w:rPr>
        <w:t>作出详细合理的书面说明并提供以往类似工程详细成本分析报告供评标委员会审查。</w:t>
      </w:r>
    </w:p>
    <w:p w14:paraId="25ACD444">
      <w:pPr>
        <w:outlineLvl w:val="9"/>
        <w:rPr>
          <w:rFonts w:hint="eastAsia" w:ascii="宋体" w:hAnsi="宋体" w:eastAsia="宋体" w:cs="宋体"/>
          <w:color w:val="auto"/>
          <w:highlight w:val="none"/>
          <w:lang w:eastAsia="zh-CN"/>
        </w:rPr>
      </w:pPr>
      <w:r>
        <w:rPr>
          <w:rFonts w:hint="eastAsia" w:ascii="宋体" w:hAnsi="宋体" w:eastAsia="宋体" w:cs="宋体"/>
          <w:b/>
          <w:bCs/>
          <w:color w:val="auto"/>
          <w:spacing w:val="-3"/>
          <w:sz w:val="24"/>
          <w:szCs w:val="24"/>
          <w:highlight w:val="none"/>
          <w:lang w:eastAsia="zh-CN"/>
        </w:rPr>
        <w:t>投标总价下浮率=（1-投标总价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最高投标限价）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100%</w:t>
      </w:r>
    </w:p>
    <w:p w14:paraId="5ABB7F86">
      <w:pPr>
        <w:spacing w:before="146" w:line="325" w:lineRule="auto"/>
        <w:ind w:left="29" w:right="153" w:firstLine="458"/>
        <w:rPr>
          <w:rFonts w:hint="eastAsia" w:ascii="宋体" w:hAnsi="宋体" w:eastAsia="宋体" w:cs="宋体"/>
          <w:b/>
          <w:bCs/>
          <w:color w:val="auto"/>
          <w:highlight w:val="none"/>
        </w:rPr>
      </w:pPr>
      <w:r>
        <w:rPr>
          <w:rFonts w:hint="eastAsia" w:ascii="宋体" w:hAnsi="宋体" w:eastAsia="宋体" w:cs="宋体"/>
          <w:b/>
          <w:bCs/>
          <w:color w:val="auto"/>
          <w:sz w:val="24"/>
          <w:szCs w:val="24"/>
          <w:highlight w:val="none"/>
        </w:rPr>
        <w:t>9.8  投标人的安全生产措施费报价必须达到或超过</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b/>
          <w:bCs/>
          <w:color w:val="auto"/>
          <w:sz w:val="24"/>
          <w:szCs w:val="24"/>
          <w:highlight w:val="none"/>
        </w:rPr>
        <w:t>中</w:t>
      </w:r>
      <w:r>
        <w:rPr>
          <w:rFonts w:hint="eastAsia" w:ascii="宋体" w:hAnsi="宋体" w:eastAsia="宋体" w:cs="宋体"/>
          <w:b/>
          <w:bCs/>
          <w:color w:val="auto"/>
          <w:spacing w:val="-1"/>
          <w:sz w:val="24"/>
          <w:szCs w:val="24"/>
          <w:highlight w:val="none"/>
        </w:rPr>
        <w:t>提供</w:t>
      </w:r>
      <w:r>
        <w:rPr>
          <w:rFonts w:hint="eastAsia" w:ascii="宋体" w:hAnsi="宋体" w:eastAsia="宋体" w:cs="宋体"/>
          <w:b/>
          <w:bCs/>
          <w:color w:val="auto"/>
          <w:spacing w:val="-3"/>
          <w:sz w:val="24"/>
          <w:szCs w:val="24"/>
          <w:highlight w:val="none"/>
        </w:rPr>
        <w:t>的安全生产措施费。</w:t>
      </w:r>
    </w:p>
    <w:p w14:paraId="235C1669">
      <w:pPr>
        <w:spacing w:before="78" w:line="309" w:lineRule="auto"/>
        <w:ind w:right="99"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9.9  </w:t>
      </w:r>
      <w:r>
        <w:rPr>
          <w:rFonts w:hint="eastAsia" w:ascii="宋体" w:hAnsi="宋体" w:eastAsia="宋体" w:cs="宋体"/>
          <w:color w:val="auto"/>
          <w:sz w:val="24"/>
          <w:szCs w:val="24"/>
          <w:highlight w:val="none"/>
        </w:rPr>
        <w:t>投标人必须按照招标工程量清单中提供的暂列金额和</w:t>
      </w:r>
      <w:r>
        <w:rPr>
          <w:rFonts w:hint="eastAsia" w:ascii="宋体" w:hAnsi="宋体" w:eastAsia="宋体" w:cs="宋体"/>
          <w:color w:val="auto"/>
          <w:sz w:val="24"/>
          <w:szCs w:val="24"/>
          <w:highlight w:val="none"/>
          <w:lang w:val="en-US" w:eastAsia="zh-CN"/>
        </w:rPr>
        <w:t>专业工程</w:t>
      </w:r>
      <w:r>
        <w:rPr>
          <w:rFonts w:hint="eastAsia" w:ascii="宋体" w:hAnsi="宋体" w:eastAsia="宋体" w:cs="宋体"/>
          <w:color w:val="auto"/>
          <w:sz w:val="24"/>
          <w:szCs w:val="24"/>
          <w:highlight w:val="none"/>
        </w:rPr>
        <w:t>暂估价统一报价。投标</w:t>
      </w:r>
      <w:r>
        <w:rPr>
          <w:rFonts w:hint="eastAsia" w:ascii="宋体" w:hAnsi="宋体" w:eastAsia="宋体" w:cs="宋体"/>
          <w:color w:val="auto"/>
          <w:spacing w:val="-1"/>
          <w:sz w:val="24"/>
          <w:szCs w:val="24"/>
          <w:highlight w:val="none"/>
        </w:rPr>
        <w:t>人应充分考虑暂估价项目（或暂列金额项目）的管理和协调所发</w:t>
      </w:r>
      <w:r>
        <w:rPr>
          <w:rFonts w:hint="eastAsia" w:ascii="宋体" w:hAnsi="宋体" w:eastAsia="宋体" w:cs="宋体"/>
          <w:color w:val="auto"/>
          <w:spacing w:val="-2"/>
          <w:sz w:val="24"/>
          <w:szCs w:val="24"/>
          <w:highlight w:val="none"/>
        </w:rPr>
        <w:t>生的费用，并将其纳</w:t>
      </w:r>
      <w:r>
        <w:rPr>
          <w:rFonts w:hint="eastAsia" w:ascii="宋体" w:hAnsi="宋体" w:eastAsia="宋体" w:cs="宋体"/>
          <w:color w:val="auto"/>
          <w:spacing w:val="-1"/>
          <w:sz w:val="24"/>
          <w:szCs w:val="24"/>
          <w:highlight w:val="none"/>
        </w:rPr>
        <w:t>入已标价工程量清单中的适当项目。招标人视该项管理和协调所</w:t>
      </w:r>
      <w:r>
        <w:rPr>
          <w:rFonts w:hint="eastAsia" w:ascii="宋体" w:hAnsi="宋体" w:eastAsia="宋体" w:cs="宋体"/>
          <w:color w:val="auto"/>
          <w:spacing w:val="-2"/>
          <w:sz w:val="24"/>
          <w:szCs w:val="24"/>
          <w:highlight w:val="none"/>
        </w:rPr>
        <w:t>发生的费用已包含在</w:t>
      </w:r>
      <w:r>
        <w:rPr>
          <w:rFonts w:hint="eastAsia" w:ascii="宋体" w:hAnsi="宋体" w:eastAsia="宋体" w:cs="宋体"/>
          <w:color w:val="auto"/>
          <w:spacing w:val="-1"/>
          <w:sz w:val="24"/>
          <w:szCs w:val="24"/>
          <w:highlight w:val="none"/>
        </w:rPr>
        <w:t>其它有价款的竞争性报价内，不再另行支付。</w:t>
      </w:r>
    </w:p>
    <w:p w14:paraId="066C435F">
      <w:pPr>
        <w:pStyle w:val="5"/>
        <w:keepNext w:val="0"/>
        <w:keepLines w:val="0"/>
        <w:pageBreakBefore w:val="0"/>
        <w:widowControl/>
        <w:kinsoku w:val="0"/>
        <w:wordWrap/>
        <w:overflowPunct/>
        <w:topLinePunct w:val="0"/>
        <w:autoSpaceDE w:val="0"/>
        <w:autoSpaceDN w:val="0"/>
        <w:bidi w:val="0"/>
        <w:adjustRightInd w:val="0"/>
        <w:snapToGrid w:val="0"/>
        <w:spacing w:line="300" w:lineRule="auto"/>
        <w:ind w:firstLine="482" w:firstLineChars="200"/>
        <w:textAlignment w:val="baseline"/>
        <w:rPr>
          <w:rFonts w:hint="eastAsia" w:ascii="宋体" w:hAnsi="宋体" w:eastAsia="宋体" w:cs="宋体"/>
          <w:snapToGrid w:val="0"/>
          <w:color w:val="auto"/>
          <w:sz w:val="24"/>
          <w:szCs w:val="24"/>
          <w:highlight w:val="none"/>
          <w:lang w:val="en-US" w:eastAsia="en-US" w:bidi="ar-SA"/>
        </w:rPr>
      </w:pPr>
      <w:r>
        <w:rPr>
          <w:rFonts w:hint="eastAsia" w:ascii="宋体" w:hAnsi="宋体" w:eastAsia="宋体" w:cs="宋体"/>
          <w:b/>
          <w:bCs/>
          <w:snapToGrid w:val="0"/>
          <w:color w:val="auto"/>
          <w:sz w:val="24"/>
          <w:szCs w:val="24"/>
          <w:highlight w:val="none"/>
          <w:lang w:val="en-US" w:eastAsia="en-US" w:bidi="ar-SA"/>
        </w:rPr>
        <w:t xml:space="preserve">9.10 </w:t>
      </w:r>
      <w:r>
        <w:rPr>
          <w:rFonts w:hint="eastAsia" w:ascii="宋体" w:hAnsi="宋体" w:eastAsia="宋体" w:cs="宋体"/>
          <w:snapToGrid w:val="0"/>
          <w:color w:val="auto"/>
          <w:sz w:val="24"/>
          <w:szCs w:val="24"/>
          <w:highlight w:val="none"/>
          <w:lang w:val="en-US" w:eastAsia="en-US" w:bidi="ar-SA"/>
        </w:rPr>
        <w:t>预算包干费：根据《市政工程工程量计算标准》（GB/T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本工程的预算包干内容包括：按《广东省建设工程计价依据（2024）》相关规定。若发生工程签证变更，应按合同约定计取预算包干费。</w:t>
      </w:r>
    </w:p>
    <w:p w14:paraId="105B0490">
      <w:pPr>
        <w:spacing w:before="78" w:line="220" w:lineRule="auto"/>
        <w:ind w:left="496"/>
        <w:outlineLvl w:val="2"/>
        <w:rPr>
          <w:rFonts w:hint="eastAsia" w:ascii="宋体" w:hAnsi="宋体" w:eastAsia="宋体" w:cs="宋体"/>
          <w:color w:val="auto"/>
          <w:sz w:val="24"/>
          <w:szCs w:val="24"/>
          <w:highlight w:val="none"/>
        </w:rPr>
      </w:pPr>
      <w:bookmarkStart w:id="42" w:name="_Toc16322"/>
      <w:bookmarkStart w:id="43" w:name="_Toc23711"/>
      <w:r>
        <w:rPr>
          <w:rFonts w:hint="eastAsia" w:ascii="宋体" w:hAnsi="宋体" w:eastAsia="宋体" w:cs="宋体"/>
          <w:b/>
          <w:bCs/>
          <w:color w:val="auto"/>
          <w:spacing w:val="-6"/>
          <w:sz w:val="24"/>
          <w:szCs w:val="24"/>
          <w:highlight w:val="none"/>
        </w:rPr>
        <w:t>10</w:t>
      </w:r>
      <w:r>
        <w:rPr>
          <w:rFonts w:hint="eastAsia" w:ascii="宋体" w:hAnsi="宋体" w:eastAsia="宋体" w:cs="宋体"/>
          <w:b/>
          <w:bCs/>
          <w:color w:val="auto"/>
          <w:spacing w:val="-21"/>
          <w:sz w:val="24"/>
          <w:szCs w:val="24"/>
          <w:highlight w:val="none"/>
        </w:rPr>
        <w:t xml:space="preserve"> </w:t>
      </w:r>
      <w:r>
        <w:rPr>
          <w:rFonts w:hint="eastAsia" w:ascii="宋体" w:hAnsi="宋体" w:eastAsia="宋体" w:cs="宋体"/>
          <w:b/>
          <w:bCs/>
          <w:color w:val="auto"/>
          <w:spacing w:val="-6"/>
          <w:sz w:val="24"/>
          <w:szCs w:val="24"/>
          <w:highlight w:val="none"/>
        </w:rPr>
        <w:t>．投标文件的编制要求</w:t>
      </w:r>
      <w:bookmarkEnd w:id="42"/>
      <w:bookmarkEnd w:id="43"/>
    </w:p>
    <w:p w14:paraId="717359E1">
      <w:pPr>
        <w:spacing w:before="152" w:line="222" w:lineRule="auto"/>
        <w:ind w:left="496"/>
        <w:outlineLvl w:val="3"/>
        <w:rPr>
          <w:rFonts w:hint="eastAsia" w:ascii="宋体" w:hAnsi="宋体" w:eastAsia="宋体" w:cs="宋体"/>
          <w:color w:val="auto"/>
          <w:sz w:val="24"/>
          <w:szCs w:val="24"/>
          <w:highlight w:val="none"/>
        </w:rPr>
      </w:pPr>
      <w:bookmarkStart w:id="44" w:name="_Toc20590"/>
      <w:bookmarkStart w:id="45" w:name="_Toc22937"/>
      <w:r>
        <w:rPr>
          <w:rFonts w:hint="eastAsia" w:ascii="宋体" w:hAnsi="宋体" w:eastAsia="宋体" w:cs="宋体"/>
          <w:b/>
          <w:bCs/>
          <w:color w:val="auto"/>
          <w:spacing w:val="-4"/>
          <w:sz w:val="24"/>
          <w:szCs w:val="24"/>
          <w:highlight w:val="none"/>
        </w:rPr>
        <w:t>10.1</w:t>
      </w:r>
      <w:r>
        <w:rPr>
          <w:rFonts w:hint="eastAsia" w:ascii="宋体" w:hAnsi="宋体" w:eastAsia="宋体" w:cs="宋体"/>
          <w:b/>
          <w:bCs/>
          <w:color w:val="auto"/>
          <w:spacing w:val="7"/>
          <w:sz w:val="24"/>
          <w:szCs w:val="24"/>
          <w:highlight w:val="none"/>
        </w:rPr>
        <w:t xml:space="preserve">  </w:t>
      </w:r>
      <w:r>
        <w:rPr>
          <w:rFonts w:hint="eastAsia" w:ascii="宋体" w:hAnsi="宋体" w:eastAsia="宋体" w:cs="宋体"/>
          <w:color w:val="auto"/>
          <w:spacing w:val="-4"/>
          <w:sz w:val="24"/>
          <w:szCs w:val="24"/>
          <w:highlight w:val="none"/>
        </w:rPr>
        <w:t>一般要求</w:t>
      </w:r>
      <w:bookmarkEnd w:id="44"/>
      <w:bookmarkEnd w:id="45"/>
    </w:p>
    <w:p w14:paraId="4800233A">
      <w:pPr>
        <w:spacing w:before="118" w:line="295" w:lineRule="auto"/>
        <w:ind w:left="11" w:right="99"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投标文件应按第六章投标文件格式规定的内容，投标人提交的投标文件应当使</w:t>
      </w:r>
      <w:r>
        <w:rPr>
          <w:rFonts w:hint="eastAsia" w:ascii="宋体" w:hAnsi="宋体" w:eastAsia="宋体" w:cs="宋体"/>
          <w:color w:val="auto"/>
          <w:spacing w:val="-1"/>
          <w:sz w:val="24"/>
          <w:szCs w:val="24"/>
          <w:highlight w:val="none"/>
        </w:rPr>
        <w:t>用招标文件所提供的投标文件全部格式。</w:t>
      </w:r>
    </w:p>
    <w:p w14:paraId="1E2CE420">
      <w:pPr>
        <w:spacing w:before="68" w:line="299" w:lineRule="auto"/>
        <w:ind w:left="11" w:right="99" w:firstLine="56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10.1.1  </w:t>
      </w:r>
      <w:r>
        <w:rPr>
          <w:rFonts w:hint="eastAsia" w:ascii="宋体" w:hAnsi="宋体" w:eastAsia="宋体" w:cs="宋体"/>
          <w:color w:val="auto"/>
          <w:spacing w:val="-3"/>
          <w:sz w:val="24"/>
          <w:szCs w:val="24"/>
          <w:highlight w:val="none"/>
        </w:rPr>
        <w:t>投标人必须响应招标文件，并在充分理解招</w:t>
      </w:r>
      <w:r>
        <w:rPr>
          <w:rFonts w:hint="eastAsia" w:ascii="宋体" w:hAnsi="宋体" w:eastAsia="宋体" w:cs="宋体"/>
          <w:color w:val="auto"/>
          <w:spacing w:val="-4"/>
          <w:sz w:val="24"/>
          <w:szCs w:val="24"/>
          <w:highlight w:val="none"/>
        </w:rPr>
        <w:t>标人提供的全部文件、设计图</w:t>
      </w:r>
      <w:r>
        <w:rPr>
          <w:rFonts w:hint="eastAsia" w:ascii="宋体" w:hAnsi="宋体" w:eastAsia="宋体" w:cs="宋体"/>
          <w:color w:val="auto"/>
          <w:spacing w:val="-1"/>
          <w:sz w:val="24"/>
          <w:szCs w:val="24"/>
          <w:highlight w:val="none"/>
        </w:rPr>
        <w:t>纸、资料及现场条件的基础上编制投标文件。因投标文件</w:t>
      </w:r>
      <w:r>
        <w:rPr>
          <w:rFonts w:hint="eastAsia" w:ascii="宋体" w:hAnsi="宋体" w:eastAsia="宋体" w:cs="宋体"/>
          <w:color w:val="auto"/>
          <w:spacing w:val="-2"/>
          <w:sz w:val="24"/>
          <w:szCs w:val="24"/>
          <w:highlight w:val="none"/>
        </w:rPr>
        <w:t>不符合招标文件的要求而造</w:t>
      </w:r>
      <w:r>
        <w:rPr>
          <w:rFonts w:hint="eastAsia" w:ascii="宋体" w:hAnsi="宋体" w:eastAsia="宋体" w:cs="宋体"/>
          <w:color w:val="auto"/>
          <w:spacing w:val="-1"/>
          <w:sz w:val="24"/>
          <w:szCs w:val="24"/>
          <w:highlight w:val="none"/>
        </w:rPr>
        <w:t>成的损失和后果，由投标人自行承担。</w:t>
      </w:r>
    </w:p>
    <w:p w14:paraId="5DF6C785">
      <w:pPr>
        <w:spacing w:before="123" w:line="290" w:lineRule="auto"/>
        <w:ind w:left="8" w:firstLine="566"/>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10.1.2  投标文件包括商务标书、经济标书、施工组织设计和定标文件四个分册，</w:t>
      </w:r>
      <w:r>
        <w:rPr>
          <w:rFonts w:hint="eastAsia" w:ascii="宋体" w:hAnsi="宋体" w:eastAsia="宋体" w:cs="宋体"/>
          <w:color w:val="auto"/>
          <w:spacing w:val="-3"/>
          <w:sz w:val="24"/>
          <w:szCs w:val="24"/>
          <w:highlight w:val="none"/>
        </w:rPr>
        <w:t>投标文件全部采用电子文档，投标文件所附</w:t>
      </w:r>
      <w:r>
        <w:rPr>
          <w:rFonts w:hint="eastAsia" w:ascii="宋体" w:hAnsi="宋体" w:eastAsia="宋体" w:cs="宋体"/>
          <w:color w:val="auto"/>
          <w:spacing w:val="-4"/>
          <w:sz w:val="24"/>
          <w:szCs w:val="24"/>
          <w:highlight w:val="none"/>
        </w:rPr>
        <w:t>证书证件均为原件扫描件，并</w:t>
      </w:r>
      <w:r>
        <w:rPr>
          <w:rFonts w:hint="eastAsia" w:ascii="宋体" w:hAnsi="宋体" w:eastAsia="宋体" w:cs="宋体"/>
          <w:color w:val="auto"/>
          <w:spacing w:val="-1"/>
          <w:sz w:val="24"/>
          <w:szCs w:val="24"/>
          <w:highlight w:val="none"/>
        </w:rPr>
        <w:t>采用单位数字证书，按招标文件要求在相应位置加盖电子印章。</w:t>
      </w:r>
      <w:r>
        <w:rPr>
          <w:rFonts w:hint="eastAsia" w:ascii="宋体" w:hAnsi="宋体" w:eastAsia="宋体" w:cs="宋体"/>
          <w:color w:val="auto"/>
          <w:spacing w:val="-2"/>
          <w:sz w:val="24"/>
          <w:szCs w:val="24"/>
          <w:highlight w:val="none"/>
        </w:rPr>
        <w:t>投标文件中需个人签</w:t>
      </w:r>
      <w:r>
        <w:rPr>
          <w:rFonts w:hint="eastAsia" w:ascii="宋体" w:hAnsi="宋体" w:eastAsia="宋体" w:cs="宋体"/>
          <w:color w:val="auto"/>
          <w:spacing w:val="-1"/>
          <w:sz w:val="24"/>
          <w:szCs w:val="24"/>
          <w:highlight w:val="none"/>
        </w:rPr>
        <w:t>字或盖章的，应加盖个人电子印章或在线下完成后扫描上传。按</w:t>
      </w:r>
      <w:r>
        <w:rPr>
          <w:rFonts w:hint="eastAsia" w:ascii="宋体" w:hAnsi="宋体" w:eastAsia="宋体" w:cs="宋体"/>
          <w:color w:val="auto"/>
          <w:spacing w:val="-2"/>
          <w:sz w:val="24"/>
          <w:szCs w:val="24"/>
          <w:highlight w:val="none"/>
        </w:rPr>
        <w:t>照交易平台关于全流</w:t>
      </w:r>
      <w:r>
        <w:rPr>
          <w:rFonts w:hint="eastAsia" w:ascii="宋体" w:hAnsi="宋体" w:eastAsia="宋体" w:cs="宋体"/>
          <w:color w:val="auto"/>
          <w:spacing w:val="-7"/>
          <w:sz w:val="24"/>
          <w:szCs w:val="24"/>
          <w:highlight w:val="none"/>
        </w:rPr>
        <w:t>程电子化项目的相关指南进行操作。详见：全国公共资源</w:t>
      </w:r>
      <w:r>
        <w:rPr>
          <w:rFonts w:hint="eastAsia" w:ascii="宋体" w:hAnsi="宋体" w:eastAsia="宋体" w:cs="宋体"/>
          <w:color w:val="auto"/>
          <w:spacing w:val="-8"/>
          <w:sz w:val="24"/>
          <w:szCs w:val="24"/>
          <w:highlight w:val="none"/>
        </w:rPr>
        <w:t>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8"/>
          <w:sz w:val="24"/>
          <w:szCs w:val="24"/>
          <w:highlight w:val="none"/>
        </w:rPr>
        <w:t>·韶关市）</w:t>
      </w:r>
      <w:r>
        <w:rPr>
          <w:rFonts w:hint="eastAsia" w:ascii="宋体" w:hAnsi="宋体" w:eastAsia="宋体" w:cs="宋体"/>
          <w:color w:val="auto"/>
          <w:spacing w:val="-2"/>
          <w:sz w:val="24"/>
          <w:szCs w:val="24"/>
          <w:highlight w:val="none"/>
        </w:rPr>
        <w:t>交易指引。</w:t>
      </w:r>
    </w:p>
    <w:p w14:paraId="217CF466">
      <w:pPr>
        <w:spacing w:before="1" w:line="219" w:lineRule="auto"/>
        <w:ind w:left="57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10.1.3  </w:t>
      </w:r>
      <w:r>
        <w:rPr>
          <w:rFonts w:hint="eastAsia" w:ascii="宋体" w:hAnsi="宋体" w:eastAsia="宋体" w:cs="宋体"/>
          <w:color w:val="auto"/>
          <w:spacing w:val="-1"/>
          <w:sz w:val="24"/>
          <w:szCs w:val="24"/>
          <w:highlight w:val="none"/>
        </w:rPr>
        <w:t>投标文件需按以下要求签字、盖章：电子投标文件：</w:t>
      </w:r>
    </w:p>
    <w:p w14:paraId="4EB2C279">
      <w:pPr>
        <w:spacing w:before="111" w:line="279" w:lineRule="auto"/>
        <w:ind w:right="133" w:firstLine="579"/>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投标文件封面、组成</w:t>
      </w:r>
      <w:r>
        <w:rPr>
          <w:rFonts w:hint="eastAsia" w:ascii="宋体" w:hAnsi="宋体" w:eastAsia="宋体" w:cs="宋体"/>
          <w:color w:val="auto"/>
          <w:spacing w:val="-3"/>
          <w:sz w:val="24"/>
          <w:szCs w:val="24"/>
          <w:highlight w:val="none"/>
        </w:rPr>
        <w:t>内容中凡注明“签字</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3"/>
          <w:sz w:val="24"/>
          <w:szCs w:val="24"/>
          <w:highlight w:val="none"/>
        </w:rPr>
        <w:t>”处由要求的人员签字或电子</w:t>
      </w:r>
      <w:r>
        <w:rPr>
          <w:rFonts w:hint="eastAsia" w:ascii="宋体" w:hAnsi="宋体" w:eastAsia="宋体" w:cs="宋体"/>
          <w:color w:val="auto"/>
          <w:spacing w:val="-2"/>
          <w:sz w:val="24"/>
          <w:szCs w:val="24"/>
          <w:highlight w:val="none"/>
        </w:rPr>
        <w:t>签章；凡注明“签字或盖章</w:t>
      </w:r>
      <w:r>
        <w:rPr>
          <w:rFonts w:hint="eastAsia" w:ascii="宋体" w:hAnsi="宋体" w:eastAsia="宋体" w:cs="宋体"/>
          <w:color w:val="auto"/>
          <w:spacing w:val="-87"/>
          <w:sz w:val="24"/>
          <w:szCs w:val="24"/>
          <w:highlight w:val="none"/>
        </w:rPr>
        <w:t xml:space="preserve"> </w:t>
      </w:r>
      <w:r>
        <w:rPr>
          <w:rFonts w:hint="eastAsia" w:ascii="宋体" w:hAnsi="宋体" w:eastAsia="宋体" w:cs="宋体"/>
          <w:color w:val="auto"/>
          <w:spacing w:val="-2"/>
          <w:sz w:val="24"/>
          <w:szCs w:val="24"/>
          <w:highlight w:val="none"/>
        </w:rPr>
        <w:t>”处由要求的人员签字或盖其私章（</w:t>
      </w:r>
      <w:r>
        <w:rPr>
          <w:rFonts w:hint="eastAsia" w:ascii="宋体" w:hAnsi="宋体" w:eastAsia="宋体" w:cs="宋体"/>
          <w:color w:val="auto"/>
          <w:spacing w:val="-2"/>
          <w:sz w:val="24"/>
          <w:szCs w:val="24"/>
          <w:highlight w:val="none"/>
          <w:lang w:val="en-US" w:eastAsia="zh-CN"/>
        </w:rPr>
        <w:t>含</w:t>
      </w:r>
      <w:r>
        <w:rPr>
          <w:rFonts w:hint="eastAsia" w:ascii="宋体" w:hAnsi="宋体" w:eastAsia="宋体" w:cs="宋体"/>
          <w:color w:val="auto"/>
          <w:spacing w:val="-2"/>
          <w:sz w:val="24"/>
          <w:szCs w:val="24"/>
          <w:highlight w:val="none"/>
        </w:rPr>
        <w:t>电子印章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rPr>
        <w:t>凡注明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“签字并盖执业印章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”处由要求的人员签字并盖其执业印</w:t>
      </w:r>
      <w:r>
        <w:rPr>
          <w:rFonts w:hint="eastAsia" w:ascii="宋体" w:hAnsi="宋体" w:eastAsia="宋体" w:cs="宋体"/>
          <w:color w:val="auto"/>
          <w:spacing w:val="-2"/>
          <w:sz w:val="24"/>
          <w:szCs w:val="24"/>
          <w:highlight w:val="none"/>
        </w:rPr>
        <w:t>章。</w:t>
      </w:r>
    </w:p>
    <w:p w14:paraId="0B072D3C">
      <w:pPr>
        <w:spacing w:before="112" w:line="264" w:lineRule="auto"/>
        <w:ind w:left="13" w:right="133" w:firstLine="565"/>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10.1.3.2</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投标文件封面、组成内容中凡要求录入投标人名称且注明“盖单</w:t>
      </w:r>
      <w:r>
        <w:rPr>
          <w:rFonts w:hint="eastAsia" w:ascii="宋体" w:hAnsi="宋体" w:eastAsia="宋体" w:cs="宋体"/>
          <w:color w:val="auto"/>
          <w:spacing w:val="-3"/>
          <w:sz w:val="24"/>
          <w:szCs w:val="24"/>
          <w:highlight w:val="none"/>
        </w:rPr>
        <w:t>位章</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3"/>
          <w:sz w:val="24"/>
          <w:szCs w:val="24"/>
          <w:highlight w:val="none"/>
        </w:rPr>
        <w:t>”处盖单位法人公章（</w:t>
      </w:r>
      <w:r>
        <w:rPr>
          <w:rFonts w:hint="eastAsia" w:ascii="宋体" w:hAnsi="宋体" w:eastAsia="宋体" w:cs="宋体"/>
          <w:color w:val="auto"/>
          <w:spacing w:val="-3"/>
          <w:sz w:val="24"/>
          <w:szCs w:val="24"/>
          <w:highlight w:val="none"/>
          <w:lang w:val="en-US" w:eastAsia="zh-CN"/>
        </w:rPr>
        <w:t>含</w:t>
      </w:r>
      <w:r>
        <w:rPr>
          <w:rFonts w:hint="eastAsia" w:ascii="宋体" w:hAnsi="宋体" w:eastAsia="宋体" w:cs="宋体"/>
          <w:color w:val="auto"/>
          <w:spacing w:val="-3"/>
          <w:sz w:val="24"/>
          <w:szCs w:val="24"/>
          <w:highlight w:val="none"/>
        </w:rPr>
        <w:t>电子印章）。</w:t>
      </w:r>
    </w:p>
    <w:p w14:paraId="0CBE0BD0">
      <w:pPr>
        <w:spacing w:before="146" w:line="279" w:lineRule="auto"/>
        <w:ind w:left="16" w:right="135" w:firstLine="562"/>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10.1.3.3</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投标文件的签字均为签字人本人亲笔署名或签章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lang w:val="en-US" w:eastAsia="zh-CN"/>
        </w:rPr>
        <w:t>含</w:t>
      </w:r>
      <w:r>
        <w:rPr>
          <w:rFonts w:hint="eastAsia" w:ascii="宋体" w:hAnsi="宋体" w:eastAsia="宋体" w:cs="宋体"/>
          <w:color w:val="auto"/>
          <w:spacing w:val="-2"/>
          <w:sz w:val="24"/>
          <w:szCs w:val="24"/>
          <w:highlight w:val="none"/>
        </w:rPr>
        <w:t>电子印章</w:t>
      </w:r>
      <w:r>
        <w:rPr>
          <w:rFonts w:hint="eastAsia" w:ascii="宋体" w:hAnsi="宋体" w:eastAsia="宋体" w:cs="宋体"/>
          <w:color w:val="auto"/>
          <w:spacing w:val="-14"/>
          <w:sz w:val="24"/>
          <w:szCs w:val="24"/>
          <w:highlight w:val="none"/>
        </w:rPr>
        <w:t>），</w:t>
      </w:r>
      <w:r>
        <w:rPr>
          <w:rFonts w:hint="eastAsia" w:ascii="宋体" w:hAnsi="宋体" w:eastAsia="宋体" w:cs="宋体"/>
          <w:color w:val="auto"/>
          <w:spacing w:val="-2"/>
          <w:sz w:val="24"/>
          <w:szCs w:val="24"/>
          <w:highlight w:val="none"/>
        </w:rPr>
        <w:t>其余部</w:t>
      </w:r>
      <w:r>
        <w:rPr>
          <w:rFonts w:hint="eastAsia" w:ascii="宋体" w:hAnsi="宋体" w:eastAsia="宋体" w:cs="宋体"/>
          <w:color w:val="auto"/>
          <w:spacing w:val="-1"/>
          <w:sz w:val="24"/>
          <w:szCs w:val="24"/>
          <w:highlight w:val="none"/>
        </w:rPr>
        <w:t>分的复印件无须另行签字、盖章。</w:t>
      </w:r>
    </w:p>
    <w:p w14:paraId="35B67328">
      <w:pPr>
        <w:spacing w:before="155" w:line="219" w:lineRule="auto"/>
        <w:ind w:left="0" w:leftChars="0" w:firstLine="474" w:firstLineChars="200"/>
        <w:outlineLvl w:val="3"/>
        <w:rPr>
          <w:rFonts w:hint="eastAsia" w:ascii="宋体" w:hAnsi="宋体" w:eastAsia="宋体" w:cs="宋体"/>
          <w:b w:val="0"/>
          <w:bCs w:val="0"/>
          <w:color w:val="auto"/>
          <w:spacing w:val="-2"/>
          <w:sz w:val="24"/>
          <w:szCs w:val="24"/>
          <w:highlight w:val="none"/>
        </w:rPr>
      </w:pPr>
      <w:bookmarkStart w:id="46" w:name="_Toc21271"/>
      <w:bookmarkStart w:id="47" w:name="_Toc20223"/>
      <w:r>
        <w:rPr>
          <w:rFonts w:hint="eastAsia" w:ascii="宋体" w:hAnsi="宋体" w:eastAsia="宋体" w:cs="宋体"/>
          <w:b/>
          <w:bCs/>
          <w:color w:val="auto"/>
          <w:spacing w:val="-2"/>
          <w:sz w:val="24"/>
          <w:szCs w:val="24"/>
          <w:highlight w:val="none"/>
        </w:rPr>
        <w:t xml:space="preserve">10.1.3.4 </w:t>
      </w:r>
      <w:r>
        <w:rPr>
          <w:rFonts w:hint="eastAsia" w:ascii="宋体" w:hAnsi="宋体" w:eastAsia="宋体" w:cs="宋体"/>
          <w:color w:val="auto"/>
          <w:spacing w:val="-3"/>
          <w:sz w:val="24"/>
          <w:szCs w:val="24"/>
          <w:highlight w:val="none"/>
        </w:rPr>
        <w:t>联合体投标的，除《联合体协议书》外，由联合体牵头人按以上要求签亲笔署名或签章（</w:t>
      </w:r>
      <w:r>
        <w:rPr>
          <w:rFonts w:hint="eastAsia" w:ascii="宋体" w:hAnsi="宋体" w:eastAsia="宋体" w:cs="宋体"/>
          <w:color w:val="auto"/>
          <w:spacing w:val="-3"/>
          <w:sz w:val="24"/>
          <w:szCs w:val="24"/>
          <w:highlight w:val="none"/>
          <w:lang w:val="en-US" w:eastAsia="zh-CN"/>
        </w:rPr>
        <w:t>含</w:t>
      </w:r>
      <w:r>
        <w:rPr>
          <w:rFonts w:hint="eastAsia" w:ascii="宋体" w:hAnsi="宋体" w:eastAsia="宋体" w:cs="宋体"/>
          <w:color w:val="auto"/>
          <w:spacing w:val="-3"/>
          <w:sz w:val="24"/>
          <w:szCs w:val="24"/>
          <w:highlight w:val="none"/>
        </w:rPr>
        <w:t>电子印章）即可。</w:t>
      </w:r>
    </w:p>
    <w:p w14:paraId="149EA5DD">
      <w:pPr>
        <w:spacing w:before="155" w:line="219" w:lineRule="auto"/>
        <w:ind w:left="500"/>
        <w:outlineLvl w:val="3"/>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10.2  商务标书的编制要求</w:t>
      </w:r>
      <w:bookmarkEnd w:id="46"/>
      <w:bookmarkEnd w:id="47"/>
    </w:p>
    <w:p w14:paraId="09D418EF">
      <w:pPr>
        <w:spacing w:before="157" w:line="219" w:lineRule="auto"/>
        <w:ind w:left="581"/>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10.2.1 </w:t>
      </w:r>
      <w:r>
        <w:rPr>
          <w:rFonts w:hint="eastAsia" w:ascii="宋体" w:hAnsi="宋体" w:eastAsia="宋体" w:cs="宋体"/>
          <w:color w:val="auto"/>
          <w:spacing w:val="-1"/>
          <w:sz w:val="24"/>
          <w:szCs w:val="24"/>
          <w:highlight w:val="none"/>
        </w:rPr>
        <w:t>商务标书包括但不限于以下内容：</w:t>
      </w:r>
    </w:p>
    <w:p w14:paraId="7A133846">
      <w:pPr>
        <w:spacing w:before="154"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2ADBEC65">
      <w:pPr>
        <w:spacing w:before="153" w:line="222"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796DB9CA">
      <w:pPr>
        <w:spacing w:before="153"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（3）《投标函》（格式二</w:t>
      </w:r>
      <w:r>
        <w:rPr>
          <w:rFonts w:hint="eastAsia" w:ascii="宋体" w:hAnsi="宋体" w:eastAsia="宋体" w:cs="宋体"/>
          <w:color w:val="auto"/>
          <w:spacing w:val="1"/>
          <w:sz w:val="24"/>
          <w:szCs w:val="24"/>
          <w:highlight w:val="none"/>
        </w:rPr>
        <w:t>）；</w:t>
      </w:r>
    </w:p>
    <w:p w14:paraId="5EEB9573">
      <w:pPr>
        <w:spacing w:before="153"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（4）《各项承诺一览表》（格式三</w:t>
      </w:r>
      <w:r>
        <w:rPr>
          <w:rFonts w:hint="eastAsia" w:ascii="宋体" w:hAnsi="宋体" w:eastAsia="宋体" w:cs="宋体"/>
          <w:color w:val="auto"/>
          <w:spacing w:val="5"/>
          <w:sz w:val="24"/>
          <w:szCs w:val="24"/>
          <w:highlight w:val="none"/>
        </w:rPr>
        <w:t>）；</w:t>
      </w:r>
    </w:p>
    <w:p w14:paraId="2EEF341D">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（5）《授权委托书》（格式四</w:t>
      </w:r>
      <w:r>
        <w:rPr>
          <w:rFonts w:hint="eastAsia" w:ascii="宋体" w:hAnsi="宋体" w:eastAsia="宋体" w:cs="宋体"/>
          <w:color w:val="auto"/>
          <w:spacing w:val="3"/>
          <w:sz w:val="24"/>
          <w:szCs w:val="24"/>
          <w:highlight w:val="none"/>
        </w:rPr>
        <w:t>）；</w:t>
      </w:r>
    </w:p>
    <w:p w14:paraId="7D3A1941">
      <w:pPr>
        <w:spacing w:before="156"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（6）《法定代表人身份证明》（格式五</w:t>
      </w:r>
      <w:r>
        <w:rPr>
          <w:rFonts w:hint="eastAsia" w:ascii="宋体" w:hAnsi="宋体" w:eastAsia="宋体" w:cs="宋体"/>
          <w:color w:val="auto"/>
          <w:spacing w:val="7"/>
          <w:sz w:val="24"/>
          <w:szCs w:val="24"/>
          <w:highlight w:val="none"/>
        </w:rPr>
        <w:t>）；</w:t>
      </w:r>
    </w:p>
    <w:p w14:paraId="49C24569">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（7）《联合体协议书》（格式六）及所附资料；</w:t>
      </w:r>
    </w:p>
    <w:p w14:paraId="7065F65E">
      <w:pPr>
        <w:spacing w:before="153" w:line="309" w:lineRule="auto"/>
        <w:ind w:left="13" w:right="133"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（8）投标保证缴纳证明（投标人采用投标保证金的，附建</w:t>
      </w:r>
      <w:r>
        <w:rPr>
          <w:rFonts w:hint="eastAsia" w:ascii="宋体" w:hAnsi="宋体" w:eastAsia="宋体" w:cs="宋体"/>
          <w:color w:val="auto"/>
          <w:spacing w:val="1"/>
          <w:sz w:val="24"/>
          <w:szCs w:val="24"/>
          <w:highlight w:val="none"/>
        </w:rPr>
        <w:t>设工程交易系统《缴</w:t>
      </w:r>
      <w:r>
        <w:rPr>
          <w:rFonts w:hint="eastAsia" w:ascii="宋体" w:hAnsi="宋体" w:eastAsia="宋体" w:cs="宋体"/>
          <w:color w:val="auto"/>
          <w:spacing w:val="-1"/>
          <w:sz w:val="24"/>
          <w:szCs w:val="24"/>
          <w:highlight w:val="none"/>
        </w:rPr>
        <w:t>纳投标保证金通知书》页面截图和银行转账单彩色扫描件；采</w:t>
      </w:r>
      <w:r>
        <w:rPr>
          <w:rFonts w:hint="eastAsia" w:ascii="宋体" w:hAnsi="宋体" w:eastAsia="宋体" w:cs="宋体"/>
          <w:color w:val="auto"/>
          <w:spacing w:val="-2"/>
          <w:sz w:val="24"/>
          <w:szCs w:val="24"/>
          <w:highlight w:val="none"/>
        </w:rPr>
        <w:t>用投标保证担保的，附银行保函彩色扫描件；采用投标保证保险的，附电子保单和</w:t>
      </w:r>
      <w:r>
        <w:rPr>
          <w:rFonts w:hint="eastAsia" w:ascii="宋体" w:hAnsi="宋体" w:eastAsia="宋体" w:cs="宋体"/>
          <w:b/>
          <w:bCs/>
          <w:color w:val="auto"/>
          <w:spacing w:val="-2"/>
          <w:sz w:val="24"/>
          <w:szCs w:val="24"/>
          <w:highlight w:val="none"/>
        </w:rPr>
        <w:t>《韶关市公共资源交易一</w:t>
      </w:r>
      <w:r>
        <w:rPr>
          <w:rFonts w:hint="eastAsia" w:ascii="宋体" w:hAnsi="宋体" w:eastAsia="宋体" w:cs="宋体"/>
          <w:b/>
          <w:bCs/>
          <w:color w:val="auto"/>
          <w:spacing w:val="-3"/>
          <w:sz w:val="24"/>
          <w:szCs w:val="24"/>
          <w:highlight w:val="none"/>
        </w:rPr>
        <w:t>体化平台保证金缴纳信息》页面截图</w:t>
      </w:r>
      <w:r>
        <w:rPr>
          <w:rFonts w:hint="eastAsia" w:ascii="宋体" w:hAnsi="宋体" w:eastAsia="宋体" w:cs="宋体"/>
          <w:color w:val="auto"/>
          <w:spacing w:val="4"/>
          <w:sz w:val="24"/>
          <w:szCs w:val="24"/>
          <w:highlight w:val="none"/>
        </w:rPr>
        <w:t>）；</w:t>
      </w:r>
    </w:p>
    <w:p w14:paraId="1196EDC9">
      <w:pPr>
        <w:spacing w:before="156"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（9）《投标人基本情况表》（格式七）及所附资料；</w:t>
      </w:r>
    </w:p>
    <w:p w14:paraId="625E3C02">
      <w:pPr>
        <w:spacing w:before="155"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（10）《项目经理简历表》（格式八）及所附资料；</w:t>
      </w:r>
    </w:p>
    <w:p w14:paraId="43069717">
      <w:pPr>
        <w:spacing w:before="154"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（11）《项目经理任职声明》（格式九</w:t>
      </w:r>
      <w:r>
        <w:rPr>
          <w:rFonts w:hint="eastAsia" w:ascii="宋体" w:hAnsi="宋体" w:eastAsia="宋体" w:cs="宋体"/>
          <w:color w:val="auto"/>
          <w:spacing w:val="7"/>
          <w:sz w:val="24"/>
          <w:szCs w:val="24"/>
          <w:highlight w:val="none"/>
        </w:rPr>
        <w:t>）；</w:t>
      </w:r>
    </w:p>
    <w:p w14:paraId="5600AAC3">
      <w:pPr>
        <w:spacing w:before="156"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（12）《项目技术负责人简历表》（格式十）及所附资料；</w:t>
      </w:r>
    </w:p>
    <w:p w14:paraId="4A2E911F">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（13）《项</w:t>
      </w:r>
      <w:bookmarkStart w:id="48" w:name="OLE_LINK7"/>
      <w:r>
        <w:rPr>
          <w:rFonts w:hint="eastAsia" w:ascii="宋体" w:hAnsi="宋体" w:eastAsia="宋体" w:cs="宋体"/>
          <w:color w:val="auto"/>
          <w:spacing w:val="-1"/>
          <w:sz w:val="24"/>
          <w:szCs w:val="24"/>
          <w:highlight w:val="none"/>
        </w:rPr>
        <w:t>目管理机构组成表》（格式十一）及</w:t>
      </w:r>
      <w:bookmarkEnd w:id="48"/>
      <w:r>
        <w:rPr>
          <w:rFonts w:hint="eastAsia" w:ascii="宋体" w:hAnsi="宋体" w:eastAsia="宋体" w:cs="宋体"/>
          <w:color w:val="auto"/>
          <w:spacing w:val="-1"/>
          <w:sz w:val="24"/>
          <w:szCs w:val="24"/>
          <w:highlight w:val="none"/>
        </w:rPr>
        <w:t>所附资料；</w:t>
      </w:r>
    </w:p>
    <w:p w14:paraId="58C0C275">
      <w:pPr>
        <w:spacing w:before="155"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（14）本节第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4"/>
          <w:sz w:val="24"/>
          <w:szCs w:val="24"/>
          <w:highlight w:val="none"/>
        </w:rPr>
        <w:t>15.5.1</w:t>
      </w:r>
      <w:r>
        <w:rPr>
          <w:rFonts w:hint="eastAsia" w:ascii="宋体" w:hAnsi="宋体" w:eastAsia="宋体" w:cs="宋体"/>
          <w:color w:val="auto"/>
          <w:spacing w:val="-4"/>
          <w:sz w:val="24"/>
          <w:szCs w:val="24"/>
          <w:highlight w:val="none"/>
        </w:rPr>
        <w:t>目“评标方法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”要求提供的</w:t>
      </w:r>
      <w:r>
        <w:rPr>
          <w:rFonts w:hint="eastAsia" w:ascii="宋体" w:hAnsi="宋体" w:eastAsia="宋体" w:cs="宋体"/>
          <w:color w:val="auto"/>
          <w:spacing w:val="-5"/>
          <w:sz w:val="24"/>
          <w:szCs w:val="24"/>
          <w:highlight w:val="none"/>
        </w:rPr>
        <w:t>评审资料；</w:t>
      </w:r>
    </w:p>
    <w:p w14:paraId="47D20E97">
      <w:pPr>
        <w:spacing w:before="78" w:line="299" w:lineRule="auto"/>
        <w:ind w:left="8" w:right="61" w:firstLine="49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（15）投标人认为有必要补充的其他资料。（例如投标人已经工商变更，但其企</w:t>
      </w:r>
      <w:r>
        <w:rPr>
          <w:rFonts w:hint="eastAsia" w:ascii="宋体" w:hAnsi="宋体" w:eastAsia="宋体" w:cs="宋体"/>
          <w:color w:val="auto"/>
          <w:spacing w:val="-1"/>
          <w:sz w:val="24"/>
          <w:szCs w:val="24"/>
          <w:highlight w:val="none"/>
        </w:rPr>
        <w:t>业资质证书、安全生产许可证或其员工执业资格注册证书上的企</w:t>
      </w:r>
      <w:r>
        <w:rPr>
          <w:rFonts w:hint="eastAsia" w:ascii="宋体" w:hAnsi="宋体" w:eastAsia="宋体" w:cs="宋体"/>
          <w:color w:val="auto"/>
          <w:spacing w:val="-2"/>
          <w:sz w:val="24"/>
          <w:szCs w:val="24"/>
          <w:highlight w:val="none"/>
        </w:rPr>
        <w:t>业名称未能在投标期</w:t>
      </w:r>
      <w:r>
        <w:rPr>
          <w:rFonts w:hint="eastAsia" w:ascii="宋体" w:hAnsi="宋体" w:eastAsia="宋体" w:cs="宋体"/>
          <w:color w:val="auto"/>
          <w:spacing w:val="-1"/>
          <w:sz w:val="24"/>
          <w:szCs w:val="24"/>
          <w:highlight w:val="none"/>
        </w:rPr>
        <w:t>间完成变更的书面说明和佐证材料等）</w:t>
      </w:r>
    </w:p>
    <w:p w14:paraId="24149AB2">
      <w:pPr>
        <w:spacing w:before="155" w:line="262" w:lineRule="auto"/>
        <w:ind w:left="9" w:right="61" w:firstLine="48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10.2.2  </w:t>
      </w:r>
      <w:r>
        <w:rPr>
          <w:rFonts w:hint="eastAsia" w:ascii="宋体" w:hAnsi="宋体" w:eastAsia="宋体" w:cs="宋体"/>
          <w:color w:val="auto"/>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z w:val="24"/>
          <w:szCs w:val="24"/>
          <w:highlight w:val="none"/>
        </w:rPr>
        <w:t>10.2.1</w:t>
      </w:r>
      <w:r>
        <w:rPr>
          <w:rFonts w:hint="eastAsia" w:ascii="宋体" w:hAnsi="宋体" w:eastAsia="宋体" w:cs="宋体"/>
          <w:color w:val="auto"/>
          <w:sz w:val="24"/>
          <w:szCs w:val="24"/>
          <w:highlight w:val="none"/>
        </w:rPr>
        <w:t>目中所列出的商务标书组成内容中，第（</w:t>
      </w:r>
      <w:r>
        <w:rPr>
          <w:rFonts w:hint="eastAsia" w:ascii="宋体" w:hAnsi="宋体" w:eastAsia="宋体" w:cs="宋体"/>
          <w:color w:val="auto"/>
          <w:spacing w:val="-1"/>
          <w:sz w:val="24"/>
          <w:szCs w:val="24"/>
          <w:highlight w:val="none"/>
        </w:rPr>
        <w:t>1）至第（13）项</w:t>
      </w:r>
      <w:r>
        <w:rPr>
          <w:rFonts w:hint="eastAsia" w:ascii="宋体" w:hAnsi="宋体" w:eastAsia="宋体" w:cs="宋体"/>
          <w:color w:val="auto"/>
          <w:sz w:val="24"/>
          <w:szCs w:val="24"/>
          <w:highlight w:val="none"/>
        </w:rPr>
        <w:t>所有投标人均应提供，</w:t>
      </w:r>
      <w:r>
        <w:rPr>
          <w:rFonts w:hint="eastAsia" w:ascii="宋体" w:hAnsi="宋体" w:eastAsia="宋体" w:cs="宋体"/>
          <w:b/>
          <w:bCs/>
          <w:color w:val="auto"/>
          <w:sz w:val="24"/>
          <w:szCs w:val="24"/>
          <w:highlight w:val="none"/>
        </w:rPr>
        <w:t>但非联合体投标的，</w:t>
      </w:r>
      <w:r>
        <w:rPr>
          <w:rFonts w:hint="eastAsia" w:ascii="宋体" w:hAnsi="宋体" w:eastAsia="宋体" w:cs="宋体"/>
          <w:b/>
          <w:bCs/>
          <w:color w:val="auto"/>
          <w:spacing w:val="-1"/>
          <w:sz w:val="24"/>
          <w:szCs w:val="24"/>
          <w:highlight w:val="none"/>
        </w:rPr>
        <w:t>无需提供第（7）项内容。</w:t>
      </w:r>
    </w:p>
    <w:p w14:paraId="189FCE5F">
      <w:pPr>
        <w:spacing w:before="199" w:line="279" w:lineRule="auto"/>
        <w:ind w:right="61"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10.2.3 </w:t>
      </w:r>
      <w:r>
        <w:rPr>
          <w:rFonts w:hint="eastAsia" w:ascii="宋体" w:hAnsi="宋体" w:eastAsia="宋体" w:cs="宋体"/>
          <w:color w:val="auto"/>
          <w:spacing w:val="-8"/>
          <w:sz w:val="24"/>
          <w:szCs w:val="24"/>
          <w:highlight w:val="none"/>
        </w:rPr>
        <w:t>商务标书的组成内容按本节第 10.2.1 目规定的顺序整理、编排后，逐页（页</w:t>
      </w:r>
      <w:r>
        <w:rPr>
          <w:rFonts w:hint="eastAsia" w:ascii="宋体" w:hAnsi="宋体" w:eastAsia="宋体" w:cs="宋体"/>
          <w:color w:val="auto"/>
          <w:spacing w:val="-1"/>
          <w:sz w:val="24"/>
          <w:szCs w:val="24"/>
          <w:highlight w:val="none"/>
        </w:rPr>
        <w:t>码起始从封面开始）连续标记页码。</w:t>
      </w:r>
    </w:p>
    <w:p w14:paraId="00D341F8">
      <w:pPr>
        <w:pStyle w:val="5"/>
        <w:spacing w:line="257" w:lineRule="auto"/>
        <w:rPr>
          <w:rFonts w:hint="eastAsia" w:ascii="宋体" w:hAnsi="宋体" w:eastAsia="宋体" w:cs="宋体"/>
          <w:color w:val="auto"/>
          <w:highlight w:val="none"/>
        </w:rPr>
      </w:pPr>
    </w:p>
    <w:p w14:paraId="05E2DA61">
      <w:pPr>
        <w:spacing w:before="78" w:line="219" w:lineRule="auto"/>
        <w:ind w:left="496"/>
        <w:outlineLvl w:val="3"/>
        <w:rPr>
          <w:rFonts w:hint="eastAsia" w:ascii="宋体" w:hAnsi="宋体" w:eastAsia="宋体" w:cs="宋体"/>
          <w:b/>
          <w:bCs/>
          <w:color w:val="auto"/>
          <w:sz w:val="24"/>
          <w:szCs w:val="24"/>
          <w:highlight w:val="none"/>
        </w:rPr>
      </w:pPr>
      <w:bookmarkStart w:id="49" w:name="_Toc10602"/>
      <w:bookmarkStart w:id="50" w:name="_Toc29370"/>
      <w:r>
        <w:rPr>
          <w:rFonts w:hint="eastAsia" w:ascii="宋体" w:hAnsi="宋体" w:eastAsia="宋体" w:cs="宋体"/>
          <w:b/>
          <w:bCs/>
          <w:color w:val="auto"/>
          <w:spacing w:val="-2"/>
          <w:sz w:val="24"/>
          <w:szCs w:val="24"/>
          <w:highlight w:val="none"/>
        </w:rPr>
        <w:t>10.3  经济标书的编制要求</w:t>
      </w:r>
      <w:bookmarkEnd w:id="49"/>
      <w:bookmarkEnd w:id="50"/>
    </w:p>
    <w:p w14:paraId="4D7F8054">
      <w:pPr>
        <w:spacing w:before="154"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10.3.1  </w:t>
      </w:r>
      <w:r>
        <w:rPr>
          <w:rFonts w:hint="eastAsia" w:ascii="宋体" w:hAnsi="宋体" w:eastAsia="宋体" w:cs="宋体"/>
          <w:color w:val="auto"/>
          <w:spacing w:val="-1"/>
          <w:sz w:val="24"/>
          <w:szCs w:val="24"/>
          <w:highlight w:val="none"/>
        </w:rPr>
        <w:t>经济标书包括以下内容：</w:t>
      </w:r>
    </w:p>
    <w:p w14:paraId="047BAC7D">
      <w:pPr>
        <w:spacing w:before="156"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6558A67D">
      <w:pPr>
        <w:spacing w:before="153" w:line="222"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31ADD06E">
      <w:pPr>
        <w:spacing w:before="150"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（3）《投标总价》(即表B.3.1)；</w:t>
      </w:r>
    </w:p>
    <w:p w14:paraId="19D1E9E0">
      <w:pPr>
        <w:spacing w:before="157" w:line="219" w:lineRule="auto"/>
        <w:ind w:left="4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说明：《投标总价》的格式按照《建设工程工程量</w:t>
      </w:r>
      <w:r>
        <w:rPr>
          <w:rFonts w:hint="eastAsia" w:ascii="宋体" w:hAnsi="宋体" w:eastAsia="宋体" w:cs="宋体"/>
          <w:color w:val="auto"/>
          <w:spacing w:val="-1"/>
          <w:sz w:val="24"/>
          <w:szCs w:val="24"/>
          <w:highlight w:val="none"/>
        </w:rPr>
        <w:t>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1"/>
          <w:sz w:val="24"/>
          <w:szCs w:val="24"/>
          <w:highlight w:val="none"/>
        </w:rPr>
        <w:t>）执行，并应满足以下要求：</w:t>
      </w:r>
    </w:p>
    <w:p w14:paraId="4223BCAD">
      <w:pPr>
        <w:keepNext w:val="0"/>
        <w:keepLines w:val="0"/>
        <w:pageBreakBefore w:val="0"/>
        <w:widowControl w:val="0"/>
        <w:shd w:val="clear" w:color="auto" w:fill="auto"/>
        <w:tabs>
          <w:tab w:val="left" w:pos="7020"/>
        </w:tabs>
        <w:kinsoku/>
        <w:wordWrap w:val="0"/>
        <w:overflowPunct/>
        <w:topLinePunct w:val="0"/>
        <w:autoSpaceDE/>
        <w:autoSpaceDN/>
        <w:bidi w:val="0"/>
        <w:adjustRightInd w:val="0"/>
        <w:snapToGrid w:val="0"/>
        <w:spacing w:line="414" w:lineRule="exact"/>
        <w:ind w:firstLine="482" w:firstLineChars="200"/>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lang w:eastAsia="zh-CN"/>
        </w:rPr>
        <w:t>a．</w:t>
      </w:r>
      <w:r>
        <w:rPr>
          <w:rFonts w:hint="eastAsia" w:ascii="宋体" w:hAnsi="宋体" w:eastAsia="宋体" w:cs="宋体"/>
          <w:snapToGrid w:val="0"/>
          <w:color w:val="auto"/>
          <w:kern w:val="0"/>
          <w:sz w:val="24"/>
          <w:szCs w:val="24"/>
          <w:highlight w:val="none"/>
          <w:lang w:eastAsia="zh-CN"/>
        </w:rPr>
        <w:t>《投标总价扉页》后应附编制人的造价工程师注册证书彩色扫描 件（须扫描至变更注册栏，一级造价师或二级造价师均可提供电子证书）；投标人委托造价咨询单位编制《投标总价》的，在该扉页“投标人 ”栏目加盖造价咨询人公章，并在该扉页后附造价咨询人的营业执照彩色扫描件。</w:t>
      </w:r>
    </w:p>
    <w:p w14:paraId="722B1CB1">
      <w:pPr>
        <w:keepNext w:val="0"/>
        <w:keepLines w:val="0"/>
        <w:pageBreakBefore w:val="0"/>
        <w:widowControl w:val="0"/>
        <w:shd w:val="clear" w:color="auto" w:fill="auto"/>
        <w:tabs>
          <w:tab w:val="left" w:pos="7020"/>
        </w:tabs>
        <w:kinsoku/>
        <w:wordWrap w:val="0"/>
        <w:overflowPunct/>
        <w:topLinePunct w:val="0"/>
        <w:autoSpaceDE/>
        <w:autoSpaceDN/>
        <w:bidi w:val="0"/>
        <w:adjustRightInd w:val="0"/>
        <w:snapToGrid w:val="0"/>
        <w:spacing w:line="414" w:lineRule="exact"/>
        <w:ind w:firstLine="482" w:firstLineChars="200"/>
        <w:jc w:val="both"/>
        <w:textAlignment w:val="auto"/>
        <w:rPr>
          <w:rFonts w:hint="eastAsia" w:ascii="宋体" w:hAnsi="宋体" w:eastAsia="宋体" w:cs="宋体"/>
          <w:b/>
          <w:bCs/>
          <w:color w:val="auto"/>
          <w:spacing w:val="2"/>
          <w:sz w:val="24"/>
          <w:szCs w:val="24"/>
          <w:highlight w:val="none"/>
          <w:lang w:val="en-US" w:eastAsia="zh-CN"/>
        </w:rPr>
      </w:pPr>
      <w:r>
        <w:rPr>
          <w:rFonts w:hint="eastAsia" w:ascii="宋体" w:hAnsi="宋体" w:eastAsia="宋体" w:cs="宋体"/>
          <w:b/>
          <w:bCs/>
          <w:snapToGrid w:val="0"/>
          <w:color w:val="auto"/>
          <w:kern w:val="0"/>
          <w:sz w:val="24"/>
          <w:szCs w:val="24"/>
          <w:highlight w:val="none"/>
          <w:lang w:eastAsia="zh-CN"/>
        </w:rPr>
        <w:t>b．</w:t>
      </w:r>
      <w:r>
        <w:rPr>
          <w:rFonts w:hint="eastAsia" w:ascii="宋体" w:hAnsi="宋体" w:eastAsia="宋体" w:cs="宋体"/>
          <w:snapToGrid w:val="0"/>
          <w:color w:val="auto"/>
          <w:kern w:val="0"/>
          <w:sz w:val="24"/>
          <w:szCs w:val="24"/>
          <w:highlight w:val="none"/>
          <w:lang w:eastAsia="zh-CN"/>
        </w:rPr>
        <w:t>投标人认为有必要补充的其他资料（例如关于投标总价下浮率超过 15%的书面说明和佐证材料）。</w:t>
      </w:r>
    </w:p>
    <w:p w14:paraId="5A9B40CD">
      <w:pPr>
        <w:spacing w:before="119" w:line="314" w:lineRule="auto"/>
        <w:ind w:left="10" w:right="6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b/>
          <w:bCs/>
          <w:color w:val="auto"/>
          <w:spacing w:val="2"/>
          <w:sz w:val="24"/>
          <w:szCs w:val="24"/>
          <w:highlight w:val="none"/>
          <w:lang w:val="en-US" w:eastAsia="zh-CN"/>
        </w:rPr>
        <w:t>4</w:t>
      </w: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color w:val="auto"/>
          <w:spacing w:val="2"/>
          <w:sz w:val="24"/>
          <w:szCs w:val="24"/>
          <w:highlight w:val="none"/>
        </w:rPr>
        <w:t>投标人认为有必要补充的其他资料(例如关于投标报价低于招标项目的成本警示价的书面说明和佐证材料)</w:t>
      </w:r>
      <w:r>
        <w:rPr>
          <w:rFonts w:hint="eastAsia" w:ascii="宋体" w:hAnsi="宋体" w:eastAsia="宋体" w:cs="宋体"/>
          <w:color w:val="auto"/>
          <w:spacing w:val="-2"/>
          <w:sz w:val="24"/>
          <w:szCs w:val="24"/>
          <w:highlight w:val="none"/>
        </w:rPr>
        <w:t>。</w:t>
      </w:r>
    </w:p>
    <w:p w14:paraId="2F5BB681">
      <w:pPr>
        <w:spacing w:before="99" w:line="280" w:lineRule="auto"/>
        <w:ind w:left="10" w:right="63"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10.3.2  </w:t>
      </w:r>
      <w:r>
        <w:rPr>
          <w:rFonts w:hint="eastAsia" w:ascii="宋体" w:hAnsi="宋体" w:eastAsia="宋体" w:cs="宋体"/>
          <w:color w:val="auto"/>
          <w:spacing w:val="-3"/>
          <w:sz w:val="24"/>
          <w:szCs w:val="24"/>
          <w:highlight w:val="none"/>
        </w:rPr>
        <w:t>本节第</w:t>
      </w:r>
      <w:r>
        <w:rPr>
          <w:rFonts w:hint="eastAsia" w:ascii="宋体" w:hAnsi="宋体" w:eastAsia="宋体" w:cs="宋体"/>
          <w:color w:val="auto"/>
          <w:spacing w:val="-38"/>
          <w:sz w:val="24"/>
          <w:szCs w:val="24"/>
          <w:highlight w:val="none"/>
        </w:rPr>
        <w:t xml:space="preserve"> </w:t>
      </w:r>
      <w:r>
        <w:rPr>
          <w:rFonts w:hint="eastAsia" w:ascii="宋体" w:hAnsi="宋体" w:eastAsia="宋体" w:cs="宋体"/>
          <w:b/>
          <w:bCs/>
          <w:color w:val="auto"/>
          <w:spacing w:val="-3"/>
          <w:sz w:val="24"/>
          <w:szCs w:val="24"/>
          <w:highlight w:val="none"/>
        </w:rPr>
        <w:t>10.3.1</w:t>
      </w:r>
      <w:r>
        <w:rPr>
          <w:rFonts w:hint="eastAsia" w:ascii="宋体" w:hAnsi="宋体" w:eastAsia="宋体" w:cs="宋体"/>
          <w:color w:val="auto"/>
          <w:spacing w:val="-3"/>
          <w:sz w:val="24"/>
          <w:szCs w:val="24"/>
          <w:highlight w:val="none"/>
        </w:rPr>
        <w:t>目中所列出的经济标书组成内容中，第（1）至第（3）项所</w:t>
      </w:r>
      <w:r>
        <w:rPr>
          <w:rFonts w:hint="eastAsia" w:ascii="宋体" w:hAnsi="宋体" w:eastAsia="宋体" w:cs="宋体"/>
          <w:color w:val="auto"/>
          <w:spacing w:val="-2"/>
          <w:sz w:val="24"/>
          <w:szCs w:val="24"/>
          <w:highlight w:val="none"/>
        </w:rPr>
        <w:t>有投标人均应提供。</w:t>
      </w:r>
    </w:p>
    <w:p w14:paraId="755A525F">
      <w:pPr>
        <w:spacing w:before="155" w:line="279" w:lineRule="auto"/>
        <w:ind w:left="8" w:right="61"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0"/>
          <w:sz w:val="24"/>
          <w:szCs w:val="24"/>
          <w:highlight w:val="none"/>
        </w:rPr>
        <w:t>10.3.3</w:t>
      </w:r>
      <w:r>
        <w:rPr>
          <w:rFonts w:hint="eastAsia" w:ascii="宋体" w:hAnsi="宋体" w:eastAsia="宋体" w:cs="宋体"/>
          <w:b/>
          <w:bCs/>
          <w:color w:val="auto"/>
          <w:spacing w:val="12"/>
          <w:sz w:val="24"/>
          <w:szCs w:val="24"/>
          <w:highlight w:val="none"/>
        </w:rPr>
        <w:t xml:space="preserve"> </w:t>
      </w:r>
      <w:r>
        <w:rPr>
          <w:rFonts w:hint="eastAsia" w:ascii="宋体" w:hAnsi="宋体" w:eastAsia="宋体" w:cs="宋体"/>
          <w:color w:val="auto"/>
          <w:spacing w:val="-10"/>
          <w:sz w:val="24"/>
          <w:szCs w:val="24"/>
          <w:highlight w:val="none"/>
        </w:rPr>
        <w:t>经济标书的组成内容按本节第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w:t>
      </w:r>
      <w:r>
        <w:rPr>
          <w:rFonts w:hint="eastAsia" w:ascii="宋体" w:hAnsi="宋体" w:eastAsia="宋体" w:cs="宋体"/>
          <w:color w:val="auto"/>
          <w:spacing w:val="-11"/>
          <w:sz w:val="24"/>
          <w:szCs w:val="24"/>
          <w:highlight w:val="none"/>
        </w:rPr>
        <w:t>.3.1 目规定的顺序整理、编排后，逐页（页</w:t>
      </w:r>
      <w:r>
        <w:rPr>
          <w:rFonts w:hint="eastAsia" w:ascii="宋体" w:hAnsi="宋体" w:eastAsia="宋体" w:cs="宋体"/>
          <w:color w:val="auto"/>
          <w:spacing w:val="-1"/>
          <w:sz w:val="24"/>
          <w:szCs w:val="24"/>
          <w:highlight w:val="none"/>
        </w:rPr>
        <w:t>码起始从封面开始）连续标记页码。</w:t>
      </w:r>
    </w:p>
    <w:p w14:paraId="06BCCAAB">
      <w:pPr>
        <w:spacing w:before="82" w:line="213" w:lineRule="auto"/>
        <w:ind w:left="496"/>
        <w:outlineLvl w:val="3"/>
        <w:rPr>
          <w:rFonts w:hint="eastAsia" w:ascii="宋体" w:hAnsi="宋体" w:eastAsia="宋体" w:cs="宋体"/>
          <w:b/>
          <w:bCs/>
          <w:color w:val="auto"/>
          <w:sz w:val="25"/>
          <w:szCs w:val="25"/>
          <w:highlight w:val="none"/>
        </w:rPr>
      </w:pPr>
      <w:r>
        <w:rPr>
          <w:rFonts w:hint="eastAsia" w:ascii="宋体" w:hAnsi="宋体" w:eastAsia="宋体" w:cs="宋体"/>
          <w:b/>
          <w:bCs/>
          <w:color w:val="auto"/>
          <w:spacing w:val="-3"/>
          <w:sz w:val="24"/>
          <w:szCs w:val="24"/>
          <w:highlight w:val="none"/>
        </w:rPr>
        <w:t>10.4  施工组织设计的编制要求</w:t>
      </w:r>
    </w:p>
    <w:p w14:paraId="768CF899">
      <w:pPr>
        <w:spacing w:before="151"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10.4.1 </w:t>
      </w:r>
      <w:r>
        <w:rPr>
          <w:rFonts w:hint="eastAsia" w:ascii="宋体" w:hAnsi="宋体" w:eastAsia="宋体" w:cs="宋体"/>
          <w:color w:val="auto"/>
          <w:spacing w:val="-1"/>
          <w:sz w:val="24"/>
          <w:szCs w:val="24"/>
          <w:highlight w:val="none"/>
        </w:rPr>
        <w:t>施工组织设计的编制依据包括且不限于：</w:t>
      </w:r>
    </w:p>
    <w:p w14:paraId="1E40B774">
      <w:pPr>
        <w:spacing w:before="156"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（1）招标文件及其答疑（或修改）公告；</w:t>
      </w:r>
    </w:p>
    <w:p w14:paraId="4975F0E4">
      <w:pPr>
        <w:spacing w:before="155" w:line="221"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（2）施工图及相关资料；</w:t>
      </w:r>
    </w:p>
    <w:p w14:paraId="6E3E7330">
      <w:pPr>
        <w:spacing w:before="152"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（3）施工现场情况、工程特点；</w:t>
      </w:r>
    </w:p>
    <w:p w14:paraId="1323D629">
      <w:pPr>
        <w:spacing w:before="78"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（4）相关法律、法规、规定；</w:t>
      </w:r>
    </w:p>
    <w:p w14:paraId="546827BB">
      <w:pPr>
        <w:spacing w:before="153" w:line="299" w:lineRule="auto"/>
        <w:ind w:left="10" w:right="211"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（5）国家、广东省、韶关市关于施工现场管理、施工工艺</w:t>
      </w:r>
      <w:r>
        <w:rPr>
          <w:rFonts w:hint="eastAsia" w:ascii="宋体" w:hAnsi="宋体" w:eastAsia="宋体" w:cs="宋体"/>
          <w:color w:val="auto"/>
          <w:spacing w:val="1"/>
          <w:sz w:val="24"/>
          <w:szCs w:val="24"/>
          <w:highlight w:val="none"/>
        </w:rPr>
        <w:t>、绿色施工、安全防</w:t>
      </w:r>
      <w:r>
        <w:rPr>
          <w:rFonts w:hint="eastAsia" w:ascii="宋体" w:hAnsi="宋体" w:eastAsia="宋体" w:cs="宋体"/>
          <w:color w:val="auto"/>
          <w:spacing w:val="-1"/>
          <w:sz w:val="24"/>
          <w:szCs w:val="24"/>
          <w:highlight w:val="none"/>
        </w:rPr>
        <w:t>护、文明施工、环境保护等方面的标准、规范、技术资料。</w:t>
      </w:r>
      <w:r>
        <w:rPr>
          <w:rFonts w:hint="eastAsia" w:ascii="宋体" w:hAnsi="宋体" w:eastAsia="宋体" w:cs="宋体"/>
          <w:color w:val="auto"/>
          <w:spacing w:val="-2"/>
          <w:sz w:val="24"/>
          <w:szCs w:val="24"/>
          <w:highlight w:val="none"/>
        </w:rPr>
        <w:t>如《广东省住房和城乡建</w:t>
      </w:r>
      <w:r>
        <w:rPr>
          <w:rFonts w:hint="eastAsia" w:ascii="宋体" w:hAnsi="宋体" w:eastAsia="宋体" w:cs="宋体"/>
          <w:color w:val="auto"/>
          <w:sz w:val="24"/>
          <w:szCs w:val="24"/>
          <w:highlight w:val="none"/>
        </w:rPr>
        <w:t>设厅绿色施工导则》《广东省建设工程施工扬尘污染防</w:t>
      </w:r>
      <w:r>
        <w:rPr>
          <w:rFonts w:hint="eastAsia" w:ascii="宋体" w:hAnsi="宋体" w:eastAsia="宋体" w:cs="宋体"/>
          <w:color w:val="auto"/>
          <w:spacing w:val="-1"/>
          <w:sz w:val="24"/>
          <w:szCs w:val="24"/>
          <w:highlight w:val="none"/>
        </w:rPr>
        <w:t>治管理办法（试行）》等；</w:t>
      </w:r>
    </w:p>
    <w:p w14:paraId="7973C375">
      <w:pPr>
        <w:spacing w:before="155"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（6）企业内部标准、工法。</w:t>
      </w:r>
    </w:p>
    <w:p w14:paraId="43414437">
      <w:pPr>
        <w:spacing w:before="153"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10.4.2 </w:t>
      </w:r>
      <w:r>
        <w:rPr>
          <w:rFonts w:hint="eastAsia" w:ascii="宋体" w:hAnsi="宋体" w:eastAsia="宋体" w:cs="宋体"/>
          <w:color w:val="auto"/>
          <w:spacing w:val="-1"/>
          <w:sz w:val="24"/>
          <w:szCs w:val="24"/>
          <w:highlight w:val="none"/>
        </w:rPr>
        <w:t>施工组织设计包括但不限于以下内容：</w:t>
      </w:r>
    </w:p>
    <w:p w14:paraId="4448288D">
      <w:pPr>
        <w:spacing w:before="153"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3BC2A7E8">
      <w:pPr>
        <w:spacing w:before="156" w:line="222"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3D46DDF6">
      <w:pPr>
        <w:spacing w:before="150"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（3）总体概述（包括施工程序总体设想及施工段划分等内容</w:t>
      </w:r>
      <w:r>
        <w:rPr>
          <w:rFonts w:hint="eastAsia" w:ascii="宋体" w:hAnsi="宋体" w:eastAsia="宋体" w:cs="宋体"/>
          <w:color w:val="auto"/>
          <w:spacing w:val="2"/>
          <w:sz w:val="24"/>
          <w:szCs w:val="24"/>
          <w:highlight w:val="none"/>
        </w:rPr>
        <w:t>）；</w:t>
      </w:r>
    </w:p>
    <w:p w14:paraId="23C15B5F">
      <w:pPr>
        <w:spacing w:before="154" w:line="299" w:lineRule="auto"/>
        <w:ind w:left="9" w:right="21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（4）施工总进度计划及保证措施（包括进度管理目标；以</w:t>
      </w:r>
      <w:r>
        <w:rPr>
          <w:rFonts w:hint="eastAsia" w:ascii="宋体" w:hAnsi="宋体" w:eastAsia="宋体" w:cs="宋体"/>
          <w:color w:val="auto"/>
          <w:spacing w:val="1"/>
          <w:sz w:val="24"/>
          <w:szCs w:val="24"/>
          <w:highlight w:val="none"/>
        </w:rPr>
        <w:t>横道图或标明关键线</w:t>
      </w:r>
      <w:r>
        <w:rPr>
          <w:rFonts w:hint="eastAsia" w:ascii="宋体" w:hAnsi="宋体" w:eastAsia="宋体" w:cs="宋体"/>
          <w:color w:val="auto"/>
          <w:spacing w:val="-1"/>
          <w:sz w:val="24"/>
          <w:szCs w:val="24"/>
          <w:highlight w:val="none"/>
        </w:rPr>
        <w:t>路的网络进度计划；保障进度计划需要的人、材、机需求计划</w:t>
      </w:r>
      <w:r>
        <w:rPr>
          <w:rFonts w:hint="eastAsia" w:ascii="宋体" w:hAnsi="宋体" w:eastAsia="宋体" w:cs="宋体"/>
          <w:color w:val="auto"/>
          <w:spacing w:val="-2"/>
          <w:sz w:val="24"/>
          <w:szCs w:val="24"/>
          <w:highlight w:val="none"/>
        </w:rPr>
        <w:t>及保证措施；违约责任承诺等内容</w:t>
      </w:r>
      <w:r>
        <w:rPr>
          <w:rFonts w:hint="eastAsia" w:ascii="宋体" w:hAnsi="宋体" w:eastAsia="宋体" w:cs="宋体"/>
          <w:color w:val="auto"/>
          <w:sz w:val="24"/>
          <w:szCs w:val="24"/>
          <w:highlight w:val="none"/>
        </w:rPr>
        <w:t>）；</w:t>
      </w:r>
    </w:p>
    <w:p w14:paraId="413C1EC3">
      <w:pPr>
        <w:spacing w:before="153"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（5）质量保证措施（包括质量管理目标；相应保证措施；违约责任承诺</w:t>
      </w:r>
      <w:r>
        <w:rPr>
          <w:rFonts w:hint="eastAsia" w:ascii="宋体" w:hAnsi="宋体" w:eastAsia="宋体" w:cs="宋体"/>
          <w:color w:val="auto"/>
          <w:spacing w:val="-6"/>
          <w:sz w:val="24"/>
          <w:szCs w:val="24"/>
          <w:highlight w:val="none"/>
        </w:rPr>
        <w:t>等内容</w:t>
      </w:r>
      <w:r>
        <w:rPr>
          <w:rFonts w:hint="eastAsia" w:ascii="宋体" w:hAnsi="宋体" w:eastAsia="宋体" w:cs="宋体"/>
          <w:color w:val="auto"/>
          <w:spacing w:val="-62"/>
          <w:w w:val="97"/>
          <w:sz w:val="24"/>
          <w:szCs w:val="24"/>
          <w:highlight w:val="none"/>
        </w:rPr>
        <w:t>）；</w:t>
      </w:r>
    </w:p>
    <w:p w14:paraId="63DC62FA">
      <w:pPr>
        <w:spacing w:before="156" w:line="279" w:lineRule="auto"/>
        <w:ind w:left="11" w:right="211"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（6）施工技术措施（包括关键施工技术、工艺及工程项目</w:t>
      </w:r>
      <w:r>
        <w:rPr>
          <w:rFonts w:hint="eastAsia" w:ascii="宋体" w:hAnsi="宋体" w:eastAsia="宋体" w:cs="宋体"/>
          <w:color w:val="auto"/>
          <w:spacing w:val="1"/>
          <w:sz w:val="24"/>
          <w:szCs w:val="24"/>
          <w:highlight w:val="none"/>
        </w:rPr>
        <w:t>实施的重点、难点分</w:t>
      </w:r>
      <w:r>
        <w:rPr>
          <w:rFonts w:hint="eastAsia" w:ascii="宋体" w:hAnsi="宋体" w:eastAsia="宋体" w:cs="宋体"/>
          <w:color w:val="auto"/>
          <w:spacing w:val="-1"/>
          <w:sz w:val="24"/>
          <w:szCs w:val="24"/>
          <w:highlight w:val="none"/>
        </w:rPr>
        <w:t>析和解决方案；新技术应用与承诺等内容</w:t>
      </w:r>
      <w:r>
        <w:rPr>
          <w:rFonts w:hint="eastAsia" w:ascii="宋体" w:hAnsi="宋体" w:eastAsia="宋体" w:cs="宋体"/>
          <w:color w:val="auto"/>
          <w:spacing w:val="2"/>
          <w:sz w:val="24"/>
          <w:szCs w:val="24"/>
          <w:highlight w:val="none"/>
        </w:rPr>
        <w:t>）；</w:t>
      </w:r>
    </w:p>
    <w:p w14:paraId="7BB5E824">
      <w:pPr>
        <w:spacing w:before="118" w:line="297" w:lineRule="auto"/>
        <w:ind w:left="11" w:right="31" w:firstLine="489"/>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（7）绿色施工、安全防护、文明施工措施计划(应对建设单位组织的勘察设计等单位在施工招标文件中列出的危大工程清单(详见格式十三)进行投标文件回应，如有)</w:t>
      </w:r>
      <w:r>
        <w:rPr>
          <w:rFonts w:hint="eastAsia" w:ascii="宋体" w:hAnsi="宋体" w:eastAsia="宋体" w:cs="宋体"/>
          <w:color w:val="auto"/>
          <w:spacing w:val="-3"/>
          <w:sz w:val="24"/>
          <w:szCs w:val="24"/>
          <w:highlight w:val="none"/>
        </w:rPr>
        <w:t>；</w:t>
      </w:r>
    </w:p>
    <w:p w14:paraId="02E9B450">
      <w:pPr>
        <w:spacing w:before="118" w:line="297" w:lineRule="auto"/>
        <w:ind w:left="11" w:right="31"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（8）施工现场总平面布置（</w:t>
      </w:r>
      <w:bookmarkStart w:id="51" w:name="OLE_LINK8"/>
      <w:r>
        <w:rPr>
          <w:rFonts w:hint="eastAsia" w:ascii="宋体" w:hAnsi="宋体" w:eastAsia="宋体" w:cs="宋体"/>
          <w:color w:val="auto"/>
          <w:spacing w:val="2"/>
          <w:sz w:val="24"/>
          <w:szCs w:val="24"/>
          <w:highlight w:val="none"/>
        </w:rPr>
        <w:t>投标人应递交一份施工现场总</w:t>
      </w:r>
      <w:r>
        <w:rPr>
          <w:rFonts w:hint="eastAsia" w:ascii="宋体" w:hAnsi="宋体" w:eastAsia="宋体" w:cs="宋体"/>
          <w:color w:val="auto"/>
          <w:spacing w:val="1"/>
          <w:sz w:val="24"/>
          <w:szCs w:val="24"/>
          <w:highlight w:val="none"/>
        </w:rPr>
        <w:t>平面布置图，绘出现</w:t>
      </w:r>
      <w:r>
        <w:rPr>
          <w:rFonts w:hint="eastAsia" w:ascii="宋体" w:hAnsi="宋体" w:eastAsia="宋体" w:cs="宋体"/>
          <w:color w:val="auto"/>
          <w:spacing w:val="-1"/>
          <w:sz w:val="24"/>
          <w:szCs w:val="24"/>
          <w:highlight w:val="none"/>
        </w:rPr>
        <w:t>场临时设施布置图表并附文字说明，说明临时设施、加工车间、</w:t>
      </w:r>
      <w:r>
        <w:rPr>
          <w:rFonts w:hint="eastAsia" w:ascii="宋体" w:hAnsi="宋体" w:eastAsia="宋体" w:cs="宋体"/>
          <w:color w:val="auto"/>
          <w:spacing w:val="-2"/>
          <w:sz w:val="24"/>
          <w:szCs w:val="24"/>
          <w:highlight w:val="none"/>
        </w:rPr>
        <w:t>现场办公、设备及仓</w:t>
      </w:r>
      <w:r>
        <w:rPr>
          <w:rFonts w:hint="eastAsia" w:ascii="宋体" w:hAnsi="宋体" w:eastAsia="宋体" w:cs="宋体"/>
          <w:color w:val="auto"/>
          <w:spacing w:val="-1"/>
          <w:sz w:val="24"/>
          <w:szCs w:val="24"/>
          <w:highlight w:val="none"/>
        </w:rPr>
        <w:t>储、供电、供水、卫生、生活、道路、消防等设施的情况和布置</w:t>
      </w:r>
      <w:bookmarkEnd w:id="51"/>
      <w:r>
        <w:rPr>
          <w:rFonts w:hint="eastAsia" w:ascii="宋体" w:hAnsi="宋体" w:eastAsia="宋体" w:cs="宋体"/>
          <w:color w:val="auto"/>
          <w:spacing w:val="9"/>
          <w:sz w:val="24"/>
          <w:szCs w:val="24"/>
          <w:highlight w:val="none"/>
        </w:rPr>
        <w:t>）；</w:t>
      </w:r>
    </w:p>
    <w:p w14:paraId="5E69FD0B">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（9）项目管理机构。</w:t>
      </w:r>
    </w:p>
    <w:p w14:paraId="10315D49">
      <w:pPr>
        <w:spacing w:before="154" w:line="280" w:lineRule="auto"/>
        <w:ind w:right="211"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（10）投标人认为有必要补充的其他内容（例如对总包管理的认识以及对专业分</w:t>
      </w:r>
      <w:r>
        <w:rPr>
          <w:rFonts w:hint="eastAsia" w:ascii="宋体" w:hAnsi="宋体" w:eastAsia="宋体" w:cs="宋体"/>
          <w:color w:val="auto"/>
          <w:spacing w:val="-1"/>
          <w:sz w:val="24"/>
          <w:szCs w:val="24"/>
          <w:highlight w:val="none"/>
        </w:rPr>
        <w:t>包工程的管理、协调、配合、服务方案）。</w:t>
      </w:r>
    </w:p>
    <w:p w14:paraId="33E7EB44">
      <w:pPr>
        <w:spacing w:before="152" w:line="279" w:lineRule="auto"/>
        <w:ind w:right="196" w:firstLine="474"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10.4.3  </w:t>
      </w:r>
      <w:r>
        <w:rPr>
          <w:rFonts w:hint="eastAsia" w:ascii="宋体" w:hAnsi="宋体" w:eastAsia="宋体" w:cs="宋体"/>
          <w:color w:val="auto"/>
          <w:spacing w:val="-2"/>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2"/>
          <w:sz w:val="24"/>
          <w:szCs w:val="24"/>
          <w:highlight w:val="none"/>
        </w:rPr>
        <w:t>10.4.2</w:t>
      </w:r>
      <w:r>
        <w:rPr>
          <w:rFonts w:hint="eastAsia" w:ascii="宋体" w:hAnsi="宋体" w:eastAsia="宋体" w:cs="宋体"/>
          <w:color w:val="auto"/>
          <w:spacing w:val="-2"/>
          <w:sz w:val="24"/>
          <w:szCs w:val="24"/>
          <w:highlight w:val="none"/>
        </w:rPr>
        <w:t>目中所列出</w:t>
      </w:r>
      <w:r>
        <w:rPr>
          <w:rFonts w:hint="eastAsia" w:ascii="宋体" w:hAnsi="宋体" w:eastAsia="宋体" w:cs="宋体"/>
          <w:color w:val="auto"/>
          <w:spacing w:val="-3"/>
          <w:sz w:val="24"/>
          <w:szCs w:val="24"/>
          <w:highlight w:val="none"/>
        </w:rPr>
        <w:t>的施工组织设计组成内容中，第（1）至第（9）</w:t>
      </w:r>
      <w:r>
        <w:rPr>
          <w:rFonts w:hint="eastAsia" w:ascii="宋体" w:hAnsi="宋体" w:eastAsia="宋体" w:cs="宋体"/>
          <w:color w:val="auto"/>
          <w:spacing w:val="-2"/>
          <w:sz w:val="24"/>
          <w:szCs w:val="24"/>
          <w:highlight w:val="none"/>
        </w:rPr>
        <w:t>项所有投标人均应提供。</w:t>
      </w:r>
    </w:p>
    <w:p w14:paraId="56491334">
      <w:pPr>
        <w:spacing w:before="157" w:line="279" w:lineRule="auto"/>
        <w:ind w:right="211" w:firstLine="462" w:firstLineChars="200"/>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5"/>
          <w:sz w:val="24"/>
          <w:szCs w:val="24"/>
          <w:highlight w:val="none"/>
        </w:rPr>
        <w:t xml:space="preserve">10.4.4 </w:t>
      </w:r>
      <w:r>
        <w:rPr>
          <w:rFonts w:hint="eastAsia" w:ascii="宋体" w:hAnsi="宋体" w:eastAsia="宋体" w:cs="宋体"/>
          <w:color w:val="auto"/>
          <w:spacing w:val="-5"/>
          <w:sz w:val="24"/>
          <w:szCs w:val="24"/>
          <w:highlight w:val="none"/>
        </w:rPr>
        <w:t>施工组织设计的组成内容按本节第</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5"/>
          <w:sz w:val="24"/>
          <w:szCs w:val="24"/>
          <w:highlight w:val="none"/>
        </w:rPr>
        <w:t>10.4.2 目规定的顺序整理、编排后，逐</w:t>
      </w:r>
      <w:r>
        <w:rPr>
          <w:rFonts w:hint="eastAsia" w:ascii="宋体" w:hAnsi="宋体" w:eastAsia="宋体" w:cs="宋体"/>
          <w:color w:val="auto"/>
          <w:spacing w:val="-1"/>
          <w:sz w:val="24"/>
          <w:szCs w:val="24"/>
          <w:highlight w:val="none"/>
        </w:rPr>
        <w:t>页（页码起始从封面开始）连续标记页码。</w:t>
      </w:r>
    </w:p>
    <w:p w14:paraId="702A1AEA">
      <w:pPr>
        <w:ind w:firstLine="472"/>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b/>
          <w:bCs/>
          <w:color w:val="auto"/>
          <w:spacing w:val="-1"/>
          <w:sz w:val="24"/>
          <w:szCs w:val="24"/>
          <w:highlight w:val="none"/>
        </w:rPr>
        <w:t>10.4.5</w:t>
      </w:r>
      <w:bookmarkStart w:id="52" w:name="OLE_LINK9"/>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施工组织设计的正文不得超过</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u w:val="single"/>
          <w:lang w:val="en-US" w:eastAsia="zh-CN"/>
        </w:rPr>
        <w:t>150</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rPr>
        <w:t>页</w:t>
      </w:r>
      <w:r>
        <w:rPr>
          <w:rFonts w:hint="eastAsia" w:ascii="宋体" w:hAnsi="宋体" w:eastAsia="宋体" w:cs="宋体"/>
          <w:color w:val="auto"/>
          <w:spacing w:val="-1"/>
          <w:sz w:val="24"/>
          <w:szCs w:val="24"/>
          <w:highlight w:val="none"/>
          <w:lang w:eastAsia="zh-CN"/>
        </w:rPr>
        <w:t>。</w:t>
      </w:r>
      <w:bookmarkEnd w:id="52"/>
      <w:bookmarkStart w:id="53" w:name="bookmark121"/>
      <w:bookmarkEnd w:id="53"/>
    </w:p>
    <w:p w14:paraId="1EF41116">
      <w:pPr>
        <w:keepNext w:val="0"/>
        <w:keepLines w:val="0"/>
        <w:pageBreakBefore w:val="0"/>
        <w:widowControl w:val="0"/>
        <w:kinsoku/>
        <w:wordWrap w:val="0"/>
        <w:overflowPunct/>
        <w:topLinePunct w:val="0"/>
        <w:autoSpaceDE/>
        <w:autoSpaceDN/>
        <w:bidi w:val="0"/>
        <w:adjustRightInd/>
        <w:snapToGrid/>
        <w:spacing w:line="400" w:lineRule="exact"/>
        <w:ind w:firstLine="482" w:firstLineChars="200"/>
        <w:textAlignment w:val="baseline"/>
        <w:rPr>
          <w:rFonts w:hint="eastAsia" w:ascii="宋体" w:hAnsi="宋体" w:eastAsia="宋体" w:cs="宋体"/>
          <w:b/>
          <w:bCs/>
          <w:snapToGrid w:val="0"/>
          <w:color w:val="auto"/>
          <w:kern w:val="0"/>
          <w:sz w:val="24"/>
          <w:szCs w:val="24"/>
          <w:highlight w:val="none"/>
          <w:lang w:val="en-US" w:eastAsia="zh-CN"/>
        </w:rPr>
      </w:pPr>
      <w:bookmarkStart w:id="54" w:name="_Toc20579"/>
      <w:r>
        <w:rPr>
          <w:rFonts w:hint="eastAsia" w:ascii="宋体" w:hAnsi="宋体" w:eastAsia="宋体" w:cs="宋体"/>
          <w:b/>
          <w:bCs/>
          <w:snapToGrid w:val="0"/>
          <w:color w:val="auto"/>
          <w:kern w:val="0"/>
          <w:sz w:val="24"/>
          <w:szCs w:val="24"/>
          <w:highlight w:val="none"/>
          <w:lang w:val="en-US" w:eastAsia="zh-CN"/>
        </w:rPr>
        <w:t>10.5定标文件的编制要求：</w:t>
      </w:r>
    </w:p>
    <w:p w14:paraId="21C55D8F">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 xml:space="preserve">.1 </w:t>
      </w:r>
      <w:r>
        <w:rPr>
          <w:rFonts w:hint="eastAsia" w:ascii="宋体" w:hAnsi="宋体" w:eastAsia="宋体" w:cs="宋体"/>
          <w:snapToGrid w:val="0"/>
          <w:color w:val="auto"/>
          <w:kern w:val="0"/>
          <w:sz w:val="24"/>
          <w:szCs w:val="24"/>
          <w:highlight w:val="none"/>
          <w:lang w:val="en-US" w:eastAsia="zh-CN"/>
        </w:rPr>
        <w:t>定标文件</w:t>
      </w:r>
      <w:r>
        <w:rPr>
          <w:rFonts w:hint="eastAsia" w:ascii="宋体" w:hAnsi="宋体" w:eastAsia="宋体" w:cs="宋体"/>
          <w:snapToGrid w:val="0"/>
          <w:color w:val="auto"/>
          <w:kern w:val="0"/>
          <w:sz w:val="24"/>
          <w:szCs w:val="24"/>
          <w:highlight w:val="none"/>
        </w:rPr>
        <w:t>包括以下内容：</w:t>
      </w:r>
    </w:p>
    <w:bookmarkEnd w:id="54"/>
    <w:p w14:paraId="2A004467">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default" w:ascii="宋体" w:hAnsi="宋体" w:eastAsia="宋体" w:cs="宋体"/>
          <w:snapToGrid w:val="0"/>
          <w:color w:val="auto"/>
          <w:kern w:val="0"/>
          <w:sz w:val="24"/>
          <w:szCs w:val="24"/>
          <w:highlight w:val="none"/>
          <w:lang w:val="en-US"/>
        </w:rPr>
      </w:pPr>
      <w:bookmarkStart w:id="55" w:name="_Toc10599"/>
      <w:bookmarkStart w:id="56" w:name="_Toc21936"/>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 封面（格式一）</w:t>
      </w:r>
    </w:p>
    <w:p w14:paraId="3AEDC9A8">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（2）目录；</w:t>
      </w:r>
    </w:p>
    <w:p w14:paraId="57FBAE96">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（3）定标因素评审资料（格式十七）</w:t>
      </w:r>
    </w:p>
    <w:p w14:paraId="62050842">
      <w:pPr>
        <w:pStyle w:val="8"/>
        <w:ind w:firstLine="482" w:firstLineChars="200"/>
        <w:rPr>
          <w:rFonts w:hint="default"/>
          <w:b/>
          <w:bCs/>
          <w:color w:val="auto"/>
          <w:highlight w:val="none"/>
          <w:lang w:val="en-US"/>
        </w:rPr>
      </w:pPr>
      <w:r>
        <w:rPr>
          <w:rFonts w:hint="eastAsia" w:hAnsi="宋体" w:eastAsia="宋体" w:cs="宋体"/>
          <w:b/>
          <w:bCs/>
          <w:snapToGrid w:val="0"/>
          <w:color w:val="auto"/>
          <w:kern w:val="0"/>
          <w:sz w:val="24"/>
          <w:szCs w:val="24"/>
          <w:highlight w:val="none"/>
          <w:lang w:val="en-US" w:eastAsia="zh-CN"/>
        </w:rPr>
        <w:t xml:space="preserve">10.5.2 </w:t>
      </w:r>
      <w:r>
        <w:rPr>
          <w:rFonts w:hint="eastAsia" w:ascii="宋体" w:hAnsi="宋体" w:eastAsia="宋体" w:cs="宋体"/>
          <w:snapToGrid w:val="0"/>
          <w:color w:val="auto"/>
          <w:kern w:val="0"/>
          <w:sz w:val="24"/>
          <w:szCs w:val="24"/>
          <w:highlight w:val="none"/>
          <w:lang w:val="en-US" w:eastAsia="zh-CN" w:bidi="ar-SA"/>
        </w:rPr>
        <w:t>本节第10.5.1目中所列出的组成内容中，第（1）</w:t>
      </w:r>
      <w:r>
        <w:rPr>
          <w:rFonts w:hint="eastAsia" w:hAnsi="宋体" w:eastAsia="宋体" w:cs="宋体"/>
          <w:snapToGrid w:val="0"/>
          <w:color w:val="auto"/>
          <w:kern w:val="0"/>
          <w:sz w:val="24"/>
          <w:szCs w:val="24"/>
          <w:highlight w:val="none"/>
          <w:lang w:val="en-US" w:eastAsia="zh-CN" w:bidi="ar-SA"/>
        </w:rPr>
        <w:t>至第（3）项</w:t>
      </w:r>
      <w:r>
        <w:rPr>
          <w:rFonts w:hint="eastAsia" w:ascii="宋体" w:hAnsi="宋体" w:eastAsia="宋体" w:cs="宋体"/>
          <w:snapToGrid w:val="0"/>
          <w:color w:val="auto"/>
          <w:kern w:val="0"/>
          <w:sz w:val="24"/>
          <w:szCs w:val="24"/>
          <w:highlight w:val="none"/>
          <w:lang w:val="en-US" w:eastAsia="zh-CN" w:bidi="ar-SA"/>
        </w:rPr>
        <w:t>所有投标人均应提供。</w:t>
      </w:r>
    </w:p>
    <w:p w14:paraId="02DC3960">
      <w:pPr>
        <w:spacing w:before="78" w:line="221" w:lineRule="auto"/>
        <w:ind w:left="496"/>
        <w:outlineLvl w:val="2"/>
        <w:rPr>
          <w:rFonts w:hint="eastAsia" w:ascii="宋体" w:hAnsi="宋体" w:eastAsia="宋体" w:cs="宋体"/>
          <w:color w:val="auto"/>
          <w:sz w:val="24"/>
          <w:szCs w:val="24"/>
          <w:highlight w:val="none"/>
        </w:rPr>
      </w:pPr>
      <w:r>
        <w:rPr>
          <w:rFonts w:hint="eastAsia" w:ascii="宋体" w:hAnsi="宋体" w:eastAsia="宋体" w:cs="宋体"/>
          <w:b/>
          <w:bCs/>
          <w:color w:val="auto"/>
          <w:spacing w:val="-9"/>
          <w:sz w:val="24"/>
          <w:szCs w:val="24"/>
          <w:highlight w:val="none"/>
        </w:rPr>
        <w:t>11.</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pacing w:val="-9"/>
          <w:sz w:val="24"/>
          <w:szCs w:val="24"/>
          <w:highlight w:val="none"/>
        </w:rPr>
        <w:t>电子投标：</w:t>
      </w:r>
      <w:bookmarkEnd w:id="55"/>
      <w:bookmarkEnd w:id="56"/>
    </w:p>
    <w:p w14:paraId="3D405C38">
      <w:pPr>
        <w:spacing w:before="112" w:line="295" w:lineRule="auto"/>
        <w:ind w:left="10"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11.1  </w:t>
      </w:r>
      <w:r>
        <w:rPr>
          <w:rFonts w:hint="eastAsia" w:ascii="宋体" w:hAnsi="宋体" w:eastAsia="宋体" w:cs="宋体"/>
          <w:color w:val="auto"/>
          <w:spacing w:val="-3"/>
          <w:sz w:val="24"/>
          <w:szCs w:val="24"/>
          <w:highlight w:val="none"/>
        </w:rPr>
        <w:t>在建设工程交易系统上传加盖了电子印章的投标文件、录入相关信息及标书</w:t>
      </w:r>
      <w:r>
        <w:rPr>
          <w:rFonts w:hint="eastAsia" w:ascii="宋体" w:hAnsi="宋体" w:eastAsia="宋体" w:cs="宋体"/>
          <w:color w:val="auto"/>
          <w:spacing w:val="2"/>
          <w:sz w:val="24"/>
          <w:szCs w:val="24"/>
          <w:highlight w:val="none"/>
        </w:rPr>
        <w:t>页码信息</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
          <w:sz w:val="24"/>
          <w:szCs w:val="24"/>
          <w:highlight w:val="none"/>
        </w:rPr>
        <w:t>页码起始从封面开始）并提交投标标书。提交标书为已加密投标文件。</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具体操作参照《韶关市公共资源建设工程交易系统-投标人操</w:t>
      </w:r>
      <w:r>
        <w:rPr>
          <w:rFonts w:hint="eastAsia" w:ascii="宋体" w:hAnsi="宋体" w:eastAsia="宋体" w:cs="宋体"/>
          <w:color w:val="auto"/>
          <w:spacing w:val="-3"/>
          <w:sz w:val="24"/>
          <w:szCs w:val="24"/>
          <w:highlight w:val="none"/>
        </w:rPr>
        <w:t>作指南（电子评标）》。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本项目评标采用全流程电子化进行招标投标（投标人应根据</w:t>
      </w:r>
      <w:r>
        <w:rPr>
          <w:rFonts w:hint="eastAsia" w:ascii="宋体" w:hAnsi="宋体" w:eastAsia="宋体" w:cs="宋体"/>
          <w:color w:val="auto"/>
          <w:spacing w:val="-2"/>
          <w:sz w:val="24"/>
          <w:szCs w:val="24"/>
          <w:highlight w:val="none"/>
        </w:rPr>
        <w:t>韶关市公共资源建设工程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交易系统进行编辑投标相关内容、按招标文件电子投标要求</w:t>
      </w:r>
      <w:r>
        <w:rPr>
          <w:rFonts w:hint="eastAsia" w:ascii="宋体" w:hAnsi="宋体" w:eastAsia="宋体" w:cs="宋体"/>
          <w:color w:val="auto"/>
          <w:spacing w:val="-2"/>
          <w:sz w:val="24"/>
          <w:szCs w:val="24"/>
          <w:highlight w:val="none"/>
        </w:rPr>
        <w:t>上传已加盖电子印章投标</w:t>
      </w:r>
      <w:r>
        <w:rPr>
          <w:rFonts w:hint="eastAsia" w:ascii="宋体" w:hAnsi="宋体" w:eastAsia="宋体" w:cs="宋体"/>
          <w:color w:val="auto"/>
          <w:spacing w:val="-1"/>
          <w:sz w:val="24"/>
          <w:szCs w:val="24"/>
          <w:highlight w:val="none"/>
        </w:rPr>
        <w:t>文件，否则将自行承担不利后果）。投标文件完成上传后，投标人应</w:t>
      </w:r>
      <w:r>
        <w:rPr>
          <w:rFonts w:hint="eastAsia" w:ascii="宋体" w:hAnsi="宋体" w:eastAsia="宋体" w:cs="宋体"/>
          <w:color w:val="auto"/>
          <w:spacing w:val="-2"/>
          <w:sz w:val="24"/>
          <w:szCs w:val="24"/>
          <w:highlight w:val="none"/>
        </w:rPr>
        <w:t>使用 CA 数字证</w:t>
      </w:r>
      <w:r>
        <w:rPr>
          <w:rFonts w:hint="eastAsia" w:ascii="宋体" w:hAnsi="宋体" w:eastAsia="宋体" w:cs="宋体"/>
          <w:color w:val="auto"/>
          <w:spacing w:val="-1"/>
          <w:sz w:val="24"/>
          <w:szCs w:val="24"/>
          <w:highlight w:val="none"/>
        </w:rPr>
        <w:t>书对投标文件进行文件加密，形成加密的投标文件并提交标书。</w:t>
      </w:r>
    </w:p>
    <w:p w14:paraId="6868FCA9">
      <w:pPr>
        <w:spacing w:before="115" w:line="286" w:lineRule="auto"/>
        <w:ind w:left="10" w:right="81" w:firstLine="485"/>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11.2</w:t>
      </w:r>
      <w:r>
        <w:rPr>
          <w:rFonts w:hint="eastAsia" w:ascii="宋体" w:hAnsi="宋体" w:eastAsia="宋体" w:cs="宋体"/>
          <w:b/>
          <w:bCs/>
          <w:color w:val="auto"/>
          <w:spacing w:val="19"/>
          <w:sz w:val="24"/>
          <w:szCs w:val="24"/>
          <w:highlight w:val="none"/>
        </w:rPr>
        <w:t xml:space="preserve">  </w:t>
      </w:r>
      <w:r>
        <w:rPr>
          <w:rFonts w:hint="eastAsia" w:ascii="宋体" w:hAnsi="宋体" w:eastAsia="宋体" w:cs="宋体"/>
          <w:color w:val="auto"/>
          <w:spacing w:val="-4"/>
          <w:sz w:val="24"/>
          <w:szCs w:val="24"/>
          <w:highlight w:val="none"/>
        </w:rPr>
        <w:t>电子投标文件的修改、撤回：在提交投标文件截止时间前，投标人可</w:t>
      </w:r>
      <w:r>
        <w:rPr>
          <w:rFonts w:hint="eastAsia" w:ascii="宋体" w:hAnsi="宋体" w:eastAsia="宋体" w:cs="宋体"/>
          <w:color w:val="auto"/>
          <w:spacing w:val="-5"/>
          <w:sz w:val="24"/>
          <w:szCs w:val="24"/>
          <w:highlight w:val="none"/>
        </w:rPr>
        <w:t>以修改</w:t>
      </w:r>
      <w:r>
        <w:rPr>
          <w:rFonts w:hint="eastAsia" w:ascii="宋体" w:hAnsi="宋体" w:eastAsia="宋体" w:cs="宋体"/>
          <w:color w:val="auto"/>
          <w:spacing w:val="-1"/>
          <w:sz w:val="24"/>
          <w:szCs w:val="24"/>
          <w:highlight w:val="none"/>
        </w:rPr>
        <w:t>或撤回未解密的电子投标文件，并于提交投标文件截止时间</w:t>
      </w:r>
      <w:r>
        <w:rPr>
          <w:rFonts w:hint="eastAsia" w:ascii="宋体" w:hAnsi="宋体" w:eastAsia="宋体" w:cs="宋体"/>
          <w:color w:val="auto"/>
          <w:spacing w:val="-2"/>
          <w:sz w:val="24"/>
          <w:szCs w:val="24"/>
          <w:highlight w:val="none"/>
        </w:rPr>
        <w:t>前将重新上传修改后的电</w:t>
      </w:r>
      <w:r>
        <w:rPr>
          <w:rFonts w:hint="eastAsia" w:ascii="宋体" w:hAnsi="宋体" w:eastAsia="宋体" w:cs="宋体"/>
          <w:color w:val="auto"/>
          <w:spacing w:val="-1"/>
          <w:sz w:val="24"/>
          <w:szCs w:val="24"/>
          <w:highlight w:val="none"/>
        </w:rPr>
        <w:t>子投标文件至系统，到达投标文件提交截止时间后投标人不</w:t>
      </w:r>
      <w:r>
        <w:rPr>
          <w:rFonts w:hint="eastAsia" w:ascii="宋体" w:hAnsi="宋体" w:eastAsia="宋体" w:cs="宋体"/>
          <w:color w:val="auto"/>
          <w:spacing w:val="-2"/>
          <w:sz w:val="24"/>
          <w:szCs w:val="24"/>
          <w:highlight w:val="none"/>
        </w:rPr>
        <w:t>得撤回、补充、修改和更换投标文件。</w:t>
      </w:r>
    </w:p>
    <w:p w14:paraId="1F5F4AB1">
      <w:pPr>
        <w:numPr>
          <w:ilvl w:val="0"/>
          <w:numId w:val="0"/>
        </w:numPr>
        <w:spacing w:before="78" w:line="220" w:lineRule="auto"/>
        <w:ind w:firstLine="446" w:firstLineChars="200"/>
        <w:outlineLvl w:val="2"/>
        <w:rPr>
          <w:rFonts w:hint="eastAsia" w:ascii="宋体" w:hAnsi="宋体" w:eastAsia="宋体" w:cs="宋体"/>
          <w:b/>
          <w:bCs/>
          <w:color w:val="auto"/>
          <w:spacing w:val="-4"/>
          <w:sz w:val="24"/>
          <w:szCs w:val="24"/>
          <w:highlight w:val="none"/>
        </w:rPr>
      </w:pPr>
      <w:bookmarkStart w:id="57" w:name="_Toc5126"/>
      <w:r>
        <w:rPr>
          <w:rFonts w:hint="eastAsia" w:ascii="宋体" w:hAnsi="宋体" w:eastAsia="宋体" w:cs="宋体"/>
          <w:b/>
          <w:bCs/>
          <w:color w:val="auto"/>
          <w:spacing w:val="-9"/>
          <w:sz w:val="24"/>
          <w:szCs w:val="24"/>
          <w:highlight w:val="none"/>
          <w:lang w:val="en-US" w:eastAsia="zh-CN"/>
        </w:rPr>
        <w:t>12.</w:t>
      </w:r>
      <w:r>
        <w:rPr>
          <w:rFonts w:hint="eastAsia" w:ascii="宋体" w:hAnsi="宋体" w:eastAsia="宋体" w:cs="宋体"/>
          <w:b/>
          <w:bCs/>
          <w:color w:val="auto"/>
          <w:spacing w:val="22"/>
          <w:w w:val="101"/>
          <w:sz w:val="24"/>
          <w:szCs w:val="24"/>
          <w:highlight w:val="none"/>
        </w:rPr>
        <w:t xml:space="preserve"> </w:t>
      </w:r>
      <w:bookmarkStart w:id="58" w:name="_Toc29834"/>
      <w:r>
        <w:rPr>
          <w:rFonts w:hint="eastAsia" w:ascii="宋体" w:hAnsi="宋体" w:eastAsia="宋体" w:cs="宋体"/>
          <w:b/>
          <w:bCs/>
          <w:color w:val="auto"/>
          <w:spacing w:val="-4"/>
          <w:sz w:val="24"/>
          <w:szCs w:val="24"/>
          <w:highlight w:val="none"/>
        </w:rPr>
        <w:t>电子投标及投标解密失败及突发情况的补救方案</w:t>
      </w:r>
      <w:bookmarkEnd w:id="57"/>
      <w:bookmarkEnd w:id="58"/>
    </w:p>
    <w:p w14:paraId="6462F20A">
      <w:pPr>
        <w:keepNext w:val="0"/>
        <w:keepLines w:val="0"/>
        <w:pageBreakBefore w:val="0"/>
        <w:widowControl/>
        <w:kinsoku w:val="0"/>
        <w:wordWrap/>
        <w:overflowPunct/>
        <w:topLinePunct w:val="0"/>
        <w:autoSpaceDE w:val="0"/>
        <w:autoSpaceDN w:val="0"/>
        <w:bidi w:val="0"/>
        <w:adjustRightInd w:val="0"/>
        <w:snapToGrid w:val="0"/>
        <w:spacing w:before="78" w:line="360" w:lineRule="auto"/>
        <w:ind w:firstLine="47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12.1 </w:t>
      </w:r>
      <w:r>
        <w:rPr>
          <w:rFonts w:hint="eastAsia" w:ascii="宋体" w:hAnsi="宋体" w:eastAsia="宋体" w:cs="宋体"/>
          <w:color w:val="auto"/>
          <w:spacing w:val="-1"/>
          <w:sz w:val="24"/>
          <w:szCs w:val="24"/>
          <w:highlight w:val="none"/>
        </w:rPr>
        <w:t>按照交易平台关于全流程电子化项目的相</w:t>
      </w:r>
      <w:r>
        <w:rPr>
          <w:rFonts w:hint="eastAsia" w:ascii="宋体" w:hAnsi="宋体" w:eastAsia="宋体" w:cs="宋体"/>
          <w:color w:val="auto"/>
          <w:spacing w:val="-2"/>
          <w:sz w:val="24"/>
          <w:szCs w:val="24"/>
          <w:highlight w:val="none"/>
        </w:rPr>
        <w:t>关指南进行操作。详见：全国公共</w:t>
      </w:r>
      <w:r>
        <w:rPr>
          <w:rFonts w:hint="eastAsia" w:ascii="宋体" w:hAnsi="宋体" w:eastAsia="宋体" w:cs="宋体"/>
          <w:color w:val="auto"/>
          <w:spacing w:val="-1"/>
          <w:sz w:val="24"/>
          <w:szCs w:val="24"/>
          <w:highlight w:val="none"/>
        </w:rPr>
        <w:t>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·韶关市</w:t>
      </w:r>
      <w:r>
        <w:rPr>
          <w:rFonts w:hint="eastAsia" w:ascii="宋体" w:hAnsi="宋体" w:eastAsia="宋体" w:cs="宋体"/>
          <w:color w:val="auto"/>
          <w:spacing w:val="-26"/>
          <w:sz w:val="24"/>
          <w:szCs w:val="24"/>
          <w:highlight w:val="none"/>
        </w:rPr>
        <w:t>）（</w:t>
      </w:r>
      <w:r>
        <w:rPr>
          <w:rFonts w:hint="eastAsia" w:ascii="宋体" w:hAnsi="宋体" w:eastAsia="宋体" w:cs="宋体"/>
          <w:color w:val="auto"/>
          <w:spacing w:val="-1"/>
          <w:sz w:val="24"/>
          <w:szCs w:val="24"/>
          <w:highlight w:val="none"/>
        </w:rPr>
        <w:t>https://y</w:t>
      </w:r>
      <w:r>
        <w:rPr>
          <w:rFonts w:hint="eastAsia" w:ascii="宋体" w:hAnsi="宋体" w:eastAsia="宋体" w:cs="宋体"/>
          <w:color w:val="auto"/>
          <w:spacing w:val="-2"/>
          <w:sz w:val="24"/>
          <w:szCs w:val="24"/>
          <w:highlight w:val="none"/>
        </w:rPr>
        <w:t>gp.gdzwfw.gov.cn/ggzy-portal/#/44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0200/index）服务指南栏目发布的最新版操作指引。</w:t>
      </w:r>
    </w:p>
    <w:p w14:paraId="5443024B">
      <w:pPr>
        <w:spacing w:before="113"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补救方案：</w:t>
      </w:r>
    </w:p>
    <w:p w14:paraId="67019C1A">
      <w:pPr>
        <w:spacing w:before="115"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12.2.1  </w:t>
      </w:r>
      <w:r>
        <w:rPr>
          <w:rFonts w:hint="eastAsia" w:ascii="宋体" w:hAnsi="宋体" w:eastAsia="宋体" w:cs="宋体"/>
          <w:color w:val="auto"/>
          <w:spacing w:val="-1"/>
          <w:sz w:val="24"/>
          <w:szCs w:val="24"/>
          <w:highlight w:val="none"/>
        </w:rPr>
        <w:t>投标文件解密失败的补救方案：</w:t>
      </w:r>
    </w:p>
    <w:p w14:paraId="1EDCE6E7">
      <w:pPr>
        <w:spacing w:before="115" w:line="298" w:lineRule="auto"/>
        <w:ind w:right="81"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在规定时间内，因投标人之外原因(指网络瘫痪、服务器损坏、交易系统故障短期无法恢复)等导致的电子投标文件解密失败，在开标现场解密环节由代理授权后，</w:t>
      </w:r>
      <w:r>
        <w:rPr>
          <w:rFonts w:hint="eastAsia" w:ascii="宋体" w:hAnsi="宋体" w:eastAsia="宋体" w:cs="宋体"/>
          <w:color w:val="auto"/>
          <w:spacing w:val="1"/>
          <w:sz w:val="24"/>
          <w:szCs w:val="24"/>
          <w:highlight w:val="none"/>
        </w:rPr>
        <w:t>解密失败投标人可在建设工程交易系统在规定时间（代理机构授权后</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
          <w:sz w:val="24"/>
          <w:szCs w:val="24"/>
          <w:highlight w:val="none"/>
        </w:rPr>
        <w:t>30</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1"/>
          <w:sz w:val="24"/>
          <w:szCs w:val="24"/>
          <w:highlight w:val="none"/>
        </w:rPr>
        <w:t>分钟内）内</w:t>
      </w:r>
      <w:bookmarkStart w:id="59" w:name="bookmark122"/>
      <w:bookmarkEnd w:id="59"/>
      <w:r>
        <w:rPr>
          <w:rFonts w:hint="eastAsia" w:ascii="宋体" w:hAnsi="宋体" w:eastAsia="宋体" w:cs="宋体"/>
          <w:color w:val="auto"/>
          <w:spacing w:val="-1"/>
          <w:sz w:val="24"/>
          <w:szCs w:val="24"/>
          <w:highlight w:val="none"/>
        </w:rPr>
        <w:t>重新提交投标文件继续开标程序。</w:t>
      </w:r>
    </w:p>
    <w:p w14:paraId="6A128606">
      <w:pPr>
        <w:spacing w:before="114"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12.2.2  </w:t>
      </w:r>
      <w:r>
        <w:rPr>
          <w:rFonts w:hint="eastAsia" w:ascii="宋体" w:hAnsi="宋体" w:eastAsia="宋体" w:cs="宋体"/>
          <w:color w:val="auto"/>
          <w:spacing w:val="-1"/>
          <w:sz w:val="24"/>
          <w:szCs w:val="24"/>
          <w:highlight w:val="none"/>
        </w:rPr>
        <w:t>评标时突发情况的补救方案</w:t>
      </w:r>
    </w:p>
    <w:p w14:paraId="389EEFFD">
      <w:pPr>
        <w:spacing w:before="114" w:line="303" w:lineRule="auto"/>
        <w:ind w:right="81"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在评标过程中，因主场或副场网络故障、电子设备或者</w:t>
      </w:r>
      <w:r>
        <w:rPr>
          <w:rFonts w:hint="eastAsia" w:ascii="宋体" w:hAnsi="宋体" w:eastAsia="宋体" w:cs="宋体"/>
          <w:color w:val="auto"/>
          <w:spacing w:val="-2"/>
          <w:sz w:val="24"/>
          <w:szCs w:val="24"/>
          <w:highlight w:val="none"/>
        </w:rPr>
        <w:t>评标系统故障，以及其他</w:t>
      </w:r>
      <w:r>
        <w:rPr>
          <w:rFonts w:hint="eastAsia" w:ascii="宋体" w:hAnsi="宋体" w:eastAsia="宋体" w:cs="宋体"/>
          <w:color w:val="auto"/>
          <w:spacing w:val="-3"/>
          <w:sz w:val="24"/>
          <w:szCs w:val="24"/>
          <w:highlight w:val="none"/>
        </w:rPr>
        <w:t>原因导致无法继续进行评标时，在</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小时以内解除故障的可继续评标，超过</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小时无</w:t>
      </w:r>
      <w:r>
        <w:rPr>
          <w:rFonts w:hint="eastAsia" w:ascii="宋体" w:hAnsi="宋体" w:eastAsia="宋体" w:cs="宋体"/>
          <w:color w:val="auto"/>
          <w:spacing w:val="-1"/>
          <w:sz w:val="24"/>
          <w:szCs w:val="24"/>
          <w:highlight w:val="none"/>
        </w:rPr>
        <w:t>法解除故障的，由招标人确定是否进行评标。如延期评标，</w:t>
      </w:r>
      <w:r>
        <w:rPr>
          <w:rFonts w:hint="eastAsia" w:ascii="宋体" w:hAnsi="宋体" w:eastAsia="宋体" w:cs="宋体"/>
          <w:color w:val="auto"/>
          <w:spacing w:val="-2"/>
          <w:sz w:val="24"/>
          <w:szCs w:val="24"/>
          <w:highlight w:val="none"/>
        </w:rPr>
        <w:t>招标人及参与评标活动的</w:t>
      </w:r>
      <w:r>
        <w:rPr>
          <w:rFonts w:hint="eastAsia" w:ascii="宋体" w:hAnsi="宋体" w:eastAsia="宋体" w:cs="宋体"/>
          <w:color w:val="auto"/>
          <w:spacing w:val="-1"/>
          <w:sz w:val="24"/>
          <w:szCs w:val="24"/>
          <w:highlight w:val="none"/>
        </w:rPr>
        <w:t>各方主体及其有关工作人员应当配合主场、副场做好招投标</w:t>
      </w:r>
      <w:r>
        <w:rPr>
          <w:rFonts w:hint="eastAsia" w:ascii="宋体" w:hAnsi="宋体" w:eastAsia="宋体" w:cs="宋体"/>
          <w:color w:val="auto"/>
          <w:spacing w:val="-2"/>
          <w:sz w:val="24"/>
          <w:szCs w:val="24"/>
          <w:highlight w:val="none"/>
        </w:rPr>
        <w:t>资料的封存和保密工作，</w:t>
      </w:r>
      <w:r>
        <w:rPr>
          <w:rFonts w:hint="eastAsia" w:ascii="宋体" w:hAnsi="宋体" w:eastAsia="宋体" w:cs="宋体"/>
          <w:color w:val="auto"/>
          <w:spacing w:val="-1"/>
          <w:sz w:val="24"/>
          <w:szCs w:val="24"/>
          <w:highlight w:val="none"/>
        </w:rPr>
        <w:t>另行组建评标委员会重新评标。原评标委员会成员应当对评</w:t>
      </w:r>
      <w:r>
        <w:rPr>
          <w:rFonts w:hint="eastAsia" w:ascii="宋体" w:hAnsi="宋体" w:eastAsia="宋体" w:cs="宋体"/>
          <w:color w:val="auto"/>
          <w:spacing w:val="-2"/>
          <w:sz w:val="24"/>
          <w:szCs w:val="24"/>
          <w:highlight w:val="none"/>
        </w:rPr>
        <w:t>标情况保密，不得对外透</w:t>
      </w:r>
      <w:r>
        <w:rPr>
          <w:rFonts w:hint="eastAsia" w:ascii="宋体" w:hAnsi="宋体" w:eastAsia="宋体" w:cs="宋体"/>
          <w:color w:val="auto"/>
          <w:spacing w:val="-1"/>
          <w:sz w:val="24"/>
          <w:szCs w:val="24"/>
          <w:highlight w:val="none"/>
        </w:rPr>
        <w:t>露与评标有关的任何信息与情况。</w:t>
      </w:r>
    </w:p>
    <w:p w14:paraId="432398B9">
      <w:pPr>
        <w:spacing w:before="69" w:line="324" w:lineRule="auto"/>
        <w:ind w:left="11" w:right="81" w:firstLine="484"/>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12.2.3  </w:t>
      </w:r>
      <w:r>
        <w:rPr>
          <w:rFonts w:hint="eastAsia" w:ascii="宋体" w:hAnsi="宋体" w:eastAsia="宋体" w:cs="宋体"/>
          <w:color w:val="auto"/>
          <w:spacing w:val="-1"/>
          <w:sz w:val="24"/>
          <w:szCs w:val="24"/>
          <w:highlight w:val="none"/>
        </w:rPr>
        <w:t>除发生上述情况外，开标评标均以投标人（联合体投标的，由联合体牵头人）通过交易平台网上递交的电子投标文件为准。</w:t>
      </w:r>
    </w:p>
    <w:p w14:paraId="4746E39E">
      <w:pPr>
        <w:spacing w:before="78" w:line="220" w:lineRule="auto"/>
        <w:ind w:left="496"/>
        <w:outlineLvl w:val="2"/>
        <w:rPr>
          <w:rFonts w:hint="eastAsia" w:ascii="宋体" w:hAnsi="宋体" w:eastAsia="宋体" w:cs="宋体"/>
          <w:color w:val="auto"/>
          <w:sz w:val="24"/>
          <w:szCs w:val="24"/>
          <w:highlight w:val="none"/>
        </w:rPr>
      </w:pPr>
      <w:bookmarkStart w:id="60" w:name="_Toc27195"/>
      <w:bookmarkStart w:id="61" w:name="_Toc3957"/>
      <w:r>
        <w:rPr>
          <w:rFonts w:hint="eastAsia" w:ascii="宋体" w:hAnsi="宋体" w:eastAsia="宋体" w:cs="宋体"/>
          <w:b/>
          <w:bCs/>
          <w:color w:val="auto"/>
          <w:spacing w:val="-7"/>
          <w:sz w:val="24"/>
          <w:szCs w:val="24"/>
          <w:highlight w:val="none"/>
        </w:rPr>
        <w:t>13</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7"/>
          <w:sz w:val="24"/>
          <w:szCs w:val="24"/>
          <w:highlight w:val="none"/>
        </w:rPr>
        <w:t>．投标文件的提交</w:t>
      </w:r>
      <w:bookmarkEnd w:id="60"/>
      <w:bookmarkEnd w:id="61"/>
    </w:p>
    <w:p w14:paraId="63ACB3FA">
      <w:pPr>
        <w:spacing w:before="123" w:line="278" w:lineRule="auto"/>
        <w:ind w:left="13" w:right="81" w:firstLine="482"/>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 xml:space="preserve">13.1  </w:t>
      </w:r>
      <w:r>
        <w:rPr>
          <w:rFonts w:hint="eastAsia" w:ascii="宋体" w:hAnsi="宋体" w:eastAsia="宋体" w:cs="宋体"/>
          <w:color w:val="auto"/>
          <w:spacing w:val="-11"/>
          <w:sz w:val="24"/>
          <w:szCs w:val="24"/>
          <w:highlight w:val="none"/>
        </w:rPr>
        <w:t>在投标文件提交截止时间前，投标人通过全国公共资源交易平台（</w:t>
      </w:r>
      <w:r>
        <w:rPr>
          <w:rFonts w:hint="eastAsia" w:ascii="宋体" w:hAnsi="宋体" w:eastAsia="宋体" w:cs="宋体"/>
          <w:color w:val="auto"/>
          <w:spacing w:val="-12"/>
          <w:sz w:val="24"/>
          <w:szCs w:val="24"/>
          <w:highlight w:val="none"/>
        </w:rPr>
        <w:t>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2"/>
          <w:sz w:val="24"/>
          <w:szCs w:val="24"/>
          <w:highlight w:val="none"/>
        </w:rPr>
        <w:t>·韶</w:t>
      </w:r>
      <w:r>
        <w:rPr>
          <w:rFonts w:hint="eastAsia" w:ascii="宋体" w:hAnsi="宋体" w:eastAsia="宋体" w:cs="宋体"/>
          <w:color w:val="auto"/>
          <w:spacing w:val="-1"/>
          <w:sz w:val="24"/>
          <w:szCs w:val="24"/>
          <w:highlight w:val="none"/>
        </w:rPr>
        <w:t>关市）提交已加密投标文件。逾期提交的电子投标文</w:t>
      </w:r>
      <w:r>
        <w:rPr>
          <w:rFonts w:hint="eastAsia" w:ascii="宋体" w:hAnsi="宋体" w:eastAsia="宋体" w:cs="宋体"/>
          <w:color w:val="auto"/>
          <w:spacing w:val="-2"/>
          <w:sz w:val="24"/>
          <w:szCs w:val="24"/>
          <w:highlight w:val="none"/>
        </w:rPr>
        <w:t>件，全国公共资源交易平台（广</w:t>
      </w:r>
      <w:r>
        <w:rPr>
          <w:rFonts w:hint="eastAsia" w:ascii="宋体" w:hAnsi="宋体" w:eastAsia="宋体" w:cs="宋体"/>
          <w:color w:val="auto"/>
          <w:spacing w:val="-9"/>
          <w:sz w:val="24"/>
          <w:szCs w:val="24"/>
          <w:highlight w:val="none"/>
        </w:rPr>
        <w:t>东省</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9"/>
          <w:sz w:val="24"/>
          <w:szCs w:val="24"/>
          <w:highlight w:val="none"/>
        </w:rPr>
        <w:t>·韶关市）将予以拒收。</w:t>
      </w:r>
    </w:p>
    <w:p w14:paraId="6051D660">
      <w:pPr>
        <w:spacing w:before="115"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13.2  </w:t>
      </w:r>
      <w:r>
        <w:rPr>
          <w:rFonts w:hint="eastAsia" w:ascii="宋体" w:hAnsi="宋体" w:eastAsia="宋体" w:cs="宋体"/>
          <w:color w:val="auto"/>
          <w:spacing w:val="2"/>
          <w:sz w:val="24"/>
          <w:szCs w:val="24"/>
          <w:highlight w:val="none"/>
        </w:rPr>
        <w:t>提交时间和地点：见本章第二节“重要事项时间地点一览表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p>
    <w:p w14:paraId="00486459">
      <w:pPr>
        <w:spacing w:before="113" w:line="279" w:lineRule="auto"/>
        <w:ind w:left="9" w:right="24"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13.3  </w:t>
      </w:r>
      <w:r>
        <w:rPr>
          <w:rFonts w:hint="eastAsia" w:ascii="宋体" w:hAnsi="宋体" w:eastAsia="宋体" w:cs="宋体"/>
          <w:color w:val="auto"/>
          <w:spacing w:val="-1"/>
          <w:sz w:val="24"/>
          <w:szCs w:val="24"/>
          <w:highlight w:val="none"/>
        </w:rPr>
        <w:t>递交时间和地点：投标人如有招标</w:t>
      </w:r>
      <w:r>
        <w:rPr>
          <w:rFonts w:hint="eastAsia" w:ascii="宋体" w:hAnsi="宋体" w:eastAsia="宋体" w:cs="宋体"/>
          <w:color w:val="auto"/>
          <w:spacing w:val="-2"/>
          <w:sz w:val="24"/>
          <w:szCs w:val="24"/>
          <w:highlight w:val="none"/>
        </w:rPr>
        <w:t>文件要求提交的用于评审的证书、证件、证明原件（附一式两份清单</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由投标人法定代表人或其委托代理人在指定的时间和</w:t>
      </w:r>
      <w:r>
        <w:rPr>
          <w:rFonts w:hint="eastAsia" w:ascii="宋体" w:hAnsi="宋体" w:eastAsia="宋体" w:cs="宋体"/>
          <w:color w:val="auto"/>
          <w:spacing w:val="-1"/>
          <w:sz w:val="24"/>
          <w:szCs w:val="24"/>
          <w:highlight w:val="none"/>
        </w:rPr>
        <w:t>地点递交（见“重要事项时间地点一览表</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w:t>
      </w:r>
    </w:p>
    <w:p w14:paraId="3B37374D">
      <w:pPr>
        <w:spacing w:before="112" w:line="219" w:lineRule="auto"/>
        <w:ind w:firstLine="478"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13.4  </w:t>
      </w:r>
      <w:r>
        <w:rPr>
          <w:rFonts w:hint="eastAsia" w:ascii="宋体" w:hAnsi="宋体" w:eastAsia="宋体" w:cs="宋体"/>
          <w:color w:val="auto"/>
          <w:spacing w:val="-1"/>
          <w:sz w:val="24"/>
          <w:szCs w:val="24"/>
          <w:highlight w:val="none"/>
        </w:rPr>
        <w:t>代理机构对因不可抗力事件造成的投</w:t>
      </w:r>
      <w:r>
        <w:rPr>
          <w:rFonts w:hint="eastAsia" w:ascii="宋体" w:hAnsi="宋体" w:eastAsia="宋体" w:cs="宋体"/>
          <w:color w:val="auto"/>
          <w:spacing w:val="-2"/>
          <w:sz w:val="24"/>
          <w:szCs w:val="24"/>
          <w:highlight w:val="none"/>
        </w:rPr>
        <w:t>标文件的损坏、丢失的，不承担责任。</w:t>
      </w:r>
    </w:p>
    <w:p w14:paraId="4AB75F24">
      <w:pPr>
        <w:spacing w:before="116"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13.5</w:t>
      </w:r>
      <w:r>
        <w:rPr>
          <w:rFonts w:hint="eastAsia" w:ascii="宋体" w:hAnsi="宋体" w:eastAsia="宋体" w:cs="宋体"/>
          <w:b/>
          <w:bCs/>
          <w:color w:val="auto"/>
          <w:spacing w:val="15"/>
          <w:sz w:val="24"/>
          <w:szCs w:val="24"/>
          <w:highlight w:val="none"/>
        </w:rPr>
        <w:t xml:space="preserve">  </w:t>
      </w:r>
      <w:r>
        <w:rPr>
          <w:rFonts w:hint="eastAsia" w:ascii="宋体" w:hAnsi="宋体" w:eastAsia="宋体" w:cs="宋体"/>
          <w:color w:val="auto"/>
          <w:spacing w:val="-1"/>
          <w:sz w:val="24"/>
          <w:szCs w:val="24"/>
          <w:highlight w:val="none"/>
        </w:rPr>
        <w:t>出现下述情形之一，属于未成功提</w:t>
      </w:r>
      <w:r>
        <w:rPr>
          <w:rFonts w:hint="eastAsia" w:ascii="宋体" w:hAnsi="宋体" w:eastAsia="宋体" w:cs="宋体"/>
          <w:color w:val="auto"/>
          <w:spacing w:val="-2"/>
          <w:sz w:val="24"/>
          <w:szCs w:val="24"/>
          <w:highlight w:val="none"/>
        </w:rPr>
        <w:t>交投标文件，按无效投标处理：</w:t>
      </w:r>
    </w:p>
    <w:p w14:paraId="7078EE47">
      <w:pPr>
        <w:spacing w:before="115" w:line="219"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（1）至提交投标文件截止时，投标文件未完整上传及提交标书；</w:t>
      </w:r>
    </w:p>
    <w:p w14:paraId="182F51BA">
      <w:pPr>
        <w:spacing w:before="114" w:line="220"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（2）解密失败且在规定时间内未重新提交投标文件的；</w:t>
      </w:r>
    </w:p>
    <w:p w14:paraId="42D26110">
      <w:pPr>
        <w:spacing w:before="115" w:line="220"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（3）投标文件损坏或格式不正确的；</w:t>
      </w:r>
    </w:p>
    <w:p w14:paraId="375241E2">
      <w:pPr>
        <w:spacing w:before="115"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13.6  </w:t>
      </w:r>
      <w:r>
        <w:rPr>
          <w:rFonts w:hint="eastAsia" w:ascii="宋体" w:hAnsi="宋体" w:eastAsia="宋体" w:cs="宋体"/>
          <w:color w:val="auto"/>
          <w:spacing w:val="-1"/>
          <w:sz w:val="24"/>
          <w:szCs w:val="24"/>
          <w:highlight w:val="none"/>
        </w:rPr>
        <w:t>联合体投标的，由联合体牵头人按以上要求递交相关资料。</w:t>
      </w:r>
    </w:p>
    <w:p w14:paraId="3A0B8A8C">
      <w:pPr>
        <w:spacing w:before="113" w:line="279" w:lineRule="auto"/>
        <w:ind w:left="9" w:right="24" w:firstLine="48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13.7  </w:t>
      </w:r>
      <w:r>
        <w:rPr>
          <w:rFonts w:hint="eastAsia" w:ascii="宋体" w:hAnsi="宋体" w:eastAsia="宋体" w:cs="宋体"/>
          <w:color w:val="auto"/>
          <w:spacing w:val="-2"/>
          <w:sz w:val="24"/>
          <w:szCs w:val="24"/>
          <w:highlight w:val="none"/>
        </w:rPr>
        <w:t>招标人或其授权的招标代理机构核对、接收投标人递交的投标相关资料后，</w:t>
      </w:r>
      <w:r>
        <w:rPr>
          <w:rFonts w:hint="eastAsia" w:ascii="宋体" w:hAnsi="宋体" w:eastAsia="宋体" w:cs="宋体"/>
          <w:color w:val="auto"/>
          <w:spacing w:val="-1"/>
          <w:sz w:val="24"/>
          <w:szCs w:val="24"/>
          <w:highlight w:val="none"/>
        </w:rPr>
        <w:t>应向投标人出具标明签收</w:t>
      </w:r>
      <w:r>
        <w:rPr>
          <w:rFonts w:hint="eastAsia" w:ascii="宋体" w:hAnsi="宋体" w:eastAsia="宋体" w:cs="宋体"/>
          <w:color w:val="auto"/>
          <w:spacing w:val="-2"/>
          <w:sz w:val="24"/>
          <w:szCs w:val="24"/>
          <w:highlight w:val="none"/>
        </w:rPr>
        <w:t>人和签收时间的凭证，并妥善保管。</w:t>
      </w:r>
    </w:p>
    <w:p w14:paraId="4E2CDC3E">
      <w:pPr>
        <w:spacing w:before="113" w:line="279" w:lineRule="auto"/>
        <w:ind w:left="9" w:right="24"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13.8 </w:t>
      </w:r>
      <w:r>
        <w:rPr>
          <w:rFonts w:hint="eastAsia" w:ascii="宋体" w:hAnsi="宋体" w:eastAsia="宋体" w:cs="宋体"/>
          <w:color w:val="auto"/>
          <w:spacing w:val="-2"/>
          <w:sz w:val="24"/>
          <w:szCs w:val="24"/>
          <w:highlight w:val="none"/>
        </w:rPr>
        <w:t xml:space="preserve"> 本次招标投标有效期为</w:t>
      </w:r>
      <w:r>
        <w:rPr>
          <w:rFonts w:hint="eastAsia" w:ascii="宋体" w:hAnsi="宋体" w:eastAsia="宋体" w:cs="宋体"/>
          <w:color w:val="auto"/>
          <w:spacing w:val="-2"/>
          <w:sz w:val="24"/>
          <w:szCs w:val="24"/>
          <w:highlight w:val="none"/>
          <w:u w:val="single"/>
          <w:lang w:eastAsia="zh-CN"/>
        </w:rPr>
        <w:t>90</w:t>
      </w:r>
      <w:r>
        <w:rPr>
          <w:rFonts w:hint="eastAsia" w:ascii="宋体" w:hAnsi="宋体" w:eastAsia="宋体" w:cs="宋体"/>
          <w:color w:val="auto"/>
          <w:spacing w:val="-2"/>
          <w:sz w:val="24"/>
          <w:szCs w:val="24"/>
          <w:highlight w:val="none"/>
        </w:rPr>
        <w:t>个日历天，投标有效期从提交投标文件的截止之日起计算。在此期间，投标人不得撤销或修改其</w:t>
      </w:r>
      <w:r>
        <w:rPr>
          <w:rFonts w:hint="eastAsia" w:ascii="宋体" w:hAnsi="宋体" w:eastAsia="宋体" w:cs="宋体"/>
          <w:color w:val="auto"/>
          <w:spacing w:val="-7"/>
          <w:sz w:val="24"/>
          <w:szCs w:val="24"/>
          <w:highlight w:val="none"/>
        </w:rPr>
        <w:t>投标文件，否则其投标保证不予退还。</w:t>
      </w:r>
    </w:p>
    <w:p w14:paraId="2A2F821B">
      <w:pPr>
        <w:spacing w:before="145" w:line="221" w:lineRule="auto"/>
        <w:ind w:left="496"/>
        <w:outlineLvl w:val="2"/>
        <w:rPr>
          <w:rFonts w:hint="eastAsia" w:ascii="宋体" w:hAnsi="宋体" w:eastAsia="宋体" w:cs="宋体"/>
          <w:color w:val="auto"/>
          <w:sz w:val="24"/>
          <w:szCs w:val="24"/>
          <w:highlight w:val="none"/>
        </w:rPr>
      </w:pPr>
      <w:bookmarkStart w:id="62" w:name="_Toc22047"/>
      <w:bookmarkStart w:id="63" w:name="_Toc8365"/>
      <w:r>
        <w:rPr>
          <w:rFonts w:hint="eastAsia" w:ascii="宋体" w:hAnsi="宋体" w:eastAsia="宋体" w:cs="宋体"/>
          <w:b/>
          <w:bCs/>
          <w:color w:val="auto"/>
          <w:spacing w:val="-11"/>
          <w:sz w:val="24"/>
          <w:szCs w:val="24"/>
          <w:highlight w:val="none"/>
        </w:rPr>
        <w:t>14</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．开标</w:t>
      </w:r>
      <w:bookmarkEnd w:id="62"/>
      <w:bookmarkEnd w:id="63"/>
    </w:p>
    <w:p w14:paraId="792BE085">
      <w:pPr>
        <w:spacing w:before="155" w:line="329" w:lineRule="auto"/>
        <w:ind w:left="10" w:right="81" w:firstLine="485"/>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14.1  </w:t>
      </w:r>
      <w:r>
        <w:rPr>
          <w:rFonts w:hint="eastAsia" w:ascii="宋体" w:hAnsi="宋体" w:eastAsia="宋体" w:cs="宋体"/>
          <w:color w:val="auto"/>
          <w:spacing w:val="-3"/>
          <w:sz w:val="24"/>
          <w:szCs w:val="24"/>
          <w:highlight w:val="none"/>
        </w:rPr>
        <w:t>招标人邀请所有正确获取招标文件、电子投标、缴纳投标保证的投标人参加</w:t>
      </w:r>
      <w:r>
        <w:rPr>
          <w:rFonts w:hint="eastAsia" w:ascii="宋体" w:hAnsi="宋体" w:eastAsia="宋体" w:cs="宋体"/>
          <w:color w:val="auto"/>
          <w:spacing w:val="-1"/>
          <w:sz w:val="24"/>
          <w:szCs w:val="24"/>
          <w:highlight w:val="none"/>
        </w:rPr>
        <w:t>开标，投标人可自主决定是否参加。投标人可登陆交易平台</w:t>
      </w:r>
      <w:r>
        <w:rPr>
          <w:rFonts w:hint="eastAsia" w:ascii="宋体" w:hAnsi="宋体" w:eastAsia="宋体" w:cs="宋体"/>
          <w:color w:val="auto"/>
          <w:spacing w:val="-2"/>
          <w:sz w:val="24"/>
          <w:szCs w:val="24"/>
          <w:highlight w:val="none"/>
        </w:rPr>
        <w:t>观看开标实况、提出异议</w:t>
      </w:r>
      <w:r>
        <w:rPr>
          <w:rFonts w:hint="eastAsia" w:ascii="宋体" w:hAnsi="宋体" w:eastAsia="宋体" w:cs="宋体"/>
          <w:color w:val="auto"/>
          <w:spacing w:val="-1"/>
          <w:sz w:val="24"/>
          <w:szCs w:val="24"/>
          <w:highlight w:val="none"/>
        </w:rPr>
        <w:t>或进行澄清、确认等操作（具体按招标文件和系统操作手册</w:t>
      </w:r>
      <w:r>
        <w:rPr>
          <w:rFonts w:hint="eastAsia" w:ascii="宋体" w:hAnsi="宋体" w:eastAsia="宋体" w:cs="宋体"/>
          <w:color w:val="auto"/>
          <w:spacing w:val="-2"/>
          <w:sz w:val="24"/>
          <w:szCs w:val="24"/>
          <w:highlight w:val="none"/>
        </w:rPr>
        <w:t>为准）。投标人不参加开</w:t>
      </w:r>
      <w:bookmarkStart w:id="64" w:name="bookmark123"/>
      <w:bookmarkEnd w:id="64"/>
      <w:r>
        <w:rPr>
          <w:rFonts w:hint="eastAsia" w:ascii="宋体" w:hAnsi="宋体" w:eastAsia="宋体" w:cs="宋体"/>
          <w:color w:val="auto"/>
          <w:sz w:val="24"/>
          <w:szCs w:val="24"/>
          <w:highlight w:val="none"/>
        </w:rPr>
        <w:t>标的，视其默认开标结果，以及放弃在开标期间见证、</w:t>
      </w:r>
      <w:r>
        <w:rPr>
          <w:rFonts w:hint="eastAsia" w:ascii="宋体" w:hAnsi="宋体" w:eastAsia="宋体" w:cs="宋体"/>
          <w:color w:val="auto"/>
          <w:spacing w:val="-1"/>
          <w:sz w:val="24"/>
          <w:szCs w:val="24"/>
          <w:highlight w:val="none"/>
        </w:rPr>
        <w:t>监督、投诉、申辩的权利。</w:t>
      </w:r>
    </w:p>
    <w:p w14:paraId="3DC2018F">
      <w:pPr>
        <w:spacing w:before="156"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14.1.1  </w:t>
      </w:r>
      <w:r>
        <w:rPr>
          <w:rFonts w:hint="eastAsia" w:ascii="宋体" w:hAnsi="宋体" w:eastAsia="宋体" w:cs="宋体"/>
          <w:color w:val="auto"/>
          <w:sz w:val="24"/>
          <w:szCs w:val="24"/>
          <w:highlight w:val="none"/>
        </w:rPr>
        <w:t>开标时间和地点：见本章第</w:t>
      </w:r>
      <w:r>
        <w:rPr>
          <w:rFonts w:hint="eastAsia" w:ascii="宋体" w:hAnsi="宋体" w:eastAsia="宋体" w:cs="宋体"/>
          <w:color w:val="auto"/>
          <w:spacing w:val="-1"/>
          <w:sz w:val="24"/>
          <w:szCs w:val="24"/>
          <w:highlight w:val="none"/>
        </w:rPr>
        <w:t>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p>
    <w:p w14:paraId="652A2E38">
      <w:pPr>
        <w:keepNext w:val="0"/>
        <w:keepLines w:val="0"/>
        <w:pageBreakBefore w:val="0"/>
        <w:widowControl/>
        <w:kinsoku w:val="0"/>
        <w:wordWrap w:val="0"/>
        <w:overflowPunct/>
        <w:topLinePunct w:val="0"/>
        <w:autoSpaceDE w:val="0"/>
        <w:autoSpaceDN w:val="0"/>
        <w:bidi w:val="0"/>
        <w:adjustRightInd w:val="0"/>
        <w:snapToGrid w:val="0"/>
        <w:spacing w:before="153" w:line="320" w:lineRule="auto"/>
        <w:ind w:left="11" w:firstLine="48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 xml:space="preserve">14.1.2 </w:t>
      </w:r>
      <w:r>
        <w:rPr>
          <w:rFonts w:hint="eastAsia" w:ascii="宋体" w:hAnsi="宋体" w:eastAsia="宋体" w:cs="宋体"/>
          <w:color w:val="auto"/>
          <w:spacing w:val="-7"/>
          <w:sz w:val="24"/>
          <w:szCs w:val="24"/>
          <w:highlight w:val="none"/>
        </w:rPr>
        <w:t>开标前</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7"/>
          <w:sz w:val="24"/>
          <w:szCs w:val="24"/>
          <w:highlight w:val="none"/>
        </w:rPr>
        <w:t>24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7"/>
          <w:sz w:val="24"/>
          <w:szCs w:val="24"/>
          <w:highlight w:val="none"/>
        </w:rPr>
        <w:t>小时，若建设工程交易系统显示缴</w:t>
      </w:r>
      <w:r>
        <w:rPr>
          <w:rFonts w:hint="eastAsia" w:ascii="宋体" w:hAnsi="宋体" w:eastAsia="宋体" w:cs="宋体"/>
          <w:color w:val="auto"/>
          <w:spacing w:val="-8"/>
          <w:sz w:val="24"/>
          <w:szCs w:val="24"/>
          <w:highlight w:val="none"/>
        </w:rPr>
        <w:t>纳投标保证（包括投标保证金、</w:t>
      </w:r>
      <w:r>
        <w:rPr>
          <w:rFonts w:hint="eastAsia" w:ascii="宋体" w:hAnsi="宋体" w:eastAsia="宋体" w:cs="宋体"/>
          <w:color w:val="auto"/>
          <w:spacing w:val="-2"/>
          <w:sz w:val="24"/>
          <w:szCs w:val="24"/>
          <w:highlight w:val="none"/>
        </w:rPr>
        <w:t>投标保证担保、投标保证保险）的投标人数量不足</w:t>
      </w:r>
      <w:r>
        <w:rPr>
          <w:rFonts w:hint="eastAsia" w:ascii="宋体" w:hAnsi="宋体" w:eastAsia="宋体" w:cs="宋体"/>
          <w:color w:val="auto"/>
          <w:spacing w:val="-42"/>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个时，招标人将取消原定于次日</w:t>
      </w:r>
      <w:r>
        <w:rPr>
          <w:rFonts w:hint="eastAsia" w:ascii="宋体" w:hAnsi="宋体" w:eastAsia="宋体" w:cs="宋体"/>
          <w:color w:val="auto"/>
          <w:spacing w:val="-1"/>
          <w:sz w:val="24"/>
          <w:szCs w:val="24"/>
          <w:highlight w:val="none"/>
        </w:rPr>
        <w:t>召开的开标活动。投标人可在投标保证缴纳截止时间（见本章</w:t>
      </w:r>
      <w:r>
        <w:rPr>
          <w:rFonts w:hint="eastAsia" w:ascii="宋体" w:hAnsi="宋体" w:eastAsia="宋体" w:cs="宋体"/>
          <w:color w:val="auto"/>
          <w:spacing w:val="-2"/>
          <w:sz w:val="24"/>
          <w:szCs w:val="24"/>
          <w:highlight w:val="none"/>
        </w:rPr>
        <w:t>第二节“重要事项时间</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”）至电子投标截止时间（见本章第二节“重要事项时间地点一览</w:t>
      </w:r>
      <w:r>
        <w:rPr>
          <w:rFonts w:hint="eastAsia" w:ascii="宋体" w:hAnsi="宋体" w:eastAsia="宋体" w:cs="宋体"/>
          <w:color w:val="auto"/>
          <w:spacing w:val="-2"/>
          <w:sz w:val="24"/>
          <w:szCs w:val="24"/>
          <w:highlight w:val="none"/>
        </w:rPr>
        <w:t>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期间登录全国公共资源交易平台（广东省</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22"/>
          <w:sz w:val="24"/>
          <w:szCs w:val="24"/>
          <w:highlight w:val="none"/>
        </w:rPr>
        <w:t>）（</w:t>
      </w:r>
      <w:r>
        <w:rPr>
          <w:rFonts w:hint="eastAsia" w:ascii="宋体" w:hAnsi="宋体" w:eastAsia="宋体" w:cs="宋体"/>
          <w:color w:val="auto"/>
          <w:spacing w:val="-2"/>
          <w:sz w:val="24"/>
          <w:szCs w:val="24"/>
          <w:highlight w:val="none"/>
        </w:rPr>
        <w:t>https://ygp.gdzwfw.gov.cn/</w:t>
      </w:r>
      <w:r>
        <w:rPr>
          <w:rFonts w:hint="eastAsia" w:ascii="宋体" w:hAnsi="宋体" w:eastAsia="宋体" w:cs="宋体"/>
          <w:color w:val="auto"/>
          <w:sz w:val="24"/>
          <w:szCs w:val="24"/>
          <w:highlight w:val="none"/>
        </w:rPr>
        <w:t xml:space="preserve"> ggzy-portal/#/440200/index）查询是否发布了取</w:t>
      </w:r>
      <w:r>
        <w:rPr>
          <w:rFonts w:hint="eastAsia" w:ascii="宋体" w:hAnsi="宋体" w:eastAsia="宋体" w:cs="宋体"/>
          <w:color w:val="auto"/>
          <w:spacing w:val="-1"/>
          <w:sz w:val="24"/>
          <w:szCs w:val="24"/>
          <w:highlight w:val="none"/>
        </w:rPr>
        <w:t>消开标活动的相关信息。</w:t>
      </w:r>
    </w:p>
    <w:p w14:paraId="30562814">
      <w:pPr>
        <w:spacing w:before="159" w:line="319" w:lineRule="auto"/>
        <w:ind w:left="10" w:right="80" w:firstLine="49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14.1.3</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本项目实行全流程电子化招标投标，投标人在交易平台按要求上传加盖电</w:t>
      </w:r>
      <w:r>
        <w:rPr>
          <w:rFonts w:hint="eastAsia" w:ascii="宋体" w:hAnsi="宋体" w:eastAsia="宋体" w:cs="宋体"/>
          <w:color w:val="auto"/>
          <w:spacing w:val="-1"/>
          <w:sz w:val="24"/>
          <w:szCs w:val="24"/>
          <w:highlight w:val="none"/>
        </w:rPr>
        <w:t>子印章并经加密的电子投标文件，并在交易平台录入准确的</w:t>
      </w:r>
      <w:r>
        <w:rPr>
          <w:rFonts w:hint="eastAsia" w:ascii="宋体" w:hAnsi="宋体" w:eastAsia="宋体" w:cs="宋体"/>
          <w:color w:val="auto"/>
          <w:spacing w:val="-2"/>
          <w:sz w:val="24"/>
          <w:szCs w:val="24"/>
          <w:highlight w:val="none"/>
        </w:rPr>
        <w:t>页码信息即可完成在线投</w:t>
      </w:r>
      <w:r>
        <w:rPr>
          <w:rFonts w:hint="eastAsia" w:ascii="宋体" w:hAnsi="宋体" w:eastAsia="宋体" w:cs="宋体"/>
          <w:color w:val="auto"/>
          <w:spacing w:val="-1"/>
          <w:sz w:val="24"/>
          <w:szCs w:val="24"/>
          <w:highlight w:val="none"/>
        </w:rPr>
        <w:t>标</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由于投标人原因导致未按投标截至时限上传完整投标文</w:t>
      </w:r>
      <w:r>
        <w:rPr>
          <w:rFonts w:hint="eastAsia" w:ascii="宋体" w:hAnsi="宋体" w:eastAsia="宋体" w:cs="宋体"/>
          <w:color w:val="auto"/>
          <w:spacing w:val="-2"/>
          <w:sz w:val="24"/>
          <w:szCs w:val="24"/>
          <w:highlight w:val="none"/>
        </w:rPr>
        <w:t>件、在交易平台中上传的</w:t>
      </w:r>
      <w:r>
        <w:rPr>
          <w:rFonts w:hint="eastAsia" w:ascii="宋体" w:hAnsi="宋体" w:eastAsia="宋体" w:cs="宋体"/>
          <w:color w:val="auto"/>
          <w:spacing w:val="-1"/>
          <w:sz w:val="24"/>
          <w:szCs w:val="24"/>
          <w:highlight w:val="none"/>
        </w:rPr>
        <w:t>投标文件无法解密、投标文件损坏或格式不正确、投标文件</w:t>
      </w:r>
      <w:r>
        <w:rPr>
          <w:rFonts w:hint="eastAsia" w:ascii="宋体" w:hAnsi="宋体" w:eastAsia="宋体" w:cs="宋体"/>
          <w:color w:val="auto"/>
          <w:spacing w:val="-2"/>
          <w:sz w:val="24"/>
          <w:szCs w:val="24"/>
          <w:highlight w:val="none"/>
        </w:rPr>
        <w:t>未按招标文件要求加盖电</w:t>
      </w:r>
      <w:r>
        <w:rPr>
          <w:rFonts w:hint="eastAsia" w:ascii="宋体" w:hAnsi="宋体" w:eastAsia="宋体" w:cs="宋体"/>
          <w:color w:val="auto"/>
          <w:spacing w:val="-1"/>
          <w:sz w:val="24"/>
          <w:szCs w:val="24"/>
          <w:highlight w:val="none"/>
        </w:rPr>
        <w:t>子印章或电子印章不完整、电子投标文件解密失败且未按要</w:t>
      </w:r>
      <w:r>
        <w:rPr>
          <w:rFonts w:hint="eastAsia" w:ascii="宋体" w:hAnsi="宋体" w:eastAsia="宋体" w:cs="宋体"/>
          <w:color w:val="auto"/>
          <w:spacing w:val="-2"/>
          <w:sz w:val="24"/>
          <w:szCs w:val="24"/>
          <w:highlight w:val="none"/>
        </w:rPr>
        <w:t>求上传备用投标文件等情</w:t>
      </w:r>
      <w:r>
        <w:rPr>
          <w:rFonts w:hint="eastAsia" w:ascii="宋体" w:hAnsi="宋体" w:eastAsia="宋体" w:cs="宋体"/>
          <w:color w:val="auto"/>
          <w:spacing w:val="-1"/>
          <w:sz w:val="24"/>
          <w:szCs w:val="24"/>
          <w:highlight w:val="none"/>
        </w:rPr>
        <w:t>形导致投标无效的，由投标人自行负责。</w:t>
      </w:r>
    </w:p>
    <w:p w14:paraId="16B5CEF9">
      <w:pPr>
        <w:spacing w:before="152" w:line="221"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14.2  </w:t>
      </w:r>
      <w:r>
        <w:rPr>
          <w:rFonts w:hint="eastAsia" w:ascii="宋体" w:hAnsi="宋体" w:eastAsia="宋体" w:cs="宋体"/>
          <w:color w:val="auto"/>
          <w:spacing w:val="-2"/>
          <w:sz w:val="24"/>
          <w:szCs w:val="24"/>
          <w:highlight w:val="none"/>
        </w:rPr>
        <w:t>开标程序</w:t>
      </w:r>
    </w:p>
    <w:p w14:paraId="497CFDD0">
      <w:pPr>
        <w:spacing w:before="42" w:line="219" w:lineRule="auto"/>
        <w:ind w:left="501"/>
        <w:outlineLvl w:val="9"/>
        <w:rPr>
          <w:rFonts w:hint="eastAsia" w:ascii="宋体" w:hAnsi="宋体" w:eastAsia="宋体" w:cs="宋体"/>
          <w:color w:val="auto"/>
          <w:sz w:val="24"/>
          <w:szCs w:val="24"/>
          <w:highlight w:val="none"/>
        </w:rPr>
      </w:pPr>
      <w:bookmarkStart w:id="65" w:name="_Toc10685"/>
      <w:bookmarkStart w:id="66" w:name="_Toc15587"/>
      <w:bookmarkStart w:id="67" w:name="_Toc8314"/>
      <w:bookmarkStart w:id="68" w:name="_Toc10291"/>
      <w:r>
        <w:rPr>
          <w:rFonts w:hint="eastAsia" w:ascii="宋体" w:hAnsi="宋体" w:eastAsia="宋体" w:cs="宋体"/>
          <w:color w:val="auto"/>
          <w:spacing w:val="-1"/>
          <w:sz w:val="24"/>
          <w:szCs w:val="24"/>
          <w:highlight w:val="none"/>
        </w:rPr>
        <w:t>（1）主持人（招标人代表或招标人授权的招标代理机构人员）宣读开标纪律。</w:t>
      </w:r>
      <w:bookmarkEnd w:id="65"/>
      <w:bookmarkEnd w:id="66"/>
      <w:bookmarkEnd w:id="67"/>
      <w:bookmarkEnd w:id="68"/>
    </w:p>
    <w:p w14:paraId="5EAC246A">
      <w:pPr>
        <w:spacing w:before="181" w:line="219" w:lineRule="auto"/>
        <w:ind w:left="501"/>
        <w:outlineLvl w:val="9"/>
        <w:rPr>
          <w:rFonts w:hint="eastAsia" w:ascii="宋体" w:hAnsi="宋体" w:eastAsia="宋体" w:cs="宋体"/>
          <w:color w:val="auto"/>
          <w:sz w:val="24"/>
          <w:szCs w:val="24"/>
          <w:highlight w:val="none"/>
        </w:rPr>
      </w:pPr>
      <w:bookmarkStart w:id="69" w:name="_Toc16292"/>
      <w:bookmarkStart w:id="70" w:name="_Toc2011"/>
      <w:bookmarkStart w:id="71" w:name="_Toc20238"/>
      <w:bookmarkStart w:id="72" w:name="_Toc30853"/>
      <w:r>
        <w:rPr>
          <w:rFonts w:hint="eastAsia" w:ascii="宋体" w:hAnsi="宋体" w:eastAsia="宋体" w:cs="宋体"/>
          <w:color w:val="auto"/>
          <w:spacing w:val="-1"/>
          <w:sz w:val="24"/>
          <w:szCs w:val="24"/>
          <w:highlight w:val="none"/>
        </w:rPr>
        <w:t>（2）主持人宣布唱标人、记录人、见证人、监督人等有关人员姓名。</w:t>
      </w:r>
      <w:bookmarkEnd w:id="69"/>
      <w:bookmarkEnd w:id="70"/>
      <w:bookmarkEnd w:id="71"/>
      <w:bookmarkEnd w:id="72"/>
    </w:p>
    <w:p w14:paraId="7443DF73">
      <w:pPr>
        <w:spacing w:before="183" w:line="219" w:lineRule="auto"/>
        <w:ind w:left="501"/>
        <w:outlineLvl w:val="9"/>
        <w:rPr>
          <w:rFonts w:hint="eastAsia" w:ascii="宋体" w:hAnsi="宋体" w:eastAsia="宋体" w:cs="宋体"/>
          <w:color w:val="auto"/>
          <w:sz w:val="24"/>
          <w:szCs w:val="24"/>
          <w:highlight w:val="none"/>
        </w:rPr>
      </w:pPr>
      <w:bookmarkStart w:id="73" w:name="_Toc1974"/>
      <w:bookmarkStart w:id="74" w:name="_Toc17462"/>
      <w:bookmarkStart w:id="75" w:name="_Toc26494"/>
      <w:bookmarkStart w:id="76" w:name="_Toc31716"/>
      <w:r>
        <w:rPr>
          <w:rFonts w:hint="eastAsia" w:ascii="宋体" w:hAnsi="宋体" w:eastAsia="宋体" w:cs="宋体"/>
          <w:color w:val="auto"/>
          <w:spacing w:val="-1"/>
          <w:sz w:val="24"/>
          <w:szCs w:val="24"/>
          <w:highlight w:val="none"/>
        </w:rPr>
        <w:t>（3）唱标人公布在投标截止时间前进行投标文件的投标人数量和名称</w:t>
      </w:r>
      <w:bookmarkEnd w:id="73"/>
      <w:bookmarkEnd w:id="74"/>
      <w:bookmarkEnd w:id="75"/>
      <w:bookmarkEnd w:id="76"/>
    </w:p>
    <w:p w14:paraId="3324CC32">
      <w:pPr>
        <w:spacing w:before="181" w:line="219" w:lineRule="auto"/>
        <w:ind w:left="501"/>
        <w:outlineLvl w:val="9"/>
        <w:rPr>
          <w:rFonts w:hint="eastAsia" w:ascii="宋体" w:hAnsi="宋体" w:eastAsia="宋体" w:cs="宋体"/>
          <w:color w:val="auto"/>
          <w:sz w:val="24"/>
          <w:szCs w:val="24"/>
          <w:highlight w:val="none"/>
        </w:rPr>
      </w:pPr>
      <w:bookmarkStart w:id="77" w:name="_Toc15860"/>
      <w:bookmarkStart w:id="78" w:name="_Toc27967"/>
      <w:bookmarkStart w:id="79" w:name="_Toc20559"/>
      <w:bookmarkStart w:id="80" w:name="_Toc8179"/>
      <w:r>
        <w:rPr>
          <w:rFonts w:hint="eastAsia" w:ascii="宋体" w:hAnsi="宋体" w:eastAsia="宋体" w:cs="宋体"/>
          <w:color w:val="auto"/>
          <w:spacing w:val="2"/>
          <w:sz w:val="24"/>
          <w:szCs w:val="24"/>
          <w:highlight w:val="none"/>
        </w:rPr>
        <w:t>（4）招标代理机构会同交易场所工作人员对投标人的</w:t>
      </w:r>
      <w:r>
        <w:rPr>
          <w:rFonts w:hint="eastAsia" w:ascii="宋体" w:hAnsi="宋体" w:eastAsia="宋体" w:cs="宋体"/>
          <w:color w:val="auto"/>
          <w:spacing w:val="1"/>
          <w:sz w:val="24"/>
          <w:szCs w:val="24"/>
          <w:highlight w:val="none"/>
        </w:rPr>
        <w:t>电子投标信息进行解密，</w:t>
      </w:r>
      <w:bookmarkEnd w:id="77"/>
      <w:bookmarkEnd w:id="78"/>
      <w:bookmarkEnd w:id="79"/>
      <w:bookmarkEnd w:id="80"/>
    </w:p>
    <w:p w14:paraId="2BAFEA97">
      <w:pPr>
        <w:spacing w:before="183" w:line="220" w:lineRule="auto"/>
        <w:ind w:left="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建设工程交易系统自动生成《投标保证缴纳情况表》和《开标一览表》。</w:t>
      </w:r>
    </w:p>
    <w:p w14:paraId="03A06962">
      <w:pPr>
        <w:spacing w:before="182" w:line="360" w:lineRule="auto"/>
        <w:ind w:firstLine="466" w:firstLineChars="200"/>
        <w:outlineLvl w:val="9"/>
        <w:rPr>
          <w:rFonts w:hint="eastAsia" w:ascii="宋体" w:hAnsi="宋体" w:eastAsia="宋体" w:cs="宋体"/>
          <w:color w:val="auto"/>
          <w:sz w:val="24"/>
          <w:szCs w:val="24"/>
          <w:highlight w:val="none"/>
        </w:rPr>
      </w:pPr>
      <w:bookmarkStart w:id="81" w:name="_Toc28266"/>
      <w:bookmarkStart w:id="82" w:name="_Toc2199"/>
      <w:bookmarkStart w:id="83" w:name="_Toc28812"/>
      <w:bookmarkStart w:id="84" w:name="_Toc26216"/>
      <w:r>
        <w:rPr>
          <w:rFonts w:hint="eastAsia" w:ascii="宋体" w:hAnsi="宋体" w:eastAsia="宋体" w:cs="宋体"/>
          <w:b/>
          <w:bCs/>
          <w:color w:val="auto"/>
          <w:spacing w:val="-4"/>
          <w:sz w:val="24"/>
          <w:szCs w:val="24"/>
          <w:highlight w:val="none"/>
        </w:rPr>
        <w:t>温馨提示：因本项目实行全流程电子化招标投标，投标人无须进行现场签到，可</w:t>
      </w:r>
      <w:bookmarkEnd w:id="81"/>
      <w:bookmarkEnd w:id="82"/>
      <w:bookmarkEnd w:id="83"/>
      <w:r>
        <w:rPr>
          <w:rFonts w:hint="eastAsia" w:ascii="宋体" w:hAnsi="宋体" w:eastAsia="宋体" w:cs="宋体"/>
          <w:b/>
          <w:bCs/>
          <w:color w:val="auto"/>
          <w:spacing w:val="-4"/>
          <w:sz w:val="24"/>
          <w:szCs w:val="24"/>
          <w:highlight w:val="none"/>
        </w:rPr>
        <w:t>登录交易平台观看开标实况、提出异议或进行澄清、确认等操作，对开标事项的异议</w:t>
      </w:r>
      <w:r>
        <w:rPr>
          <w:rFonts w:hint="eastAsia" w:ascii="宋体" w:hAnsi="宋体" w:eastAsia="宋体" w:cs="宋体"/>
          <w:b/>
          <w:bCs/>
          <w:color w:val="auto"/>
          <w:spacing w:val="-2"/>
          <w:sz w:val="24"/>
          <w:szCs w:val="24"/>
          <w:highlight w:val="none"/>
        </w:rPr>
        <w:t>未在开标期间提出的，招标</w:t>
      </w:r>
      <w:r>
        <w:rPr>
          <w:rFonts w:hint="eastAsia" w:ascii="宋体" w:hAnsi="宋体" w:eastAsia="宋体" w:cs="宋体"/>
          <w:b/>
          <w:bCs/>
          <w:color w:val="auto"/>
          <w:spacing w:val="-2"/>
          <w:sz w:val="24"/>
          <w:szCs w:val="24"/>
          <w:highlight w:val="none"/>
          <w:lang w:eastAsia="zh-CN"/>
        </w:rPr>
        <w:t>人不</w:t>
      </w:r>
      <w:r>
        <w:rPr>
          <w:rFonts w:hint="eastAsia" w:ascii="宋体" w:hAnsi="宋体" w:eastAsia="宋体" w:cs="宋体"/>
          <w:b/>
          <w:bCs/>
          <w:color w:val="auto"/>
          <w:spacing w:val="-2"/>
          <w:sz w:val="24"/>
          <w:szCs w:val="24"/>
          <w:highlight w:val="none"/>
        </w:rPr>
        <w:t>予受理。具体按招标文件和系统操作手册为</w:t>
      </w:r>
      <w:r>
        <w:rPr>
          <w:rFonts w:hint="eastAsia" w:ascii="宋体" w:hAnsi="宋体" w:eastAsia="宋体" w:cs="宋体"/>
          <w:b/>
          <w:bCs/>
          <w:color w:val="auto"/>
          <w:spacing w:val="-3"/>
          <w:sz w:val="24"/>
          <w:szCs w:val="24"/>
          <w:highlight w:val="none"/>
        </w:rPr>
        <w:t>准。</w:t>
      </w:r>
      <w:bookmarkEnd w:id="84"/>
    </w:p>
    <w:p w14:paraId="40440713">
      <w:pPr>
        <w:spacing w:before="143" w:line="299" w:lineRule="auto"/>
        <w:ind w:left="11" w:right="80"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14.3  </w:t>
      </w:r>
      <w:r>
        <w:rPr>
          <w:rFonts w:hint="eastAsia" w:ascii="宋体" w:hAnsi="宋体" w:eastAsia="宋体" w:cs="宋体"/>
          <w:color w:val="auto"/>
          <w:spacing w:val="-3"/>
          <w:sz w:val="24"/>
          <w:szCs w:val="24"/>
          <w:highlight w:val="none"/>
        </w:rPr>
        <w:t>投标人对开标相关事项（如开标程序等）有异议的，必须在开标期间和开标</w:t>
      </w:r>
      <w:r>
        <w:rPr>
          <w:rFonts w:hint="eastAsia" w:ascii="宋体" w:hAnsi="宋体" w:eastAsia="宋体" w:cs="宋体"/>
          <w:color w:val="auto"/>
          <w:spacing w:val="-1"/>
          <w:sz w:val="24"/>
          <w:szCs w:val="24"/>
          <w:highlight w:val="none"/>
        </w:rPr>
        <w:t>现场提出，招标人或其授权的招标代理机构应当场作出答</w:t>
      </w:r>
      <w:r>
        <w:rPr>
          <w:rFonts w:hint="eastAsia" w:ascii="宋体" w:hAnsi="宋体" w:eastAsia="宋体" w:cs="宋体"/>
          <w:color w:val="auto"/>
          <w:spacing w:val="-2"/>
          <w:sz w:val="24"/>
          <w:szCs w:val="24"/>
          <w:highlight w:val="none"/>
        </w:rPr>
        <w:t>复，并记录在案。对开标事</w:t>
      </w:r>
      <w:r>
        <w:rPr>
          <w:rFonts w:hint="eastAsia" w:ascii="宋体" w:hAnsi="宋体" w:eastAsia="宋体" w:cs="宋体"/>
          <w:color w:val="auto"/>
          <w:spacing w:val="-1"/>
          <w:sz w:val="24"/>
          <w:szCs w:val="24"/>
          <w:highlight w:val="none"/>
        </w:rPr>
        <w:t>项的异议未在开标期间和开标现场提出的，招标人不予受理。</w:t>
      </w:r>
    </w:p>
    <w:p w14:paraId="203FF0F7">
      <w:pPr>
        <w:spacing w:before="155" w:line="279" w:lineRule="auto"/>
        <w:ind w:left="8" w:right="82" w:firstLine="48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14.4 </w:t>
      </w:r>
      <w:r>
        <w:rPr>
          <w:rFonts w:hint="eastAsia" w:ascii="宋体" w:hAnsi="宋体" w:eastAsia="宋体" w:cs="宋体"/>
          <w:color w:val="auto"/>
          <w:spacing w:val="-1"/>
          <w:sz w:val="24"/>
          <w:szCs w:val="24"/>
          <w:highlight w:val="none"/>
        </w:rPr>
        <w:t>招标代理机构将资料原件（如有）</w:t>
      </w:r>
      <w:r>
        <w:rPr>
          <w:rFonts w:hint="eastAsia" w:ascii="宋体" w:hAnsi="宋体" w:eastAsia="宋体" w:cs="宋体"/>
          <w:color w:val="auto"/>
          <w:spacing w:val="-2"/>
          <w:sz w:val="24"/>
          <w:szCs w:val="24"/>
          <w:highlight w:val="none"/>
        </w:rPr>
        <w:t>、《开标一览表》以及其他有关资料移交评标委员会。</w:t>
      </w:r>
    </w:p>
    <w:p w14:paraId="47BF78F2">
      <w:pPr>
        <w:spacing w:before="78" w:line="221" w:lineRule="auto"/>
        <w:ind w:left="496"/>
        <w:outlineLvl w:val="2"/>
        <w:rPr>
          <w:rFonts w:hint="eastAsia" w:ascii="宋体" w:hAnsi="宋体" w:eastAsia="宋体" w:cs="宋体"/>
          <w:color w:val="auto"/>
          <w:highlight w:val="none"/>
        </w:rPr>
      </w:pPr>
      <w:bookmarkStart w:id="85" w:name="_Toc961"/>
      <w:bookmarkStart w:id="86" w:name="_Toc554"/>
      <w:r>
        <w:rPr>
          <w:rFonts w:hint="eastAsia" w:ascii="宋体" w:hAnsi="宋体" w:eastAsia="宋体" w:cs="宋体"/>
          <w:b/>
          <w:bCs/>
          <w:color w:val="auto"/>
          <w:spacing w:val="-11"/>
          <w:sz w:val="24"/>
          <w:szCs w:val="24"/>
          <w:highlight w:val="none"/>
        </w:rPr>
        <w:t>15</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．评标</w:t>
      </w:r>
      <w:bookmarkEnd w:id="85"/>
      <w:bookmarkEnd w:id="86"/>
    </w:p>
    <w:p w14:paraId="5CEBE6C5">
      <w:pPr>
        <w:keepNext w:val="0"/>
        <w:keepLines w:val="0"/>
        <w:pageBreakBefore w:val="0"/>
        <w:widowControl w:val="0"/>
        <w:kinsoku/>
        <w:wordWrap w:val="0"/>
        <w:overflowPunct/>
        <w:topLinePunct w:val="0"/>
        <w:autoSpaceDE w:val="0"/>
        <w:autoSpaceDN w:val="0"/>
        <w:bidi w:val="0"/>
        <w:adjustRightInd/>
        <w:snapToGrid/>
        <w:spacing w:before="0" w:beforeLines="50" w:line="360" w:lineRule="auto"/>
        <w:ind w:firstLine="480" w:firstLineChars="200"/>
        <w:textAlignment w:val="baseline"/>
        <w:rPr>
          <w:rFonts w:hint="eastAsia" w:ascii="宋体" w:hAnsi="宋体" w:eastAsia="宋体" w:cs="宋体"/>
          <w:snapToGrid w:val="0"/>
          <w:color w:val="auto"/>
          <w:kern w:val="0"/>
          <w:sz w:val="24"/>
          <w:szCs w:val="24"/>
          <w:highlight w:val="none"/>
        </w:rPr>
      </w:pPr>
      <w:bookmarkStart w:id="87" w:name="bookmark124"/>
      <w:bookmarkEnd w:id="87"/>
      <w:r>
        <w:rPr>
          <w:rFonts w:hint="eastAsia" w:ascii="宋体" w:hAnsi="宋体" w:eastAsia="宋体" w:cs="宋体"/>
          <w:snapToGrid w:val="0"/>
          <w:color w:val="auto"/>
          <w:kern w:val="0"/>
          <w:sz w:val="24"/>
          <w:szCs w:val="24"/>
          <w:highlight w:val="none"/>
        </w:rPr>
        <w:t>评标分为初步评审和详细评审两个阶段，由评标委员会在有关部门的监督下，严格按照本招标文件指定的评标方法，对投标人的投标文件进行审查、评审。评标委员会完成评标后，评标委员会按照</w:t>
      </w:r>
      <w:r>
        <w:rPr>
          <w:rFonts w:hint="eastAsia" w:ascii="宋体" w:hAnsi="宋体" w:eastAsia="宋体" w:cs="宋体"/>
          <w:snapToGrid w:val="0"/>
          <w:color w:val="auto"/>
          <w:kern w:val="0"/>
          <w:sz w:val="24"/>
          <w:szCs w:val="24"/>
          <w:highlight w:val="none"/>
          <w:lang w:eastAsia="zh-CN"/>
        </w:rPr>
        <w:t>投标人</w:t>
      </w:r>
      <w:r>
        <w:rPr>
          <w:rFonts w:hint="eastAsia" w:ascii="宋体" w:hAnsi="宋体" w:eastAsia="宋体" w:cs="宋体"/>
          <w:snapToGrid w:val="0"/>
          <w:color w:val="auto"/>
          <w:kern w:val="0"/>
          <w:sz w:val="24"/>
          <w:szCs w:val="24"/>
          <w:highlight w:val="none"/>
        </w:rPr>
        <w:t>评审综合总得分</w:t>
      </w:r>
      <w:r>
        <w:rPr>
          <w:rFonts w:hint="eastAsia" w:ascii="宋体" w:hAnsi="宋体" w:eastAsia="宋体" w:cs="宋体"/>
          <w:snapToGrid w:val="0"/>
          <w:color w:val="auto"/>
          <w:kern w:val="0"/>
          <w:sz w:val="24"/>
          <w:szCs w:val="24"/>
          <w:highlight w:val="none"/>
          <w:lang w:eastAsia="zh-CN"/>
        </w:rPr>
        <w:t>由</w:t>
      </w:r>
      <w:r>
        <w:rPr>
          <w:rFonts w:hint="eastAsia" w:ascii="宋体" w:hAnsi="宋体" w:eastAsia="宋体" w:cs="宋体"/>
          <w:snapToGrid w:val="0"/>
          <w:color w:val="auto"/>
          <w:kern w:val="0"/>
          <w:sz w:val="24"/>
          <w:szCs w:val="24"/>
          <w:highlight w:val="none"/>
        </w:rPr>
        <w:t>高</w:t>
      </w:r>
      <w:r>
        <w:rPr>
          <w:rFonts w:hint="eastAsia" w:ascii="宋体" w:hAnsi="宋体" w:eastAsia="宋体" w:cs="宋体"/>
          <w:snapToGrid w:val="0"/>
          <w:color w:val="auto"/>
          <w:kern w:val="0"/>
          <w:sz w:val="24"/>
          <w:szCs w:val="24"/>
          <w:highlight w:val="none"/>
          <w:lang w:eastAsia="zh-CN"/>
        </w:rPr>
        <w:t>到</w:t>
      </w:r>
      <w:r>
        <w:rPr>
          <w:rFonts w:hint="eastAsia" w:ascii="宋体" w:hAnsi="宋体" w:eastAsia="宋体" w:cs="宋体"/>
          <w:snapToGrid w:val="0"/>
          <w:color w:val="auto"/>
          <w:kern w:val="0"/>
          <w:sz w:val="24"/>
          <w:szCs w:val="24"/>
          <w:highlight w:val="none"/>
        </w:rPr>
        <w:t>低的</w:t>
      </w:r>
      <w:r>
        <w:rPr>
          <w:rFonts w:hint="eastAsia" w:ascii="宋体" w:hAnsi="宋体" w:eastAsia="宋体" w:cs="宋体"/>
          <w:snapToGrid w:val="0"/>
          <w:color w:val="auto"/>
          <w:kern w:val="0"/>
          <w:sz w:val="24"/>
          <w:szCs w:val="24"/>
          <w:highlight w:val="none"/>
          <w:lang w:eastAsia="zh-CN"/>
        </w:rPr>
        <w:t>原则</w:t>
      </w:r>
      <w:r>
        <w:rPr>
          <w:rFonts w:hint="eastAsia" w:ascii="宋体" w:hAnsi="宋体" w:eastAsia="宋体" w:cs="宋体"/>
          <w:snapToGrid w:val="0"/>
          <w:color w:val="auto"/>
          <w:kern w:val="0"/>
          <w:sz w:val="24"/>
          <w:szCs w:val="24"/>
          <w:highlight w:val="none"/>
        </w:rPr>
        <w:t>,向招标人推荐</w:t>
      </w:r>
      <w:r>
        <w:rPr>
          <w:rFonts w:hint="eastAsia" w:ascii="宋体" w:hAnsi="宋体" w:eastAsia="宋体" w:cs="宋体"/>
          <w:snapToGrid w:val="0"/>
          <w:color w:val="auto"/>
          <w:kern w:val="0"/>
          <w:sz w:val="24"/>
          <w:szCs w:val="24"/>
          <w:highlight w:val="none"/>
          <w:lang w:val="en-US" w:eastAsia="zh-CN"/>
        </w:rPr>
        <w:t>已明确的</w:t>
      </w:r>
      <w:r>
        <w:rPr>
          <w:rFonts w:hint="eastAsia" w:ascii="宋体" w:hAnsi="宋体" w:eastAsia="宋体" w:cs="宋体"/>
          <w:snapToGrid w:val="0"/>
          <w:color w:val="auto"/>
          <w:kern w:val="0"/>
          <w:sz w:val="24"/>
          <w:szCs w:val="24"/>
          <w:highlight w:val="none"/>
        </w:rPr>
        <w:t>定标候选人</w:t>
      </w:r>
      <w:r>
        <w:rPr>
          <w:rFonts w:hint="eastAsia" w:ascii="宋体" w:hAnsi="宋体" w:eastAsia="宋体" w:cs="宋体"/>
          <w:snapToGrid w:val="0"/>
          <w:color w:val="auto"/>
          <w:kern w:val="0"/>
          <w:sz w:val="24"/>
          <w:szCs w:val="24"/>
          <w:highlight w:val="none"/>
          <w:lang w:eastAsia="zh-CN"/>
        </w:rPr>
        <w:t>数量</w:t>
      </w:r>
      <w:r>
        <w:rPr>
          <w:rFonts w:hint="eastAsia" w:ascii="宋体" w:hAnsi="宋体" w:eastAsia="宋体" w:cs="宋体"/>
          <w:snapToGrid w:val="0"/>
          <w:color w:val="auto"/>
          <w:kern w:val="0"/>
          <w:sz w:val="24"/>
          <w:szCs w:val="24"/>
          <w:highlight w:val="none"/>
        </w:rPr>
        <w:t>（不</w:t>
      </w:r>
      <w:r>
        <w:rPr>
          <w:rFonts w:hint="eastAsia" w:ascii="宋体" w:hAnsi="宋体" w:eastAsia="宋体" w:cs="宋体"/>
          <w:snapToGrid w:val="0"/>
          <w:color w:val="auto"/>
          <w:kern w:val="0"/>
          <w:sz w:val="24"/>
          <w:szCs w:val="24"/>
          <w:highlight w:val="none"/>
          <w:lang w:val="en-US" w:eastAsia="zh-CN"/>
        </w:rPr>
        <w:t>标明</w:t>
      </w:r>
      <w:r>
        <w:rPr>
          <w:rFonts w:hint="eastAsia" w:ascii="宋体" w:hAnsi="宋体" w:eastAsia="宋体" w:cs="宋体"/>
          <w:snapToGrid w:val="0"/>
          <w:color w:val="auto"/>
          <w:kern w:val="0"/>
          <w:sz w:val="24"/>
          <w:szCs w:val="24"/>
          <w:highlight w:val="none"/>
        </w:rPr>
        <w:t>排序），并向招标人提交由全体评标委员会成员签字的评标报告。</w:t>
      </w:r>
    </w:p>
    <w:p w14:paraId="74FE6A41">
      <w:pPr>
        <w:spacing w:before="38"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15.1  </w:t>
      </w:r>
      <w:r>
        <w:rPr>
          <w:rFonts w:hint="eastAsia" w:ascii="宋体" w:hAnsi="宋体" w:eastAsia="宋体" w:cs="宋体"/>
          <w:color w:val="auto"/>
          <w:spacing w:val="-2"/>
          <w:sz w:val="24"/>
          <w:szCs w:val="24"/>
          <w:highlight w:val="none"/>
        </w:rPr>
        <w:t>评标委员会</w:t>
      </w:r>
    </w:p>
    <w:p w14:paraId="6FF11D03">
      <w:pPr>
        <w:wordWrap w:val="0"/>
        <w:adjustRightInd w:val="0"/>
        <w:snapToGrid w:val="0"/>
        <w:spacing w:line="360" w:lineRule="auto"/>
        <w:ind w:firstLine="478" w:firstLineChars="200"/>
        <w:rPr>
          <w:rFonts w:hint="eastAsia" w:ascii="宋体" w:hAnsi="宋体" w:eastAsia="宋体" w:cs="宋体"/>
          <w:snapToGrid w:val="0"/>
          <w:color w:val="auto"/>
          <w:kern w:val="0"/>
          <w:sz w:val="24"/>
          <w:highlight w:val="none"/>
        </w:rPr>
      </w:pPr>
      <w:r>
        <w:rPr>
          <w:rFonts w:hint="eastAsia" w:ascii="宋体" w:hAnsi="宋体" w:eastAsia="宋体" w:cs="宋体"/>
          <w:b/>
          <w:bCs/>
          <w:color w:val="auto"/>
          <w:spacing w:val="-1"/>
          <w:sz w:val="24"/>
          <w:szCs w:val="24"/>
          <w:highlight w:val="none"/>
        </w:rPr>
        <w:t xml:space="preserve">15.1.1 </w:t>
      </w:r>
      <w:r>
        <w:rPr>
          <w:rFonts w:hint="eastAsia" w:ascii="宋体" w:hAnsi="宋体" w:eastAsia="宋体" w:cs="宋体"/>
          <w:color w:val="auto"/>
          <w:sz w:val="24"/>
          <w:szCs w:val="24"/>
          <w:highlight w:val="none"/>
        </w:rPr>
        <w:t>评标委员会由</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人组成，其中招标人代表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1</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人，专家</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4</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人。专家从</w:t>
      </w:r>
      <w:r>
        <w:rPr>
          <w:rFonts w:hint="eastAsia" w:ascii="宋体" w:hAnsi="宋体" w:eastAsia="宋体" w:cs="宋体"/>
          <w:color w:val="auto"/>
          <w:sz w:val="24"/>
          <w:szCs w:val="24"/>
          <w:highlight w:val="none"/>
          <w:u w:val="single"/>
        </w:rPr>
        <w:t>广东省综合评标评审专家库</w:t>
      </w:r>
      <w:r>
        <w:rPr>
          <w:rFonts w:hint="eastAsia" w:ascii="宋体" w:hAnsi="宋体" w:eastAsia="宋体" w:cs="宋体"/>
          <w:color w:val="auto"/>
          <w:sz w:val="24"/>
          <w:szCs w:val="24"/>
          <w:highlight w:val="none"/>
        </w:rPr>
        <w:t>中随机抽取，其中技术类专家</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2</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人，经济类专家</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人。</w:t>
      </w:r>
      <w:r>
        <w:rPr>
          <w:rFonts w:hint="eastAsia" w:ascii="宋体" w:hAnsi="宋体" w:eastAsia="宋体" w:cs="宋体"/>
          <w:color w:val="auto"/>
          <w:spacing w:val="-1"/>
          <w:sz w:val="24"/>
          <w:szCs w:val="24"/>
          <w:highlight w:val="none"/>
        </w:rPr>
        <w:t>评标委员会设负责人，由评标委员会成员推举产生</w:t>
      </w:r>
      <w:r>
        <w:rPr>
          <w:rFonts w:hint="eastAsia" w:ascii="宋体" w:hAnsi="宋体" w:eastAsia="宋体" w:cs="宋体"/>
          <w:color w:val="auto"/>
          <w:spacing w:val="-2"/>
          <w:sz w:val="24"/>
          <w:szCs w:val="24"/>
          <w:highlight w:val="none"/>
        </w:rPr>
        <w:t>。评标委员会负责人与评</w:t>
      </w:r>
      <w:r>
        <w:rPr>
          <w:rFonts w:hint="eastAsia" w:ascii="宋体" w:hAnsi="宋体" w:eastAsia="宋体" w:cs="宋体"/>
          <w:color w:val="auto"/>
          <w:spacing w:val="-1"/>
          <w:sz w:val="24"/>
          <w:szCs w:val="24"/>
          <w:highlight w:val="none"/>
        </w:rPr>
        <w:t>标委员会的其他成员有同等的表决权。</w:t>
      </w:r>
    </w:p>
    <w:p w14:paraId="25C3C25B">
      <w:pPr>
        <w:wordWrap w:val="0"/>
        <w:adjustRightInd w:val="0"/>
        <w:snapToGrid w:val="0"/>
        <w:spacing w:line="360" w:lineRule="auto"/>
        <w:ind w:firstLine="472" w:firstLineChars="200"/>
        <w:rPr>
          <w:rFonts w:hint="eastAsia" w:ascii="宋体" w:hAnsi="宋体" w:eastAsia="宋体" w:cs="宋体"/>
          <w:b w:val="0"/>
          <w:bCs w:val="0"/>
          <w:color w:val="auto"/>
          <w:spacing w:val="-2"/>
          <w:sz w:val="24"/>
          <w:szCs w:val="24"/>
          <w:highlight w:val="none"/>
        </w:rPr>
      </w:pPr>
      <w:r>
        <w:rPr>
          <w:rFonts w:hint="eastAsia" w:ascii="宋体" w:hAnsi="宋体" w:eastAsia="宋体" w:cs="宋体"/>
          <w:b w:val="0"/>
          <w:bCs w:val="0"/>
          <w:color w:val="auto"/>
          <w:spacing w:val="-2"/>
          <w:sz w:val="24"/>
          <w:szCs w:val="24"/>
          <w:highlight w:val="none"/>
          <w:lang w:val="en-US" w:eastAsia="zh-CN"/>
        </w:rPr>
        <w:t>根据《广东省远程异地评标招标项目范围规定（试行）》，本项目需抽取省内异地评委远程参与评标。</w:t>
      </w:r>
    </w:p>
    <w:p w14:paraId="4CE798F0">
      <w:pPr>
        <w:wordWrap w:val="0"/>
        <w:adjustRightInd w:val="0"/>
        <w:snapToGrid w:val="0"/>
        <w:spacing w:line="360" w:lineRule="auto"/>
        <w:ind w:firstLine="474" w:firstLineChars="200"/>
        <w:rPr>
          <w:rFonts w:hint="eastAsia" w:ascii="宋体" w:hAnsi="宋体" w:eastAsia="宋体" w:cs="宋体"/>
          <w:snapToGrid w:val="0"/>
          <w:color w:val="auto"/>
          <w:kern w:val="0"/>
          <w:sz w:val="24"/>
          <w:highlight w:val="none"/>
        </w:rPr>
      </w:pPr>
      <w:r>
        <w:rPr>
          <w:rFonts w:hint="eastAsia" w:ascii="宋体" w:hAnsi="宋体" w:eastAsia="宋体" w:cs="宋体"/>
          <w:b/>
          <w:bCs/>
          <w:color w:val="auto"/>
          <w:spacing w:val="-2"/>
          <w:sz w:val="24"/>
          <w:szCs w:val="24"/>
          <w:highlight w:val="none"/>
        </w:rPr>
        <w:t>15.1.2</w:t>
      </w:r>
      <w:r>
        <w:rPr>
          <w:rFonts w:hint="eastAsia" w:ascii="宋体" w:hAnsi="宋体" w:eastAsia="宋体" w:cs="宋体"/>
          <w:snapToGrid w:val="0"/>
          <w:color w:val="auto"/>
          <w:kern w:val="0"/>
          <w:sz w:val="24"/>
          <w:highlight w:val="none"/>
        </w:rPr>
        <w:t xml:space="preserve"> </w:t>
      </w:r>
      <w:r>
        <w:rPr>
          <w:rFonts w:hint="eastAsia" w:ascii="宋体" w:hAnsi="宋体" w:eastAsia="宋体" w:cs="宋体"/>
          <w:snapToGrid w:val="0"/>
          <w:color w:val="auto"/>
          <w:kern w:val="0"/>
          <w:sz w:val="24"/>
          <w:highlight w:val="none"/>
          <w:lang w:eastAsia="zh-CN"/>
        </w:rPr>
        <w:t>评标专家</w:t>
      </w:r>
      <w:r>
        <w:rPr>
          <w:rFonts w:hint="eastAsia" w:ascii="宋体" w:hAnsi="宋体" w:eastAsia="宋体" w:cs="宋体"/>
          <w:snapToGrid w:val="0"/>
          <w:color w:val="auto"/>
          <w:kern w:val="0"/>
          <w:sz w:val="24"/>
          <w:highlight w:val="none"/>
        </w:rPr>
        <w:t>应按时参加评标活动，自觉遵守工作纪律和服从现场管理</w:t>
      </w: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采用远程异地评标方式评标的</w:t>
      </w: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主场、副场各自负责本场所</w:t>
      </w:r>
      <w:r>
        <w:rPr>
          <w:rFonts w:hint="eastAsia" w:ascii="宋体" w:hAnsi="宋体" w:eastAsia="宋体" w:cs="宋体"/>
          <w:snapToGrid w:val="0"/>
          <w:color w:val="auto"/>
          <w:kern w:val="0"/>
          <w:sz w:val="24"/>
          <w:highlight w:val="none"/>
          <w:lang w:eastAsia="zh-CN"/>
        </w:rPr>
        <w:t>评标委员会</w:t>
      </w:r>
      <w:r>
        <w:rPr>
          <w:rFonts w:hint="eastAsia" w:ascii="宋体" w:hAnsi="宋体" w:eastAsia="宋体" w:cs="宋体"/>
          <w:snapToGrid w:val="0"/>
          <w:color w:val="auto"/>
          <w:kern w:val="0"/>
          <w:sz w:val="24"/>
          <w:highlight w:val="none"/>
        </w:rPr>
        <w:t>成员身份核验和签到工作，统一保管其通讯工具，指引评标专家至远程异地评标室，并为其提供技术协助和服务。在评标过程中如遇评标专家对投标文件存在疑问或意见分歧的，应由</w:t>
      </w:r>
      <w:r>
        <w:rPr>
          <w:rFonts w:hint="eastAsia" w:ascii="宋体" w:hAnsi="宋体" w:eastAsia="宋体" w:cs="宋体"/>
          <w:snapToGrid w:val="0"/>
          <w:color w:val="auto"/>
          <w:kern w:val="0"/>
          <w:sz w:val="24"/>
          <w:highlight w:val="none"/>
          <w:lang w:eastAsia="zh-CN"/>
        </w:rPr>
        <w:t>评标委员会</w:t>
      </w:r>
      <w:r>
        <w:rPr>
          <w:rFonts w:hint="eastAsia" w:ascii="宋体" w:hAnsi="宋体" w:eastAsia="宋体" w:cs="宋体"/>
          <w:snapToGrid w:val="0"/>
          <w:color w:val="auto"/>
          <w:kern w:val="0"/>
          <w:sz w:val="24"/>
          <w:highlight w:val="none"/>
        </w:rPr>
        <w:t>成员推举产生</w:t>
      </w:r>
      <w:r>
        <w:rPr>
          <w:rFonts w:hint="eastAsia" w:ascii="宋体" w:hAnsi="宋体" w:eastAsia="宋体" w:cs="宋体"/>
          <w:snapToGrid w:val="0"/>
          <w:color w:val="auto"/>
          <w:kern w:val="0"/>
          <w:sz w:val="24"/>
          <w:highlight w:val="none"/>
          <w:lang w:eastAsia="zh-CN"/>
        </w:rPr>
        <w:t>的评标委员会组长</w:t>
      </w:r>
      <w:r>
        <w:rPr>
          <w:rFonts w:hint="eastAsia" w:ascii="宋体" w:hAnsi="宋体" w:eastAsia="宋体" w:cs="宋体"/>
          <w:snapToGrid w:val="0"/>
          <w:color w:val="auto"/>
          <w:kern w:val="0"/>
          <w:sz w:val="24"/>
          <w:highlight w:val="none"/>
        </w:rPr>
        <w:t>组织</w:t>
      </w:r>
      <w:r>
        <w:rPr>
          <w:rFonts w:hint="eastAsia" w:ascii="宋体" w:hAnsi="宋体" w:eastAsia="宋体" w:cs="宋体"/>
          <w:snapToGrid w:val="0"/>
          <w:color w:val="auto"/>
          <w:kern w:val="0"/>
          <w:sz w:val="24"/>
          <w:highlight w:val="none"/>
          <w:lang w:eastAsia="zh-CN"/>
        </w:rPr>
        <w:t>各</w:t>
      </w:r>
      <w:r>
        <w:rPr>
          <w:rFonts w:hint="eastAsia" w:ascii="宋体" w:hAnsi="宋体" w:eastAsia="宋体" w:cs="宋体"/>
          <w:snapToGrid w:val="0"/>
          <w:color w:val="auto"/>
          <w:kern w:val="0"/>
          <w:sz w:val="24"/>
          <w:highlight w:val="none"/>
        </w:rPr>
        <w:t>成员协商讨论。在评标过程中需要进行讨论或者通过实名投票方式表决意见的，应当通过视频会议系统进行，并做好相关记录。</w:t>
      </w:r>
    </w:p>
    <w:p w14:paraId="34609F4C">
      <w:pPr>
        <w:keepNext w:val="0"/>
        <w:keepLines w:val="0"/>
        <w:pageBreakBefore w:val="0"/>
        <w:shd w:val="clear" w:color="auto" w:fill="auto"/>
        <w:kinsoku/>
        <w:wordWrap/>
        <w:overflowPunct/>
        <w:topLinePunct w:val="0"/>
        <w:bidi w:val="0"/>
        <w:adjustRightInd/>
        <w:snapToGrid/>
        <w:spacing w:line="340" w:lineRule="exact"/>
        <w:ind w:left="0" w:leftChars="0" w:firstLine="474"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b/>
          <w:bCs/>
          <w:color w:val="auto"/>
          <w:sz w:val="24"/>
          <w:highlight w:val="none"/>
          <w:lang w:val="en-US" w:eastAsia="zh-CN"/>
        </w:rPr>
        <w:t>15.1.3</w:t>
      </w:r>
      <w:r>
        <w:rPr>
          <w:rFonts w:hint="eastAsia" w:ascii="宋体" w:hAnsi="宋体" w:eastAsia="宋体" w:cs="宋体"/>
          <w:color w:val="auto"/>
          <w:sz w:val="24"/>
          <w:highlight w:val="none"/>
          <w:lang w:eastAsia="zh-CN"/>
        </w:rPr>
        <w:t>评标委员会应</w:t>
      </w:r>
      <w:r>
        <w:rPr>
          <w:rFonts w:hint="eastAsia" w:ascii="宋体" w:hAnsi="宋体" w:eastAsia="宋体" w:cs="宋体"/>
          <w:color w:val="auto"/>
          <w:sz w:val="24"/>
          <w:highlight w:val="none"/>
        </w:rPr>
        <w:t>严格按照招标文件的评标办法规定的评标程序、评标标准和方法进行评标，招标文件没有规定的评标标准和方法不得作为评标的依据。</w:t>
      </w:r>
      <w:r>
        <w:rPr>
          <w:rFonts w:hint="eastAsia" w:ascii="宋体" w:hAnsi="宋体" w:eastAsia="宋体" w:cs="宋体"/>
          <w:color w:val="auto"/>
          <w:sz w:val="24"/>
          <w:highlight w:val="none"/>
          <w:lang w:eastAsia="zh-CN"/>
        </w:rPr>
        <w:t>并且</w:t>
      </w:r>
      <w:r>
        <w:rPr>
          <w:rFonts w:hint="eastAsia" w:ascii="宋体" w:hAnsi="宋体" w:eastAsia="宋体" w:cs="宋体"/>
          <w:color w:val="auto"/>
          <w:sz w:val="24"/>
          <w:highlight w:val="none"/>
        </w:rPr>
        <w:t>自觉接受有关行政部门监督，协助配合有关异议和投诉处理。采用远程异地评标方式评标的</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主场、副场评标专家在评标过程中具有同等权利和义务</w:t>
      </w:r>
    </w:p>
    <w:p w14:paraId="15C81B7D">
      <w:pPr>
        <w:keepNext w:val="0"/>
        <w:keepLines w:val="0"/>
        <w:pageBreakBefore w:val="0"/>
        <w:shd w:val="clear" w:color="auto" w:fill="auto"/>
        <w:kinsoku/>
        <w:wordWrap/>
        <w:overflowPunct/>
        <w:topLinePunct w:val="0"/>
        <w:bidi w:val="0"/>
        <w:adjustRightInd/>
        <w:snapToGrid/>
        <w:spacing w:line="340" w:lineRule="exact"/>
        <w:ind w:left="0" w:leftChars="0" w:firstLine="482"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15.1.4</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应切实履行评标职责，对同一个问题不一致的，按程序要求记录。</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实行少数服从多数的原则，以记名投票方式表决，评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结果经</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全体成员过半数通过有效。</w:t>
      </w:r>
    </w:p>
    <w:p w14:paraId="2691AA18">
      <w:pPr>
        <w:wordWrap w:val="0"/>
        <w:adjustRightInd w:val="0"/>
        <w:snapToGrid w:val="0"/>
        <w:spacing w:line="360" w:lineRule="auto"/>
        <w:ind w:firstLine="560"/>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15.1.5</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成员应当独立、客观、公正地对投标文件提出评审意见，对评审结果签字确认，并对所提出的评审意见承担个人责任。禁止</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成员将个人意见强加给他人，影响正常评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秩序和妨碍评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结论的公正性。对评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结果有不同意见的</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成员应当以书面形式说明其不同意见和理由，</w:t>
      </w:r>
      <w:r>
        <w:rPr>
          <w:rFonts w:hint="eastAsia" w:ascii="宋体" w:hAnsi="宋体" w:eastAsia="宋体" w:cs="宋体"/>
          <w:color w:val="auto"/>
          <w:sz w:val="24"/>
          <w:highlight w:val="none"/>
          <w:lang w:eastAsia="zh-CN"/>
        </w:rPr>
        <w:t>资格后审报告（</w:t>
      </w:r>
      <w:r>
        <w:rPr>
          <w:rFonts w:hint="eastAsia" w:ascii="宋体" w:hAnsi="宋体" w:eastAsia="宋体" w:cs="宋体"/>
          <w:color w:val="auto"/>
          <w:sz w:val="24"/>
          <w:highlight w:val="none"/>
        </w:rPr>
        <w:t>评标报告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应当注明该不同意见。</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成员拒绝在</w:t>
      </w:r>
      <w:r>
        <w:rPr>
          <w:rFonts w:hint="eastAsia" w:ascii="宋体" w:hAnsi="宋体" w:eastAsia="宋体" w:cs="宋体"/>
          <w:color w:val="auto"/>
          <w:sz w:val="24"/>
          <w:highlight w:val="none"/>
          <w:lang w:eastAsia="zh-CN"/>
        </w:rPr>
        <w:t>资格后审报告（</w:t>
      </w:r>
      <w:r>
        <w:rPr>
          <w:rFonts w:hint="eastAsia" w:ascii="宋体" w:hAnsi="宋体" w:eastAsia="宋体" w:cs="宋体"/>
          <w:color w:val="auto"/>
          <w:sz w:val="24"/>
          <w:highlight w:val="none"/>
        </w:rPr>
        <w:t>评标报告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上签字又不书面说明其不同意见和理由的，视为同意评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w:t>
      </w:r>
    </w:p>
    <w:p w14:paraId="71525F17">
      <w:pPr>
        <w:wordWrap w:val="0"/>
        <w:adjustRightInd w:val="0"/>
        <w:snapToGrid w:val="0"/>
        <w:spacing w:line="360" w:lineRule="auto"/>
        <w:ind w:firstLine="560"/>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15.2</w:t>
      </w:r>
      <w:r>
        <w:rPr>
          <w:rFonts w:hint="eastAsia" w:ascii="宋体" w:hAnsi="宋体" w:eastAsia="宋体" w:cs="宋体"/>
          <w:b/>
          <w:color w:val="auto"/>
          <w:sz w:val="24"/>
          <w:highlight w:val="none"/>
        </w:rPr>
        <w:t>评标过程的回避</w:t>
      </w:r>
    </w:p>
    <w:p w14:paraId="6E04259D">
      <w:pPr>
        <w:spacing w:before="32" w:line="280" w:lineRule="auto"/>
        <w:ind w:left="13" w:right="7" w:firstLine="56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val="en-US" w:eastAsia="zh-CN"/>
        </w:rPr>
        <w:t>15.2.1</w:t>
      </w:r>
      <w:r>
        <w:rPr>
          <w:rFonts w:hint="eastAsia" w:ascii="宋体" w:hAnsi="宋体" w:eastAsia="宋体" w:cs="宋体"/>
          <w:color w:val="auto"/>
          <w:spacing w:val="-2"/>
          <w:sz w:val="24"/>
          <w:szCs w:val="24"/>
          <w:highlight w:val="none"/>
        </w:rPr>
        <w:t>评标委员会应认真、公正、诚实、廉洁地履行职责。有下列情形之一的，不得担任评标委员会成员：</w:t>
      </w:r>
    </w:p>
    <w:p w14:paraId="5B6D30EB">
      <w:pPr>
        <w:spacing w:before="154" w:line="220"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（1）投标人或投标人主要负责人的近亲属；</w:t>
      </w:r>
    </w:p>
    <w:p w14:paraId="311A3C6A">
      <w:pPr>
        <w:spacing w:before="153" w:line="220"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（2）项目主管部门或者行政监督部门的人员；</w:t>
      </w:r>
    </w:p>
    <w:p w14:paraId="5160DFA2">
      <w:pPr>
        <w:spacing w:before="155" w:line="221"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（3）与投标人有经济利益关系，可能影响对投标公正评审的；</w:t>
      </w:r>
    </w:p>
    <w:p w14:paraId="62119D0A">
      <w:pPr>
        <w:spacing w:before="153" w:line="279" w:lineRule="auto"/>
        <w:ind w:left="8" w:right="65" w:firstLine="57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（4）曾因在招标、评标以及其他与招标投标有关活动中从事违法行为而受过行政处罚或刑事处罚的。</w:t>
      </w:r>
    </w:p>
    <w:p w14:paraId="39AEDCC3">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15.2.2</w:t>
      </w:r>
      <w:r>
        <w:rPr>
          <w:rFonts w:hint="eastAsia" w:ascii="宋体" w:hAnsi="宋体" w:eastAsia="宋体" w:cs="宋体"/>
          <w:b w:val="0"/>
          <w:bCs w:val="0"/>
          <w:color w:val="auto"/>
          <w:sz w:val="24"/>
          <w:highlight w:val="none"/>
          <w:lang w:eastAsia="zh-CN"/>
        </w:rPr>
        <w:t>评标委员会</w:t>
      </w:r>
      <w:r>
        <w:rPr>
          <w:rFonts w:hint="eastAsia" w:ascii="宋体" w:hAnsi="宋体" w:eastAsia="宋体" w:cs="宋体"/>
          <w:color w:val="auto"/>
          <w:sz w:val="24"/>
          <w:highlight w:val="none"/>
        </w:rPr>
        <w:t>专家不主动提出回避的，一经发现，应立即终止其评标活动，已完成评标活动的，其评标结果无效。</w:t>
      </w:r>
    </w:p>
    <w:p w14:paraId="1642B4B0">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b/>
          <w:color w:val="auto"/>
          <w:sz w:val="24"/>
          <w:highlight w:val="none"/>
        </w:rPr>
      </w:pPr>
      <w:r>
        <w:rPr>
          <w:rFonts w:hint="eastAsia" w:ascii="宋体" w:hAnsi="宋体" w:cs="宋体"/>
          <w:b/>
          <w:bCs/>
          <w:snapToGrid w:val="0"/>
          <w:color w:val="auto"/>
          <w:kern w:val="0"/>
          <w:sz w:val="24"/>
          <w:highlight w:val="none"/>
          <w:lang w:val="en-US" w:eastAsia="zh-CN"/>
        </w:rPr>
        <w:t>15.3</w:t>
      </w:r>
      <w:r>
        <w:rPr>
          <w:rFonts w:hint="eastAsia" w:ascii="宋体" w:hAnsi="宋体" w:cs="宋体"/>
          <w:snapToGrid w:val="0"/>
          <w:color w:val="auto"/>
          <w:kern w:val="0"/>
          <w:sz w:val="24"/>
          <w:highlight w:val="none"/>
        </w:rPr>
        <w:t xml:space="preserve"> </w:t>
      </w:r>
      <w:r>
        <w:rPr>
          <w:rFonts w:hint="eastAsia" w:ascii="宋体" w:hAnsi="宋体" w:eastAsia="宋体" w:cs="宋体"/>
          <w:b/>
          <w:color w:val="auto"/>
          <w:sz w:val="24"/>
          <w:highlight w:val="none"/>
        </w:rPr>
        <w:t>评标过程的保密</w:t>
      </w:r>
    </w:p>
    <w:p w14:paraId="163002D0">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15.3.1</w:t>
      </w:r>
      <w:r>
        <w:rPr>
          <w:rFonts w:hint="eastAsia" w:ascii="宋体" w:hAnsi="宋体" w:eastAsia="宋体" w:cs="宋体"/>
          <w:color w:val="auto"/>
          <w:kern w:val="0"/>
          <w:sz w:val="24"/>
          <w:highlight w:val="none"/>
        </w:rPr>
        <w:t xml:space="preserve"> 开标后，直至授予中标人合同为止，凡属于对投标人文件的审查、澄清、评价和比较有关的资料及与中标候选人的推荐情况，与评标有关的其他任何情况均应严格保密。</w:t>
      </w:r>
    </w:p>
    <w:p w14:paraId="4694A313">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15.3.2</w:t>
      </w:r>
      <w:r>
        <w:rPr>
          <w:rFonts w:hint="eastAsia" w:ascii="宋体" w:hAnsi="宋体" w:eastAsia="宋体" w:cs="宋体"/>
          <w:color w:val="auto"/>
          <w:kern w:val="0"/>
          <w:sz w:val="24"/>
          <w:highlight w:val="none"/>
        </w:rPr>
        <w:t xml:space="preserve"> 在投标文件的评审和比较、中标候选人推荐以及授予合同的过程中，投标人向招标人和评标委员会施加影响的任何行为，都将会导致其投标被拒绝。</w:t>
      </w:r>
    </w:p>
    <w:p w14:paraId="3745944F">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15.3.3</w:t>
      </w:r>
      <w:r>
        <w:rPr>
          <w:rFonts w:hint="eastAsia" w:ascii="宋体" w:hAnsi="宋体" w:eastAsia="宋体" w:cs="宋体"/>
          <w:color w:val="auto"/>
          <w:kern w:val="0"/>
          <w:sz w:val="24"/>
          <w:highlight w:val="none"/>
        </w:rPr>
        <w:t>中标人确定后，招标人不对未中标人就评标过程以及未能中标原因作出任何解释。未中标人不得向评标委员会组成人员或其他有关人员索问评标过程的情况和材料。</w:t>
      </w:r>
    </w:p>
    <w:p w14:paraId="4433A9EB">
      <w:pPr>
        <w:spacing w:before="154" w:line="279" w:lineRule="auto"/>
        <w:ind w:left="8" w:right="65"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lang w:val="en-US" w:eastAsia="zh-CN"/>
        </w:rPr>
        <w:t>15.3.4</w:t>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评标全过程实行封闭式管理，在中标结果公</w:t>
      </w:r>
      <w:r>
        <w:rPr>
          <w:rFonts w:hint="eastAsia" w:ascii="宋体" w:hAnsi="宋体" w:eastAsia="宋体" w:cs="宋体"/>
          <w:color w:val="auto"/>
          <w:spacing w:val="-2"/>
          <w:sz w:val="24"/>
          <w:szCs w:val="24"/>
          <w:highlight w:val="none"/>
        </w:rPr>
        <w:t>布前，禁止评标委员会成员以</w:t>
      </w:r>
      <w:r>
        <w:rPr>
          <w:rFonts w:hint="eastAsia" w:ascii="宋体" w:hAnsi="宋体" w:eastAsia="宋体" w:cs="宋体"/>
          <w:color w:val="auto"/>
          <w:spacing w:val="-1"/>
          <w:sz w:val="24"/>
          <w:szCs w:val="24"/>
          <w:highlight w:val="none"/>
        </w:rPr>
        <w:t>任何方式私下接触投标人。</w:t>
      </w:r>
    </w:p>
    <w:p w14:paraId="103791E4">
      <w:pPr>
        <w:spacing w:before="157" w:line="298" w:lineRule="auto"/>
        <w:ind w:left="11" w:right="65"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15.</w:t>
      </w:r>
      <w:r>
        <w:rPr>
          <w:rFonts w:hint="eastAsia" w:ascii="宋体" w:hAnsi="宋体" w:eastAsia="宋体" w:cs="宋体"/>
          <w:b/>
          <w:bCs/>
          <w:color w:val="auto"/>
          <w:spacing w:val="-1"/>
          <w:sz w:val="24"/>
          <w:szCs w:val="24"/>
          <w:highlight w:val="none"/>
          <w:lang w:val="en-US" w:eastAsia="zh-CN"/>
        </w:rPr>
        <w:t>3.5</w:t>
      </w:r>
      <w:r>
        <w:rPr>
          <w:rFonts w:hint="eastAsia" w:ascii="宋体" w:hAnsi="宋体" w:eastAsia="宋体" w:cs="宋体"/>
          <w:color w:val="auto"/>
          <w:spacing w:val="-1"/>
          <w:sz w:val="24"/>
          <w:szCs w:val="24"/>
          <w:highlight w:val="none"/>
        </w:rPr>
        <w:t>在评标过程中，评标委员会可以书面形式要</w:t>
      </w:r>
      <w:r>
        <w:rPr>
          <w:rFonts w:hint="eastAsia" w:ascii="宋体" w:hAnsi="宋体" w:eastAsia="宋体" w:cs="宋体"/>
          <w:color w:val="auto"/>
          <w:spacing w:val="-2"/>
          <w:sz w:val="24"/>
          <w:szCs w:val="24"/>
          <w:highlight w:val="none"/>
        </w:rPr>
        <w:t>求投标人对所提交的投标文件</w:t>
      </w:r>
      <w:r>
        <w:rPr>
          <w:rFonts w:hint="eastAsia" w:ascii="宋体" w:hAnsi="宋体" w:eastAsia="宋体" w:cs="宋体"/>
          <w:color w:val="auto"/>
          <w:spacing w:val="-1"/>
          <w:sz w:val="24"/>
          <w:szCs w:val="24"/>
          <w:highlight w:val="none"/>
        </w:rPr>
        <w:t>中不明确的内容进行书面澄清或说明，但不接受投标人主</w:t>
      </w:r>
      <w:r>
        <w:rPr>
          <w:rFonts w:hint="eastAsia" w:ascii="宋体" w:hAnsi="宋体" w:eastAsia="宋体" w:cs="宋体"/>
          <w:color w:val="auto"/>
          <w:spacing w:val="-2"/>
          <w:sz w:val="24"/>
          <w:szCs w:val="24"/>
          <w:highlight w:val="none"/>
        </w:rPr>
        <w:t>动提出的澄清或说明。投标</w:t>
      </w:r>
      <w:r>
        <w:rPr>
          <w:rFonts w:hint="eastAsia" w:ascii="宋体" w:hAnsi="宋体" w:eastAsia="宋体" w:cs="宋体"/>
          <w:color w:val="auto"/>
          <w:spacing w:val="-1"/>
          <w:sz w:val="24"/>
          <w:szCs w:val="24"/>
          <w:highlight w:val="none"/>
        </w:rPr>
        <w:t>人的书面澄清或说明不得改变投标文件的实质性内容，并</w:t>
      </w:r>
      <w:r>
        <w:rPr>
          <w:rFonts w:hint="eastAsia" w:ascii="宋体" w:hAnsi="宋体" w:eastAsia="宋体" w:cs="宋体"/>
          <w:color w:val="auto"/>
          <w:spacing w:val="-2"/>
          <w:sz w:val="24"/>
          <w:szCs w:val="24"/>
          <w:highlight w:val="none"/>
        </w:rPr>
        <w:t>作为投标文件的组成部分。</w:t>
      </w:r>
    </w:p>
    <w:p w14:paraId="4EE9F1E7">
      <w:pPr>
        <w:spacing w:before="156" w:line="309" w:lineRule="auto"/>
        <w:ind w:left="8" w:right="65" w:firstLine="569"/>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3.6</w:t>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在任何评标环节中，当评标委员会就某</w:t>
      </w:r>
      <w:r>
        <w:rPr>
          <w:rFonts w:hint="eastAsia" w:ascii="宋体" w:hAnsi="宋体" w:eastAsia="宋体" w:cs="宋体"/>
          <w:color w:val="auto"/>
          <w:spacing w:val="-4"/>
          <w:sz w:val="24"/>
          <w:szCs w:val="24"/>
          <w:highlight w:val="none"/>
        </w:rPr>
        <w:t>项定性的评审结论不统一、需要做</w:t>
      </w:r>
      <w:r>
        <w:rPr>
          <w:rFonts w:hint="eastAsia" w:ascii="宋体" w:hAnsi="宋体" w:eastAsia="宋体" w:cs="宋体"/>
          <w:color w:val="auto"/>
          <w:spacing w:val="-1"/>
          <w:sz w:val="24"/>
          <w:szCs w:val="24"/>
          <w:highlight w:val="none"/>
        </w:rPr>
        <w:t>出表决时，由评标委员会全体成员按照少数服从多数的原则，以</w:t>
      </w:r>
      <w:r>
        <w:rPr>
          <w:rFonts w:hint="eastAsia" w:ascii="宋体" w:hAnsi="宋体" w:eastAsia="宋体" w:cs="宋体"/>
          <w:color w:val="auto"/>
          <w:spacing w:val="-2"/>
          <w:sz w:val="24"/>
          <w:szCs w:val="24"/>
          <w:highlight w:val="none"/>
        </w:rPr>
        <w:t>记名投票方式表决。</w:t>
      </w:r>
      <w:r>
        <w:rPr>
          <w:rFonts w:hint="eastAsia" w:ascii="宋体" w:hAnsi="宋体" w:eastAsia="宋体" w:cs="宋体"/>
          <w:color w:val="auto"/>
          <w:spacing w:val="-1"/>
          <w:sz w:val="24"/>
          <w:szCs w:val="24"/>
          <w:highlight w:val="none"/>
        </w:rPr>
        <w:t>评标委员会全体成员应共同遵守和执行表决结果，严禁评标委员</w:t>
      </w:r>
      <w:r>
        <w:rPr>
          <w:rFonts w:hint="eastAsia" w:ascii="宋体" w:hAnsi="宋体" w:eastAsia="宋体" w:cs="宋体"/>
          <w:color w:val="auto"/>
          <w:spacing w:val="-2"/>
          <w:sz w:val="24"/>
          <w:szCs w:val="24"/>
          <w:highlight w:val="none"/>
        </w:rPr>
        <w:t>会任何成员将个人意</w:t>
      </w:r>
      <w:r>
        <w:rPr>
          <w:rFonts w:hint="eastAsia" w:ascii="宋体" w:hAnsi="宋体" w:eastAsia="宋体" w:cs="宋体"/>
          <w:color w:val="auto"/>
          <w:spacing w:val="-1"/>
          <w:sz w:val="24"/>
          <w:szCs w:val="24"/>
          <w:highlight w:val="none"/>
        </w:rPr>
        <w:t>见强加给他人、影响评标正常秩序和妨碍评审结论的公正性。</w:t>
      </w:r>
    </w:p>
    <w:p w14:paraId="43D102BA">
      <w:pPr>
        <w:spacing w:before="79" w:line="221" w:lineRule="auto"/>
        <w:ind w:left="577"/>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3</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评标方法</w:t>
      </w:r>
    </w:p>
    <w:p w14:paraId="6D924BEF">
      <w:pPr>
        <w:spacing w:before="78" w:line="326" w:lineRule="auto"/>
        <w:ind w:left="231" w:right="181" w:firstLine="560"/>
        <w:rPr>
          <w:rFonts w:hint="eastAsia" w:ascii="宋体" w:hAnsi="宋体" w:eastAsia="宋体" w:cs="宋体"/>
          <w:color w:val="auto"/>
          <w:highlight w:val="none"/>
        </w:rPr>
      </w:pPr>
      <w:bookmarkStart w:id="88" w:name="bookmark125"/>
      <w:bookmarkEnd w:id="88"/>
      <w:r>
        <w:rPr>
          <w:rFonts w:hint="eastAsia" w:ascii="宋体" w:hAnsi="宋体" w:eastAsia="宋体" w:cs="宋体"/>
          <w:color w:val="auto"/>
          <w:spacing w:val="-4"/>
          <w:sz w:val="24"/>
          <w:szCs w:val="24"/>
          <w:highlight w:val="none"/>
        </w:rPr>
        <w:t>根据有关法律、法规的相关规定，结合本招标项目资金来源和规模特点，本次招</w:t>
      </w:r>
      <w:r>
        <w:rPr>
          <w:rFonts w:hint="eastAsia" w:ascii="宋体" w:hAnsi="宋体" w:eastAsia="宋体" w:cs="宋体"/>
          <w:color w:val="auto"/>
          <w:spacing w:val="-1"/>
          <w:sz w:val="24"/>
          <w:szCs w:val="24"/>
          <w:highlight w:val="none"/>
        </w:rPr>
        <w:t>标采用</w:t>
      </w:r>
      <w:r>
        <w:rPr>
          <w:rFonts w:hint="eastAsia" w:ascii="宋体" w:hAnsi="宋体" w:eastAsia="宋体" w:cs="宋体"/>
          <w:b/>
          <w:bCs/>
          <w:color w:val="auto"/>
          <w:spacing w:val="-4"/>
          <w:sz w:val="24"/>
          <w:szCs w:val="24"/>
          <w:highlight w:val="none"/>
          <w:u w:val="single"/>
          <w:lang w:eastAsia="zh-CN"/>
        </w:rPr>
        <w:t xml:space="preserve"> 综合评</w:t>
      </w:r>
      <w:r>
        <w:rPr>
          <w:rFonts w:hint="eastAsia" w:ascii="宋体" w:hAnsi="宋体" w:eastAsia="宋体" w:cs="宋体"/>
          <w:b/>
          <w:bCs/>
          <w:color w:val="auto"/>
          <w:spacing w:val="-4"/>
          <w:sz w:val="24"/>
          <w:szCs w:val="24"/>
          <w:highlight w:val="none"/>
          <w:u w:val="single"/>
          <w:lang w:val="en-US" w:eastAsia="zh-CN"/>
        </w:rPr>
        <w:t>估</w:t>
      </w:r>
      <w:r>
        <w:rPr>
          <w:rFonts w:hint="eastAsia" w:ascii="宋体" w:hAnsi="宋体" w:eastAsia="宋体" w:cs="宋体"/>
          <w:b/>
          <w:bCs/>
          <w:color w:val="auto"/>
          <w:spacing w:val="-4"/>
          <w:sz w:val="24"/>
          <w:szCs w:val="24"/>
          <w:highlight w:val="none"/>
          <w:u w:val="single"/>
          <w:lang w:eastAsia="zh-CN"/>
        </w:rPr>
        <w:t>法</w:t>
      </w:r>
      <w:r>
        <w:rPr>
          <w:rFonts w:hint="eastAsia" w:ascii="宋体" w:hAnsi="宋体" w:eastAsia="宋体" w:cs="宋体"/>
          <w:b/>
          <w:bCs/>
          <w:color w:val="auto"/>
          <w:spacing w:val="-4"/>
          <w:sz w:val="24"/>
          <w:szCs w:val="24"/>
          <w:highlight w:val="none"/>
          <w:u w:val="single"/>
        </w:rPr>
        <w:t xml:space="preserve"> </w:t>
      </w:r>
      <w:r>
        <w:rPr>
          <w:rFonts w:hint="eastAsia" w:ascii="宋体" w:hAnsi="宋体" w:eastAsia="宋体" w:cs="宋体"/>
          <w:color w:val="auto"/>
          <w:spacing w:val="-1"/>
          <w:sz w:val="24"/>
          <w:szCs w:val="24"/>
          <w:highlight w:val="none"/>
        </w:rPr>
        <w:t>进行评标。</w:t>
      </w:r>
    </w:p>
    <w:p w14:paraId="083CCE6C">
      <w:pPr>
        <w:spacing w:before="154" w:line="269" w:lineRule="auto"/>
        <w:ind w:left="220" w:right="33" w:firstLine="496"/>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4</w:t>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评审范围：评标委员会应对所有投标人的投标文件进行评审。</w:t>
      </w:r>
    </w:p>
    <w:p w14:paraId="49E70C10">
      <w:pPr>
        <w:spacing w:before="153" w:line="220" w:lineRule="auto"/>
        <w:ind w:left="71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初步评审阶段</w:t>
      </w:r>
    </w:p>
    <w:p w14:paraId="5B763A9F">
      <w:pPr>
        <w:spacing w:before="153" w:line="220" w:lineRule="auto"/>
        <w:ind w:left="70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初步评审阶段分为资格评审、形式评审和响应性评审三个环节。</w:t>
      </w:r>
    </w:p>
    <w:p w14:paraId="5EFB8E43">
      <w:pPr>
        <w:spacing w:before="155" w:line="279" w:lineRule="auto"/>
        <w:ind w:left="719" w:right="6303" w:hanging="3"/>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5</w:t>
      </w:r>
      <w:r>
        <w:rPr>
          <w:rFonts w:hint="eastAsia" w:ascii="宋体" w:hAnsi="宋体" w:eastAsia="宋体" w:cs="宋体"/>
          <w:b/>
          <w:bCs/>
          <w:color w:val="auto"/>
          <w:spacing w:val="-3"/>
          <w:sz w:val="24"/>
          <w:szCs w:val="24"/>
          <w:highlight w:val="none"/>
        </w:rPr>
        <w:t>.1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2"/>
          <w:sz w:val="24"/>
          <w:szCs w:val="24"/>
          <w:highlight w:val="none"/>
        </w:rPr>
        <w:t xml:space="preserve"> 资格评审环</w:t>
      </w:r>
      <w:r>
        <w:rPr>
          <w:rFonts w:hint="eastAsia" w:ascii="宋体" w:hAnsi="宋体" w:eastAsia="宋体" w:cs="宋体"/>
          <w:color w:val="auto"/>
          <w:spacing w:val="-3"/>
          <w:sz w:val="24"/>
          <w:szCs w:val="24"/>
          <w:highlight w:val="none"/>
        </w:rPr>
        <w:t>节</w:t>
      </w:r>
      <w:r>
        <w:rPr>
          <w:rFonts w:hint="eastAsia" w:ascii="宋体" w:hAnsi="宋体" w:eastAsia="宋体" w:cs="宋体"/>
          <w:color w:val="auto"/>
          <w:spacing w:val="1"/>
          <w:sz w:val="24"/>
          <w:szCs w:val="24"/>
          <w:highlight w:val="none"/>
        </w:rPr>
        <w:t xml:space="preserve"> </w:t>
      </w:r>
    </w:p>
    <w:p w14:paraId="12AA72C0">
      <w:pPr>
        <w:spacing w:before="155" w:line="279" w:lineRule="auto"/>
        <w:ind w:left="719" w:right="6303" w:hanging="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资格评审事项包括：</w:t>
      </w:r>
    </w:p>
    <w:p w14:paraId="3C2A7C1E">
      <w:pPr>
        <w:keepNext w:val="0"/>
        <w:keepLines w:val="0"/>
        <w:pageBreakBefore w:val="0"/>
        <w:widowControl/>
        <w:kinsoku w:val="0"/>
        <w:wordWrap/>
        <w:overflowPunct/>
        <w:topLinePunct w:val="0"/>
        <w:autoSpaceDE w:val="0"/>
        <w:autoSpaceDN w:val="0"/>
        <w:bidi w:val="0"/>
        <w:adjustRightInd w:val="0"/>
        <w:snapToGrid w:val="0"/>
        <w:spacing w:line="360" w:lineRule="auto"/>
        <w:ind w:left="232" w:firstLine="488"/>
        <w:textAlignment w:val="baseline"/>
        <w:rPr>
          <w:rFonts w:hint="eastAsia" w:asciiTheme="minorEastAsia" w:hAnsiTheme="minorEastAsia" w:eastAsiaTheme="minorEastAsia" w:cstheme="minorEastAsia"/>
          <w:color w:val="auto"/>
          <w:spacing w:val="-4"/>
          <w:sz w:val="24"/>
          <w:szCs w:val="24"/>
          <w:highlight w:val="none"/>
        </w:rPr>
      </w:pPr>
      <w:bookmarkStart w:id="89" w:name="_Toc22778"/>
      <w:r>
        <w:rPr>
          <w:rFonts w:hint="eastAsia" w:asciiTheme="minorEastAsia" w:hAnsiTheme="minorEastAsia" w:eastAsiaTheme="minorEastAsia" w:cstheme="minorEastAsia"/>
          <w:color w:val="auto"/>
          <w:spacing w:val="-4"/>
          <w:sz w:val="24"/>
          <w:szCs w:val="24"/>
          <w:highlight w:val="none"/>
        </w:rPr>
        <w:t>（1）投标人是否符合本章第三节第2.4条“禁止投标条款”规定。如果“禁止投标条款”包括严重失信主体名单的，投标人信用信息的获取采用现场实时查询的方式实施。由招标代理机构工作人员在交易场所工作人员见证下，登录信用中国网站（https://www.creditchina.gov.cn），在企业查询界面下载和打印《法人和非法人组织公共信用信息报告》，作为评审依据移交评标委员会。</w:t>
      </w:r>
    </w:p>
    <w:p w14:paraId="0BE4BA4B">
      <w:pPr>
        <w:keepNext w:val="0"/>
        <w:keepLines w:val="0"/>
        <w:pageBreakBefore w:val="0"/>
        <w:widowControl/>
        <w:kinsoku w:val="0"/>
        <w:overflowPunct/>
        <w:topLinePunct w:val="0"/>
        <w:autoSpaceDE w:val="0"/>
        <w:autoSpaceDN w:val="0"/>
        <w:bidi w:val="0"/>
        <w:adjustRightInd w:val="0"/>
        <w:snapToGrid w:val="0"/>
        <w:spacing w:line="360" w:lineRule="auto"/>
        <w:ind w:left="721"/>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（2）投标人名称是否与营业执照、资质证书、安全生产许可证一致。</w:t>
      </w:r>
    </w:p>
    <w:p w14:paraId="5C81E7D4">
      <w:pPr>
        <w:keepNext w:val="0"/>
        <w:keepLines w:val="0"/>
        <w:pageBreakBefore w:val="0"/>
        <w:widowControl/>
        <w:kinsoku w:val="0"/>
        <w:wordWrap w:val="0"/>
        <w:overflowPunct/>
        <w:topLinePunct w:val="0"/>
        <w:autoSpaceDE w:val="0"/>
        <w:autoSpaceDN w:val="0"/>
        <w:bidi w:val="0"/>
        <w:adjustRightInd w:val="0"/>
        <w:snapToGrid w:val="0"/>
        <w:spacing w:line="360" w:lineRule="auto"/>
        <w:ind w:left="232" w:right="96" w:firstLine="488"/>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（3）投标人的资质是否符合招标文件规定；其营业执照、资质证书、安全生产许可证（含实时网页查询页，可参考网址 https://zlaq.mohurd.gov.cn/fwmh/bjxcjgl/fwm</w:t>
      </w:r>
      <w:bookmarkStart w:id="90" w:name="bookmark126"/>
      <w:bookmarkEnd w:id="90"/>
      <w:r>
        <w:rPr>
          <w:rFonts w:hint="eastAsia" w:asciiTheme="minorEastAsia" w:hAnsiTheme="minorEastAsia" w:eastAsiaTheme="minorEastAsia" w:cstheme="minorEastAsia"/>
          <w:color w:val="auto"/>
          <w:spacing w:val="2"/>
          <w:sz w:val="24"/>
          <w:szCs w:val="24"/>
          <w:highlight w:val="none"/>
        </w:rPr>
        <w:t>h/pages/construction_safety/qyaqscxkz/qyaqscxkz）是否合法、有效、准确</w:t>
      </w:r>
      <w:r>
        <w:rPr>
          <w:rFonts w:hint="eastAsia" w:asciiTheme="minorEastAsia" w:hAnsiTheme="minorEastAsia" w:eastAsiaTheme="minorEastAsia" w:cstheme="minorEastAsia"/>
          <w:color w:val="auto"/>
          <w:spacing w:val="-1"/>
          <w:position w:val="3"/>
          <w:sz w:val="24"/>
          <w:szCs w:val="24"/>
          <w:highlight w:val="none"/>
        </w:rPr>
        <w:t>。</w:t>
      </w:r>
    </w:p>
    <w:p w14:paraId="46BDDC87">
      <w:pPr>
        <w:keepNext w:val="0"/>
        <w:keepLines w:val="0"/>
        <w:pageBreakBefore w:val="0"/>
        <w:widowControl/>
        <w:kinsoku w:val="0"/>
        <w:overflowPunct/>
        <w:topLinePunct w:val="0"/>
        <w:autoSpaceDE w:val="0"/>
        <w:autoSpaceDN w:val="0"/>
        <w:bidi w:val="0"/>
        <w:adjustRightInd w:val="0"/>
        <w:snapToGrid w:val="0"/>
        <w:spacing w:line="360" w:lineRule="auto"/>
        <w:ind w:left="501"/>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（4）《项目经理简历表》中拟派项目经理是否与《开标一览表》一致。</w:t>
      </w:r>
    </w:p>
    <w:p w14:paraId="3040E94A">
      <w:pPr>
        <w:keepNext w:val="0"/>
        <w:keepLines w:val="0"/>
        <w:pageBreakBefore w:val="0"/>
        <w:widowControl/>
        <w:kinsoku w:val="0"/>
        <w:overflowPunct/>
        <w:topLinePunct w:val="0"/>
        <w:autoSpaceDE w:val="0"/>
        <w:autoSpaceDN w:val="0"/>
        <w:bidi w:val="0"/>
        <w:adjustRightInd w:val="0"/>
        <w:snapToGrid w:val="0"/>
        <w:spacing w:line="360" w:lineRule="auto"/>
        <w:ind w:left="11" w:firstLine="489"/>
        <w:textAlignment w:val="baseline"/>
        <w:rPr>
          <w:rFonts w:hint="eastAsia" w:asciiTheme="minorEastAsia" w:hAnsiTheme="minorEastAsia" w:eastAsiaTheme="minorEastAsia" w:cstheme="minorEastAsia"/>
          <w:color w:val="auto"/>
          <w:spacing w:val="-1"/>
          <w:sz w:val="24"/>
          <w:szCs w:val="24"/>
          <w:highlight w:val="none"/>
        </w:rPr>
      </w:pPr>
      <w:r>
        <w:rPr>
          <w:rFonts w:hint="eastAsia" w:asciiTheme="minorEastAsia" w:hAnsiTheme="minorEastAsia" w:eastAsiaTheme="minorEastAsia" w:cstheme="minorEastAsia"/>
          <w:color w:val="auto"/>
          <w:spacing w:val="2"/>
          <w:sz w:val="24"/>
          <w:szCs w:val="24"/>
          <w:highlight w:val="none"/>
        </w:rPr>
        <w:t>（5）拟派项目经理、项目技术负责人、专职安全员的条件</w:t>
      </w:r>
      <w:r>
        <w:rPr>
          <w:rFonts w:hint="eastAsia" w:asciiTheme="minorEastAsia" w:hAnsiTheme="minorEastAsia" w:eastAsiaTheme="minorEastAsia" w:cstheme="minorEastAsia"/>
          <w:color w:val="auto"/>
          <w:spacing w:val="1"/>
          <w:sz w:val="24"/>
          <w:szCs w:val="24"/>
          <w:highlight w:val="none"/>
        </w:rPr>
        <w:t>是否符合招标文件规</w:t>
      </w:r>
      <w:r>
        <w:rPr>
          <w:rFonts w:hint="eastAsia" w:asciiTheme="minorEastAsia" w:hAnsiTheme="minorEastAsia" w:eastAsiaTheme="minorEastAsia" w:cstheme="minorEastAsia"/>
          <w:color w:val="auto"/>
          <w:spacing w:val="-1"/>
          <w:sz w:val="24"/>
          <w:szCs w:val="24"/>
          <w:highlight w:val="none"/>
        </w:rPr>
        <w:t>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27910BA3">
      <w:pPr>
        <w:keepNext w:val="0"/>
        <w:keepLines w:val="0"/>
        <w:pageBreakBefore w:val="0"/>
        <w:widowControl/>
        <w:kinsoku w:val="0"/>
        <w:overflowPunct/>
        <w:topLinePunct w:val="0"/>
        <w:autoSpaceDE w:val="0"/>
        <w:autoSpaceDN w:val="0"/>
        <w:bidi w:val="0"/>
        <w:adjustRightInd w:val="0"/>
        <w:snapToGrid w:val="0"/>
        <w:spacing w:line="360" w:lineRule="auto"/>
        <w:ind w:left="8" w:right="2" w:firstLine="492"/>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w:t>
      </w:r>
      <w:r>
        <w:rPr>
          <w:rFonts w:hint="eastAsia" w:asciiTheme="minorEastAsia" w:hAnsiTheme="minorEastAsia" w:eastAsiaTheme="minorEastAsia" w:cstheme="minorEastAsia"/>
          <w:color w:val="auto"/>
          <w:spacing w:val="2"/>
          <w:sz w:val="24"/>
          <w:szCs w:val="24"/>
          <w:highlight w:val="none"/>
          <w:lang w:val="en-US" w:eastAsia="zh-CN"/>
        </w:rPr>
        <w:t>6</w:t>
      </w:r>
      <w:r>
        <w:rPr>
          <w:rFonts w:hint="eastAsia" w:asciiTheme="minorEastAsia" w:hAnsiTheme="minorEastAsia" w:eastAsiaTheme="minorEastAsia" w:cstheme="minorEastAsia"/>
          <w:color w:val="auto"/>
          <w:spacing w:val="2"/>
          <w:sz w:val="24"/>
          <w:szCs w:val="24"/>
          <w:highlight w:val="none"/>
        </w:rPr>
        <w:t>）投标人为外省建筑企业的，是否按规定在“进粤</w:t>
      </w:r>
      <w:r>
        <w:rPr>
          <w:rFonts w:hint="eastAsia" w:asciiTheme="minorEastAsia" w:hAnsiTheme="minorEastAsia" w:eastAsiaTheme="minorEastAsia" w:cstheme="minorEastAsia"/>
          <w:color w:val="auto"/>
          <w:spacing w:val="1"/>
          <w:sz w:val="24"/>
          <w:szCs w:val="24"/>
          <w:highlight w:val="none"/>
        </w:rPr>
        <w:t>企业和人员诚信信息登记</w:t>
      </w:r>
      <w:r>
        <w:rPr>
          <w:rFonts w:hint="eastAsia" w:asciiTheme="minorEastAsia" w:hAnsiTheme="minorEastAsia" w:eastAsiaTheme="minorEastAsia" w:cstheme="minorEastAsia"/>
          <w:color w:val="auto"/>
          <w:spacing w:val="-2"/>
          <w:sz w:val="24"/>
          <w:szCs w:val="24"/>
          <w:highlight w:val="none"/>
        </w:rPr>
        <w:t>平台</w:t>
      </w:r>
      <w:r>
        <w:rPr>
          <w:rFonts w:hint="eastAsia" w:asciiTheme="minorEastAsia" w:hAnsiTheme="minorEastAsia" w:eastAsiaTheme="minorEastAsia" w:cstheme="minorEastAsia"/>
          <w:color w:val="auto"/>
          <w:spacing w:val="-76"/>
          <w:sz w:val="24"/>
          <w:szCs w:val="24"/>
          <w:highlight w:val="none"/>
        </w:rPr>
        <w:t xml:space="preserve"> </w:t>
      </w:r>
      <w:r>
        <w:rPr>
          <w:rFonts w:hint="eastAsia" w:asciiTheme="minorEastAsia" w:hAnsiTheme="minorEastAsia" w:eastAsiaTheme="minorEastAsia" w:cstheme="minorEastAsia"/>
          <w:color w:val="auto"/>
          <w:spacing w:val="-2"/>
          <w:sz w:val="24"/>
          <w:szCs w:val="24"/>
          <w:highlight w:val="none"/>
        </w:rPr>
        <w:t>”录入企业及其拟派人员有关信息并通过数据规范检查。</w:t>
      </w:r>
    </w:p>
    <w:p w14:paraId="5E3A3AD8">
      <w:pPr>
        <w:spacing w:before="15" w:line="360" w:lineRule="auto"/>
        <w:ind w:right="2" w:firstLine="474"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.2 </w:t>
      </w:r>
      <w:r>
        <w:rPr>
          <w:rFonts w:hint="eastAsia" w:ascii="宋体" w:hAnsi="宋体" w:eastAsia="宋体" w:cs="宋体"/>
          <w:color w:val="auto"/>
          <w:spacing w:val="1"/>
          <w:sz w:val="24"/>
          <w:szCs w:val="24"/>
          <w:highlight w:val="none"/>
        </w:rPr>
        <w:t xml:space="preserve"> 形式评审环节</w:t>
      </w:r>
    </w:p>
    <w:p w14:paraId="720A176D">
      <w:pPr>
        <w:spacing w:before="15" w:line="360" w:lineRule="auto"/>
        <w:ind w:right="2" w:firstLine="484" w:firstLineChars="200"/>
        <w:jc w:val="both"/>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rPr>
        <w:t>形式评审事</w:t>
      </w:r>
      <w:r>
        <w:rPr>
          <w:rFonts w:hint="eastAsia" w:ascii="宋体" w:hAnsi="宋体" w:eastAsia="宋体" w:cs="宋体"/>
          <w:color w:val="auto"/>
          <w:spacing w:val="1"/>
          <w:sz w:val="24"/>
          <w:szCs w:val="24"/>
          <w:highlight w:val="none"/>
          <w:lang w:eastAsia="zh-CN"/>
        </w:rPr>
        <w:t>项包括</w:t>
      </w:r>
      <w:bookmarkEnd w:id="89"/>
    </w:p>
    <w:p w14:paraId="540DEAA8">
      <w:pPr>
        <w:spacing w:before="40" w:line="360" w:lineRule="auto"/>
        <w:ind w:left="501"/>
        <w:outlineLvl w:val="9"/>
        <w:rPr>
          <w:rFonts w:hint="eastAsia" w:ascii="宋体" w:hAnsi="宋体" w:eastAsia="宋体" w:cs="宋体"/>
          <w:color w:val="auto"/>
          <w:sz w:val="24"/>
          <w:szCs w:val="24"/>
          <w:highlight w:val="none"/>
        </w:rPr>
      </w:pPr>
      <w:bookmarkStart w:id="91" w:name="_Toc4914"/>
      <w:bookmarkStart w:id="92" w:name="_Toc20481"/>
      <w:bookmarkStart w:id="93" w:name="_Toc13304"/>
      <w:bookmarkStart w:id="94" w:name="_Toc23632"/>
      <w:r>
        <w:rPr>
          <w:rFonts w:hint="eastAsia" w:ascii="宋体" w:hAnsi="宋体" w:eastAsia="宋体" w:cs="宋体"/>
          <w:color w:val="auto"/>
          <w:spacing w:val="-1"/>
          <w:sz w:val="24"/>
          <w:szCs w:val="24"/>
          <w:highlight w:val="none"/>
        </w:rPr>
        <w:t>（1）各分册是否按招标文件规定加盖电子印章。</w:t>
      </w:r>
      <w:bookmarkEnd w:id="91"/>
      <w:bookmarkEnd w:id="92"/>
      <w:bookmarkEnd w:id="93"/>
      <w:bookmarkEnd w:id="94"/>
    </w:p>
    <w:p w14:paraId="64C926F3">
      <w:pPr>
        <w:spacing w:before="15" w:line="360" w:lineRule="auto"/>
        <w:ind w:firstLine="464" w:firstLineChars="200"/>
        <w:outlineLvl w:val="9"/>
        <w:rPr>
          <w:rFonts w:hint="eastAsia" w:ascii="宋体" w:hAnsi="宋体" w:eastAsia="宋体" w:cs="宋体"/>
          <w:color w:val="auto"/>
          <w:spacing w:val="-1"/>
          <w:sz w:val="24"/>
          <w:szCs w:val="24"/>
          <w:highlight w:val="none"/>
        </w:rPr>
      </w:pPr>
      <w:bookmarkStart w:id="95" w:name="_Toc27432"/>
      <w:bookmarkStart w:id="96" w:name="_Toc10806"/>
      <w:bookmarkStart w:id="97" w:name="_Toc28409"/>
      <w:bookmarkStart w:id="98" w:name="_Toc12756"/>
      <w:r>
        <w:rPr>
          <w:rFonts w:hint="eastAsia" w:ascii="宋体" w:hAnsi="宋体" w:eastAsia="宋体" w:cs="宋体"/>
          <w:color w:val="auto"/>
          <w:spacing w:val="-4"/>
          <w:sz w:val="24"/>
          <w:szCs w:val="24"/>
          <w:highlight w:val="none"/>
        </w:rPr>
        <w:t>（2）本节第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10.2.2 目、第</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4"/>
          <w:sz w:val="24"/>
          <w:szCs w:val="24"/>
          <w:highlight w:val="none"/>
        </w:rPr>
        <w:t>10.3.2 目、第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10.4.</w:t>
      </w:r>
      <w:r>
        <w:rPr>
          <w:rFonts w:hint="eastAsia" w:ascii="宋体" w:hAnsi="宋体" w:eastAsia="宋体" w:cs="宋体"/>
          <w:color w:val="auto"/>
          <w:spacing w:val="-4"/>
          <w:sz w:val="24"/>
          <w:szCs w:val="24"/>
          <w:highlight w:val="none"/>
          <w:lang w:val="en-US" w:eastAsia="zh-CN"/>
        </w:rPr>
        <w:t>3</w:t>
      </w:r>
      <w:r>
        <w:rPr>
          <w:rFonts w:hint="eastAsia" w:ascii="宋体" w:hAnsi="宋体" w:eastAsia="宋体" w:cs="宋体"/>
          <w:color w:val="auto"/>
          <w:spacing w:val="-4"/>
          <w:sz w:val="24"/>
          <w:szCs w:val="24"/>
          <w:highlight w:val="none"/>
        </w:rPr>
        <w:t>目中规定</w:t>
      </w:r>
      <w:r>
        <w:rPr>
          <w:rFonts w:hint="eastAsia" w:ascii="宋体" w:hAnsi="宋体" w:eastAsia="宋体" w:cs="宋体"/>
          <w:color w:val="auto"/>
          <w:spacing w:val="-5"/>
          <w:sz w:val="24"/>
          <w:szCs w:val="24"/>
          <w:highlight w:val="none"/>
        </w:rPr>
        <w:t>的“所有投标人均应提</w:t>
      </w:r>
      <w:bookmarkEnd w:id="95"/>
      <w:bookmarkEnd w:id="96"/>
      <w:bookmarkEnd w:id="97"/>
      <w:r>
        <w:rPr>
          <w:rFonts w:hint="eastAsia" w:ascii="宋体" w:hAnsi="宋体" w:eastAsia="宋体" w:cs="宋体"/>
          <w:color w:val="auto"/>
          <w:spacing w:val="-1"/>
          <w:sz w:val="24"/>
          <w:szCs w:val="24"/>
          <w:highlight w:val="none"/>
        </w:rPr>
        <w:t>供</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”的组成内容（包括该组成内容的所附资料）是否完整、齐全.</w:t>
      </w:r>
      <w:bookmarkEnd w:id="98"/>
    </w:p>
    <w:p w14:paraId="127DFB0D">
      <w:pPr>
        <w:spacing w:before="15" w:line="360" w:lineRule="auto"/>
        <w:ind w:right="2" w:firstLine="474" w:firstLineChars="200"/>
        <w:jc w:val="both"/>
        <w:outlineLvl w:val="9"/>
        <w:rPr>
          <w:rFonts w:hint="eastAsia" w:ascii="宋体" w:hAnsi="宋体" w:eastAsia="宋体" w:cs="宋体"/>
          <w:color w:val="auto"/>
          <w:spacing w:val="2"/>
          <w:sz w:val="24"/>
          <w:szCs w:val="24"/>
          <w:highlight w:val="none"/>
        </w:rPr>
      </w:pPr>
      <w:bookmarkStart w:id="99" w:name="_Toc22642"/>
      <w:bookmarkStart w:id="100" w:name="_Toc16645"/>
      <w:bookmarkStart w:id="101" w:name="_Toc14202"/>
      <w:bookmarkStart w:id="102" w:name="_Toc22562"/>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.3  </w:t>
      </w:r>
      <w:r>
        <w:rPr>
          <w:rFonts w:hint="eastAsia" w:ascii="宋体" w:hAnsi="宋体" w:eastAsia="宋体" w:cs="宋体"/>
          <w:color w:val="auto"/>
          <w:spacing w:val="2"/>
          <w:sz w:val="24"/>
          <w:szCs w:val="24"/>
          <w:highlight w:val="none"/>
        </w:rPr>
        <w:t xml:space="preserve">响应性评审环节 </w:t>
      </w:r>
    </w:p>
    <w:p w14:paraId="746226A2">
      <w:pPr>
        <w:spacing w:before="15" w:line="360" w:lineRule="auto"/>
        <w:ind w:right="2" w:firstLine="488"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rPr>
        <w:t>响应性评项包括：</w:t>
      </w:r>
      <w:bookmarkEnd w:id="99"/>
      <w:bookmarkEnd w:id="100"/>
      <w:bookmarkEnd w:id="101"/>
      <w:bookmarkEnd w:id="102"/>
    </w:p>
    <w:p w14:paraId="7C2C97F5">
      <w:pPr>
        <w:keepNext w:val="0"/>
        <w:keepLines w:val="0"/>
        <w:pageBreakBefore w:val="0"/>
        <w:widowControl/>
        <w:kinsoku w:val="0"/>
        <w:wordWrap/>
        <w:overflowPunct/>
        <w:topLinePunct w:val="0"/>
        <w:autoSpaceDE w:val="0"/>
        <w:autoSpaceDN w:val="0"/>
        <w:bidi w:val="0"/>
        <w:adjustRightInd w:val="0"/>
        <w:snapToGrid w:val="0"/>
        <w:spacing w:line="360" w:lineRule="auto"/>
        <w:ind w:left="11"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（1）投标有效期、质量标准、工期等是否响应招标文件实</w:t>
      </w:r>
      <w:r>
        <w:rPr>
          <w:rFonts w:hint="eastAsia" w:ascii="宋体" w:hAnsi="宋体" w:eastAsia="宋体" w:cs="宋体"/>
          <w:color w:val="auto"/>
          <w:spacing w:val="1"/>
          <w:sz w:val="24"/>
          <w:szCs w:val="24"/>
          <w:highlight w:val="none"/>
        </w:rPr>
        <w:t>质性要求；是否擅自</w:t>
      </w:r>
      <w:r>
        <w:rPr>
          <w:rFonts w:hint="eastAsia" w:ascii="宋体" w:hAnsi="宋体" w:eastAsia="宋体" w:cs="宋体"/>
          <w:color w:val="auto"/>
          <w:spacing w:val="-1"/>
          <w:sz w:val="24"/>
          <w:szCs w:val="24"/>
          <w:highlight w:val="none"/>
        </w:rPr>
        <w:t>修改、遗漏《投标函》《各项承诺一览表》的实质性内容。</w:t>
      </w:r>
    </w:p>
    <w:p w14:paraId="0FC3EBE0">
      <w:pPr>
        <w:keepNext w:val="0"/>
        <w:keepLines w:val="0"/>
        <w:pageBreakBefore w:val="0"/>
        <w:widowControl/>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（2）编制《投标总价》的造价工程师，其注册证书是否合法、有效。</w:t>
      </w:r>
    </w:p>
    <w:p w14:paraId="7272F12D">
      <w:pPr>
        <w:keepNext w:val="0"/>
        <w:keepLines w:val="0"/>
        <w:pageBreakBefore w:val="0"/>
        <w:widowControl/>
        <w:kinsoku w:val="0"/>
        <w:wordWrap/>
        <w:overflowPunct/>
        <w:topLinePunct w:val="0"/>
        <w:autoSpaceDE w:val="0"/>
        <w:autoSpaceDN w:val="0"/>
        <w:bidi w:val="0"/>
        <w:adjustRightInd w:val="0"/>
        <w:snapToGrid w:val="0"/>
        <w:spacing w:line="360" w:lineRule="auto"/>
        <w:ind w:left="23" w:right="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（3）投标人委托造价咨询单位编制《投标总价》的，是否在《投标总价扉页》“投标人</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”栏目加盖造价咨询人公章；是否提供</w:t>
      </w:r>
      <w:r>
        <w:rPr>
          <w:rFonts w:hint="eastAsia" w:ascii="宋体" w:hAnsi="宋体" w:eastAsia="宋体" w:cs="宋体"/>
          <w:color w:val="auto"/>
          <w:sz w:val="24"/>
          <w:szCs w:val="24"/>
          <w:highlight w:val="none"/>
        </w:rPr>
        <w:t>造价咨询人的营业执照</w:t>
      </w:r>
      <w:r>
        <w:rPr>
          <w:rFonts w:hint="eastAsia" w:ascii="宋体" w:hAnsi="宋体" w:eastAsia="宋体" w:cs="宋体"/>
          <w:color w:val="auto"/>
          <w:spacing w:val="-2"/>
          <w:sz w:val="24"/>
          <w:szCs w:val="24"/>
          <w:highlight w:val="none"/>
        </w:rPr>
        <w:t>彩色扫描件；</w:t>
      </w:r>
    </w:p>
    <w:p w14:paraId="1684033F">
      <w:pPr>
        <w:keepNext w:val="0"/>
        <w:keepLines w:val="0"/>
        <w:pageBreakBefore w:val="0"/>
        <w:widowControl/>
        <w:kinsoku w:val="0"/>
        <w:wordWrap/>
        <w:overflowPunct/>
        <w:topLinePunct w:val="0"/>
        <w:autoSpaceDE w:val="0"/>
        <w:autoSpaceDN w:val="0"/>
        <w:bidi w:val="0"/>
        <w:adjustRightInd w:val="0"/>
        <w:snapToGrid w:val="0"/>
        <w:spacing w:line="360" w:lineRule="auto"/>
        <w:ind w:left="11"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（4）投标总价是否唯一；投标总价是否超出</w:t>
      </w:r>
      <w:r>
        <w:rPr>
          <w:rFonts w:hint="eastAsia" w:ascii="宋体" w:hAnsi="宋体" w:eastAsia="宋体" w:cs="宋体"/>
          <w:b/>
          <w:bCs/>
          <w:color w:val="auto"/>
          <w:spacing w:val="1"/>
          <w:sz w:val="24"/>
          <w:szCs w:val="24"/>
          <w:highlight w:val="none"/>
          <w:lang w:val="en-US" w:eastAsia="zh-CN"/>
        </w:rPr>
        <w:t>最高投标限价</w:t>
      </w:r>
      <w:r>
        <w:rPr>
          <w:rFonts w:hint="eastAsia" w:ascii="宋体" w:hAnsi="宋体" w:eastAsia="宋体" w:cs="宋体"/>
          <w:color w:val="auto"/>
          <w:spacing w:val="1"/>
          <w:sz w:val="24"/>
          <w:szCs w:val="24"/>
          <w:highlight w:val="none"/>
        </w:rPr>
        <w:t>；</w:t>
      </w:r>
      <w:r>
        <w:rPr>
          <w:rFonts w:hint="eastAsia" w:ascii="宋体" w:hAnsi="宋体" w:eastAsia="宋体" w:cs="宋体"/>
          <w:b/>
          <w:bCs/>
          <w:color w:val="auto"/>
          <w:spacing w:val="1"/>
          <w:sz w:val="24"/>
          <w:szCs w:val="24"/>
          <w:highlight w:val="none"/>
        </w:rPr>
        <w:t>安全生产措施费</w:t>
      </w:r>
      <w:r>
        <w:rPr>
          <w:rFonts w:hint="eastAsia" w:ascii="宋体" w:hAnsi="宋体" w:eastAsia="宋体" w:cs="宋体"/>
          <w:color w:val="auto"/>
          <w:spacing w:val="-1"/>
          <w:sz w:val="24"/>
          <w:szCs w:val="24"/>
          <w:highlight w:val="none"/>
        </w:rPr>
        <w:t>是否达到最低要求；暂列金额、</w:t>
      </w:r>
      <w:r>
        <w:rPr>
          <w:rFonts w:hint="eastAsia" w:ascii="宋体" w:hAnsi="宋体" w:eastAsia="宋体" w:cs="宋体"/>
          <w:color w:val="auto"/>
          <w:spacing w:val="-1"/>
          <w:sz w:val="24"/>
          <w:szCs w:val="24"/>
          <w:highlight w:val="none"/>
          <w:lang w:val="en-US" w:eastAsia="zh-CN"/>
        </w:rPr>
        <w:t>专业工程</w:t>
      </w:r>
      <w:r>
        <w:rPr>
          <w:rFonts w:hint="eastAsia" w:ascii="宋体" w:hAnsi="宋体" w:eastAsia="宋体" w:cs="宋体"/>
          <w:color w:val="auto"/>
          <w:spacing w:val="-1"/>
          <w:sz w:val="24"/>
          <w:szCs w:val="24"/>
          <w:highlight w:val="none"/>
        </w:rPr>
        <w:t>暂估价是否按照招标工</w:t>
      </w:r>
      <w:r>
        <w:rPr>
          <w:rFonts w:hint="eastAsia" w:ascii="宋体" w:hAnsi="宋体" w:eastAsia="宋体" w:cs="宋体"/>
          <w:color w:val="auto"/>
          <w:spacing w:val="-2"/>
          <w:sz w:val="24"/>
          <w:szCs w:val="24"/>
          <w:highlight w:val="none"/>
        </w:rPr>
        <w:t>程量清单统一报价；投</w:t>
      </w:r>
      <w:r>
        <w:rPr>
          <w:rFonts w:hint="eastAsia" w:ascii="宋体" w:hAnsi="宋体" w:eastAsia="宋体" w:cs="宋体"/>
          <w:color w:val="auto"/>
          <w:spacing w:val="-1"/>
          <w:sz w:val="24"/>
          <w:szCs w:val="24"/>
          <w:highlight w:val="none"/>
        </w:rPr>
        <w:t>标人是否以低于成本的价格竞标。</w:t>
      </w:r>
    </w:p>
    <w:p w14:paraId="07EB7BBE">
      <w:pPr>
        <w:spacing w:before="38" w:line="360" w:lineRule="auto"/>
        <w:ind w:right="2" w:firstLine="474" w:firstLineChars="200"/>
        <w:jc w:val="both"/>
        <w:rPr>
          <w:rFonts w:hint="eastAsia" w:ascii="宋体" w:hAnsi="宋体" w:eastAsia="宋体" w:cs="宋体"/>
          <w:color w:val="auto"/>
          <w:position w:val="-8"/>
          <w:sz w:val="24"/>
          <w:szCs w:val="24"/>
          <w:highlight w:val="none"/>
        </w:rPr>
      </w:pPr>
      <w:r>
        <w:rPr>
          <w:rFonts w:hint="eastAsia" w:ascii="宋体" w:hAnsi="宋体" w:eastAsia="宋体" w:cs="宋体"/>
          <w:b/>
          <w:bCs/>
          <w:color w:val="auto"/>
          <w:spacing w:val="-2"/>
          <w:sz w:val="24"/>
          <w:szCs w:val="24"/>
          <w:highlight w:val="none"/>
        </w:rPr>
        <w:t>注：如果某投标人的投标总价下浮率超过</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32"/>
          <w:sz w:val="24"/>
          <w:szCs w:val="24"/>
          <w:highlight w:val="none"/>
        </w:rPr>
        <w:t xml:space="preserve"> </w:t>
      </w:r>
      <w:r>
        <w:rPr>
          <w:rFonts w:hint="eastAsia" w:ascii="宋体" w:hAnsi="宋体" w:eastAsia="宋体" w:cs="宋体"/>
          <w:b/>
          <w:bCs/>
          <w:color w:val="auto"/>
          <w:spacing w:val="-2"/>
          <w:sz w:val="24"/>
          <w:szCs w:val="24"/>
          <w:highlight w:val="none"/>
        </w:rPr>
        <w:t>，又未提供</w:t>
      </w:r>
      <w:r>
        <w:rPr>
          <w:rFonts w:hint="eastAsia" w:ascii="宋体" w:hAnsi="宋体" w:eastAsia="宋体" w:cs="宋体"/>
          <w:b/>
          <w:bCs/>
          <w:color w:val="auto"/>
          <w:spacing w:val="-3"/>
          <w:sz w:val="24"/>
          <w:szCs w:val="24"/>
          <w:highlight w:val="none"/>
        </w:rPr>
        <w:t>相应书面说明和佐证</w:t>
      </w:r>
      <w:bookmarkStart w:id="103" w:name="bookmark127"/>
      <w:bookmarkEnd w:id="103"/>
      <w:r>
        <w:rPr>
          <w:rFonts w:hint="eastAsia" w:ascii="宋体" w:hAnsi="宋体" w:eastAsia="宋体" w:cs="宋体"/>
          <w:b/>
          <w:bCs/>
          <w:color w:val="auto"/>
          <w:spacing w:val="-4"/>
          <w:sz w:val="24"/>
          <w:szCs w:val="24"/>
          <w:highlight w:val="none"/>
        </w:rPr>
        <w:t>材料或提供的书面说明和佐证材料不能令人信服的，评标委员会应认定其以低于成本</w:t>
      </w:r>
      <w:r>
        <w:rPr>
          <w:rFonts w:hint="eastAsia" w:ascii="宋体" w:hAnsi="宋体" w:eastAsia="宋体" w:cs="宋体"/>
          <w:b/>
          <w:bCs/>
          <w:color w:val="auto"/>
          <w:spacing w:val="-9"/>
          <w:sz w:val="24"/>
          <w:szCs w:val="24"/>
          <w:highlight w:val="none"/>
        </w:rPr>
        <w:t>的价格竞标，并否决其投标。评</w:t>
      </w:r>
      <w:r>
        <w:rPr>
          <w:rFonts w:hint="eastAsia" w:ascii="宋体" w:hAnsi="宋体" w:eastAsia="宋体" w:cs="宋体"/>
          <w:b/>
          <w:bCs/>
          <w:color w:val="auto"/>
          <w:spacing w:val="-4"/>
          <w:sz w:val="24"/>
          <w:szCs w:val="24"/>
          <w:highlight w:val="none"/>
        </w:rPr>
        <w:t>标委员会接受该投标人的投标总价而未否决其投标的， 应在评标报告中说明判断理由。投标总价下浮率＝（1－投标总价÷</w:t>
      </w:r>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）×100% 。</w:t>
      </w:r>
    </w:p>
    <w:p w14:paraId="1B4A1888">
      <w:pPr>
        <w:spacing w:before="157" w:line="360" w:lineRule="auto"/>
        <w:ind w:left="11" w:right="114" w:firstLine="505" w:firstLineChars="209"/>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（5）施工组织设计的质量、进度保障措施是否符合国</w:t>
      </w:r>
      <w:r>
        <w:rPr>
          <w:rFonts w:hint="eastAsia" w:ascii="宋体" w:hAnsi="宋体" w:eastAsia="宋体" w:cs="宋体"/>
          <w:color w:val="auto"/>
          <w:sz w:val="24"/>
          <w:szCs w:val="24"/>
          <w:highlight w:val="none"/>
        </w:rPr>
        <w:t>家和省市现行有关规</w:t>
      </w:r>
      <w:r>
        <w:rPr>
          <w:rFonts w:hint="eastAsia" w:ascii="宋体" w:hAnsi="宋体" w:eastAsia="宋体" w:cs="宋体"/>
          <w:color w:val="auto"/>
          <w:spacing w:val="-1"/>
          <w:sz w:val="24"/>
          <w:szCs w:val="24"/>
          <w:highlight w:val="none"/>
        </w:rPr>
        <w:t>范、规定、标准，是否能实现工程质量、进度管理目标。</w:t>
      </w:r>
    </w:p>
    <w:p w14:paraId="123D5255">
      <w:pPr>
        <w:spacing w:before="82" w:line="211" w:lineRule="auto"/>
        <w:ind w:left="580"/>
        <w:outlineLvl w:val="9"/>
        <w:rPr>
          <w:rFonts w:hint="eastAsia" w:ascii="宋体" w:hAnsi="宋体" w:eastAsia="宋体" w:cs="宋体"/>
          <w:color w:val="auto"/>
          <w:sz w:val="25"/>
          <w:szCs w:val="25"/>
          <w:highlight w:val="none"/>
        </w:rPr>
      </w:pPr>
      <w:bookmarkStart w:id="104" w:name="_Toc15367"/>
      <w:bookmarkStart w:id="105" w:name="_Toc18204"/>
      <w:bookmarkStart w:id="106" w:name="_Toc32114"/>
      <w:bookmarkStart w:id="107" w:name="_Toc19814"/>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5</w:t>
      </w:r>
      <w:r>
        <w:rPr>
          <w:rFonts w:hint="eastAsia" w:ascii="宋体" w:hAnsi="宋体" w:eastAsia="宋体" w:cs="宋体"/>
          <w:b/>
          <w:bCs/>
          <w:color w:val="auto"/>
          <w:spacing w:val="-3"/>
          <w:sz w:val="24"/>
          <w:szCs w:val="24"/>
          <w:highlight w:val="none"/>
        </w:rPr>
        <w:t xml:space="preserve">.4  </w:t>
      </w:r>
      <w:r>
        <w:rPr>
          <w:rFonts w:hint="eastAsia" w:ascii="宋体" w:hAnsi="宋体" w:eastAsia="宋体" w:cs="宋体"/>
          <w:color w:val="auto"/>
          <w:spacing w:val="-3"/>
          <w:sz w:val="24"/>
          <w:szCs w:val="24"/>
          <w:highlight w:val="none"/>
        </w:rPr>
        <w:t>否决投标说明</w:t>
      </w:r>
      <w:bookmarkEnd w:id="104"/>
      <w:bookmarkEnd w:id="105"/>
      <w:bookmarkEnd w:id="106"/>
      <w:bookmarkEnd w:id="107"/>
    </w:p>
    <w:p w14:paraId="0A7D0F98">
      <w:pPr>
        <w:spacing w:before="152" w:line="333" w:lineRule="auto"/>
        <w:ind w:left="11" w:right="175" w:firstLine="561"/>
        <w:rPr>
          <w:rFonts w:hint="eastAsia" w:ascii="宋体" w:hAnsi="宋体" w:eastAsia="宋体" w:cs="宋体"/>
          <w:color w:val="auto"/>
          <w:highlight w:val="none"/>
        </w:rPr>
      </w:pPr>
      <w:r>
        <w:rPr>
          <w:rFonts w:hint="eastAsia" w:ascii="宋体" w:hAnsi="宋体" w:eastAsia="宋体" w:cs="宋体"/>
          <w:color w:val="auto"/>
          <w:spacing w:val="-5"/>
          <w:sz w:val="24"/>
          <w:szCs w:val="24"/>
          <w:highlight w:val="none"/>
        </w:rPr>
        <w:t>初步评审阶段各个环节否决投标的全部条件，在本章第四节“否决投标条件</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b/>
          <w:bCs/>
          <w:color w:val="auto"/>
          <w:sz w:val="24"/>
          <w:szCs w:val="24"/>
          <w:highlight w:val="none"/>
        </w:rPr>
        <w:t>1</w:t>
      </w:r>
      <w:r>
        <w:rPr>
          <w:rFonts w:hint="eastAsia" w:ascii="宋体" w:hAnsi="宋体" w:eastAsia="宋体" w:cs="宋体"/>
          <w:color w:val="auto"/>
          <w:sz w:val="24"/>
          <w:szCs w:val="24"/>
          <w:highlight w:val="none"/>
        </w:rPr>
        <w:t>条至第</w:t>
      </w:r>
      <w:r>
        <w:rPr>
          <w:rFonts w:hint="eastAsia" w:ascii="宋体" w:hAnsi="宋体" w:eastAsia="宋体" w:cs="宋体"/>
          <w:color w:val="auto"/>
          <w:spacing w:val="-46"/>
          <w:sz w:val="24"/>
          <w:szCs w:val="24"/>
          <w:highlight w:val="none"/>
        </w:rPr>
        <w:t xml:space="preserve"> </w:t>
      </w:r>
      <w:r>
        <w:rPr>
          <w:rFonts w:hint="eastAsia" w:ascii="宋体" w:hAnsi="宋体" w:eastAsia="宋体" w:cs="宋体"/>
          <w:b/>
          <w:bCs/>
          <w:color w:val="auto"/>
          <w:sz w:val="24"/>
          <w:szCs w:val="24"/>
          <w:highlight w:val="none"/>
        </w:rPr>
        <w:t>4</w:t>
      </w:r>
      <w:r>
        <w:rPr>
          <w:rFonts w:hint="eastAsia" w:ascii="宋体" w:hAnsi="宋体" w:eastAsia="宋体" w:cs="宋体"/>
          <w:color w:val="auto"/>
          <w:sz w:val="24"/>
          <w:szCs w:val="24"/>
          <w:highlight w:val="none"/>
        </w:rPr>
        <w:t>条中集中列示。投标人有其中所列任何一种情形的，由评标委员会否决其</w:t>
      </w:r>
      <w:r>
        <w:rPr>
          <w:rFonts w:hint="eastAsia" w:ascii="宋体" w:hAnsi="宋体" w:eastAsia="宋体" w:cs="宋体"/>
          <w:color w:val="auto"/>
          <w:spacing w:val="-1"/>
          <w:sz w:val="24"/>
          <w:szCs w:val="24"/>
          <w:highlight w:val="none"/>
        </w:rPr>
        <w:t>投标。在初步评审阶段任何环节被否决的投标人，不进入下一环</w:t>
      </w:r>
      <w:r>
        <w:rPr>
          <w:rFonts w:hint="eastAsia" w:ascii="宋体" w:hAnsi="宋体" w:eastAsia="宋体" w:cs="宋体"/>
          <w:color w:val="auto"/>
          <w:spacing w:val="-2"/>
          <w:sz w:val="24"/>
          <w:szCs w:val="24"/>
          <w:highlight w:val="none"/>
        </w:rPr>
        <w:t>节（或阶段）评审。</w:t>
      </w:r>
      <w:r>
        <w:rPr>
          <w:rFonts w:hint="eastAsia" w:ascii="宋体" w:hAnsi="宋体" w:eastAsia="宋体" w:cs="宋体"/>
          <w:color w:val="auto"/>
          <w:spacing w:val="-1"/>
          <w:sz w:val="24"/>
          <w:szCs w:val="24"/>
          <w:highlight w:val="none"/>
        </w:rPr>
        <w:t>在初步评审阶段任何环节。</w:t>
      </w:r>
      <w:r>
        <w:rPr>
          <w:rFonts w:hint="eastAsia" w:ascii="宋体" w:hAnsi="宋体" w:eastAsia="宋体" w:cs="宋体"/>
          <w:color w:val="auto"/>
          <w:sz w:val="24"/>
          <w:szCs w:val="24"/>
          <w:highlight w:val="none"/>
        </w:rPr>
        <w:t>评标委员会经评审，认为所有投标都不符合招标文件要求的，可否决所有投标，项目的所有投标被否决的，招标人应依法重新组织招标。</w:t>
      </w:r>
    </w:p>
    <w:p w14:paraId="4AB68C11">
      <w:pPr>
        <w:spacing w:before="78" w:line="221" w:lineRule="auto"/>
        <w:ind w:left="577"/>
        <w:rPr>
          <w:rFonts w:hint="eastAsia" w:ascii="宋体" w:hAnsi="宋体" w:eastAsia="宋体" w:cs="宋体"/>
          <w:color w:val="auto"/>
          <w:sz w:val="24"/>
          <w:szCs w:val="24"/>
          <w:highlight w:val="none"/>
        </w:rPr>
      </w:pPr>
      <w:r>
        <w:rPr>
          <w:rFonts w:hint="eastAsia" w:ascii="宋体" w:hAnsi="宋体" w:eastAsia="宋体" w:cs="宋体"/>
          <w:color w:val="auto"/>
          <w:highlight w:val="none"/>
        </w:rPr>
        <w:drawing>
          <wp:anchor distT="0" distB="0" distL="114300" distR="114300" simplePos="0" relativeHeight="251660288"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28"/>
                    <a:stretch>
                      <a:fillRect/>
                    </a:stretch>
                  </pic:blipFill>
                  <pic:spPr>
                    <a:xfrm>
                      <a:off x="0" y="0"/>
                      <a:ext cx="6350" cy="279400"/>
                    </a:xfrm>
                    <a:prstGeom prst="rect">
                      <a:avLst/>
                    </a:prstGeom>
                    <a:noFill/>
                    <a:ln>
                      <a:noFill/>
                    </a:ln>
                  </pic:spPr>
                </pic:pic>
              </a:graphicData>
            </a:graphic>
          </wp:anchor>
        </w:drawing>
      </w:r>
      <w:bookmarkStart w:id="108" w:name="bookmark128"/>
      <w:bookmarkEnd w:id="108"/>
      <w:r>
        <w:rPr>
          <w:rFonts w:hint="eastAsia" w:ascii="宋体" w:hAnsi="宋体" w:eastAsia="宋体" w:cs="宋体"/>
          <w:b/>
          <w:bCs/>
          <w:color w:val="auto"/>
          <w:spacing w:val="-2"/>
          <w:sz w:val="24"/>
          <w:szCs w:val="24"/>
          <w:highlight w:val="none"/>
        </w:rPr>
        <w:t>1</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w:t>
      </w:r>
      <w:r>
        <w:rPr>
          <w:rFonts w:hint="eastAsia" w:ascii="宋体" w:hAnsi="宋体" w:eastAsia="宋体" w:cs="宋体"/>
          <w:b/>
          <w:bCs/>
          <w:color w:val="auto"/>
          <w:spacing w:val="-2"/>
          <w:sz w:val="24"/>
          <w:szCs w:val="24"/>
          <w:highlight w:val="none"/>
          <w:lang w:val="en-US" w:eastAsia="zh-CN"/>
        </w:rPr>
        <w:t>6</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详细评审阶段</w:t>
      </w:r>
    </w:p>
    <w:p w14:paraId="21AA4981">
      <w:pPr>
        <w:spacing w:before="81" w:line="211" w:lineRule="auto"/>
        <w:ind w:left="498"/>
        <w:outlineLvl w:val="9"/>
        <w:rPr>
          <w:rFonts w:hint="eastAsia" w:ascii="宋体" w:hAnsi="宋体" w:eastAsia="宋体" w:cs="宋体"/>
          <w:color w:val="auto"/>
          <w:sz w:val="25"/>
          <w:szCs w:val="25"/>
          <w:highlight w:val="none"/>
        </w:rPr>
      </w:pPr>
      <w:bookmarkStart w:id="109" w:name="_Toc4119"/>
      <w:bookmarkStart w:id="110" w:name="_Toc10503"/>
      <w:bookmarkStart w:id="111" w:name="_Toc28572"/>
      <w:bookmarkStart w:id="112" w:name="_Toc14991"/>
      <w:r>
        <w:rPr>
          <w:rFonts w:hint="eastAsia" w:ascii="宋体" w:hAnsi="宋体" w:eastAsia="宋体" w:cs="宋体"/>
          <w:b/>
          <w:bCs/>
          <w:color w:val="auto"/>
          <w:spacing w:val="-3"/>
          <w:sz w:val="24"/>
          <w:szCs w:val="24"/>
          <w:highlight w:val="none"/>
          <w:lang w:val="en-US" w:eastAsia="zh-CN"/>
        </w:rPr>
        <w:t>15</w:t>
      </w:r>
      <w:r>
        <w:rPr>
          <w:rFonts w:hint="eastAsia" w:ascii="宋体" w:hAnsi="宋体" w:eastAsia="宋体" w:cs="宋体"/>
          <w:b/>
          <w:bCs/>
          <w:color w:val="auto"/>
          <w:spacing w:val="-3"/>
          <w:sz w:val="24"/>
          <w:szCs w:val="24"/>
          <w:highlight w:val="none"/>
        </w:rPr>
        <w:t>.</w:t>
      </w:r>
      <w:r>
        <w:rPr>
          <w:rFonts w:hint="eastAsia" w:ascii="宋体" w:hAnsi="宋体" w:eastAsia="宋体" w:cs="宋体"/>
          <w:b/>
          <w:bCs/>
          <w:color w:val="auto"/>
          <w:spacing w:val="-3"/>
          <w:sz w:val="24"/>
          <w:szCs w:val="24"/>
          <w:highlight w:val="none"/>
          <w:lang w:val="en-US" w:eastAsia="zh-CN"/>
        </w:rPr>
        <w:t>6</w:t>
      </w:r>
      <w:r>
        <w:rPr>
          <w:rFonts w:hint="eastAsia" w:ascii="宋体" w:hAnsi="宋体" w:eastAsia="宋体" w:cs="宋体"/>
          <w:b/>
          <w:bCs/>
          <w:color w:val="auto"/>
          <w:spacing w:val="-3"/>
          <w:sz w:val="24"/>
          <w:szCs w:val="24"/>
          <w:highlight w:val="none"/>
        </w:rPr>
        <w:t xml:space="preserve">.1  </w:t>
      </w:r>
      <w:r>
        <w:rPr>
          <w:rFonts w:hint="eastAsia" w:ascii="宋体" w:hAnsi="宋体" w:eastAsia="宋体" w:cs="宋体"/>
          <w:color w:val="auto"/>
          <w:spacing w:val="-3"/>
          <w:sz w:val="24"/>
          <w:szCs w:val="24"/>
          <w:highlight w:val="none"/>
        </w:rPr>
        <w:t>“综合评估法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”评审程序</w:t>
      </w:r>
      <w:bookmarkEnd w:id="109"/>
      <w:bookmarkEnd w:id="110"/>
      <w:bookmarkEnd w:id="111"/>
      <w:bookmarkEnd w:id="112"/>
    </w:p>
    <w:p w14:paraId="5801B40B">
      <w:pPr>
        <w:spacing w:before="152" w:line="329" w:lineRule="auto"/>
        <w:ind w:left="14" w:right="81" w:firstLine="47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评审内容分为商务技术和投标报价两大部分。其中，商</w:t>
      </w:r>
      <w:r>
        <w:rPr>
          <w:rFonts w:hint="eastAsia" w:ascii="宋体" w:hAnsi="宋体" w:eastAsia="宋体" w:cs="宋体"/>
          <w:color w:val="auto"/>
          <w:spacing w:val="-2"/>
          <w:sz w:val="24"/>
          <w:szCs w:val="24"/>
          <w:highlight w:val="none"/>
        </w:rPr>
        <w:t>务技术合计满分</w:t>
      </w:r>
      <w:r>
        <w:rPr>
          <w:rFonts w:hint="eastAsia" w:ascii="宋体" w:hAnsi="宋体" w:eastAsia="宋体" w:cs="宋体"/>
          <w:color w:val="auto"/>
          <w:spacing w:val="-2"/>
          <w:sz w:val="24"/>
          <w:szCs w:val="24"/>
          <w:highlight w:val="none"/>
          <w:lang w:eastAsia="zh-CN"/>
        </w:rPr>
        <w:t>100</w:t>
      </w:r>
      <w:r>
        <w:rPr>
          <w:rFonts w:hint="eastAsia" w:ascii="宋体" w:hAnsi="宋体" w:eastAsia="宋体" w:cs="宋体"/>
          <w:color w:val="auto"/>
          <w:spacing w:val="-2"/>
          <w:sz w:val="24"/>
          <w:szCs w:val="24"/>
          <w:highlight w:val="none"/>
        </w:rPr>
        <w:t>分，权重</w:t>
      </w:r>
      <w:r>
        <w:rPr>
          <w:rFonts w:hint="eastAsia" w:ascii="宋体" w:hAnsi="宋体" w:eastAsia="宋体" w:cs="宋体"/>
          <w:color w:val="auto"/>
          <w:spacing w:val="-3"/>
          <w:sz w:val="24"/>
          <w:szCs w:val="24"/>
          <w:highlight w:val="none"/>
        </w:rPr>
        <w:t>为</w:t>
      </w:r>
      <w:r>
        <w:rPr>
          <w:rFonts w:hint="eastAsia" w:ascii="宋体" w:hAnsi="宋体" w:eastAsia="宋体" w:cs="宋体"/>
          <w:color w:val="auto"/>
          <w:spacing w:val="-3"/>
          <w:sz w:val="24"/>
          <w:szCs w:val="24"/>
          <w:highlight w:val="none"/>
          <w:lang w:eastAsia="zh-CN"/>
        </w:rPr>
        <w:t>40</w:t>
      </w:r>
      <w:r>
        <w:rPr>
          <w:rFonts w:hint="eastAsia" w:ascii="宋体" w:hAnsi="宋体" w:eastAsia="宋体" w:cs="宋体"/>
          <w:color w:val="auto"/>
          <w:spacing w:val="-3"/>
          <w:sz w:val="24"/>
          <w:szCs w:val="24"/>
          <w:highlight w:val="none"/>
        </w:rPr>
        <w:t>%；投标报价满分</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3"/>
          <w:sz w:val="24"/>
          <w:szCs w:val="24"/>
          <w:highlight w:val="none"/>
        </w:rPr>
        <w:t>100 分，权重为</w:t>
      </w:r>
      <w:r>
        <w:rPr>
          <w:rFonts w:hint="eastAsia" w:ascii="宋体" w:hAnsi="宋体" w:eastAsia="宋体" w:cs="宋体"/>
          <w:color w:val="auto"/>
          <w:spacing w:val="-3"/>
          <w:sz w:val="24"/>
          <w:szCs w:val="24"/>
          <w:highlight w:val="none"/>
          <w:lang w:eastAsia="zh-CN"/>
        </w:rPr>
        <w:t>60</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。两大部分权重之和应为</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100%。</w:t>
      </w:r>
    </w:p>
    <w:p w14:paraId="7F93F86E">
      <w:pPr>
        <w:spacing w:before="153" w:line="324" w:lineRule="auto"/>
        <w:ind w:left="14"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除特别注明外，综合得分以及商务技术得分、投标报价得分的中间过程计算值和</w:t>
      </w:r>
      <w:r>
        <w:rPr>
          <w:rFonts w:hint="eastAsia" w:ascii="宋体" w:hAnsi="宋体" w:eastAsia="宋体" w:cs="宋体"/>
          <w:color w:val="auto"/>
          <w:spacing w:val="-4"/>
          <w:sz w:val="24"/>
          <w:szCs w:val="24"/>
          <w:highlight w:val="none"/>
        </w:rPr>
        <w:t>最终值，均按“</w:t>
      </w:r>
      <w:r>
        <w:rPr>
          <w:rFonts w:hint="eastAsia" w:ascii="宋体" w:hAnsi="宋体" w:eastAsia="宋体" w:cs="宋体"/>
          <w:color w:val="auto"/>
          <w:spacing w:val="-78"/>
          <w:sz w:val="24"/>
          <w:szCs w:val="24"/>
          <w:highlight w:val="none"/>
        </w:rPr>
        <w:t xml:space="preserve"> </w:t>
      </w:r>
      <w:r>
        <w:rPr>
          <w:rFonts w:hint="eastAsia" w:ascii="宋体" w:hAnsi="宋体" w:eastAsia="宋体" w:cs="宋体"/>
          <w:color w:val="auto"/>
          <w:spacing w:val="-4"/>
          <w:sz w:val="24"/>
          <w:szCs w:val="24"/>
          <w:highlight w:val="none"/>
        </w:rPr>
        <w:t>四舍五入</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”原则精确到两位小数。</w:t>
      </w:r>
    </w:p>
    <w:p w14:paraId="1F4AF271">
      <w:pPr>
        <w:spacing w:before="38" w:line="220" w:lineRule="auto"/>
        <w:ind w:left="503"/>
        <w:outlineLvl w:val="9"/>
        <w:rPr>
          <w:rFonts w:hint="eastAsia" w:ascii="宋体" w:hAnsi="宋体" w:eastAsia="宋体" w:cs="宋体"/>
          <w:color w:val="auto"/>
          <w:sz w:val="24"/>
          <w:szCs w:val="24"/>
          <w:highlight w:val="none"/>
        </w:rPr>
      </w:pPr>
      <w:bookmarkStart w:id="113" w:name="_Toc10398"/>
      <w:bookmarkStart w:id="114" w:name="_Toc22949"/>
      <w:bookmarkStart w:id="115" w:name="_Toc18029"/>
      <w:bookmarkStart w:id="116" w:name="_Toc17510"/>
      <w:r>
        <w:rPr>
          <w:rFonts w:hint="eastAsia" w:ascii="宋体" w:hAnsi="宋体" w:eastAsia="宋体" w:cs="宋体"/>
          <w:color w:val="auto"/>
          <w:spacing w:val="-3"/>
          <w:sz w:val="24"/>
          <w:szCs w:val="24"/>
          <w:highlight w:val="none"/>
        </w:rPr>
        <w:t>（1）商务技术得分</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M</w:t>
      </w:r>
      <w:bookmarkEnd w:id="113"/>
      <w:bookmarkEnd w:id="114"/>
      <w:bookmarkEnd w:id="115"/>
      <w:bookmarkEnd w:id="116"/>
    </w:p>
    <w:p w14:paraId="392026E4">
      <w:pPr>
        <w:spacing w:before="153" w:line="279" w:lineRule="auto"/>
        <w:ind w:left="15" w:right="81"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color w:val="auto"/>
          <w:spacing w:val="1"/>
          <w:sz w:val="24"/>
          <w:szCs w:val="24"/>
          <w:highlight w:val="none"/>
        </w:rPr>
        <w:t>．评标委员会按照《综合评分表》商务部分指定的评分标准对各评分因素进行</w:t>
      </w:r>
      <w:r>
        <w:rPr>
          <w:rFonts w:hint="eastAsia" w:ascii="宋体" w:hAnsi="宋体" w:eastAsia="宋体" w:cs="宋体"/>
          <w:color w:val="auto"/>
          <w:spacing w:val="-1"/>
          <w:sz w:val="24"/>
          <w:szCs w:val="24"/>
          <w:highlight w:val="none"/>
        </w:rPr>
        <w:t>打分。各评分因素得分之和即为某投标人的商务得分</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
          <w:sz w:val="24"/>
          <w:szCs w:val="24"/>
          <w:highlight w:val="none"/>
        </w:rPr>
        <w:t>。</w:t>
      </w:r>
    </w:p>
    <w:p w14:paraId="2881815B">
      <w:pPr>
        <w:spacing w:before="154" w:line="299" w:lineRule="auto"/>
        <w:ind w:left="12" w:right="8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b</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
          <w:sz w:val="24"/>
          <w:szCs w:val="24"/>
          <w:highlight w:val="none"/>
        </w:rPr>
        <w:t>．评标委员会各成员独立按照《综合评分表》技术部分（施工组织设</w:t>
      </w:r>
      <w:r>
        <w:rPr>
          <w:rFonts w:hint="eastAsia" w:ascii="宋体" w:hAnsi="宋体" w:eastAsia="宋体" w:cs="宋体"/>
          <w:color w:val="auto"/>
          <w:sz w:val="24"/>
          <w:szCs w:val="24"/>
          <w:highlight w:val="none"/>
        </w:rPr>
        <w:t>计）指定</w:t>
      </w:r>
      <w:r>
        <w:rPr>
          <w:rFonts w:hint="eastAsia" w:ascii="宋体" w:hAnsi="宋体" w:eastAsia="宋体" w:cs="宋体"/>
          <w:color w:val="auto"/>
          <w:spacing w:val="-1"/>
          <w:sz w:val="24"/>
          <w:szCs w:val="24"/>
          <w:highlight w:val="none"/>
        </w:rPr>
        <w:t>的评分标准对各评分因素进行打分，累加后得出技术评分。</w:t>
      </w:r>
      <w:r>
        <w:rPr>
          <w:rFonts w:hint="eastAsia" w:ascii="宋体" w:hAnsi="宋体" w:eastAsia="宋体" w:cs="宋体"/>
          <w:color w:val="auto"/>
          <w:spacing w:val="-2"/>
          <w:sz w:val="24"/>
          <w:szCs w:val="24"/>
          <w:highlight w:val="none"/>
        </w:rPr>
        <w:t>将评标委员会所有成员的</w:t>
      </w:r>
      <w:r>
        <w:rPr>
          <w:rFonts w:hint="eastAsia" w:ascii="宋体" w:hAnsi="宋体" w:eastAsia="宋体" w:cs="宋体"/>
          <w:color w:val="auto"/>
          <w:sz w:val="24"/>
          <w:szCs w:val="24"/>
          <w:highlight w:val="none"/>
        </w:rPr>
        <w:t>技术评分去掉最高分和最低分后，取算术平均值，即</w:t>
      </w:r>
      <w:r>
        <w:rPr>
          <w:rFonts w:hint="eastAsia" w:ascii="宋体" w:hAnsi="宋体" w:eastAsia="宋体" w:cs="宋体"/>
          <w:color w:val="auto"/>
          <w:spacing w:val="-1"/>
          <w:sz w:val="24"/>
          <w:szCs w:val="24"/>
          <w:highlight w:val="none"/>
        </w:rPr>
        <w:t>为某投标人的技术得分</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
          <w:sz w:val="24"/>
          <w:szCs w:val="24"/>
          <w:highlight w:val="none"/>
        </w:rPr>
        <w:t>。</w:t>
      </w:r>
    </w:p>
    <w:p w14:paraId="16A785CF">
      <w:pPr>
        <w:spacing w:before="155" w:line="231" w:lineRule="auto"/>
        <w:ind w:left="491"/>
        <w:rPr>
          <w:rFonts w:hint="eastAsia" w:ascii="宋体" w:hAnsi="宋体" w:eastAsia="宋体" w:cs="宋体"/>
          <w:color w:val="auto"/>
          <w:sz w:val="15"/>
          <w:szCs w:val="15"/>
          <w:highlight w:val="none"/>
        </w:rPr>
      </w:pPr>
      <w:r>
        <w:rPr>
          <w:rFonts w:hint="eastAsia" w:ascii="宋体" w:hAnsi="宋体" w:eastAsia="宋体" w:cs="宋体"/>
          <w:b/>
          <w:bCs/>
          <w:color w:val="auto"/>
          <w:spacing w:val="-12"/>
          <w:sz w:val="24"/>
          <w:szCs w:val="24"/>
          <w:highlight w:val="none"/>
        </w:rPr>
        <w:t>c</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12"/>
          <w:position w:val="-1"/>
          <w:sz w:val="15"/>
          <w:szCs w:val="15"/>
          <w:highlight w:val="none"/>
        </w:rPr>
        <w:t>1</w:t>
      </w:r>
      <w:r>
        <w:rPr>
          <w:rFonts w:hint="eastAsia" w:ascii="宋体" w:hAnsi="宋体" w:eastAsia="宋体" w:cs="宋体"/>
          <w:color w:val="auto"/>
          <w:sz w:val="24"/>
          <w:szCs w:val="24"/>
          <w:highlight w:val="none"/>
        </w:rPr>
        <w:t>＋M</w:t>
      </w:r>
      <w:r>
        <w:rPr>
          <w:rFonts w:hint="eastAsia" w:ascii="宋体" w:hAnsi="宋体" w:eastAsia="宋体" w:cs="宋体"/>
          <w:color w:val="auto"/>
          <w:position w:val="-1"/>
          <w:sz w:val="15"/>
          <w:szCs w:val="15"/>
          <w:highlight w:val="none"/>
        </w:rPr>
        <w:t>2</w:t>
      </w:r>
    </w:p>
    <w:p w14:paraId="0A2F9F5C">
      <w:pPr>
        <w:spacing w:before="139" w:line="220" w:lineRule="auto"/>
        <w:ind w:left="49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2"/>
          <w:w w:val="101"/>
          <w:position w:val="-1"/>
          <w:sz w:val="15"/>
          <w:szCs w:val="15"/>
          <w:highlight w:val="none"/>
        </w:rPr>
        <w:t xml:space="preserve"> </w:t>
      </w:r>
      <w:r>
        <w:rPr>
          <w:rFonts w:hint="eastAsia" w:ascii="宋体" w:hAnsi="宋体" w:eastAsia="宋体" w:cs="宋体"/>
          <w:color w:val="auto"/>
          <w:spacing w:val="-1"/>
          <w:sz w:val="24"/>
          <w:szCs w:val="24"/>
          <w:highlight w:val="none"/>
        </w:rPr>
        <w:t>为某投标人的商务得分，M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1"/>
          <w:sz w:val="24"/>
          <w:szCs w:val="24"/>
          <w:highlight w:val="none"/>
        </w:rPr>
        <w:t>为某投标人的</w:t>
      </w:r>
      <w:r>
        <w:rPr>
          <w:rFonts w:hint="eastAsia" w:ascii="宋体" w:hAnsi="宋体" w:eastAsia="宋体" w:cs="宋体"/>
          <w:color w:val="auto"/>
          <w:spacing w:val="-2"/>
          <w:sz w:val="24"/>
          <w:szCs w:val="24"/>
          <w:highlight w:val="none"/>
        </w:rPr>
        <w:t>技术得分。</w:t>
      </w:r>
    </w:p>
    <w:p w14:paraId="48783CD0">
      <w:pPr>
        <w:spacing w:before="153" w:line="219" w:lineRule="auto"/>
        <w:ind w:left="503"/>
        <w:outlineLvl w:val="9"/>
        <w:rPr>
          <w:rFonts w:hint="eastAsia" w:ascii="宋体" w:hAnsi="宋体" w:eastAsia="宋体" w:cs="宋体"/>
          <w:color w:val="auto"/>
          <w:sz w:val="24"/>
          <w:szCs w:val="24"/>
          <w:highlight w:val="none"/>
        </w:rPr>
      </w:pPr>
      <w:bookmarkStart w:id="117" w:name="_Toc16136"/>
      <w:bookmarkStart w:id="118" w:name="_Toc14059"/>
      <w:bookmarkStart w:id="119" w:name="_Toc3958"/>
      <w:bookmarkStart w:id="120" w:name="_Toc27609"/>
      <w:r>
        <w:rPr>
          <w:rFonts w:hint="eastAsia" w:ascii="宋体" w:hAnsi="宋体" w:eastAsia="宋体" w:cs="宋体"/>
          <w:color w:val="auto"/>
          <w:spacing w:val="-2"/>
          <w:sz w:val="24"/>
          <w:szCs w:val="24"/>
          <w:highlight w:val="none"/>
        </w:rPr>
        <w:t>（2）投标报价得分</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2"/>
          <w:sz w:val="24"/>
          <w:szCs w:val="24"/>
          <w:highlight w:val="none"/>
        </w:rPr>
        <w:t>N</w:t>
      </w:r>
      <w:bookmarkEnd w:id="117"/>
      <w:bookmarkEnd w:id="118"/>
      <w:bookmarkEnd w:id="119"/>
      <w:bookmarkEnd w:id="120"/>
    </w:p>
    <w:p w14:paraId="32CC3A83">
      <w:pPr>
        <w:spacing w:before="157" w:line="219" w:lineRule="auto"/>
        <w:ind w:firstLine="470"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a</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color w:val="auto"/>
          <w:spacing w:val="-3"/>
          <w:sz w:val="24"/>
          <w:szCs w:val="24"/>
          <w:highlight w:val="none"/>
        </w:rPr>
        <w:t>．评标委员会按照《综合评分表》投标报价部分指定的方法计</w:t>
      </w:r>
      <w:r>
        <w:rPr>
          <w:rFonts w:hint="eastAsia" w:ascii="宋体" w:hAnsi="宋体" w:eastAsia="宋体" w:cs="宋体"/>
          <w:color w:val="auto"/>
          <w:spacing w:val="-4"/>
          <w:sz w:val="24"/>
          <w:szCs w:val="24"/>
          <w:highlight w:val="none"/>
        </w:rPr>
        <w:t>算评标基准价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4"/>
          <w:sz w:val="24"/>
          <w:szCs w:val="24"/>
          <w:highlight w:val="none"/>
        </w:rPr>
        <w:t>D。</w:t>
      </w:r>
    </w:p>
    <w:p w14:paraId="244C81B9">
      <w:pPr>
        <w:spacing w:before="155" w:line="299" w:lineRule="auto"/>
        <w:ind w:left="12" w:right="83"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b</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z w:val="24"/>
          <w:szCs w:val="24"/>
          <w:highlight w:val="none"/>
        </w:rPr>
        <w:t>．采用内插法计算某投标人的投标报价得分</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z w:val="24"/>
          <w:szCs w:val="24"/>
          <w:highlight w:val="none"/>
        </w:rPr>
        <w:t>N</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z w:val="24"/>
          <w:szCs w:val="24"/>
          <w:highlight w:val="none"/>
        </w:rPr>
        <w:t>，即当投标人的投标总价等于评</w:t>
      </w:r>
      <w:r>
        <w:rPr>
          <w:rFonts w:hint="eastAsia" w:ascii="宋体" w:hAnsi="宋体" w:eastAsia="宋体" w:cs="宋体"/>
          <w:color w:val="auto"/>
          <w:spacing w:val="-1"/>
          <w:sz w:val="24"/>
          <w:szCs w:val="24"/>
          <w:highlight w:val="none"/>
        </w:rPr>
        <w:t>标基准价时得</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100分，每高于评标基准价一个百分点扣</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1"/>
          <w:sz w:val="24"/>
          <w:szCs w:val="24"/>
          <w:highlight w:val="none"/>
        </w:rPr>
        <w:t xml:space="preserve">1分,  </w:t>
      </w:r>
      <w:r>
        <w:rPr>
          <w:rFonts w:hint="eastAsia" w:ascii="宋体" w:hAnsi="宋体" w:eastAsia="宋体" w:cs="宋体"/>
          <w:color w:val="auto"/>
          <w:spacing w:val="-2"/>
          <w:sz w:val="24"/>
          <w:szCs w:val="24"/>
          <w:highlight w:val="none"/>
        </w:rPr>
        <w:t>每低于评标基准价一个百分点扣</w:t>
      </w:r>
      <w:r>
        <w:rPr>
          <w:rFonts w:hint="eastAsia" w:ascii="宋体" w:hAnsi="宋体" w:eastAsia="宋体" w:cs="宋体"/>
          <w:color w:val="auto"/>
          <w:spacing w:val="-34"/>
          <w:sz w:val="24"/>
          <w:szCs w:val="24"/>
          <w:highlight w:val="none"/>
        </w:rPr>
        <w:t xml:space="preserve"> </w:t>
      </w:r>
      <w:r>
        <w:rPr>
          <w:rFonts w:hint="eastAsia" w:ascii="宋体" w:hAnsi="宋体" w:eastAsia="宋体" w:cs="宋体"/>
          <w:b/>
          <w:bCs/>
          <w:color w:val="auto"/>
          <w:spacing w:val="-2"/>
          <w:sz w:val="24"/>
          <w:szCs w:val="24"/>
          <w:highlight w:val="none"/>
        </w:rPr>
        <w:t>0.5 分</w:t>
      </w:r>
      <w:r>
        <w:rPr>
          <w:rFonts w:hint="eastAsia" w:ascii="宋体" w:hAnsi="宋体" w:eastAsia="宋体" w:cs="宋体"/>
          <w:color w:val="auto"/>
          <w:spacing w:val="-2"/>
          <w:sz w:val="24"/>
          <w:szCs w:val="24"/>
          <w:highlight w:val="none"/>
        </w:rPr>
        <w:t>，扣完为止。公式如下：</w:t>
      </w:r>
    </w:p>
    <w:p w14:paraId="7BBB0CF5">
      <w:pPr>
        <w:spacing w:before="118" w:line="333" w:lineRule="exact"/>
        <w:ind w:left="2418"/>
        <w:rPr>
          <w:rFonts w:hint="eastAsia" w:ascii="宋体" w:hAnsi="宋体" w:eastAsia="宋体" w:cs="宋体"/>
          <w:color w:val="auto"/>
          <w:sz w:val="24"/>
          <w:szCs w:val="24"/>
          <w:highlight w:val="none"/>
        </w:rPr>
      </w:pPr>
      <w:r>
        <w:rPr>
          <w:rFonts w:hint="eastAsia" w:ascii="宋体" w:hAnsi="宋体" w:eastAsia="宋体" w:cs="宋体"/>
          <w:color w:val="auto"/>
          <w:spacing w:val="-6"/>
          <w:position w:val="3"/>
          <w:sz w:val="24"/>
          <w:szCs w:val="24"/>
          <w:highlight w:val="none"/>
        </w:rPr>
        <w:t>N</w:t>
      </w:r>
      <w:r>
        <w:rPr>
          <w:rFonts w:hint="eastAsia" w:ascii="宋体" w:hAnsi="宋体" w:eastAsia="宋体" w:cs="宋体"/>
          <w:color w:val="auto"/>
          <w:spacing w:val="-27"/>
          <w:position w:val="3"/>
          <w:sz w:val="24"/>
          <w:szCs w:val="24"/>
          <w:highlight w:val="none"/>
        </w:rPr>
        <w:t xml:space="preserve"> </w:t>
      </w:r>
      <w:r>
        <w:rPr>
          <w:rFonts w:hint="eastAsia" w:ascii="宋体" w:hAnsi="宋体" w:eastAsia="宋体" w:cs="宋体"/>
          <w:color w:val="auto"/>
          <w:spacing w:val="-6"/>
          <w:position w:val="3"/>
          <w:sz w:val="24"/>
          <w:szCs w:val="24"/>
          <w:highlight w:val="none"/>
        </w:rPr>
        <w:t>＝100</w:t>
      </w:r>
      <w:r>
        <w:rPr>
          <w:rFonts w:hint="eastAsia" w:ascii="宋体" w:hAnsi="宋体" w:eastAsia="宋体" w:cs="宋体"/>
          <w:color w:val="auto"/>
          <w:spacing w:val="-12"/>
          <w:position w:val="3"/>
          <w:sz w:val="24"/>
          <w:szCs w:val="24"/>
          <w:highlight w:val="none"/>
        </w:rPr>
        <w:t>－（</w:t>
      </w:r>
      <w:r>
        <w:rPr>
          <w:rFonts w:hint="eastAsia" w:ascii="宋体" w:hAnsi="宋体" w:eastAsia="宋体" w:cs="宋体"/>
          <w:color w:val="auto"/>
          <w:spacing w:val="-6"/>
          <w:position w:val="3"/>
          <w:sz w:val="24"/>
          <w:szCs w:val="24"/>
          <w:highlight w:val="none"/>
        </w:rPr>
        <w:t>|  Di－D</w:t>
      </w:r>
      <w:r>
        <w:rPr>
          <w:rFonts w:hint="eastAsia" w:ascii="宋体" w:hAnsi="宋体" w:eastAsia="宋体" w:cs="宋体"/>
          <w:color w:val="auto"/>
          <w:spacing w:val="9"/>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17"/>
          <w:position w:val="3"/>
          <w:sz w:val="24"/>
          <w:szCs w:val="24"/>
          <w:highlight w:val="none"/>
        </w:rPr>
        <w:t xml:space="preserve">  </w:t>
      </w:r>
      <w:r>
        <w:rPr>
          <w:rFonts w:hint="eastAsia" w:ascii="宋体" w:hAnsi="宋体" w:eastAsia="宋体" w:cs="宋体"/>
          <w:color w:val="auto"/>
          <w:spacing w:val="-6"/>
          <w:position w:val="3"/>
          <w:sz w:val="24"/>
          <w:szCs w:val="24"/>
          <w:highlight w:val="none"/>
        </w:rPr>
        <w:t>÷D）</w:t>
      </w:r>
      <w:r>
        <w:rPr>
          <w:rFonts w:hint="eastAsia" w:ascii="宋体" w:hAnsi="宋体" w:eastAsia="宋体" w:cs="宋体"/>
          <w:color w:val="auto"/>
          <w:spacing w:val="-75"/>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92"/>
          <w:position w:val="3"/>
          <w:sz w:val="24"/>
          <w:szCs w:val="24"/>
          <w:highlight w:val="none"/>
        </w:rPr>
        <w:t xml:space="preserve"> </w:t>
      </w:r>
      <w:r>
        <w:rPr>
          <w:rFonts w:hint="eastAsia" w:ascii="宋体" w:hAnsi="宋体" w:eastAsia="宋体" w:cs="宋体"/>
          <w:color w:val="auto"/>
          <w:spacing w:val="-6"/>
          <w:position w:val="3"/>
          <w:sz w:val="24"/>
          <w:szCs w:val="24"/>
          <w:highlight w:val="none"/>
        </w:rPr>
        <w:t>100×E</w:t>
      </w:r>
    </w:p>
    <w:p w14:paraId="2D2C5A9B">
      <w:pPr>
        <w:spacing w:before="106" w:line="316" w:lineRule="auto"/>
        <w:ind w:left="7" w:right="17" w:firstLine="48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式中：D 为评标基准价；Di</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为某投标人的投标总价；E</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为扣分因子，当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9"/>
          <w:sz w:val="24"/>
          <w:szCs w:val="24"/>
          <w:highlight w:val="none"/>
        </w:rPr>
        <w:t>Di＞D</w:t>
      </w:r>
      <w:r>
        <w:rPr>
          <w:rFonts w:hint="eastAsia" w:ascii="宋体" w:hAnsi="宋体" w:eastAsia="宋体" w:cs="宋体"/>
          <w:color w:val="auto"/>
          <w:spacing w:val="22"/>
          <w:w w:val="101"/>
          <w:sz w:val="24"/>
          <w:szCs w:val="24"/>
          <w:highlight w:val="none"/>
        </w:rPr>
        <w:t xml:space="preserve"> </w:t>
      </w:r>
      <w:r>
        <w:rPr>
          <w:rFonts w:hint="eastAsia" w:ascii="宋体" w:hAnsi="宋体" w:eastAsia="宋体" w:cs="宋体"/>
          <w:color w:val="auto"/>
          <w:spacing w:val="-10"/>
          <w:sz w:val="24"/>
          <w:szCs w:val="24"/>
          <w:highlight w:val="none"/>
        </w:rPr>
        <w:t>时，</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E</w:t>
      </w:r>
      <w:r>
        <w:rPr>
          <w:rFonts w:hint="eastAsia" w:ascii="宋体" w:hAnsi="宋体" w:eastAsia="宋体" w:cs="宋体"/>
          <w:color w:val="auto"/>
          <w:spacing w:val="-24"/>
          <w:sz w:val="24"/>
          <w:szCs w:val="24"/>
          <w:highlight w:val="none"/>
        </w:rPr>
        <w:t xml:space="preserve"> </w:t>
      </w:r>
      <w:r>
        <w:rPr>
          <w:rFonts w:hint="eastAsia" w:ascii="宋体" w:hAnsi="宋体" w:eastAsia="宋体" w:cs="宋体"/>
          <w:color w:val="auto"/>
          <w:spacing w:val="-8"/>
          <w:sz w:val="24"/>
          <w:szCs w:val="24"/>
          <w:highlight w:val="none"/>
        </w:rPr>
        <w:t>＝</w:t>
      </w:r>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30"/>
          <w:sz w:val="24"/>
          <w:szCs w:val="24"/>
          <w:highlight w:val="none"/>
        </w:rPr>
        <w:t xml:space="preserve"> </w:t>
      </w:r>
      <w:r>
        <w:rPr>
          <w:rFonts w:hint="eastAsia" w:ascii="宋体" w:hAnsi="宋体" w:eastAsia="宋体" w:cs="宋体"/>
          <w:b/>
          <w:bCs/>
          <w:color w:val="auto"/>
          <w:spacing w:val="-8"/>
          <w:sz w:val="24"/>
          <w:szCs w:val="24"/>
          <w:highlight w:val="none"/>
        </w:rPr>
        <w:t>；</w:t>
      </w:r>
      <w:r>
        <w:rPr>
          <w:rFonts w:hint="eastAsia" w:ascii="宋体" w:hAnsi="宋体" w:eastAsia="宋体" w:cs="宋体"/>
          <w:color w:val="auto"/>
          <w:spacing w:val="-8"/>
          <w:sz w:val="24"/>
          <w:szCs w:val="24"/>
          <w:highlight w:val="none"/>
        </w:rPr>
        <w:t>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8"/>
          <w:sz w:val="24"/>
          <w:szCs w:val="24"/>
          <w:highlight w:val="none"/>
        </w:rPr>
        <w:t>Di＜D</w:t>
      </w:r>
      <w:r>
        <w:rPr>
          <w:rFonts w:hint="eastAsia" w:ascii="宋体" w:hAnsi="宋体" w:eastAsia="宋体" w:cs="宋体"/>
          <w:color w:val="auto"/>
          <w:spacing w:val="20"/>
          <w:w w:val="101"/>
          <w:sz w:val="24"/>
          <w:szCs w:val="24"/>
          <w:highlight w:val="none"/>
        </w:rPr>
        <w:t xml:space="preserve"> </w:t>
      </w:r>
      <w:r>
        <w:rPr>
          <w:rFonts w:hint="eastAsia" w:ascii="宋体" w:hAnsi="宋体" w:eastAsia="宋体" w:cs="宋体"/>
          <w:color w:val="auto"/>
          <w:spacing w:val="-8"/>
          <w:sz w:val="24"/>
          <w:szCs w:val="24"/>
          <w:highlight w:val="none"/>
        </w:rPr>
        <w:t>时，E</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＝0.5。</w:t>
      </w:r>
    </w:p>
    <w:p w14:paraId="25245EA0">
      <w:pPr>
        <w:spacing w:before="95" w:line="220" w:lineRule="auto"/>
        <w:ind w:left="503"/>
        <w:outlineLvl w:val="9"/>
        <w:rPr>
          <w:rFonts w:hint="eastAsia" w:ascii="宋体" w:hAnsi="宋体" w:eastAsia="宋体" w:cs="宋体"/>
          <w:color w:val="auto"/>
          <w:sz w:val="24"/>
          <w:szCs w:val="24"/>
          <w:highlight w:val="none"/>
        </w:rPr>
      </w:pPr>
      <w:bookmarkStart w:id="121" w:name="_Toc3861"/>
      <w:bookmarkStart w:id="122" w:name="_Toc4990"/>
      <w:bookmarkStart w:id="123" w:name="_Toc576"/>
      <w:bookmarkStart w:id="124" w:name="_Toc7915"/>
      <w:r>
        <w:rPr>
          <w:rFonts w:hint="eastAsia" w:ascii="宋体" w:hAnsi="宋体" w:eastAsia="宋体" w:cs="宋体"/>
          <w:color w:val="auto"/>
          <w:spacing w:val="-3"/>
          <w:sz w:val="24"/>
          <w:szCs w:val="24"/>
          <w:highlight w:val="none"/>
        </w:rPr>
        <w:t>（3）综合得分</w:t>
      </w:r>
      <w:bookmarkEnd w:id="121"/>
      <w:bookmarkEnd w:id="122"/>
      <w:bookmarkEnd w:id="123"/>
      <w:bookmarkEnd w:id="124"/>
    </w:p>
    <w:p w14:paraId="0F362937">
      <w:pPr>
        <w:spacing w:before="153" w:line="220" w:lineRule="auto"/>
        <w:ind w:left="49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综合得分换算为百分制，满分</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2"/>
          <w:sz w:val="24"/>
          <w:szCs w:val="24"/>
          <w:highlight w:val="none"/>
        </w:rPr>
        <w:t>100 分，公式如下：</w:t>
      </w:r>
    </w:p>
    <w:p w14:paraId="0C5D7075">
      <w:pPr>
        <w:spacing w:before="155" w:line="324" w:lineRule="auto"/>
        <w:ind w:left="496" w:right="532" w:hanging="33"/>
        <w:rPr>
          <w:rFonts w:hint="eastAsia" w:ascii="宋体" w:hAnsi="宋体" w:eastAsia="宋体" w:cs="宋体"/>
          <w:color w:val="auto"/>
          <w:spacing w:val="-1"/>
          <w:sz w:val="24"/>
          <w:szCs w:val="24"/>
          <w:highlight w:val="none"/>
        </w:rPr>
      </w:pPr>
      <w:r>
        <w:rPr>
          <w:rFonts w:hint="eastAsia" w:ascii="宋体" w:hAnsi="宋体" w:eastAsia="宋体" w:cs="宋体"/>
          <w:color w:val="auto"/>
          <w:sz w:val="24"/>
          <w:szCs w:val="24"/>
          <w:highlight w:val="none"/>
        </w:rPr>
        <w:t>综合得分＝M÷商务技术合计满分×100</w:t>
      </w:r>
      <w:r>
        <w:rPr>
          <w:rFonts w:hint="eastAsia" w:ascii="宋体" w:hAnsi="宋体" w:eastAsia="宋体" w:cs="宋体"/>
          <w:color w:val="auto"/>
          <w:spacing w:val="-1"/>
          <w:sz w:val="24"/>
          <w:szCs w:val="24"/>
          <w:highlight w:val="none"/>
        </w:rPr>
        <w:t>×商务技术权重＋N×投标报价权重</w:t>
      </w:r>
    </w:p>
    <w:p w14:paraId="22FAA7C0">
      <w:pPr>
        <w:spacing w:before="155" w:line="324" w:lineRule="auto"/>
        <w:ind w:left="496" w:right="532" w:hanging="3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 为商务技术得分，N 为投标报价得分。</w:t>
      </w:r>
    </w:p>
    <w:p w14:paraId="31F4B4FC">
      <w:pPr>
        <w:spacing w:before="78" w:line="329" w:lineRule="auto"/>
        <w:ind w:left="276" w:right="263" w:hanging="1"/>
        <w:jc w:val="both"/>
        <w:rPr>
          <w:rFonts w:hint="eastAsia" w:ascii="宋体" w:hAnsi="宋体" w:eastAsia="宋体" w:cs="宋体"/>
          <w:b/>
          <w:bCs/>
          <w:color w:val="auto"/>
          <w:spacing w:val="2"/>
          <w:sz w:val="24"/>
          <w:szCs w:val="24"/>
          <w:highlight w:val="none"/>
        </w:rPr>
      </w:pPr>
      <w:bookmarkStart w:id="125" w:name="_Toc25214"/>
      <w:bookmarkStart w:id="126" w:name="_Toc2885"/>
      <w:bookmarkStart w:id="127" w:name="_Toc30671"/>
      <w:bookmarkStart w:id="128" w:name="_Toc32384"/>
      <w:r>
        <w:rPr>
          <w:rFonts w:hint="eastAsia" w:ascii="宋体" w:hAnsi="宋体" w:eastAsia="宋体" w:cs="宋体"/>
          <w:b/>
          <w:bCs/>
          <w:color w:val="auto"/>
          <w:spacing w:val="2"/>
          <w:sz w:val="24"/>
          <w:szCs w:val="24"/>
          <w:highlight w:val="none"/>
        </w:rPr>
        <w:t>（4）</w:t>
      </w:r>
      <w:bookmarkEnd w:id="125"/>
      <w:bookmarkEnd w:id="126"/>
      <w:bookmarkEnd w:id="127"/>
      <w:bookmarkEnd w:id="128"/>
      <w:r>
        <w:rPr>
          <w:rFonts w:hint="eastAsia" w:ascii="宋体" w:hAnsi="宋体" w:eastAsia="宋体" w:cs="宋体"/>
          <w:b/>
          <w:bCs/>
          <w:color w:val="auto"/>
          <w:spacing w:val="2"/>
          <w:sz w:val="24"/>
          <w:szCs w:val="24"/>
          <w:highlight w:val="none"/>
        </w:rPr>
        <w:t>评标委员会根据招标文件规定的评分细则，对招标文件中的各评审因素进行评审、比较、打分，将得分前5名不排序（按企业统一社会信用代码后4位</w:t>
      </w:r>
      <w:r>
        <w:rPr>
          <w:rFonts w:hint="eastAsia" w:ascii="宋体" w:hAnsi="宋体" w:eastAsia="宋体" w:cs="宋体"/>
          <w:b/>
          <w:bCs/>
          <w:color w:val="auto"/>
          <w:spacing w:val="2"/>
          <w:sz w:val="24"/>
          <w:szCs w:val="24"/>
          <w:highlight w:val="none"/>
          <w:lang w:val="en-US" w:eastAsia="zh-CN"/>
        </w:rPr>
        <w:t>由</w:t>
      </w:r>
      <w:r>
        <w:rPr>
          <w:rFonts w:hint="eastAsia" w:ascii="宋体" w:hAnsi="宋体" w:eastAsia="宋体" w:cs="宋体"/>
          <w:b/>
          <w:bCs/>
          <w:color w:val="auto"/>
          <w:spacing w:val="2"/>
          <w:sz w:val="24"/>
          <w:szCs w:val="24"/>
          <w:highlight w:val="none"/>
        </w:rPr>
        <w:t>大</w:t>
      </w:r>
      <w:r>
        <w:rPr>
          <w:rFonts w:hint="eastAsia" w:ascii="宋体" w:hAnsi="宋体" w:eastAsia="宋体" w:cs="宋体"/>
          <w:b/>
          <w:bCs/>
          <w:color w:val="auto"/>
          <w:spacing w:val="2"/>
          <w:sz w:val="24"/>
          <w:szCs w:val="24"/>
          <w:highlight w:val="none"/>
          <w:lang w:val="en-US" w:eastAsia="zh-CN"/>
        </w:rPr>
        <w:t>到</w:t>
      </w:r>
      <w:r>
        <w:rPr>
          <w:rFonts w:hint="eastAsia" w:ascii="宋体" w:hAnsi="宋体" w:eastAsia="宋体" w:cs="宋体"/>
          <w:b/>
          <w:bCs/>
          <w:color w:val="auto"/>
          <w:spacing w:val="2"/>
          <w:sz w:val="24"/>
          <w:szCs w:val="24"/>
          <w:highlight w:val="none"/>
        </w:rPr>
        <w:t>小排位）的投标人作为定标候选人推荐给招标人，并对每个定标候选人的优势、风险等评审情况进行说明。当投标人综合总得分相同时，以报价低为前；当投标人综合总得分相同且报价相同时，由评标委员会投票确定排前。</w:t>
      </w:r>
    </w:p>
    <w:p w14:paraId="70C32CE3">
      <w:pPr>
        <w:spacing w:before="78" w:line="329" w:lineRule="auto"/>
        <w:ind w:right="263" w:firstLine="490"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定标候选人得分只作为评标委员会的推荐依据，不作为定标委员会对中标候选人排序的依据。当有效投标人数量不足5名但满足法定要求时，所有通过评审的有效投标人均应作为定标候选人。</w:t>
      </w:r>
    </w:p>
    <w:p w14:paraId="018D3E19">
      <w:pPr>
        <w:pStyle w:val="5"/>
        <w:spacing w:line="304" w:lineRule="auto"/>
        <w:rPr>
          <w:rFonts w:hint="eastAsia" w:ascii="宋体" w:hAnsi="宋体" w:eastAsia="宋体" w:cs="宋体"/>
          <w:color w:val="auto"/>
          <w:highlight w:val="none"/>
        </w:rPr>
      </w:pPr>
    </w:p>
    <w:p w14:paraId="2C7B650C">
      <w:pPr>
        <w:rPr>
          <w:rFonts w:hint="eastAsia"/>
          <w:color w:val="auto"/>
          <w:highlight w:val="none"/>
        </w:rPr>
      </w:pPr>
    </w:p>
    <w:p w14:paraId="69F380A8">
      <w:pPr>
        <w:rPr>
          <w:rFonts w:hint="eastAsia" w:ascii="宋体" w:hAnsi="宋体" w:eastAsia="宋体" w:cs="宋体"/>
          <w:b/>
          <w:bCs/>
          <w:color w:val="auto"/>
          <w:spacing w:val="-6"/>
          <w:sz w:val="30"/>
          <w:szCs w:val="30"/>
          <w:highlight w:val="none"/>
        </w:rPr>
      </w:pPr>
      <w:bookmarkStart w:id="129" w:name="_Toc16801"/>
      <w:bookmarkStart w:id="130" w:name="_Toc3020"/>
      <w:bookmarkStart w:id="131" w:name="_Toc17375"/>
    </w:p>
    <w:p w14:paraId="40D4E59D">
      <w:pPr>
        <w:spacing w:before="98" w:line="221" w:lineRule="auto"/>
        <w:ind w:left="4248"/>
        <w:outlineLvl w:val="9"/>
        <w:rPr>
          <w:rFonts w:hint="eastAsia" w:ascii="宋体" w:hAnsi="宋体" w:eastAsia="宋体" w:cs="宋体"/>
          <w:b/>
          <w:bCs/>
          <w:color w:val="auto"/>
          <w:spacing w:val="-6"/>
          <w:sz w:val="30"/>
          <w:szCs w:val="30"/>
          <w:highlight w:val="none"/>
        </w:rPr>
      </w:pPr>
      <w:r>
        <w:rPr>
          <w:rFonts w:hint="eastAsia" w:ascii="宋体" w:hAnsi="宋体" w:eastAsia="宋体" w:cs="宋体"/>
          <w:b/>
          <w:bCs/>
          <w:color w:val="auto"/>
          <w:spacing w:val="-6"/>
          <w:sz w:val="30"/>
          <w:szCs w:val="30"/>
          <w:highlight w:val="none"/>
        </w:rPr>
        <w:t>综合评分表</w:t>
      </w:r>
      <w:bookmarkEnd w:id="129"/>
      <w:bookmarkEnd w:id="130"/>
      <w:bookmarkEnd w:id="131"/>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4"/>
        <w:gridCol w:w="3507"/>
        <w:gridCol w:w="5133"/>
      </w:tblGrid>
      <w:tr w14:paraId="56E66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3"/>
            <w:noWrap w:val="0"/>
            <w:vAlign w:val="top"/>
          </w:tcPr>
          <w:p w14:paraId="6D748D0E">
            <w:pPr>
              <w:keepNext w:val="0"/>
              <w:keepLines w:val="0"/>
              <w:widowControl w:val="0"/>
              <w:suppressLineNumbers w:val="0"/>
              <w:kinsoku/>
              <w:autoSpaceDE/>
              <w:autoSpaceDN/>
              <w:adjustRightInd/>
              <w:snapToGrid/>
              <w:spacing w:before="0" w:beforeAutospacing="0" w:after="0" w:afterAutospacing="0" w:line="360" w:lineRule="auto"/>
              <w:ind w:left="0" w:right="0"/>
              <w:jc w:val="both"/>
              <w:textAlignment w:val="auto"/>
              <w:rPr>
                <w:rFonts w:hint="eastAsia" w:ascii="宋体" w:hAnsi="宋体" w:eastAsia="宋体" w:cs="宋体"/>
                <w:snapToGrid/>
                <w:color w:val="auto"/>
                <w:kern w:val="2"/>
                <w:sz w:val="24"/>
                <w:szCs w:val="24"/>
                <w:highlight w:val="none"/>
                <w:lang w:eastAsia="zh-CN"/>
              </w:rPr>
            </w:pPr>
            <w:bookmarkStart w:id="132" w:name="_Toc9725"/>
            <w:bookmarkStart w:id="133" w:name="_Toc31744"/>
            <w:bookmarkStart w:id="134" w:name="_Toc17436"/>
            <w:bookmarkStart w:id="135" w:name="_Toc5769"/>
            <w:r>
              <w:rPr>
                <w:rFonts w:hint="eastAsia" w:ascii="宋体" w:hAnsi="宋体" w:eastAsia="宋体" w:cs="宋体"/>
                <w:b/>
                <w:bCs/>
                <w:snapToGrid/>
                <w:color w:val="auto"/>
                <w:kern w:val="2"/>
                <w:sz w:val="24"/>
                <w:szCs w:val="24"/>
                <w:highlight w:val="none"/>
                <w:lang w:eastAsia="zh-CN"/>
              </w:rPr>
              <w:t>商务部分，满分：80分。</w:t>
            </w:r>
          </w:p>
        </w:tc>
      </w:tr>
      <w:tr w14:paraId="5A58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noWrap w:val="0"/>
            <w:vAlign w:val="center"/>
          </w:tcPr>
          <w:p w14:paraId="180E0240">
            <w:pPr>
              <w:keepNext w:val="0"/>
              <w:keepLines w:val="0"/>
              <w:widowControl w:val="0"/>
              <w:suppressLineNumbers w:val="0"/>
              <w:kinsoku/>
              <w:autoSpaceDE/>
              <w:autoSpaceDN/>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eastAsia="zh-CN"/>
              </w:rPr>
              <w:t>评分因素</w:t>
            </w:r>
          </w:p>
        </w:tc>
        <w:tc>
          <w:tcPr>
            <w:tcW w:w="3507" w:type="dxa"/>
            <w:noWrap w:val="0"/>
            <w:vAlign w:val="center"/>
          </w:tcPr>
          <w:p w14:paraId="5600D351">
            <w:pPr>
              <w:keepNext w:val="0"/>
              <w:keepLines w:val="0"/>
              <w:widowControl w:val="0"/>
              <w:suppressLineNumbers w:val="0"/>
              <w:kinsoku/>
              <w:autoSpaceDE/>
              <w:autoSpaceDN/>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eastAsia="zh-CN"/>
              </w:rPr>
              <w:t>评分标准</w:t>
            </w:r>
          </w:p>
        </w:tc>
        <w:tc>
          <w:tcPr>
            <w:tcW w:w="5133" w:type="dxa"/>
            <w:noWrap w:val="0"/>
            <w:vAlign w:val="center"/>
          </w:tcPr>
          <w:p w14:paraId="4376603B">
            <w:pPr>
              <w:keepNext w:val="0"/>
              <w:keepLines w:val="0"/>
              <w:widowControl w:val="0"/>
              <w:suppressLineNumbers w:val="0"/>
              <w:kinsoku/>
              <w:autoSpaceDE/>
              <w:autoSpaceDN/>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eastAsia="zh-CN"/>
              </w:rPr>
              <w:t>备注</w:t>
            </w:r>
          </w:p>
        </w:tc>
      </w:tr>
      <w:tr w14:paraId="18755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noWrap w:val="0"/>
            <w:vAlign w:val="center"/>
          </w:tcPr>
          <w:p w14:paraId="6CDFB43D">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line="360" w:lineRule="auto"/>
              <w:ind w:left="0" w:leftChars="0" w:right="0" w:rightChars="0" w:firstLine="0" w:firstLineChars="0"/>
              <w:jc w:val="center"/>
              <w:textAlignment w:val="auto"/>
              <w:outlineLvl w:val="9"/>
              <w:rPr>
                <w:rFonts w:hint="eastAsia" w:ascii="宋体" w:hAnsi="宋体" w:eastAsia="宋体" w:cs="宋体"/>
                <w:b w:val="0"/>
                <w:bCs w:val="0"/>
                <w:caps w:val="0"/>
                <w:smallCaps w:val="0"/>
                <w:snapToGrid w:val="0"/>
                <w:color w:val="auto"/>
                <w:spacing w:val="0"/>
                <w:kern w:val="0"/>
                <w:sz w:val="24"/>
                <w:szCs w:val="24"/>
                <w:highlight w:val="none"/>
                <w:lang w:val="en-US" w:eastAsia="zh-CN" w:bidi="ar-SA"/>
              </w:rPr>
            </w:pPr>
            <w:r>
              <w:rPr>
                <w:rFonts w:hint="eastAsia" w:ascii="宋体" w:hAnsi="宋体" w:eastAsia="宋体" w:cs="宋体"/>
                <w:b w:val="0"/>
                <w:bCs w:val="0"/>
                <w:caps w:val="0"/>
                <w:smallCaps w:val="0"/>
                <w:snapToGrid w:val="0"/>
                <w:color w:val="auto"/>
                <w:spacing w:val="0"/>
                <w:kern w:val="0"/>
                <w:sz w:val="24"/>
                <w:szCs w:val="24"/>
                <w:highlight w:val="none"/>
                <w:lang w:val="en-US" w:eastAsia="zh-CN" w:bidi="ar-SA"/>
              </w:rPr>
              <w:t>企业奖项</w:t>
            </w:r>
          </w:p>
          <w:p w14:paraId="46E5BAEE">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line="360" w:lineRule="auto"/>
              <w:ind w:left="0" w:leftChars="0" w:right="0" w:rightChars="0" w:firstLine="0" w:firstLineChars="0"/>
              <w:jc w:val="center"/>
              <w:textAlignment w:val="auto"/>
              <w:outlineLvl w:val="9"/>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b w:val="0"/>
                <w:bCs w:val="0"/>
                <w:caps w:val="0"/>
                <w:smallCaps w:val="0"/>
                <w:snapToGrid w:val="0"/>
                <w:color w:val="auto"/>
                <w:spacing w:val="0"/>
                <w:kern w:val="0"/>
                <w:sz w:val="24"/>
                <w:szCs w:val="24"/>
                <w:highlight w:val="none"/>
                <w:lang w:val="en-US" w:eastAsia="zh-CN" w:bidi="ar-SA"/>
              </w:rPr>
              <w:t>（20分）</w:t>
            </w:r>
          </w:p>
        </w:tc>
        <w:tc>
          <w:tcPr>
            <w:tcW w:w="3507" w:type="dxa"/>
            <w:noWrap w:val="0"/>
            <w:vAlign w:val="center"/>
          </w:tcPr>
          <w:p w14:paraId="3DE9E340">
            <w:pPr>
              <w:keepNext w:val="0"/>
              <w:keepLines w:val="0"/>
              <w:widowControl w:val="0"/>
              <w:suppressLineNumbers w:val="0"/>
              <w:kinsoku/>
              <w:wordWrap w:val="0"/>
              <w:autoSpaceDE/>
              <w:autoSpaceDN/>
              <w:adjustRightInd w:val="0"/>
              <w:snapToGrid w:val="0"/>
              <w:spacing w:before="0" w:beforeAutospacing="0" w:after="0" w:afterLines="0" w:afterAutospacing="0" w:line="360" w:lineRule="auto"/>
              <w:ind w:left="0" w:right="0"/>
              <w:jc w:val="both"/>
              <w:textAlignment w:val="auto"/>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企业近</w:t>
            </w:r>
            <w:r>
              <w:rPr>
                <w:rFonts w:hint="eastAsia" w:ascii="宋体" w:hAnsi="宋体" w:eastAsia="宋体" w:cs="宋体"/>
                <w:b w:val="0"/>
                <w:bCs w:val="0"/>
                <w:snapToGrid w:val="0"/>
                <w:color w:val="auto"/>
                <w:kern w:val="0"/>
                <w:sz w:val="24"/>
                <w:szCs w:val="24"/>
                <w:highlight w:val="none"/>
                <w:u w:val="single"/>
                <w:lang w:val="en-US" w:eastAsia="zh-CN" w:bidi="ar-SA"/>
              </w:rPr>
              <w:t xml:space="preserve"> 5 </w:t>
            </w:r>
            <w:r>
              <w:rPr>
                <w:rFonts w:hint="eastAsia" w:ascii="宋体" w:hAnsi="宋体" w:eastAsia="宋体" w:cs="宋体"/>
                <w:b w:val="0"/>
                <w:bCs w:val="0"/>
                <w:snapToGrid w:val="0"/>
                <w:color w:val="auto"/>
                <w:kern w:val="0"/>
                <w:sz w:val="24"/>
                <w:szCs w:val="24"/>
                <w:highlight w:val="none"/>
                <w:lang w:val="en-US" w:eastAsia="zh-CN" w:bidi="ar-SA"/>
              </w:rPr>
              <w:t>年来（2021年1月1日至今）获得过</w:t>
            </w:r>
            <w:r>
              <w:rPr>
                <w:rFonts w:hint="eastAsia" w:ascii="宋体" w:hAnsi="宋体" w:eastAsia="宋体" w:cs="宋体"/>
                <w:b w:val="0"/>
                <w:bCs w:val="0"/>
                <w:snapToGrid w:val="0"/>
                <w:color w:val="auto"/>
                <w:kern w:val="0"/>
                <w:sz w:val="24"/>
                <w:szCs w:val="24"/>
                <w:highlight w:val="none"/>
                <w:u w:val="single"/>
                <w:lang w:val="en-US" w:eastAsia="zh-CN" w:bidi="ar-SA"/>
              </w:rPr>
              <w:t>房屋建筑</w:t>
            </w:r>
            <w:r>
              <w:rPr>
                <w:rFonts w:hint="eastAsia" w:ascii="宋体" w:hAnsi="宋体" w:eastAsia="宋体" w:cs="宋体"/>
                <w:b w:val="0"/>
                <w:bCs w:val="0"/>
                <w:snapToGrid w:val="0"/>
                <w:color w:val="auto"/>
                <w:kern w:val="0"/>
                <w:sz w:val="24"/>
                <w:szCs w:val="24"/>
                <w:highlight w:val="none"/>
                <w:lang w:val="en-US" w:eastAsia="zh-CN" w:bidi="ar-SA"/>
              </w:rPr>
              <w:t>工程类奖项情况：</w:t>
            </w:r>
          </w:p>
          <w:p w14:paraId="37433FE5">
            <w:pPr>
              <w:keepNext w:val="0"/>
              <w:keepLines w:val="0"/>
              <w:widowControl w:val="0"/>
              <w:suppressLineNumbers w:val="0"/>
              <w:kinsoku/>
              <w:autoSpaceDE/>
              <w:autoSpaceDN/>
              <w:adjustRightInd/>
              <w:snapToGrid w:val="0"/>
              <w:spacing w:before="0" w:beforeAutospacing="0" w:after="0" w:afterAutospacing="0" w:line="360" w:lineRule="auto"/>
              <w:ind w:left="0" w:leftChars="0" w:right="0" w:firstLineChars="0"/>
              <w:jc w:val="both"/>
              <w:textAlignment w:val="baseline"/>
              <w:rPr>
                <w:rFonts w:hint="eastAsia" w:ascii="宋体" w:hAnsi="宋体" w:eastAsia="宋体" w:cs="宋体"/>
                <w:b w:val="0"/>
                <w:bCs w:val="0"/>
                <w:i w:val="0"/>
                <w:caps w:val="0"/>
                <w:snapToGrid/>
                <w:color w:val="auto"/>
                <w:spacing w:val="0"/>
                <w:w w:val="100"/>
                <w:kern w:val="0"/>
                <w:sz w:val="24"/>
                <w:szCs w:val="24"/>
                <w:highlight w:val="none"/>
                <w:lang w:val="en-US" w:eastAsia="zh-CN" w:bidi="ar-SA"/>
              </w:rPr>
            </w:pPr>
            <w:r>
              <w:rPr>
                <w:rFonts w:hint="eastAsia" w:ascii="宋体" w:hAnsi="宋体" w:eastAsia="宋体" w:cs="宋体"/>
                <w:b w:val="0"/>
                <w:bCs w:val="0"/>
                <w:i w:val="0"/>
                <w:caps w:val="0"/>
                <w:snapToGrid/>
                <w:color w:val="auto"/>
                <w:spacing w:val="0"/>
                <w:w w:val="100"/>
                <w:kern w:val="0"/>
                <w:sz w:val="24"/>
                <w:szCs w:val="24"/>
                <w:highlight w:val="none"/>
                <w:lang w:val="en-US" w:eastAsia="zh-CN" w:bidi="ar-SA"/>
              </w:rPr>
              <w:t>1．获得国家级奖项的，每个得</w:t>
            </w:r>
            <w:r>
              <w:rPr>
                <w:rFonts w:hint="eastAsia" w:ascii="宋体" w:hAnsi="宋体" w:eastAsia="宋体" w:cs="宋体"/>
                <w:b w:val="0"/>
                <w:bCs w:val="0"/>
                <w:i w:val="0"/>
                <w:caps w:val="0"/>
                <w:snapToGrid/>
                <w:color w:val="auto"/>
                <w:spacing w:val="0"/>
                <w:w w:val="100"/>
                <w:kern w:val="0"/>
                <w:sz w:val="24"/>
                <w:szCs w:val="24"/>
                <w:highlight w:val="none"/>
                <w:u w:val="single" w:color="000000"/>
                <w:lang w:val="en-US" w:eastAsia="zh-CN" w:bidi="ar-SA"/>
              </w:rPr>
              <w:t xml:space="preserve"> </w:t>
            </w:r>
            <w:r>
              <w:rPr>
                <w:rFonts w:hint="eastAsia" w:ascii="宋体" w:hAnsi="宋体" w:eastAsia="宋体" w:cs="宋体"/>
                <w:b w:val="0"/>
                <w:bCs w:val="0"/>
                <w:i w:val="0"/>
                <w:caps w:val="0"/>
                <w:strike w:val="0"/>
                <w:dstrike w:val="0"/>
                <w:snapToGrid/>
                <w:color w:val="auto"/>
                <w:spacing w:val="0"/>
                <w:w w:val="100"/>
                <w:kern w:val="0"/>
                <w:sz w:val="24"/>
                <w:szCs w:val="24"/>
                <w:highlight w:val="none"/>
                <w:u w:val="single" w:color="000000"/>
                <w:lang w:val="en-US" w:eastAsia="zh-CN" w:bidi="ar-SA"/>
              </w:rPr>
              <w:t>5</w:t>
            </w:r>
            <w:r>
              <w:rPr>
                <w:rFonts w:hint="eastAsia" w:ascii="宋体" w:hAnsi="宋体" w:eastAsia="宋体" w:cs="宋体"/>
                <w:b w:val="0"/>
                <w:bCs w:val="0"/>
                <w:i w:val="0"/>
                <w:caps w:val="0"/>
                <w:snapToGrid/>
                <w:color w:val="auto"/>
                <w:spacing w:val="0"/>
                <w:w w:val="100"/>
                <w:kern w:val="0"/>
                <w:sz w:val="24"/>
                <w:szCs w:val="24"/>
                <w:highlight w:val="none"/>
                <w:lang w:val="en-US" w:eastAsia="zh-CN" w:bidi="ar-SA"/>
              </w:rPr>
              <w:t>分。</w:t>
            </w:r>
          </w:p>
          <w:p w14:paraId="05E9AF9D">
            <w:pPr>
              <w:keepNext w:val="0"/>
              <w:keepLines w:val="0"/>
              <w:widowControl w:val="0"/>
              <w:suppressLineNumbers w:val="0"/>
              <w:kinsoku/>
              <w:autoSpaceDE/>
              <w:autoSpaceDN/>
              <w:adjustRightInd/>
              <w:snapToGrid w:val="0"/>
              <w:spacing w:before="0" w:beforeAutospacing="0" w:after="0" w:afterAutospacing="0" w:line="360" w:lineRule="auto"/>
              <w:ind w:left="0" w:leftChars="0" w:right="0" w:firstLineChars="0"/>
              <w:jc w:val="both"/>
              <w:textAlignment w:val="baseline"/>
              <w:rPr>
                <w:rFonts w:hint="eastAsia" w:ascii="宋体" w:hAnsi="宋体" w:eastAsia="宋体" w:cs="宋体"/>
                <w:b w:val="0"/>
                <w:bCs w:val="0"/>
                <w:i w:val="0"/>
                <w:caps w:val="0"/>
                <w:snapToGrid/>
                <w:color w:val="auto"/>
                <w:spacing w:val="0"/>
                <w:w w:val="100"/>
                <w:kern w:val="0"/>
                <w:sz w:val="24"/>
                <w:szCs w:val="24"/>
                <w:highlight w:val="none"/>
                <w:lang w:val="en-US" w:eastAsia="zh-CN" w:bidi="ar-SA"/>
              </w:rPr>
            </w:pPr>
            <w:r>
              <w:rPr>
                <w:rFonts w:hint="eastAsia" w:ascii="宋体" w:hAnsi="宋体" w:eastAsia="宋体" w:cs="宋体"/>
                <w:b w:val="0"/>
                <w:bCs w:val="0"/>
                <w:i w:val="0"/>
                <w:caps w:val="0"/>
                <w:snapToGrid/>
                <w:color w:val="auto"/>
                <w:spacing w:val="0"/>
                <w:w w:val="100"/>
                <w:kern w:val="0"/>
                <w:sz w:val="24"/>
                <w:szCs w:val="24"/>
                <w:highlight w:val="none"/>
                <w:lang w:val="en-US" w:eastAsia="zh-CN" w:bidi="ar-SA"/>
              </w:rPr>
              <w:t>2．获得省级奖项的，每个得</w:t>
            </w:r>
            <w:r>
              <w:rPr>
                <w:rFonts w:hint="eastAsia" w:ascii="宋体" w:hAnsi="宋体" w:eastAsia="宋体" w:cs="宋体"/>
                <w:b w:val="0"/>
                <w:bCs w:val="0"/>
                <w:i w:val="0"/>
                <w:caps w:val="0"/>
                <w:snapToGrid/>
                <w:color w:val="auto"/>
                <w:spacing w:val="0"/>
                <w:w w:val="100"/>
                <w:kern w:val="0"/>
                <w:sz w:val="24"/>
                <w:szCs w:val="24"/>
                <w:highlight w:val="none"/>
                <w:u w:val="single" w:color="000000"/>
                <w:lang w:val="en-US" w:eastAsia="zh-CN" w:bidi="ar-SA"/>
              </w:rPr>
              <w:t xml:space="preserve"> 3</w:t>
            </w:r>
            <w:r>
              <w:rPr>
                <w:rFonts w:hint="eastAsia" w:ascii="宋体" w:hAnsi="宋体" w:eastAsia="宋体" w:cs="宋体"/>
                <w:b w:val="0"/>
                <w:bCs w:val="0"/>
                <w:i w:val="0"/>
                <w:caps w:val="0"/>
                <w:snapToGrid/>
                <w:color w:val="auto"/>
                <w:spacing w:val="0"/>
                <w:w w:val="100"/>
                <w:kern w:val="0"/>
                <w:sz w:val="24"/>
                <w:szCs w:val="24"/>
                <w:highlight w:val="none"/>
                <w:lang w:val="en-US" w:eastAsia="zh-CN" w:bidi="ar-SA"/>
              </w:rPr>
              <w:t>分。</w:t>
            </w:r>
          </w:p>
          <w:p w14:paraId="7F347A69">
            <w:pPr>
              <w:keepNext w:val="0"/>
              <w:keepLines w:val="0"/>
              <w:widowControl w:val="0"/>
              <w:suppressLineNumbers w:val="0"/>
              <w:kinsoku/>
              <w:autoSpaceDE/>
              <w:autoSpaceDN/>
              <w:adjustRightInd/>
              <w:snapToGrid w:val="0"/>
              <w:spacing w:before="0" w:beforeAutospacing="0" w:after="0" w:afterAutospacing="0" w:line="360" w:lineRule="auto"/>
              <w:ind w:left="0" w:leftChars="0" w:right="0" w:firstLineChars="0"/>
              <w:jc w:val="both"/>
              <w:textAlignment w:val="baseline"/>
              <w:rPr>
                <w:rFonts w:hint="eastAsia" w:ascii="宋体" w:hAnsi="宋体" w:eastAsia="宋体" w:cs="宋体"/>
                <w:b w:val="0"/>
                <w:bCs w:val="0"/>
                <w:i w:val="0"/>
                <w:caps w:val="0"/>
                <w:snapToGrid/>
                <w:color w:val="auto"/>
                <w:spacing w:val="0"/>
                <w:w w:val="100"/>
                <w:kern w:val="0"/>
                <w:sz w:val="24"/>
                <w:szCs w:val="24"/>
                <w:highlight w:val="none"/>
                <w:lang w:val="en-US" w:eastAsia="zh-CN" w:bidi="ar-SA"/>
              </w:rPr>
            </w:pPr>
            <w:r>
              <w:rPr>
                <w:rFonts w:hint="eastAsia" w:ascii="宋体" w:hAnsi="宋体" w:eastAsia="宋体" w:cs="宋体"/>
                <w:b w:val="0"/>
                <w:bCs w:val="0"/>
                <w:i w:val="0"/>
                <w:caps w:val="0"/>
                <w:snapToGrid/>
                <w:color w:val="auto"/>
                <w:spacing w:val="0"/>
                <w:w w:val="100"/>
                <w:kern w:val="0"/>
                <w:sz w:val="24"/>
                <w:szCs w:val="24"/>
                <w:highlight w:val="none"/>
                <w:lang w:val="en-US" w:eastAsia="zh-CN" w:bidi="ar-SA"/>
              </w:rPr>
              <w:t>3．获得地市级奖项的，每个得</w:t>
            </w:r>
            <w:r>
              <w:rPr>
                <w:rFonts w:hint="eastAsia" w:ascii="宋体" w:hAnsi="宋体" w:eastAsia="宋体" w:cs="宋体"/>
                <w:b w:val="0"/>
                <w:bCs w:val="0"/>
                <w:i w:val="0"/>
                <w:caps w:val="0"/>
                <w:snapToGrid/>
                <w:color w:val="auto"/>
                <w:spacing w:val="0"/>
                <w:w w:val="100"/>
                <w:kern w:val="0"/>
                <w:sz w:val="24"/>
                <w:szCs w:val="24"/>
                <w:highlight w:val="none"/>
                <w:u w:val="single" w:color="000000"/>
                <w:lang w:val="en-US" w:eastAsia="zh-CN" w:bidi="ar-SA"/>
              </w:rPr>
              <w:t xml:space="preserve"> 1</w:t>
            </w:r>
            <w:r>
              <w:rPr>
                <w:rFonts w:hint="eastAsia" w:ascii="宋体" w:hAnsi="宋体" w:eastAsia="宋体" w:cs="宋体"/>
                <w:b w:val="0"/>
                <w:bCs w:val="0"/>
                <w:i w:val="0"/>
                <w:caps w:val="0"/>
                <w:snapToGrid/>
                <w:color w:val="auto"/>
                <w:spacing w:val="0"/>
                <w:w w:val="100"/>
                <w:kern w:val="0"/>
                <w:sz w:val="24"/>
                <w:szCs w:val="24"/>
                <w:highlight w:val="none"/>
                <w:lang w:val="en-US" w:eastAsia="zh-CN" w:bidi="ar-SA"/>
              </w:rPr>
              <w:t>分。</w:t>
            </w:r>
          </w:p>
          <w:p w14:paraId="4B922AC9">
            <w:pPr>
              <w:keepNext w:val="0"/>
              <w:keepLines w:val="0"/>
              <w:widowControl w:val="0"/>
              <w:suppressLineNumbers w:val="0"/>
              <w:kinsoku/>
              <w:autoSpaceDE/>
              <w:autoSpaceDN/>
              <w:adjustRightInd/>
              <w:snapToGrid w:val="0"/>
              <w:spacing w:before="0" w:beforeAutospacing="0" w:after="0" w:afterAutospacing="0" w:line="360" w:lineRule="auto"/>
              <w:ind w:left="0" w:leftChars="0" w:right="0" w:firstLineChars="0"/>
              <w:jc w:val="both"/>
              <w:textAlignment w:val="baseline"/>
              <w:rPr>
                <w:rFonts w:hint="eastAsia" w:ascii="宋体" w:hAnsi="宋体" w:eastAsia="宋体" w:cs="宋体"/>
                <w:b w:val="0"/>
                <w:bCs w:val="0"/>
                <w:i w:val="0"/>
                <w:caps w:val="0"/>
                <w:snapToGrid/>
                <w:color w:val="auto"/>
                <w:spacing w:val="0"/>
                <w:w w:val="100"/>
                <w:kern w:val="0"/>
                <w:sz w:val="24"/>
                <w:szCs w:val="24"/>
                <w:highlight w:val="none"/>
                <w:lang w:val="en-US" w:eastAsia="zh-CN" w:bidi="ar-SA"/>
              </w:rPr>
            </w:pPr>
            <w:r>
              <w:rPr>
                <w:rFonts w:hint="eastAsia" w:ascii="宋体" w:hAnsi="宋体" w:eastAsia="宋体" w:cs="宋体"/>
                <w:b w:val="0"/>
                <w:bCs w:val="0"/>
                <w:i w:val="0"/>
                <w:caps w:val="0"/>
                <w:snapToGrid/>
                <w:color w:val="auto"/>
                <w:spacing w:val="0"/>
                <w:w w:val="100"/>
                <w:kern w:val="0"/>
                <w:sz w:val="24"/>
                <w:szCs w:val="24"/>
                <w:highlight w:val="none"/>
                <w:lang w:val="en-US" w:eastAsia="zh-CN" w:bidi="ar-SA"/>
              </w:rPr>
              <w:t>4．以上奖项均未获得的，不予计分。</w:t>
            </w:r>
          </w:p>
          <w:p w14:paraId="1BC14786">
            <w:pPr>
              <w:keepNext w:val="0"/>
              <w:keepLines w:val="0"/>
              <w:widowControl w:val="0"/>
              <w:suppressLineNumbers w:val="0"/>
              <w:kinsoku/>
              <w:autoSpaceDE/>
              <w:autoSpaceDN/>
              <w:adjustRightInd/>
              <w:snapToGrid w:val="0"/>
              <w:spacing w:before="0" w:beforeAutospacing="0" w:after="0" w:afterAutospacing="0" w:line="360" w:lineRule="auto"/>
              <w:ind w:left="0" w:leftChars="0" w:right="0" w:firstLineChars="0"/>
              <w:jc w:val="both"/>
              <w:textAlignment w:val="baseline"/>
              <w:rPr>
                <w:rFonts w:hint="eastAsia" w:ascii="宋体" w:hAnsi="宋体" w:eastAsia="宋体" w:cs="宋体"/>
                <w:b w:val="0"/>
                <w:bCs w:val="0"/>
                <w:i w:val="0"/>
                <w:caps w:val="0"/>
                <w:snapToGrid/>
                <w:color w:val="auto"/>
                <w:spacing w:val="0"/>
                <w:w w:val="100"/>
                <w:kern w:val="0"/>
                <w:sz w:val="24"/>
                <w:szCs w:val="24"/>
                <w:highlight w:val="none"/>
                <w:lang w:val="en-US" w:eastAsia="zh-CN" w:bidi="ar-SA"/>
              </w:rPr>
            </w:pPr>
            <w:r>
              <w:rPr>
                <w:rFonts w:hint="eastAsia" w:ascii="宋体" w:hAnsi="宋体" w:eastAsia="宋体" w:cs="宋体"/>
                <w:b w:val="0"/>
                <w:bCs w:val="0"/>
                <w:i w:val="0"/>
                <w:caps w:val="0"/>
                <w:snapToGrid/>
                <w:color w:val="auto"/>
                <w:spacing w:val="0"/>
                <w:w w:val="100"/>
                <w:kern w:val="0"/>
                <w:sz w:val="24"/>
                <w:szCs w:val="24"/>
                <w:highlight w:val="none"/>
                <w:lang w:val="en-US" w:eastAsia="zh-CN" w:bidi="ar-SA"/>
              </w:rPr>
              <w:t>5．本项最高得20分。</w:t>
            </w:r>
          </w:p>
          <w:p w14:paraId="2A30585F">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line="360" w:lineRule="auto"/>
              <w:ind w:left="0" w:leftChars="0" w:right="0" w:rightChars="0" w:firstLine="0" w:firstLineChars="0"/>
              <w:jc w:val="both"/>
              <w:textAlignment w:val="auto"/>
              <w:outlineLvl w:val="9"/>
              <w:rPr>
                <w:rFonts w:hint="eastAsia" w:ascii="宋体" w:hAnsi="宋体" w:eastAsia="宋体" w:cs="宋体"/>
                <w:snapToGrid/>
                <w:color w:val="auto"/>
                <w:kern w:val="0"/>
                <w:sz w:val="24"/>
                <w:szCs w:val="24"/>
                <w:highlight w:val="none"/>
                <w:lang w:val="en-US" w:eastAsia="zh-CN"/>
              </w:rPr>
            </w:pPr>
          </w:p>
        </w:tc>
        <w:tc>
          <w:tcPr>
            <w:tcW w:w="5133" w:type="dxa"/>
            <w:noWrap w:val="0"/>
            <w:vAlign w:val="center"/>
          </w:tcPr>
          <w:p w14:paraId="4A9AE291">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360" w:lineRule="auto"/>
              <w:ind w:left="0" w:right="0"/>
              <w:jc w:val="both"/>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1．允许投标人提交多个业绩，但同一业绩只按最高级别奖项计分一次；</w:t>
            </w:r>
          </w:p>
          <w:p w14:paraId="0FEE8615">
            <w:pPr>
              <w:keepNext w:val="0"/>
              <w:keepLines w:val="0"/>
              <w:widowControl w:val="0"/>
              <w:suppressLineNumbers w:val="0"/>
              <w:kinsoku/>
              <w:autoSpaceDE/>
              <w:autoSpaceDN/>
              <w:adjustRightInd/>
              <w:snapToGrid/>
              <w:spacing w:before="0" w:beforeAutospacing="0" w:after="0" w:afterAutospacing="0"/>
              <w:ind w:left="0" w:right="0"/>
              <w:jc w:val="both"/>
              <w:textAlignment w:val="auto"/>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2．需附有关奖项证明彩色扫描件。</w:t>
            </w:r>
          </w:p>
          <w:p w14:paraId="01BC96B1">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360" w:lineRule="auto"/>
              <w:ind w:left="0" w:right="0"/>
              <w:jc w:val="both"/>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3．颁发机构限定以下范围：</w:t>
            </w:r>
          </w:p>
          <w:p w14:paraId="31A2B34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360" w:lineRule="auto"/>
              <w:ind w:left="0" w:right="0"/>
              <w:jc w:val="both"/>
              <w:rPr>
                <w:rFonts w:hint="eastAsia" w:ascii="宋体" w:hAnsi="宋体" w:eastAsia="宋体" w:cs="宋体"/>
                <w:b w:val="0"/>
                <w:bCs w:val="0"/>
                <w:snapToGrid w:val="0"/>
                <w:color w:val="auto"/>
                <w:kern w:val="0"/>
                <w:sz w:val="24"/>
                <w:szCs w:val="24"/>
                <w:highlight w:val="none"/>
                <w:u w:val="single"/>
                <w:lang w:val="en-US" w:eastAsia="zh-CN" w:bidi="ar-SA"/>
              </w:rPr>
            </w:pPr>
            <w:r>
              <w:rPr>
                <w:rFonts w:hint="eastAsia" w:ascii="宋体" w:hAnsi="宋体" w:eastAsia="宋体" w:cs="宋体"/>
                <w:b w:val="0"/>
                <w:bCs w:val="0"/>
                <w:snapToGrid w:val="0"/>
                <w:color w:val="auto"/>
                <w:kern w:val="0"/>
                <w:sz w:val="24"/>
                <w:szCs w:val="24"/>
                <w:highlight w:val="none"/>
                <w:u w:val="single"/>
                <w:lang w:val="en-US" w:eastAsia="zh-CN" w:bidi="ar-SA"/>
              </w:rPr>
              <w:t>①国家级奖项：国务院、住建部、国家级行业协会；（相关协会需经民政部门备案）</w:t>
            </w:r>
          </w:p>
          <w:p w14:paraId="13CE2FF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360" w:lineRule="auto"/>
              <w:ind w:left="0" w:right="0"/>
              <w:jc w:val="both"/>
              <w:rPr>
                <w:rFonts w:hint="eastAsia" w:ascii="宋体" w:hAnsi="宋体" w:eastAsia="宋体" w:cs="宋体"/>
                <w:b w:val="0"/>
                <w:bCs w:val="0"/>
                <w:snapToGrid w:val="0"/>
                <w:color w:val="auto"/>
                <w:kern w:val="0"/>
                <w:sz w:val="24"/>
                <w:szCs w:val="24"/>
                <w:highlight w:val="none"/>
                <w:u w:val="single"/>
                <w:lang w:val="en-US" w:eastAsia="zh-CN" w:bidi="ar-SA"/>
              </w:rPr>
            </w:pPr>
            <w:r>
              <w:rPr>
                <w:rFonts w:hint="eastAsia" w:ascii="宋体" w:hAnsi="宋体" w:eastAsia="宋体" w:cs="宋体"/>
                <w:b w:val="0"/>
                <w:bCs w:val="0"/>
                <w:snapToGrid w:val="0"/>
                <w:color w:val="auto"/>
                <w:kern w:val="0"/>
                <w:sz w:val="24"/>
                <w:szCs w:val="24"/>
                <w:highlight w:val="none"/>
                <w:u w:val="single"/>
                <w:lang w:val="en-US" w:eastAsia="zh-CN" w:bidi="ar-SA"/>
              </w:rPr>
              <w:t>②省级奖项：省级人民政府、省级住建部门、省级行业协会；（相关协会需经民政部门备案）</w:t>
            </w:r>
          </w:p>
          <w:p w14:paraId="3F7D8477">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360" w:lineRule="auto"/>
              <w:ind w:left="0" w:right="0"/>
              <w:jc w:val="both"/>
              <w:rPr>
                <w:rFonts w:hint="eastAsia" w:ascii="宋体" w:hAnsi="宋体" w:eastAsia="宋体" w:cs="宋体"/>
                <w:b/>
                <w:bCs/>
                <w:snapToGrid w:val="0"/>
                <w:color w:val="auto"/>
                <w:kern w:val="0"/>
                <w:sz w:val="24"/>
                <w:szCs w:val="24"/>
                <w:highlight w:val="none"/>
                <w:u w:val="single"/>
                <w:lang w:val="en-US" w:eastAsia="zh-CN" w:bidi="ar-SA"/>
              </w:rPr>
            </w:pPr>
            <w:r>
              <w:rPr>
                <w:rFonts w:hint="eastAsia" w:ascii="宋体" w:hAnsi="宋体" w:eastAsia="宋体" w:cs="宋体"/>
                <w:b w:val="0"/>
                <w:bCs w:val="0"/>
                <w:snapToGrid w:val="0"/>
                <w:color w:val="auto"/>
                <w:kern w:val="0"/>
                <w:sz w:val="24"/>
                <w:szCs w:val="24"/>
                <w:highlight w:val="none"/>
                <w:u w:val="single"/>
                <w:lang w:val="en-US" w:eastAsia="zh-CN" w:bidi="ar-SA"/>
              </w:rPr>
              <w:t>③地市级奖项：地市级人民政府、地市级住建部门、地市级行业协会。（相关协会需经民政部门备案）</w:t>
            </w:r>
          </w:p>
          <w:p w14:paraId="208A5EA1">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360" w:lineRule="auto"/>
              <w:ind w:left="0" w:right="0"/>
              <w:jc w:val="both"/>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4．获奖时间以奖项证明的落款日期为准。</w:t>
            </w:r>
          </w:p>
          <w:p w14:paraId="73752EE5">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360" w:lineRule="auto"/>
              <w:ind w:left="0" w:right="0"/>
              <w:jc w:val="both"/>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5．任一奖项有以下情形之一的，该奖项视为无效，不予计分：</w:t>
            </w:r>
          </w:p>
          <w:p w14:paraId="00D216D7">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360" w:lineRule="auto"/>
              <w:ind w:left="0" w:right="0"/>
              <w:jc w:val="both"/>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①奖项不属于指定类别的；</w:t>
            </w:r>
          </w:p>
          <w:p w14:paraId="080623CF">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360" w:lineRule="auto"/>
              <w:ind w:left="0" w:right="0"/>
              <w:jc w:val="both"/>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②颁发机构不符合要求的；</w:t>
            </w:r>
          </w:p>
          <w:p w14:paraId="11C49A88">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360" w:lineRule="auto"/>
              <w:ind w:left="0" w:right="0"/>
              <w:jc w:val="both"/>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③获奖时间不符合要求的。</w:t>
            </w:r>
          </w:p>
          <w:p w14:paraId="07076678">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360" w:lineRule="auto"/>
              <w:ind w:left="0" w:right="0"/>
              <w:jc w:val="both"/>
              <w:textAlignment w:val="auto"/>
              <w:rPr>
                <w:rFonts w:hint="eastAsia" w:ascii="宋体" w:hAnsi="宋体" w:eastAsia="宋体" w:cs="宋体"/>
                <w:snapToGrid/>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说明：以上所称“要求”均指本表评分标准及备注的要求，下同。</w:t>
            </w:r>
          </w:p>
        </w:tc>
      </w:tr>
      <w:tr w14:paraId="2A1F8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noWrap w:val="0"/>
            <w:vAlign w:val="center"/>
          </w:tcPr>
          <w:p w14:paraId="1A4AF257">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line="360" w:lineRule="auto"/>
              <w:ind w:left="0" w:leftChars="0" w:right="0" w:rightChars="0" w:firstLine="0" w:firstLineChars="0"/>
              <w:jc w:val="center"/>
              <w:textAlignment w:val="auto"/>
              <w:outlineLvl w:val="9"/>
              <w:rPr>
                <w:rFonts w:hint="eastAsia" w:ascii="宋体" w:hAnsi="宋体" w:eastAsia="宋体" w:cs="宋体"/>
                <w:b w:val="0"/>
                <w:bCs w:val="0"/>
                <w:caps w:val="0"/>
                <w:smallCaps w:val="0"/>
                <w:snapToGrid w:val="0"/>
                <w:color w:val="auto"/>
                <w:spacing w:val="0"/>
                <w:kern w:val="0"/>
                <w:sz w:val="24"/>
                <w:szCs w:val="24"/>
                <w:highlight w:val="none"/>
                <w:lang w:val="en-US" w:eastAsia="zh-CN" w:bidi="ar-SA"/>
              </w:rPr>
            </w:pPr>
            <w:r>
              <w:rPr>
                <w:rFonts w:hint="eastAsia" w:ascii="宋体" w:hAnsi="宋体" w:eastAsia="宋体" w:cs="宋体"/>
                <w:b w:val="0"/>
                <w:bCs w:val="0"/>
                <w:caps w:val="0"/>
                <w:smallCaps w:val="0"/>
                <w:snapToGrid w:val="0"/>
                <w:color w:val="auto"/>
                <w:spacing w:val="0"/>
                <w:kern w:val="0"/>
                <w:sz w:val="24"/>
                <w:szCs w:val="24"/>
                <w:highlight w:val="none"/>
                <w:lang w:val="en-US" w:eastAsia="zh-CN" w:bidi="ar-SA"/>
              </w:rPr>
              <w:t>项目经理</w:t>
            </w:r>
          </w:p>
          <w:p w14:paraId="4998ADFF">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line="360" w:lineRule="auto"/>
              <w:ind w:left="0" w:leftChars="0" w:right="0" w:rightChars="0" w:firstLine="0" w:firstLineChars="0"/>
              <w:jc w:val="center"/>
              <w:textAlignment w:val="auto"/>
              <w:outlineLvl w:val="9"/>
              <w:rPr>
                <w:rFonts w:hint="eastAsia" w:ascii="宋体" w:hAnsi="宋体" w:eastAsia="宋体" w:cs="宋体"/>
                <w:b w:val="0"/>
                <w:bCs w:val="0"/>
                <w:caps w:val="0"/>
                <w:smallCaps w:val="0"/>
                <w:snapToGrid w:val="0"/>
                <w:color w:val="auto"/>
                <w:spacing w:val="0"/>
                <w:kern w:val="0"/>
                <w:sz w:val="24"/>
                <w:szCs w:val="24"/>
                <w:highlight w:val="none"/>
                <w:lang w:val="en-US" w:eastAsia="zh-CN" w:bidi="ar-SA"/>
              </w:rPr>
            </w:pPr>
            <w:r>
              <w:rPr>
                <w:rFonts w:hint="eastAsia" w:ascii="宋体" w:hAnsi="宋体" w:eastAsia="宋体" w:cs="宋体"/>
                <w:b w:val="0"/>
                <w:bCs w:val="0"/>
                <w:caps w:val="0"/>
                <w:smallCaps w:val="0"/>
                <w:snapToGrid w:val="0"/>
                <w:color w:val="auto"/>
                <w:spacing w:val="0"/>
                <w:kern w:val="0"/>
                <w:sz w:val="24"/>
                <w:szCs w:val="24"/>
                <w:highlight w:val="none"/>
                <w:lang w:val="en-US" w:eastAsia="zh-CN" w:bidi="ar-SA"/>
              </w:rPr>
              <w:t>综合素质</w:t>
            </w:r>
          </w:p>
          <w:p w14:paraId="5814551C">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line="360" w:lineRule="auto"/>
              <w:ind w:left="0" w:leftChars="0" w:right="0" w:rightChars="0" w:firstLine="0" w:firstLineChars="0"/>
              <w:jc w:val="center"/>
              <w:textAlignment w:val="auto"/>
              <w:outlineLvl w:val="9"/>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b w:val="0"/>
                <w:bCs w:val="0"/>
                <w:caps w:val="0"/>
                <w:smallCaps w:val="0"/>
                <w:snapToGrid w:val="0"/>
                <w:color w:val="auto"/>
                <w:spacing w:val="0"/>
                <w:kern w:val="0"/>
                <w:sz w:val="24"/>
                <w:szCs w:val="24"/>
                <w:highlight w:val="none"/>
                <w:lang w:val="en-US" w:eastAsia="zh-CN" w:bidi="ar-SA"/>
              </w:rPr>
              <w:t>（10分）</w:t>
            </w:r>
          </w:p>
        </w:tc>
        <w:tc>
          <w:tcPr>
            <w:tcW w:w="3507" w:type="dxa"/>
            <w:noWrap w:val="0"/>
            <w:vAlign w:val="center"/>
          </w:tcPr>
          <w:p w14:paraId="75BB6DBE">
            <w:pPr>
              <w:keepNext w:val="0"/>
              <w:keepLines w:val="0"/>
              <w:widowControl w:val="0"/>
              <w:numPr>
                <w:ilvl w:val="0"/>
                <w:numId w:val="0"/>
              </w:numPr>
              <w:suppressLineNumbers w:val="0"/>
              <w:kinsoku/>
              <w:wordWrap w:val="0"/>
              <w:autoSpaceDE/>
              <w:autoSpaceDN/>
              <w:adjustRightInd w:val="0"/>
              <w:snapToGrid w:val="0"/>
              <w:spacing w:before="0" w:beforeAutospacing="0" w:after="0" w:afterLines="0" w:afterAutospacing="0" w:line="360" w:lineRule="auto"/>
              <w:ind w:left="0" w:right="0" w:rightChars="0"/>
              <w:jc w:val="both"/>
              <w:textAlignment w:val="auto"/>
              <w:rPr>
                <w:rFonts w:hint="eastAsia" w:ascii="宋体" w:hAnsi="宋体" w:eastAsia="宋体" w:cs="宋体"/>
                <w:snapToGrid/>
                <w:color w:val="auto"/>
                <w:kern w:val="0"/>
                <w:sz w:val="24"/>
                <w:szCs w:val="24"/>
                <w:highlight w:val="none"/>
                <w:lang w:val="en-US" w:eastAsia="zh-CN"/>
              </w:rPr>
            </w:pPr>
            <w:r>
              <w:rPr>
                <w:rFonts w:hint="eastAsia" w:ascii="宋体" w:hAnsi="宋体" w:eastAsia="宋体" w:cs="宋体"/>
                <w:snapToGrid/>
                <w:color w:val="auto"/>
                <w:kern w:val="0"/>
                <w:sz w:val="24"/>
                <w:szCs w:val="24"/>
                <w:highlight w:val="none"/>
                <w:lang w:val="en-US" w:eastAsia="zh-CN"/>
              </w:rPr>
              <w:t>项目经理工程类技术职称情况：</w:t>
            </w:r>
          </w:p>
          <w:p w14:paraId="735A1D5C">
            <w:pPr>
              <w:keepNext w:val="0"/>
              <w:keepLines w:val="0"/>
              <w:widowControl w:val="0"/>
              <w:numPr>
                <w:ilvl w:val="0"/>
                <w:numId w:val="1"/>
              </w:numPr>
              <w:suppressLineNumbers w:val="0"/>
              <w:kinsoku/>
              <w:wordWrap w:val="0"/>
              <w:autoSpaceDE/>
              <w:autoSpaceDN/>
              <w:adjustRightInd w:val="0"/>
              <w:snapToGrid w:val="0"/>
              <w:spacing w:before="0" w:beforeAutospacing="0" w:after="0" w:afterLines="0" w:afterAutospacing="0" w:line="360" w:lineRule="auto"/>
              <w:ind w:left="0" w:right="0"/>
              <w:jc w:val="both"/>
              <w:textAlignment w:val="auto"/>
              <w:rPr>
                <w:rFonts w:hint="eastAsia" w:ascii="宋体" w:hAnsi="宋体" w:eastAsia="宋体" w:cs="宋体"/>
                <w:snapToGrid/>
                <w:color w:val="auto"/>
                <w:kern w:val="0"/>
                <w:sz w:val="24"/>
                <w:szCs w:val="24"/>
                <w:highlight w:val="none"/>
                <w:lang w:val="en-US" w:eastAsia="zh-CN"/>
              </w:rPr>
            </w:pPr>
            <w:r>
              <w:rPr>
                <w:rFonts w:hint="eastAsia" w:ascii="宋体" w:hAnsi="宋体" w:eastAsia="宋体" w:cs="宋体"/>
                <w:snapToGrid/>
                <w:color w:val="auto"/>
                <w:kern w:val="0"/>
                <w:sz w:val="24"/>
                <w:szCs w:val="24"/>
                <w:highlight w:val="none"/>
                <w:lang w:val="en-US" w:eastAsia="zh-CN"/>
              </w:rPr>
              <w:t>具备工程师或以上职称的，得10分。</w:t>
            </w:r>
          </w:p>
          <w:p w14:paraId="027EF56E">
            <w:pPr>
              <w:keepNext w:val="0"/>
              <w:keepLines w:val="0"/>
              <w:widowControl w:val="0"/>
              <w:numPr>
                <w:ilvl w:val="0"/>
                <w:numId w:val="1"/>
              </w:numPr>
              <w:suppressLineNumbers w:val="0"/>
              <w:kinsoku/>
              <w:wordWrap w:val="0"/>
              <w:autoSpaceDE/>
              <w:autoSpaceDN/>
              <w:adjustRightInd w:val="0"/>
              <w:snapToGrid w:val="0"/>
              <w:spacing w:before="0" w:beforeAutospacing="0" w:after="0" w:afterLines="0" w:afterAutospacing="0" w:line="360" w:lineRule="auto"/>
              <w:ind w:left="0" w:right="0"/>
              <w:jc w:val="both"/>
              <w:textAlignment w:val="auto"/>
              <w:rPr>
                <w:rFonts w:hint="eastAsia" w:ascii="宋体" w:hAnsi="宋体" w:eastAsia="宋体" w:cs="宋体"/>
                <w:snapToGrid/>
                <w:color w:val="auto"/>
                <w:kern w:val="0"/>
                <w:sz w:val="24"/>
                <w:szCs w:val="24"/>
                <w:highlight w:val="none"/>
                <w:lang w:val="en-US" w:eastAsia="zh-CN"/>
              </w:rPr>
            </w:pPr>
            <w:r>
              <w:rPr>
                <w:rFonts w:hint="eastAsia" w:ascii="宋体" w:hAnsi="宋体" w:eastAsia="宋体" w:cs="宋体"/>
                <w:snapToGrid/>
                <w:color w:val="auto"/>
                <w:kern w:val="0"/>
                <w:sz w:val="24"/>
                <w:szCs w:val="24"/>
                <w:highlight w:val="none"/>
                <w:lang w:val="en-US" w:eastAsia="zh-CN"/>
              </w:rPr>
              <w:t>具备助理工程师职称的，得5分。</w:t>
            </w:r>
          </w:p>
          <w:p w14:paraId="0653959A">
            <w:pPr>
              <w:keepNext w:val="0"/>
              <w:keepLines w:val="0"/>
              <w:widowControl w:val="0"/>
              <w:numPr>
                <w:ilvl w:val="0"/>
                <w:numId w:val="0"/>
              </w:numPr>
              <w:suppressLineNumbers w:val="0"/>
              <w:kinsoku/>
              <w:wordWrap w:val="0"/>
              <w:autoSpaceDE/>
              <w:autoSpaceDN/>
              <w:adjustRightInd w:val="0"/>
              <w:snapToGrid w:val="0"/>
              <w:spacing w:before="0" w:beforeAutospacing="0" w:after="0" w:afterLines="0" w:afterAutospacing="0" w:line="360" w:lineRule="auto"/>
              <w:ind w:right="0" w:rightChars="0"/>
              <w:jc w:val="both"/>
              <w:textAlignment w:val="auto"/>
              <w:rPr>
                <w:rFonts w:hint="eastAsia" w:ascii="宋体" w:hAnsi="宋体" w:eastAsia="宋体" w:cs="宋体"/>
                <w:snapToGrid/>
                <w:color w:val="auto"/>
                <w:kern w:val="0"/>
                <w:sz w:val="24"/>
                <w:szCs w:val="24"/>
                <w:highlight w:val="none"/>
                <w:lang w:val="en-US" w:eastAsia="zh-CN"/>
              </w:rPr>
            </w:pPr>
          </w:p>
        </w:tc>
        <w:tc>
          <w:tcPr>
            <w:tcW w:w="5133" w:type="dxa"/>
            <w:noWrap w:val="0"/>
            <w:vAlign w:val="center"/>
          </w:tcPr>
          <w:p w14:paraId="498380A4">
            <w:pPr>
              <w:keepNext w:val="0"/>
              <w:keepLines w:val="0"/>
              <w:widowControl w:val="0"/>
              <w:suppressLineNumbers w:val="0"/>
              <w:kinsoku/>
              <w:wordWrap w:val="0"/>
              <w:autoSpaceDE/>
              <w:autoSpaceDN/>
              <w:adjustRightInd w:val="0"/>
              <w:snapToGrid w:val="0"/>
              <w:spacing w:before="0" w:beforeAutospacing="0" w:after="0" w:afterLines="0" w:afterAutospacing="0" w:line="360" w:lineRule="auto"/>
              <w:ind w:left="0" w:right="0"/>
              <w:jc w:val="both"/>
              <w:textAlignment w:val="auto"/>
              <w:rPr>
                <w:rFonts w:hint="eastAsia" w:ascii="宋体" w:hAnsi="宋体" w:eastAsia="宋体" w:cs="宋体"/>
                <w:snapToGrid/>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bidi="ar-SA"/>
              </w:rPr>
              <w:t xml:space="preserve">需附职称证彩色扫描件或打印件。 </w:t>
            </w:r>
          </w:p>
        </w:tc>
      </w:tr>
      <w:tr w14:paraId="7FFE0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noWrap w:val="0"/>
            <w:vAlign w:val="center"/>
          </w:tcPr>
          <w:p w14:paraId="27803060">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line="360" w:lineRule="auto"/>
              <w:ind w:left="0" w:leftChars="0" w:right="0" w:rightChars="0" w:firstLine="0" w:firstLineChars="0"/>
              <w:jc w:val="center"/>
              <w:textAlignment w:val="auto"/>
              <w:outlineLvl w:val="9"/>
              <w:rPr>
                <w:rFonts w:hint="eastAsia" w:ascii="宋体" w:hAnsi="宋体" w:eastAsia="宋体" w:cs="宋体"/>
                <w:b w:val="0"/>
                <w:bCs w:val="0"/>
                <w:caps w:val="0"/>
                <w:smallCaps w:val="0"/>
                <w:snapToGrid w:val="0"/>
                <w:color w:val="auto"/>
                <w:spacing w:val="0"/>
                <w:kern w:val="0"/>
                <w:sz w:val="24"/>
                <w:szCs w:val="24"/>
                <w:highlight w:val="none"/>
                <w:lang w:val="en-US" w:eastAsia="zh-CN" w:bidi="ar-SA"/>
              </w:rPr>
            </w:pPr>
            <w:r>
              <w:rPr>
                <w:rFonts w:hint="eastAsia" w:ascii="宋体" w:hAnsi="宋体" w:eastAsia="宋体" w:cs="宋体"/>
                <w:b w:val="0"/>
                <w:bCs w:val="0"/>
                <w:caps w:val="0"/>
                <w:smallCaps w:val="0"/>
                <w:snapToGrid w:val="0"/>
                <w:color w:val="auto"/>
                <w:spacing w:val="0"/>
                <w:kern w:val="0"/>
                <w:sz w:val="24"/>
                <w:szCs w:val="24"/>
                <w:highlight w:val="none"/>
                <w:lang w:val="en-US" w:eastAsia="zh-CN" w:bidi="ar-SA"/>
              </w:rPr>
              <w:t>企业业绩</w:t>
            </w:r>
          </w:p>
          <w:p w14:paraId="25D9DE73">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line="360" w:lineRule="auto"/>
              <w:ind w:left="0" w:leftChars="0" w:right="0" w:rightChars="0" w:firstLine="0" w:firstLineChars="0"/>
              <w:jc w:val="center"/>
              <w:textAlignment w:val="auto"/>
              <w:outlineLvl w:val="9"/>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b w:val="0"/>
                <w:bCs w:val="0"/>
                <w:caps w:val="0"/>
                <w:smallCaps w:val="0"/>
                <w:snapToGrid w:val="0"/>
                <w:color w:val="auto"/>
                <w:spacing w:val="0"/>
                <w:kern w:val="0"/>
                <w:sz w:val="24"/>
                <w:szCs w:val="24"/>
                <w:highlight w:val="none"/>
                <w:lang w:val="en-US" w:eastAsia="zh-CN" w:bidi="ar-SA"/>
              </w:rPr>
              <w:t>（15分）</w:t>
            </w:r>
          </w:p>
        </w:tc>
        <w:tc>
          <w:tcPr>
            <w:tcW w:w="3507" w:type="dxa"/>
            <w:noWrap w:val="0"/>
            <w:vAlign w:val="center"/>
          </w:tcPr>
          <w:p w14:paraId="23A682D6">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360" w:lineRule="auto"/>
              <w:ind w:left="0" w:right="0"/>
              <w:jc w:val="both"/>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企业近5年来（2021年1月1日至今）业绩情况：</w:t>
            </w:r>
          </w:p>
          <w:p w14:paraId="1CDB5901">
            <w:pPr>
              <w:keepNext w:val="0"/>
              <w:keepLines w:val="0"/>
              <w:pageBreakBefore w:val="0"/>
              <w:widowControl w:val="0"/>
              <w:numPr>
                <w:ilvl w:val="0"/>
                <w:numId w:val="2"/>
              </w:numPr>
              <w:suppressLineNumbers w:val="0"/>
              <w:kinsoku/>
              <w:wordWrap w:val="0"/>
              <w:overflowPunct/>
              <w:topLinePunct w:val="0"/>
              <w:autoSpaceDE/>
              <w:autoSpaceDN/>
              <w:bidi w:val="0"/>
              <w:adjustRightInd w:val="0"/>
              <w:snapToGrid w:val="0"/>
              <w:spacing w:before="0" w:beforeAutospacing="0" w:after="0" w:afterLines="0" w:afterAutospacing="0" w:line="360" w:lineRule="auto"/>
              <w:ind w:left="0" w:right="0"/>
              <w:jc w:val="both"/>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u w:val="single"/>
                <w:lang w:val="en-US" w:eastAsia="zh-CN" w:bidi="ar-SA"/>
              </w:rPr>
              <w:t>完成</w:t>
            </w:r>
            <w:r>
              <w:rPr>
                <w:rFonts w:hint="eastAsia" w:ascii="宋体" w:hAnsi="宋体" w:eastAsia="宋体" w:cs="宋体"/>
                <w:snapToGrid w:val="0"/>
                <w:color w:val="auto"/>
                <w:kern w:val="0"/>
                <w:sz w:val="24"/>
                <w:szCs w:val="24"/>
                <w:highlight w:val="none"/>
                <w:lang w:val="en-US" w:eastAsia="zh-CN" w:bidi="ar-SA"/>
              </w:rPr>
              <w:t>过类似工程的，每个得 5 分。</w:t>
            </w:r>
          </w:p>
          <w:p w14:paraId="1CD73A0A">
            <w:pPr>
              <w:keepNext w:val="0"/>
              <w:keepLines w:val="0"/>
              <w:pageBreakBefore w:val="0"/>
              <w:widowControl w:val="0"/>
              <w:numPr>
                <w:ilvl w:val="0"/>
                <w:numId w:val="2"/>
              </w:numPr>
              <w:suppressLineNumbers w:val="0"/>
              <w:kinsoku/>
              <w:wordWrap w:val="0"/>
              <w:overflowPunct/>
              <w:topLinePunct w:val="0"/>
              <w:autoSpaceDE/>
              <w:autoSpaceDN/>
              <w:bidi w:val="0"/>
              <w:adjustRightInd w:val="0"/>
              <w:snapToGrid w:val="0"/>
              <w:spacing w:before="0" w:beforeAutospacing="0" w:after="0" w:afterLines="0" w:afterAutospacing="0" w:line="360" w:lineRule="auto"/>
              <w:ind w:left="0" w:leftChars="0" w:right="0" w:firstLine="0" w:firstLineChars="0"/>
              <w:jc w:val="both"/>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未</w:t>
            </w:r>
            <w:r>
              <w:rPr>
                <w:rFonts w:hint="eastAsia" w:ascii="宋体" w:hAnsi="宋体" w:eastAsia="宋体" w:cs="宋体"/>
                <w:snapToGrid w:val="0"/>
                <w:color w:val="auto"/>
                <w:kern w:val="0"/>
                <w:sz w:val="24"/>
                <w:szCs w:val="24"/>
                <w:highlight w:val="none"/>
                <w:u w:val="single"/>
                <w:lang w:val="en-US" w:eastAsia="zh-CN" w:bidi="ar-SA"/>
              </w:rPr>
              <w:t>完成</w:t>
            </w:r>
            <w:r>
              <w:rPr>
                <w:rFonts w:hint="eastAsia" w:ascii="宋体" w:hAnsi="宋体" w:eastAsia="宋体" w:cs="宋体"/>
                <w:snapToGrid w:val="0"/>
                <w:color w:val="auto"/>
                <w:kern w:val="0"/>
                <w:sz w:val="24"/>
                <w:szCs w:val="24"/>
                <w:highlight w:val="none"/>
                <w:lang w:val="en-US" w:eastAsia="zh-CN" w:bidi="ar-SA"/>
              </w:rPr>
              <w:t>过类似工程的，不予计分。</w:t>
            </w:r>
          </w:p>
          <w:p w14:paraId="4B4B2740">
            <w:pPr>
              <w:keepNext w:val="0"/>
              <w:keepLines w:val="0"/>
              <w:widowControl w:val="0"/>
              <w:suppressLineNumbers w:val="0"/>
              <w:kinsoku/>
              <w:wordWrap w:val="0"/>
              <w:autoSpaceDE/>
              <w:autoSpaceDN/>
              <w:adjustRightInd w:val="0"/>
              <w:snapToGrid w:val="0"/>
              <w:spacing w:before="0" w:beforeAutospacing="0" w:after="0" w:afterLines="0" w:afterAutospacing="0" w:line="360" w:lineRule="auto"/>
              <w:ind w:left="0" w:right="0"/>
              <w:jc w:val="both"/>
              <w:textAlignment w:val="auto"/>
              <w:rPr>
                <w:rFonts w:hint="eastAsia" w:ascii="宋体" w:hAnsi="宋体" w:eastAsia="宋体" w:cs="宋体"/>
                <w:snapToGrid/>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bidi="ar-SA"/>
              </w:rPr>
              <w:t xml:space="preserve">3．本项最高得15分。 </w:t>
            </w:r>
          </w:p>
        </w:tc>
        <w:tc>
          <w:tcPr>
            <w:tcW w:w="5133" w:type="dxa"/>
            <w:noWrap w:val="0"/>
            <w:vAlign w:val="center"/>
          </w:tcPr>
          <w:p w14:paraId="58AE9486">
            <w:pPr>
              <w:keepNext w:val="0"/>
              <w:keepLines w:val="0"/>
              <w:widowControl/>
              <w:suppressLineNumbers w:val="0"/>
              <w:kinsoku/>
              <w:wordWrap w:val="0"/>
              <w:autoSpaceDE/>
              <w:autoSpaceDN/>
              <w:adjustRightInd w:val="0"/>
              <w:snapToGrid w:val="0"/>
              <w:spacing w:before="0" w:beforeAutospacing="0" w:after="0" w:afterLines="0" w:afterAutospacing="0" w:line="360" w:lineRule="auto"/>
              <w:ind w:left="0" w:right="0"/>
              <w:jc w:val="both"/>
              <w:textAlignment w:val="auto"/>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1．类似工程指：</w:t>
            </w:r>
            <w:r>
              <w:rPr>
                <w:rFonts w:hint="eastAsia" w:ascii="宋体" w:hAnsi="宋体" w:eastAsia="宋体" w:cs="宋体"/>
                <w:strike w:val="0"/>
                <w:dstrike w:val="0"/>
                <w:snapToGrid w:val="0"/>
                <w:color w:val="auto"/>
                <w:kern w:val="0"/>
                <w:sz w:val="24"/>
                <w:szCs w:val="24"/>
                <w:highlight w:val="none"/>
                <w:u w:val="single"/>
                <w:lang w:val="en-US" w:eastAsia="zh-CN" w:bidi="ar-SA"/>
              </w:rPr>
              <w:t>合同金额≥1500万元的</w:t>
            </w:r>
            <w:r>
              <w:rPr>
                <w:rFonts w:hint="eastAsia" w:ascii="宋体" w:hAnsi="宋体" w:eastAsia="宋体" w:cs="宋体"/>
                <w:snapToGrid w:val="0"/>
                <w:color w:val="auto"/>
                <w:kern w:val="2"/>
                <w:sz w:val="24"/>
                <w:szCs w:val="24"/>
                <w:highlight w:val="none"/>
                <w:u w:val="single"/>
                <w:lang w:val="en-US" w:eastAsia="zh-CN" w:bidi="ar"/>
              </w:rPr>
              <w:t>房屋建筑工程</w:t>
            </w:r>
            <w:r>
              <w:rPr>
                <w:rFonts w:hint="eastAsia" w:ascii="宋体" w:hAnsi="宋体" w:eastAsia="宋体" w:cs="宋体"/>
                <w:snapToGrid w:val="0"/>
                <w:color w:val="auto"/>
                <w:kern w:val="0"/>
                <w:sz w:val="24"/>
                <w:szCs w:val="24"/>
                <w:highlight w:val="none"/>
                <w:lang w:val="en-US" w:eastAsia="zh-CN" w:bidi="ar-SA"/>
              </w:rPr>
              <w:t>。</w:t>
            </w:r>
          </w:p>
          <w:p w14:paraId="1EF5C3A7">
            <w:pPr>
              <w:keepNext w:val="0"/>
              <w:keepLines w:val="0"/>
              <w:widowControl w:val="0"/>
              <w:suppressLineNumbers w:val="0"/>
              <w:kinsoku/>
              <w:wordWrap w:val="0"/>
              <w:autoSpaceDE/>
              <w:autoSpaceDN/>
              <w:adjustRightInd w:val="0"/>
              <w:snapToGrid w:val="0"/>
              <w:spacing w:before="0" w:beforeAutospacing="0" w:after="0" w:afterLines="0" w:afterAutospacing="0" w:line="360" w:lineRule="auto"/>
              <w:ind w:left="0" w:right="0"/>
              <w:jc w:val="both"/>
              <w:textAlignment w:val="auto"/>
              <w:rPr>
                <w:rFonts w:hint="eastAsia" w:ascii="宋体" w:hAnsi="宋体" w:eastAsia="宋体" w:cs="宋体"/>
                <w:b w:val="0"/>
                <w:bCs w:val="0"/>
                <w:i/>
                <w:iCs/>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2．需附有关业绩（仅限于以施工总承包单位/专业承包单位身份参建的项目）合同协议书和竣工验收报告的彩色扫描件；</w:t>
            </w:r>
          </w:p>
          <w:p w14:paraId="6981D18D">
            <w:pPr>
              <w:keepNext w:val="0"/>
              <w:keepLines w:val="0"/>
              <w:widowControl/>
              <w:suppressLineNumbers w:val="0"/>
              <w:kinsoku/>
              <w:wordWrap w:val="0"/>
              <w:autoSpaceDE/>
              <w:autoSpaceDN/>
              <w:adjustRightInd w:val="0"/>
              <w:snapToGrid w:val="0"/>
              <w:spacing w:before="0" w:beforeAutospacing="0" w:after="0" w:afterLines="0" w:afterAutospacing="0" w:line="360" w:lineRule="auto"/>
              <w:ind w:left="0" w:right="0"/>
              <w:jc w:val="both"/>
              <w:textAlignment w:val="auto"/>
              <w:rPr>
                <w:rFonts w:hint="eastAsia" w:ascii="宋体" w:hAnsi="宋体" w:eastAsia="宋体" w:cs="宋体"/>
                <w:snapToGrid/>
                <w:color w:val="auto"/>
                <w:kern w:val="0"/>
                <w:sz w:val="24"/>
                <w:szCs w:val="24"/>
                <w:highlight w:val="none"/>
                <w:lang w:val="en-US" w:eastAsia="zh-CN"/>
              </w:rPr>
            </w:pPr>
            <w:r>
              <w:rPr>
                <w:rFonts w:hint="eastAsia" w:ascii="宋体" w:hAnsi="宋体" w:eastAsia="宋体" w:cs="宋体"/>
                <w:snapToGrid/>
                <w:color w:val="auto"/>
                <w:kern w:val="0"/>
                <w:sz w:val="24"/>
                <w:szCs w:val="24"/>
                <w:highlight w:val="none"/>
                <w:lang w:val="en-US" w:eastAsia="zh-CN"/>
              </w:rPr>
              <w:t>3.业绩时间以竣工验收报告日期为准。</w:t>
            </w:r>
          </w:p>
          <w:p w14:paraId="0632B6DE">
            <w:pPr>
              <w:keepNext w:val="0"/>
              <w:keepLines w:val="0"/>
              <w:widowControl/>
              <w:suppressLineNumbers w:val="0"/>
              <w:kinsoku/>
              <w:wordWrap w:val="0"/>
              <w:autoSpaceDE/>
              <w:autoSpaceDN/>
              <w:adjustRightInd w:val="0"/>
              <w:snapToGrid w:val="0"/>
              <w:spacing w:before="0" w:beforeAutospacing="0" w:after="0" w:afterLines="0" w:afterAutospacing="0" w:line="360" w:lineRule="auto"/>
              <w:ind w:left="0" w:right="0"/>
              <w:jc w:val="both"/>
              <w:textAlignment w:val="auto"/>
              <w:rPr>
                <w:rFonts w:hint="eastAsia" w:ascii="宋体" w:hAnsi="宋体" w:eastAsia="宋体" w:cs="宋体"/>
                <w:snapToGrid/>
                <w:color w:val="auto"/>
                <w:kern w:val="0"/>
                <w:sz w:val="24"/>
                <w:szCs w:val="24"/>
                <w:highlight w:val="none"/>
                <w:lang w:val="en-US" w:eastAsia="zh-CN"/>
              </w:rPr>
            </w:pPr>
            <w:r>
              <w:rPr>
                <w:rFonts w:hint="eastAsia" w:ascii="宋体" w:hAnsi="宋体" w:eastAsia="宋体" w:cs="宋体"/>
                <w:snapToGrid/>
                <w:color w:val="auto"/>
                <w:kern w:val="0"/>
                <w:sz w:val="24"/>
                <w:szCs w:val="24"/>
                <w:highlight w:val="none"/>
                <w:lang w:val="en-US" w:eastAsia="zh-CN"/>
              </w:rPr>
              <w:t>4．任一业绩有以下情形之一的，该业绩视为无效，不予计分：</w:t>
            </w:r>
          </w:p>
          <w:p w14:paraId="159EFDAA">
            <w:pPr>
              <w:keepNext w:val="0"/>
              <w:keepLines w:val="0"/>
              <w:widowControl/>
              <w:suppressLineNumbers w:val="0"/>
              <w:kinsoku/>
              <w:wordWrap w:val="0"/>
              <w:autoSpaceDE/>
              <w:autoSpaceDN/>
              <w:adjustRightInd w:val="0"/>
              <w:snapToGrid w:val="0"/>
              <w:spacing w:before="0" w:beforeAutospacing="0" w:after="0" w:afterLines="0" w:afterAutospacing="0" w:line="360" w:lineRule="auto"/>
              <w:ind w:left="0" w:right="0"/>
              <w:jc w:val="both"/>
              <w:textAlignment w:val="auto"/>
              <w:rPr>
                <w:rFonts w:hint="eastAsia" w:ascii="宋体" w:hAnsi="宋体" w:eastAsia="宋体" w:cs="宋体"/>
                <w:snapToGrid/>
                <w:color w:val="auto"/>
                <w:kern w:val="0"/>
                <w:sz w:val="24"/>
                <w:szCs w:val="24"/>
                <w:highlight w:val="none"/>
                <w:lang w:val="en-US" w:eastAsia="zh-CN"/>
              </w:rPr>
            </w:pPr>
            <w:r>
              <w:rPr>
                <w:rFonts w:hint="eastAsia" w:ascii="宋体" w:hAnsi="宋体" w:eastAsia="宋体" w:cs="宋体"/>
                <w:snapToGrid/>
                <w:color w:val="auto"/>
                <w:kern w:val="0"/>
                <w:sz w:val="24"/>
                <w:szCs w:val="24"/>
                <w:highlight w:val="none"/>
                <w:lang w:val="en-US" w:eastAsia="zh-CN"/>
              </w:rPr>
              <w:t>①业绩不属于类似工程的；</w:t>
            </w:r>
          </w:p>
          <w:p w14:paraId="47F2057C">
            <w:pPr>
              <w:keepNext w:val="0"/>
              <w:keepLines w:val="0"/>
              <w:widowControl/>
              <w:suppressLineNumbers w:val="0"/>
              <w:kinsoku/>
              <w:wordWrap w:val="0"/>
              <w:autoSpaceDE/>
              <w:autoSpaceDN/>
              <w:adjustRightInd w:val="0"/>
              <w:snapToGrid w:val="0"/>
              <w:spacing w:before="0" w:beforeAutospacing="0" w:after="0" w:afterLines="0" w:afterAutospacing="0" w:line="360" w:lineRule="auto"/>
              <w:ind w:left="0" w:right="0"/>
              <w:jc w:val="both"/>
              <w:textAlignment w:val="auto"/>
              <w:rPr>
                <w:rFonts w:hint="eastAsia" w:ascii="宋体" w:hAnsi="宋体" w:eastAsia="宋体" w:cs="宋体"/>
                <w:snapToGrid/>
                <w:color w:val="auto"/>
                <w:kern w:val="0"/>
                <w:sz w:val="24"/>
                <w:szCs w:val="24"/>
                <w:highlight w:val="none"/>
                <w:lang w:val="en-US" w:eastAsia="zh-CN"/>
              </w:rPr>
            </w:pPr>
            <w:r>
              <w:rPr>
                <w:rFonts w:hint="eastAsia" w:ascii="宋体" w:hAnsi="宋体" w:eastAsia="宋体" w:cs="宋体"/>
                <w:snapToGrid/>
                <w:color w:val="auto"/>
                <w:kern w:val="0"/>
                <w:sz w:val="24"/>
                <w:szCs w:val="24"/>
                <w:highlight w:val="none"/>
                <w:lang w:val="en-US" w:eastAsia="zh-CN"/>
              </w:rPr>
              <w:t>②不是以指定身份参建的；</w:t>
            </w:r>
          </w:p>
          <w:p w14:paraId="7DE6F800">
            <w:pPr>
              <w:keepNext w:val="0"/>
              <w:keepLines w:val="0"/>
              <w:widowControl/>
              <w:suppressLineNumbers w:val="0"/>
              <w:kinsoku/>
              <w:wordWrap w:val="0"/>
              <w:autoSpaceDE/>
              <w:autoSpaceDN/>
              <w:adjustRightInd w:val="0"/>
              <w:snapToGrid w:val="0"/>
              <w:spacing w:before="0" w:beforeAutospacing="0" w:after="0" w:afterLines="0" w:afterAutospacing="0" w:line="360" w:lineRule="auto"/>
              <w:ind w:left="0" w:right="0"/>
              <w:jc w:val="both"/>
              <w:textAlignment w:val="auto"/>
              <w:rPr>
                <w:rFonts w:hint="eastAsia" w:ascii="宋体" w:hAnsi="宋体" w:eastAsia="宋体" w:cs="宋体"/>
                <w:snapToGrid/>
                <w:color w:val="auto"/>
                <w:kern w:val="0"/>
                <w:sz w:val="24"/>
                <w:szCs w:val="24"/>
                <w:highlight w:val="none"/>
                <w:lang w:val="en-US" w:eastAsia="zh-CN"/>
              </w:rPr>
            </w:pPr>
            <w:r>
              <w:rPr>
                <w:rFonts w:hint="eastAsia" w:ascii="宋体" w:hAnsi="宋体" w:eastAsia="宋体" w:cs="宋体"/>
                <w:snapToGrid/>
                <w:color w:val="auto"/>
                <w:kern w:val="0"/>
                <w:sz w:val="24"/>
                <w:szCs w:val="24"/>
                <w:highlight w:val="none"/>
                <w:lang w:val="en-US" w:eastAsia="zh-CN"/>
              </w:rPr>
              <w:t>③业绩时间不符合要求的；</w:t>
            </w:r>
          </w:p>
          <w:p w14:paraId="1A9AA1ED">
            <w:pPr>
              <w:keepNext w:val="0"/>
              <w:keepLines w:val="0"/>
              <w:widowControl/>
              <w:suppressLineNumbers w:val="0"/>
              <w:kinsoku/>
              <w:wordWrap w:val="0"/>
              <w:autoSpaceDE/>
              <w:autoSpaceDN/>
              <w:adjustRightInd w:val="0"/>
              <w:snapToGrid w:val="0"/>
              <w:spacing w:before="0" w:beforeAutospacing="0" w:after="0" w:afterLines="0" w:afterAutospacing="0" w:line="360" w:lineRule="auto"/>
              <w:ind w:left="0" w:right="0"/>
              <w:jc w:val="both"/>
              <w:textAlignment w:val="auto"/>
              <w:rPr>
                <w:rFonts w:hint="eastAsia" w:ascii="宋体" w:hAnsi="宋体" w:eastAsia="宋体" w:cs="宋体"/>
                <w:snapToGrid/>
                <w:color w:val="auto"/>
                <w:kern w:val="0"/>
                <w:sz w:val="24"/>
                <w:szCs w:val="24"/>
                <w:highlight w:val="none"/>
                <w:lang w:val="en-US" w:eastAsia="zh-CN"/>
              </w:rPr>
            </w:pPr>
            <w:r>
              <w:rPr>
                <w:rFonts w:hint="eastAsia" w:ascii="宋体" w:hAnsi="宋体" w:eastAsia="宋体" w:cs="宋体"/>
                <w:snapToGrid/>
                <w:color w:val="auto"/>
                <w:kern w:val="0"/>
                <w:sz w:val="24"/>
                <w:szCs w:val="24"/>
                <w:highlight w:val="none"/>
                <w:lang w:val="en-US" w:eastAsia="zh-CN"/>
              </w:rPr>
              <w:t>④业绩未竣工验收的。</w:t>
            </w:r>
          </w:p>
        </w:tc>
      </w:tr>
      <w:tr w14:paraId="49CC3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noWrap w:val="0"/>
            <w:vAlign w:val="center"/>
          </w:tcPr>
          <w:p w14:paraId="0740642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jc w:val="center"/>
              <w:textAlignment w:val="auto"/>
              <w:rPr>
                <w:rFonts w:hint="eastAsia" w:ascii="宋体" w:hAnsi="宋体" w:eastAsia="宋体" w:cs="宋体"/>
                <w:color w:val="auto"/>
                <w:spacing w:val="5"/>
                <w:kern w:val="2"/>
                <w:sz w:val="24"/>
                <w:szCs w:val="24"/>
                <w:highlight w:val="none"/>
                <w:lang w:val="en-US" w:eastAsia="en-US" w:bidi="ar-SA"/>
              </w:rPr>
            </w:pPr>
            <w:r>
              <w:rPr>
                <w:rFonts w:hint="eastAsia" w:ascii="宋体" w:hAnsi="宋体" w:eastAsia="宋体" w:cs="宋体"/>
                <w:color w:val="auto"/>
                <w:spacing w:val="6"/>
                <w:kern w:val="2"/>
                <w:sz w:val="24"/>
                <w:szCs w:val="24"/>
                <w:highlight w:val="none"/>
                <w:lang w:val="en-US" w:eastAsia="en-US" w:bidi="ar-SA"/>
              </w:rPr>
              <w:t>企业银行</w:t>
            </w:r>
            <w:r>
              <w:rPr>
                <w:rFonts w:hint="eastAsia" w:ascii="宋体" w:hAnsi="宋体" w:eastAsia="宋体" w:cs="宋体"/>
                <w:color w:val="auto"/>
                <w:spacing w:val="5"/>
                <w:kern w:val="2"/>
                <w:sz w:val="24"/>
                <w:szCs w:val="24"/>
                <w:highlight w:val="none"/>
                <w:lang w:val="en-US" w:eastAsia="en-US" w:bidi="ar-SA"/>
              </w:rPr>
              <w:t>资信评级</w:t>
            </w:r>
          </w:p>
          <w:p w14:paraId="5606636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pacing w:val="21"/>
                <w:kern w:val="2"/>
                <w:sz w:val="24"/>
                <w:szCs w:val="24"/>
                <w:highlight w:val="none"/>
                <w:lang w:val="en-US" w:eastAsia="en-US" w:bidi="ar-SA"/>
              </w:rPr>
              <w:t>（</w:t>
            </w:r>
            <w:r>
              <w:rPr>
                <w:rFonts w:hint="eastAsia" w:ascii="宋体" w:hAnsi="宋体" w:eastAsia="宋体" w:cs="宋体"/>
                <w:color w:val="auto"/>
                <w:spacing w:val="21"/>
                <w:kern w:val="2"/>
                <w:sz w:val="24"/>
                <w:szCs w:val="24"/>
                <w:highlight w:val="none"/>
                <w:lang w:val="en-US" w:eastAsia="zh-CN" w:bidi="ar-SA"/>
              </w:rPr>
              <w:t>10</w:t>
            </w:r>
            <w:r>
              <w:rPr>
                <w:rFonts w:hint="eastAsia" w:ascii="宋体" w:hAnsi="宋体" w:eastAsia="宋体" w:cs="宋体"/>
                <w:color w:val="auto"/>
                <w:spacing w:val="21"/>
                <w:kern w:val="2"/>
                <w:sz w:val="24"/>
                <w:szCs w:val="24"/>
                <w:highlight w:val="none"/>
                <w:lang w:val="en-US" w:eastAsia="en-US" w:bidi="ar-SA"/>
              </w:rPr>
              <w:t>分）</w:t>
            </w:r>
          </w:p>
        </w:tc>
        <w:tc>
          <w:tcPr>
            <w:tcW w:w="3507" w:type="dxa"/>
            <w:noWrap w:val="0"/>
            <w:vAlign w:val="center"/>
          </w:tcPr>
          <w:p w14:paraId="2E789CE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jc w:val="both"/>
              <w:textAlignment w:val="auto"/>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color w:val="auto"/>
                <w:spacing w:val="11"/>
                <w:kern w:val="2"/>
                <w:sz w:val="24"/>
                <w:szCs w:val="24"/>
                <w:highlight w:val="none"/>
                <w:lang w:val="en-US" w:eastAsia="en-US" w:bidi="ar-SA"/>
              </w:rPr>
              <w:t>1．银行资信评级</w:t>
            </w:r>
            <w:r>
              <w:rPr>
                <w:rFonts w:hint="eastAsia" w:ascii="宋体" w:hAnsi="宋体" w:eastAsia="宋体" w:cs="宋体"/>
                <w:color w:val="auto"/>
                <w:kern w:val="2"/>
                <w:sz w:val="24"/>
                <w:szCs w:val="24"/>
                <w:highlight w:val="none"/>
                <w:lang w:val="en-US" w:eastAsia="en-US" w:bidi="ar-SA"/>
              </w:rPr>
              <w:t>AAA</w:t>
            </w:r>
            <w:r>
              <w:rPr>
                <w:rFonts w:hint="eastAsia" w:ascii="宋体" w:hAnsi="宋体" w:eastAsia="宋体" w:cs="宋体"/>
                <w:color w:val="auto"/>
                <w:spacing w:val="11"/>
                <w:kern w:val="2"/>
                <w:sz w:val="24"/>
                <w:szCs w:val="24"/>
                <w:highlight w:val="none"/>
                <w:lang w:val="en-US" w:eastAsia="en-US" w:bidi="ar-SA"/>
              </w:rPr>
              <w:t>的，得</w:t>
            </w:r>
            <w:r>
              <w:rPr>
                <w:rFonts w:hint="eastAsia" w:ascii="宋体" w:hAnsi="宋体" w:eastAsia="宋体" w:cs="宋体"/>
                <w:color w:val="auto"/>
                <w:spacing w:val="11"/>
                <w:kern w:val="2"/>
                <w:sz w:val="24"/>
                <w:szCs w:val="24"/>
                <w:highlight w:val="none"/>
                <w:u w:val="single" w:color="auto"/>
                <w:lang w:val="en-US" w:eastAsia="zh-CN" w:bidi="ar-SA"/>
              </w:rPr>
              <w:t>10</w:t>
            </w:r>
            <w:r>
              <w:rPr>
                <w:rFonts w:hint="eastAsia" w:ascii="宋体" w:hAnsi="宋体" w:eastAsia="宋体" w:cs="宋体"/>
                <w:color w:val="auto"/>
                <w:spacing w:val="-1"/>
                <w:kern w:val="2"/>
                <w:sz w:val="24"/>
                <w:szCs w:val="24"/>
                <w:highlight w:val="none"/>
                <w:lang w:val="en-US" w:eastAsia="en-US" w:bidi="ar-SA"/>
              </w:rPr>
              <w:t>分；</w:t>
            </w:r>
          </w:p>
          <w:p w14:paraId="0F57CBD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jc w:val="both"/>
              <w:textAlignment w:val="auto"/>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color w:val="auto"/>
                <w:spacing w:val="9"/>
                <w:kern w:val="2"/>
                <w:sz w:val="24"/>
                <w:szCs w:val="24"/>
                <w:highlight w:val="none"/>
                <w:lang w:val="en-US" w:eastAsia="en-US" w:bidi="ar-SA"/>
              </w:rPr>
              <w:t>2．银行资信评级</w:t>
            </w:r>
            <w:r>
              <w:rPr>
                <w:rFonts w:hint="eastAsia" w:ascii="宋体" w:hAnsi="宋体" w:eastAsia="宋体" w:cs="宋体"/>
                <w:color w:val="auto"/>
                <w:kern w:val="2"/>
                <w:sz w:val="24"/>
                <w:szCs w:val="24"/>
                <w:highlight w:val="none"/>
                <w:lang w:val="en-US" w:eastAsia="en-US" w:bidi="ar-SA"/>
              </w:rPr>
              <w:t>AA</w:t>
            </w:r>
            <w:r>
              <w:rPr>
                <w:rFonts w:hint="eastAsia" w:ascii="宋体" w:hAnsi="宋体" w:eastAsia="宋体" w:cs="宋体"/>
                <w:color w:val="auto"/>
                <w:spacing w:val="9"/>
                <w:kern w:val="2"/>
                <w:sz w:val="24"/>
                <w:szCs w:val="24"/>
                <w:highlight w:val="none"/>
                <w:lang w:val="en-US" w:eastAsia="en-US" w:bidi="ar-SA"/>
              </w:rPr>
              <w:t>（含</w:t>
            </w:r>
            <w:r>
              <w:rPr>
                <w:rFonts w:hint="eastAsia" w:ascii="宋体" w:hAnsi="宋体" w:eastAsia="宋体" w:cs="宋体"/>
                <w:color w:val="auto"/>
                <w:kern w:val="2"/>
                <w:sz w:val="24"/>
                <w:szCs w:val="24"/>
                <w:highlight w:val="none"/>
                <w:lang w:val="en-US" w:eastAsia="en-US" w:bidi="ar-SA"/>
              </w:rPr>
              <w:t>AA</w:t>
            </w:r>
            <w:r>
              <w:rPr>
                <w:rFonts w:hint="eastAsia" w:ascii="宋体" w:hAnsi="宋体" w:eastAsia="宋体" w:cs="宋体"/>
                <w:color w:val="auto"/>
                <w:spacing w:val="9"/>
                <w:kern w:val="2"/>
                <w:sz w:val="24"/>
                <w:szCs w:val="24"/>
                <w:highlight w:val="none"/>
                <w:lang w:val="en-US" w:eastAsia="en-US" w:bidi="ar-SA"/>
              </w:rPr>
              <w:t>＋、A</w:t>
            </w:r>
            <w:r>
              <w:rPr>
                <w:rFonts w:hint="eastAsia" w:ascii="宋体" w:hAnsi="宋体" w:eastAsia="宋体" w:cs="宋体"/>
                <w:color w:val="auto"/>
                <w:kern w:val="2"/>
                <w:sz w:val="24"/>
                <w:szCs w:val="24"/>
                <w:highlight w:val="none"/>
                <w:lang w:val="en-US" w:eastAsia="en-US" w:bidi="ar-SA"/>
              </w:rPr>
              <w:t>A</w:t>
            </w:r>
            <w:r>
              <w:rPr>
                <w:rFonts w:hint="eastAsia" w:ascii="宋体" w:hAnsi="宋体" w:eastAsia="宋体" w:cs="宋体"/>
                <w:color w:val="auto"/>
                <w:spacing w:val="-8"/>
                <w:kern w:val="2"/>
                <w:sz w:val="24"/>
                <w:szCs w:val="24"/>
                <w:highlight w:val="none"/>
                <w:lang w:val="en-US" w:eastAsia="en-US" w:bidi="ar-SA"/>
              </w:rPr>
              <w:t>－）</w:t>
            </w:r>
            <w:r>
              <w:rPr>
                <w:rFonts w:hint="eastAsia" w:ascii="宋体" w:hAnsi="宋体" w:eastAsia="宋体" w:cs="宋体"/>
                <w:color w:val="auto"/>
                <w:kern w:val="2"/>
                <w:sz w:val="24"/>
                <w:szCs w:val="24"/>
                <w:highlight w:val="none"/>
                <w:lang w:val="en-US" w:eastAsia="en-US" w:bidi="ar-SA"/>
              </w:rPr>
              <w:t>的，得</w:t>
            </w:r>
            <w:r>
              <w:rPr>
                <w:rFonts w:hint="eastAsia" w:ascii="宋体" w:hAnsi="宋体" w:eastAsia="宋体" w:cs="宋体"/>
                <w:color w:val="auto"/>
                <w:kern w:val="2"/>
                <w:sz w:val="24"/>
                <w:szCs w:val="24"/>
                <w:highlight w:val="none"/>
                <w:u w:val="single" w:color="auto"/>
                <w:lang w:val="en-US" w:eastAsia="zh-CN" w:bidi="ar-SA"/>
              </w:rPr>
              <w:t>5</w:t>
            </w:r>
            <w:r>
              <w:rPr>
                <w:rFonts w:hint="eastAsia" w:ascii="宋体" w:hAnsi="宋体" w:eastAsia="宋体" w:cs="宋体"/>
                <w:color w:val="auto"/>
                <w:kern w:val="2"/>
                <w:sz w:val="24"/>
                <w:szCs w:val="24"/>
                <w:highlight w:val="none"/>
                <w:lang w:val="en-US" w:eastAsia="en-US" w:bidi="ar-SA"/>
              </w:rPr>
              <w:t>分。</w:t>
            </w:r>
          </w:p>
          <w:p w14:paraId="2DC787B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jc w:val="both"/>
              <w:textAlignment w:val="auto"/>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color w:val="auto"/>
                <w:spacing w:val="11"/>
                <w:kern w:val="2"/>
                <w:sz w:val="24"/>
                <w:szCs w:val="24"/>
                <w:highlight w:val="none"/>
                <w:lang w:val="en-US" w:eastAsia="en-US" w:bidi="ar-SA"/>
              </w:rPr>
              <w:t>3．银行资信评级A（含A＋、A-)</w:t>
            </w:r>
            <w:r>
              <w:rPr>
                <w:rFonts w:hint="eastAsia" w:ascii="宋体" w:hAnsi="宋体" w:eastAsia="宋体" w:cs="宋体"/>
                <w:color w:val="auto"/>
                <w:spacing w:val="-7"/>
                <w:kern w:val="2"/>
                <w:sz w:val="24"/>
                <w:szCs w:val="24"/>
                <w:highlight w:val="none"/>
                <w:lang w:val="en-US" w:eastAsia="en-US" w:bidi="ar-SA"/>
              </w:rPr>
              <w:t>的，得</w:t>
            </w:r>
            <w:r>
              <w:rPr>
                <w:rFonts w:hint="eastAsia" w:ascii="宋体" w:hAnsi="宋体" w:eastAsia="宋体" w:cs="宋体"/>
                <w:color w:val="auto"/>
                <w:spacing w:val="-7"/>
                <w:kern w:val="2"/>
                <w:sz w:val="24"/>
                <w:szCs w:val="24"/>
                <w:highlight w:val="none"/>
                <w:u w:val="single" w:color="auto"/>
                <w:lang w:val="en-US" w:eastAsia="en-US" w:bidi="ar-SA"/>
              </w:rPr>
              <w:t>1</w:t>
            </w:r>
            <w:r>
              <w:rPr>
                <w:rFonts w:hint="eastAsia" w:ascii="宋体" w:hAnsi="宋体" w:eastAsia="宋体" w:cs="宋体"/>
                <w:color w:val="auto"/>
                <w:spacing w:val="-7"/>
                <w:kern w:val="2"/>
                <w:sz w:val="24"/>
                <w:szCs w:val="24"/>
                <w:highlight w:val="none"/>
                <w:lang w:val="en-US" w:eastAsia="en-US" w:bidi="ar-SA"/>
              </w:rPr>
              <w:t>分。</w:t>
            </w:r>
          </w:p>
          <w:p w14:paraId="7EC4D95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0" w:firstLineChars="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6"/>
                <w:kern w:val="2"/>
                <w:sz w:val="24"/>
                <w:szCs w:val="24"/>
                <w:highlight w:val="none"/>
                <w:lang w:val="en-US" w:eastAsia="en-US" w:bidi="ar-SA"/>
              </w:rPr>
              <w:t>4．未获得过以上评级的，或评级证</w:t>
            </w:r>
            <w:r>
              <w:rPr>
                <w:rFonts w:hint="eastAsia" w:ascii="宋体" w:hAnsi="宋体" w:eastAsia="宋体" w:cs="宋体"/>
                <w:color w:val="auto"/>
                <w:spacing w:val="7"/>
                <w:kern w:val="2"/>
                <w:sz w:val="24"/>
                <w:szCs w:val="24"/>
                <w:highlight w:val="none"/>
                <w:lang w:val="en-US" w:eastAsia="en-US" w:bidi="ar-SA"/>
              </w:rPr>
              <w:t>书无效的，不予计分。</w:t>
            </w:r>
          </w:p>
        </w:tc>
        <w:tc>
          <w:tcPr>
            <w:tcW w:w="5133" w:type="dxa"/>
            <w:noWrap w:val="0"/>
            <w:vAlign w:val="center"/>
          </w:tcPr>
          <w:p w14:paraId="21C3AE8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jc w:val="both"/>
              <w:textAlignment w:val="auto"/>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color w:val="auto"/>
                <w:spacing w:val="9"/>
                <w:kern w:val="2"/>
                <w:sz w:val="24"/>
                <w:szCs w:val="24"/>
                <w:highlight w:val="none"/>
                <w:lang w:val="en-US" w:eastAsia="en-US" w:bidi="ar-SA"/>
              </w:rPr>
              <w:t>1．需附在有效期内的资信评级证书（证明）彩</w:t>
            </w:r>
            <w:r>
              <w:rPr>
                <w:rFonts w:hint="eastAsia" w:ascii="宋体" w:hAnsi="宋体" w:eastAsia="宋体" w:cs="宋体"/>
                <w:color w:val="auto"/>
                <w:spacing w:val="7"/>
                <w:kern w:val="2"/>
                <w:sz w:val="24"/>
                <w:szCs w:val="24"/>
                <w:highlight w:val="none"/>
                <w:lang w:val="en-US" w:eastAsia="en-US" w:bidi="ar-SA"/>
              </w:rPr>
              <w:t>色扫描件。</w:t>
            </w:r>
          </w:p>
          <w:p w14:paraId="4160373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jc w:val="both"/>
              <w:textAlignment w:val="auto"/>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color w:val="auto"/>
                <w:spacing w:val="10"/>
                <w:kern w:val="2"/>
                <w:sz w:val="24"/>
                <w:szCs w:val="24"/>
                <w:highlight w:val="none"/>
                <w:lang w:val="en-US" w:eastAsia="en-US" w:bidi="ar-SA"/>
              </w:rPr>
              <w:t>2．评级证书（证明）须由</w:t>
            </w:r>
            <w:r>
              <w:rPr>
                <w:rFonts w:hint="eastAsia" w:ascii="宋体" w:hAnsi="宋体" w:eastAsia="宋体" w:cs="宋体"/>
                <w:color w:val="auto"/>
                <w:spacing w:val="10"/>
                <w:kern w:val="2"/>
                <w:sz w:val="24"/>
                <w:szCs w:val="24"/>
                <w:highlight w:val="none"/>
                <w:u w:val="single" w:color="auto"/>
                <w:lang w:val="en-US" w:eastAsia="en-US" w:bidi="ar-SA"/>
              </w:rPr>
              <w:t>企业基本账户开户银</w:t>
            </w:r>
            <w:r>
              <w:rPr>
                <w:rFonts w:hint="eastAsia" w:ascii="宋体" w:hAnsi="宋体" w:eastAsia="宋体" w:cs="宋体"/>
                <w:color w:val="auto"/>
                <w:spacing w:val="7"/>
                <w:kern w:val="2"/>
                <w:sz w:val="24"/>
                <w:szCs w:val="24"/>
                <w:highlight w:val="none"/>
                <w:u w:val="single" w:color="auto"/>
                <w:lang w:val="en-US" w:eastAsia="en-US" w:bidi="ar-SA"/>
              </w:rPr>
              <w:t>行/市级或以上金融机构</w:t>
            </w:r>
            <w:r>
              <w:rPr>
                <w:rFonts w:hint="eastAsia" w:ascii="宋体" w:hAnsi="宋体" w:eastAsia="宋体" w:cs="宋体"/>
                <w:color w:val="auto"/>
                <w:spacing w:val="7"/>
                <w:kern w:val="2"/>
                <w:sz w:val="24"/>
                <w:szCs w:val="24"/>
                <w:highlight w:val="none"/>
                <w:lang w:val="en-US" w:eastAsia="en-US" w:bidi="ar-SA"/>
              </w:rPr>
              <w:t>出具。</w:t>
            </w:r>
          </w:p>
          <w:p w14:paraId="77CA231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jc w:val="both"/>
              <w:textAlignment w:val="auto"/>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color w:val="auto"/>
                <w:spacing w:val="9"/>
                <w:kern w:val="2"/>
                <w:sz w:val="24"/>
                <w:szCs w:val="24"/>
                <w:highlight w:val="none"/>
                <w:lang w:val="en-US" w:eastAsia="en-US" w:bidi="ar-SA"/>
              </w:rPr>
              <w:t>3．评级证书（证明）有以下情形之一的，视为</w:t>
            </w:r>
            <w:r>
              <w:rPr>
                <w:rFonts w:hint="eastAsia" w:ascii="宋体" w:hAnsi="宋体" w:eastAsia="宋体" w:cs="宋体"/>
                <w:color w:val="auto"/>
                <w:spacing w:val="2"/>
                <w:kern w:val="2"/>
                <w:sz w:val="24"/>
                <w:szCs w:val="24"/>
                <w:highlight w:val="none"/>
                <w:lang w:val="en-US" w:eastAsia="en-US" w:bidi="ar-SA"/>
              </w:rPr>
              <w:t>无效：</w:t>
            </w:r>
          </w:p>
          <w:p w14:paraId="63F7B5E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jc w:val="both"/>
              <w:textAlignment w:val="auto"/>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color w:val="auto"/>
                <w:spacing w:val="9"/>
                <w:kern w:val="2"/>
                <w:sz w:val="24"/>
                <w:szCs w:val="24"/>
                <w:highlight w:val="none"/>
                <w:lang w:val="en-US" w:eastAsia="zh-CN" w:bidi="ar-SA"/>
              </w:rPr>
              <w:t>①</w:t>
            </w:r>
            <w:r>
              <w:rPr>
                <w:rFonts w:hint="eastAsia" w:ascii="宋体" w:hAnsi="宋体" w:eastAsia="宋体" w:cs="宋体"/>
                <w:color w:val="auto"/>
                <w:spacing w:val="9"/>
                <w:kern w:val="2"/>
                <w:sz w:val="24"/>
                <w:szCs w:val="24"/>
                <w:highlight w:val="none"/>
                <w:lang w:val="en-US" w:eastAsia="en-US" w:bidi="ar-SA"/>
              </w:rPr>
              <w:t>评级证书（证明）不在有效期内的；</w:t>
            </w:r>
          </w:p>
          <w:p w14:paraId="45C46EB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0" w:firstLineChars="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8"/>
                <w:kern w:val="2"/>
                <w:sz w:val="24"/>
                <w:szCs w:val="24"/>
                <w:highlight w:val="none"/>
                <w:lang w:val="en-US" w:eastAsia="zh-CN" w:bidi="ar-SA"/>
              </w:rPr>
              <w:t>②</w:t>
            </w:r>
            <w:r>
              <w:rPr>
                <w:rFonts w:hint="eastAsia" w:ascii="宋体" w:hAnsi="宋体" w:eastAsia="宋体" w:cs="宋体"/>
                <w:color w:val="auto"/>
                <w:spacing w:val="8"/>
                <w:kern w:val="2"/>
                <w:sz w:val="24"/>
                <w:szCs w:val="24"/>
                <w:highlight w:val="none"/>
                <w:lang w:val="en-US" w:eastAsia="en-US" w:bidi="ar-SA"/>
              </w:rPr>
              <w:t>出具机构不符合要求的。</w:t>
            </w:r>
          </w:p>
        </w:tc>
      </w:tr>
      <w:tr w14:paraId="254AE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noWrap w:val="0"/>
            <w:vAlign w:val="center"/>
          </w:tcPr>
          <w:p w14:paraId="717483C6">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line="360" w:lineRule="auto"/>
              <w:ind w:left="0" w:leftChars="0" w:right="0" w:rightChars="0" w:firstLine="0" w:firstLineChars="0"/>
              <w:jc w:val="center"/>
              <w:textAlignment w:val="auto"/>
              <w:outlineLvl w:val="9"/>
              <w:rPr>
                <w:rFonts w:hint="eastAsia" w:ascii="宋体" w:hAnsi="宋体" w:eastAsia="宋体" w:cs="宋体"/>
                <w:b w:val="0"/>
                <w:bCs w:val="0"/>
                <w:caps w:val="0"/>
                <w:smallCaps w:val="0"/>
                <w:snapToGrid w:val="0"/>
                <w:color w:val="auto"/>
                <w:spacing w:val="0"/>
                <w:kern w:val="0"/>
                <w:sz w:val="24"/>
                <w:szCs w:val="24"/>
                <w:highlight w:val="none"/>
                <w:lang w:val="en-US" w:eastAsia="zh-CN" w:bidi="ar"/>
              </w:rPr>
            </w:pPr>
            <w:r>
              <w:rPr>
                <w:rFonts w:hint="eastAsia" w:ascii="宋体" w:hAnsi="宋体" w:eastAsia="宋体" w:cs="宋体"/>
                <w:b w:val="0"/>
                <w:bCs w:val="0"/>
                <w:caps w:val="0"/>
                <w:smallCaps w:val="0"/>
                <w:snapToGrid w:val="0"/>
                <w:color w:val="auto"/>
                <w:spacing w:val="0"/>
                <w:kern w:val="0"/>
                <w:sz w:val="24"/>
                <w:szCs w:val="24"/>
                <w:highlight w:val="none"/>
                <w:lang w:val="en-US" w:eastAsia="zh-CN" w:bidi="ar"/>
              </w:rPr>
              <w:t>企业管理</w:t>
            </w:r>
          </w:p>
          <w:p w14:paraId="3F91DC07">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line="360" w:lineRule="auto"/>
              <w:ind w:left="0" w:leftChars="0" w:right="0" w:rightChars="0" w:firstLine="0" w:firstLineChars="0"/>
              <w:jc w:val="center"/>
              <w:textAlignment w:val="auto"/>
              <w:outlineLvl w:val="9"/>
              <w:rPr>
                <w:rFonts w:hint="eastAsia" w:ascii="宋体" w:hAnsi="宋体" w:eastAsia="宋体" w:cs="宋体"/>
                <w:b w:val="0"/>
                <w:bCs w:val="0"/>
                <w:caps w:val="0"/>
                <w:smallCaps w:val="0"/>
                <w:snapToGrid w:val="0"/>
                <w:color w:val="auto"/>
                <w:spacing w:val="0"/>
                <w:kern w:val="0"/>
                <w:sz w:val="24"/>
                <w:szCs w:val="24"/>
                <w:highlight w:val="none"/>
                <w:lang w:val="en-US" w:eastAsia="zh-CN" w:bidi="ar"/>
              </w:rPr>
            </w:pPr>
            <w:r>
              <w:rPr>
                <w:rFonts w:hint="eastAsia" w:ascii="宋体" w:hAnsi="宋体" w:eastAsia="宋体" w:cs="宋体"/>
                <w:b w:val="0"/>
                <w:bCs w:val="0"/>
                <w:caps w:val="0"/>
                <w:smallCaps w:val="0"/>
                <w:snapToGrid w:val="0"/>
                <w:color w:val="auto"/>
                <w:spacing w:val="0"/>
                <w:kern w:val="0"/>
                <w:sz w:val="24"/>
                <w:szCs w:val="24"/>
                <w:highlight w:val="none"/>
                <w:lang w:val="en-US" w:eastAsia="zh-CN" w:bidi="ar"/>
              </w:rPr>
              <w:t>体系认证</w:t>
            </w:r>
          </w:p>
          <w:p w14:paraId="12424A9C">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line="360" w:lineRule="auto"/>
              <w:ind w:left="0" w:leftChars="0" w:right="0" w:rightChars="0" w:firstLine="0" w:firstLineChars="0"/>
              <w:jc w:val="center"/>
              <w:textAlignment w:val="auto"/>
              <w:outlineLvl w:val="9"/>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b w:val="0"/>
                <w:bCs w:val="0"/>
                <w:caps w:val="0"/>
                <w:smallCaps w:val="0"/>
                <w:snapToGrid w:val="0"/>
                <w:color w:val="auto"/>
                <w:spacing w:val="0"/>
                <w:kern w:val="0"/>
                <w:sz w:val="24"/>
                <w:szCs w:val="24"/>
                <w:highlight w:val="none"/>
                <w:lang w:val="en-US" w:eastAsia="zh-CN" w:bidi="ar"/>
              </w:rPr>
              <w:t>（6分）</w:t>
            </w:r>
          </w:p>
        </w:tc>
        <w:tc>
          <w:tcPr>
            <w:tcW w:w="3507" w:type="dxa"/>
            <w:noWrap w:val="0"/>
            <w:vAlign w:val="center"/>
          </w:tcPr>
          <w:p w14:paraId="7B1E987A">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val="0"/>
              <w:spacing w:before="0" w:beforeLines="0" w:beforeAutospacing="0" w:after="0" w:afterLines="0" w:afterAutospacing="0" w:line="360" w:lineRule="auto"/>
              <w:ind w:left="0" w:leftChars="0" w:right="0" w:rightChars="0" w:firstLine="0" w:firstLineChars="0"/>
              <w:jc w:val="both"/>
              <w:textAlignment w:val="auto"/>
              <w:outlineLvl w:val="9"/>
              <w:rPr>
                <w:rFonts w:hint="eastAsia" w:ascii="宋体" w:hAnsi="宋体" w:eastAsia="宋体" w:cs="宋体"/>
                <w:b w:val="0"/>
                <w:bCs w:val="0"/>
                <w:caps w:val="0"/>
                <w:smallCaps w:val="0"/>
                <w:snapToGrid w:val="0"/>
                <w:color w:val="auto"/>
                <w:spacing w:val="0"/>
                <w:kern w:val="0"/>
                <w:sz w:val="24"/>
                <w:szCs w:val="24"/>
                <w:highlight w:val="none"/>
                <w:lang w:val="en-US" w:eastAsia="zh-CN" w:bidi="ar-SA"/>
              </w:rPr>
            </w:pPr>
            <w:r>
              <w:rPr>
                <w:rFonts w:hint="eastAsia" w:ascii="宋体" w:hAnsi="宋体" w:eastAsia="宋体" w:cs="宋体"/>
                <w:b w:val="0"/>
                <w:bCs w:val="0"/>
                <w:caps w:val="0"/>
                <w:smallCaps w:val="0"/>
                <w:snapToGrid w:val="0"/>
                <w:color w:val="auto"/>
                <w:spacing w:val="0"/>
                <w:kern w:val="0"/>
                <w:sz w:val="24"/>
                <w:szCs w:val="24"/>
                <w:highlight w:val="none"/>
                <w:lang w:val="en-US" w:eastAsia="zh-CN" w:bidi="ar-SA"/>
              </w:rPr>
              <w:t>1．质量管理体系认证</w:t>
            </w:r>
            <w:r>
              <w:rPr>
                <w:rFonts w:hint="eastAsia" w:ascii="宋体" w:hAnsi="宋体" w:eastAsia="宋体" w:cs="宋体"/>
                <w:b w:val="0"/>
                <w:bCs w:val="0"/>
                <w:caps w:val="0"/>
                <w:smallCaps w:val="0"/>
                <w:snapToGrid w:val="0"/>
                <w:color w:val="auto"/>
                <w:spacing w:val="0"/>
                <w:kern w:val="0"/>
                <w:sz w:val="24"/>
                <w:szCs w:val="24"/>
                <w:highlight w:val="none"/>
                <w:lang w:val="en-US" w:eastAsia="zh-CN" w:bidi="ar"/>
              </w:rPr>
              <w:t>、</w:t>
            </w:r>
            <w:r>
              <w:rPr>
                <w:rFonts w:hint="eastAsia" w:ascii="宋体" w:hAnsi="宋体" w:eastAsia="宋体" w:cs="宋体"/>
                <w:b w:val="0"/>
                <w:bCs w:val="0"/>
                <w:caps w:val="0"/>
                <w:smallCaps w:val="0"/>
                <w:snapToGrid w:val="0"/>
                <w:color w:val="auto"/>
                <w:spacing w:val="0"/>
                <w:kern w:val="0"/>
                <w:sz w:val="24"/>
                <w:szCs w:val="24"/>
                <w:highlight w:val="none"/>
                <w:lang w:val="en-US" w:eastAsia="zh-CN" w:bidi="ar-SA"/>
              </w:rPr>
              <w:t>职业健康安全管理体系认证</w:t>
            </w:r>
            <w:r>
              <w:rPr>
                <w:rFonts w:hint="eastAsia" w:ascii="宋体" w:hAnsi="宋体" w:eastAsia="宋体" w:cs="宋体"/>
                <w:b w:val="0"/>
                <w:bCs w:val="0"/>
                <w:caps w:val="0"/>
                <w:smallCaps w:val="0"/>
                <w:snapToGrid w:val="0"/>
                <w:color w:val="auto"/>
                <w:spacing w:val="0"/>
                <w:kern w:val="0"/>
                <w:sz w:val="24"/>
                <w:szCs w:val="24"/>
                <w:highlight w:val="none"/>
                <w:lang w:val="en-US" w:eastAsia="zh-CN" w:bidi="ar"/>
              </w:rPr>
              <w:t>、</w:t>
            </w:r>
            <w:r>
              <w:rPr>
                <w:rFonts w:hint="eastAsia" w:ascii="宋体" w:hAnsi="宋体" w:eastAsia="宋体" w:cs="宋体"/>
                <w:b w:val="0"/>
                <w:bCs w:val="0"/>
                <w:caps w:val="0"/>
                <w:smallCaps w:val="0"/>
                <w:snapToGrid w:val="0"/>
                <w:color w:val="auto"/>
                <w:spacing w:val="0"/>
                <w:kern w:val="0"/>
                <w:sz w:val="24"/>
                <w:szCs w:val="24"/>
                <w:highlight w:val="none"/>
                <w:lang w:val="en-US" w:eastAsia="zh-CN" w:bidi="ar-SA"/>
              </w:rPr>
              <w:t>环境管理体系认证</w:t>
            </w:r>
            <w:r>
              <w:rPr>
                <w:rFonts w:hint="eastAsia" w:ascii="宋体" w:hAnsi="宋体" w:eastAsia="宋体" w:cs="宋体"/>
                <w:b w:val="0"/>
                <w:bCs w:val="0"/>
                <w:caps w:val="0"/>
                <w:smallCaps w:val="0"/>
                <w:snapToGrid w:val="0"/>
                <w:color w:val="auto"/>
                <w:spacing w:val="0"/>
                <w:kern w:val="0"/>
                <w:sz w:val="24"/>
                <w:szCs w:val="24"/>
                <w:highlight w:val="none"/>
                <w:lang w:val="en-US" w:eastAsia="zh-CN" w:bidi="ar"/>
              </w:rPr>
              <w:t>中，每获得1项认证</w:t>
            </w:r>
            <w:r>
              <w:rPr>
                <w:rFonts w:hint="eastAsia" w:ascii="宋体" w:hAnsi="宋体" w:eastAsia="宋体" w:cs="宋体"/>
                <w:b w:val="0"/>
                <w:bCs w:val="0"/>
                <w:caps w:val="0"/>
                <w:smallCaps w:val="0"/>
                <w:snapToGrid w:val="0"/>
                <w:color w:val="auto"/>
                <w:spacing w:val="0"/>
                <w:kern w:val="0"/>
                <w:sz w:val="24"/>
                <w:szCs w:val="24"/>
                <w:highlight w:val="none"/>
                <w:lang w:val="en-US" w:eastAsia="zh-CN" w:bidi="ar-SA"/>
              </w:rPr>
              <w:t>得2分，最高得6分。</w:t>
            </w:r>
          </w:p>
          <w:p w14:paraId="32F71498">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val="0"/>
              <w:spacing w:before="0" w:beforeLines="0" w:beforeAutospacing="0" w:after="0" w:afterLines="0" w:afterAutospacing="0" w:line="360" w:lineRule="auto"/>
              <w:ind w:left="0" w:leftChars="0" w:right="0" w:rightChars="0" w:firstLine="0" w:firstLineChars="0"/>
              <w:jc w:val="both"/>
              <w:textAlignment w:val="auto"/>
              <w:outlineLvl w:val="9"/>
              <w:rPr>
                <w:rFonts w:hint="eastAsia" w:ascii="宋体" w:hAnsi="宋体" w:eastAsia="宋体" w:cs="宋体"/>
                <w:snapToGrid/>
                <w:color w:val="auto"/>
                <w:kern w:val="0"/>
                <w:sz w:val="24"/>
                <w:szCs w:val="24"/>
                <w:highlight w:val="none"/>
                <w:lang w:val="en-US" w:eastAsia="zh-CN"/>
              </w:rPr>
            </w:pPr>
            <w:r>
              <w:rPr>
                <w:rFonts w:hint="eastAsia" w:ascii="宋体" w:hAnsi="宋体" w:eastAsia="宋体" w:cs="宋体"/>
                <w:b w:val="0"/>
                <w:bCs w:val="0"/>
                <w:caps w:val="0"/>
                <w:smallCaps w:val="0"/>
                <w:snapToGrid w:val="0"/>
                <w:color w:val="auto"/>
                <w:spacing w:val="0"/>
                <w:kern w:val="0"/>
                <w:sz w:val="24"/>
                <w:szCs w:val="24"/>
                <w:highlight w:val="none"/>
                <w:lang w:val="en-US" w:eastAsia="zh-CN" w:bidi="ar-SA"/>
              </w:rPr>
              <w:t>2．未获得以上认证的，不予计分。</w:t>
            </w:r>
          </w:p>
        </w:tc>
        <w:tc>
          <w:tcPr>
            <w:tcW w:w="5133" w:type="dxa"/>
            <w:noWrap w:val="0"/>
            <w:vAlign w:val="center"/>
          </w:tcPr>
          <w:p w14:paraId="1B2DAF70">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line="360" w:lineRule="auto"/>
              <w:ind w:left="0" w:leftChars="0" w:right="0" w:rightChars="0" w:firstLine="0" w:firstLineChars="0"/>
              <w:jc w:val="both"/>
              <w:textAlignment w:val="auto"/>
              <w:outlineLvl w:val="9"/>
              <w:rPr>
                <w:rFonts w:hint="eastAsia" w:ascii="宋体" w:hAnsi="宋体" w:eastAsia="宋体" w:cs="宋体"/>
                <w:snapToGrid/>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bidi="ar-SA"/>
              </w:rPr>
              <w:t>需附在有效期内的认证证书</w:t>
            </w:r>
            <w:r>
              <w:rPr>
                <w:rFonts w:hint="eastAsia" w:ascii="宋体" w:hAnsi="宋体" w:eastAsia="宋体" w:cs="宋体"/>
                <w:snapToGrid w:val="0"/>
                <w:color w:val="auto"/>
                <w:kern w:val="0"/>
                <w:sz w:val="24"/>
                <w:szCs w:val="24"/>
                <w:highlight w:val="none"/>
                <w:lang w:val="en-US" w:eastAsia="zh-CN" w:bidi="ar-SA"/>
              </w:rPr>
              <w:t>彩色扫描件或打印件</w:t>
            </w:r>
            <w:r>
              <w:rPr>
                <w:rFonts w:hint="eastAsia" w:ascii="宋体" w:hAnsi="宋体" w:eastAsia="宋体" w:cs="宋体"/>
                <w:b w:val="0"/>
                <w:bCs w:val="0"/>
                <w:snapToGrid w:val="0"/>
                <w:color w:val="auto"/>
                <w:kern w:val="0"/>
                <w:sz w:val="24"/>
                <w:szCs w:val="24"/>
                <w:highlight w:val="none"/>
                <w:lang w:val="en-US" w:eastAsia="zh-CN" w:bidi="ar-SA"/>
              </w:rPr>
              <w:t>。</w:t>
            </w:r>
          </w:p>
        </w:tc>
      </w:tr>
      <w:tr w14:paraId="050C8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4" w:hRule="atLeast"/>
        </w:trPr>
        <w:tc>
          <w:tcPr>
            <w:tcW w:w="1214" w:type="dxa"/>
            <w:noWrap w:val="0"/>
            <w:vAlign w:val="center"/>
          </w:tcPr>
          <w:p w14:paraId="7E693042">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企业财务状况</w:t>
            </w:r>
          </w:p>
          <w:p w14:paraId="47D6C4B1">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val="0"/>
                <w:color w:val="auto"/>
                <w:kern w:val="0"/>
                <w:sz w:val="24"/>
                <w:szCs w:val="24"/>
                <w:highlight w:val="none"/>
                <w:lang w:val="en-US" w:eastAsia="zh-CN" w:bidi="ar"/>
              </w:rPr>
              <w:t>（9分）</w:t>
            </w:r>
          </w:p>
          <w:p w14:paraId="42C58B9A">
            <w:pPr>
              <w:keepNext w:val="0"/>
              <w:keepLines w:val="0"/>
              <w:pageBreakBefore w:val="0"/>
              <w:widowControl/>
              <w:suppressLineNumbers w:val="0"/>
              <w:overflowPunct/>
              <w:topLinePunct w:val="0"/>
              <w:bidi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snapToGrid w:val="0"/>
                <w:color w:val="auto"/>
                <w:kern w:val="0"/>
                <w:sz w:val="24"/>
                <w:szCs w:val="24"/>
                <w:highlight w:val="none"/>
                <w:lang w:val="en-US" w:eastAsia="zh-CN" w:bidi="ar-SA"/>
              </w:rPr>
            </w:pPr>
          </w:p>
        </w:tc>
        <w:tc>
          <w:tcPr>
            <w:tcW w:w="3507" w:type="dxa"/>
            <w:noWrap w:val="0"/>
            <w:vAlign w:val="center"/>
          </w:tcPr>
          <w:p w14:paraId="6AA25037">
            <w:pPr>
              <w:pStyle w:val="39"/>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both"/>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1．</w:t>
            </w:r>
            <w:r>
              <w:rPr>
                <w:rFonts w:hint="eastAsia" w:ascii="宋体" w:hAnsi="宋体" w:eastAsia="宋体" w:cs="宋体"/>
                <w:snapToGrid w:val="0"/>
                <w:color w:val="auto"/>
                <w:kern w:val="0"/>
                <w:sz w:val="24"/>
                <w:szCs w:val="24"/>
                <w:highlight w:val="none"/>
              </w:rPr>
              <w:t>提供不少于</w:t>
            </w:r>
            <w:r>
              <w:rPr>
                <w:rFonts w:hint="eastAsia" w:ascii="宋体" w:hAnsi="宋体" w:eastAsia="宋体" w:cs="宋体"/>
                <w:snapToGrid w:val="0"/>
                <w:color w:val="auto"/>
                <w:kern w:val="0"/>
                <w:sz w:val="24"/>
                <w:szCs w:val="24"/>
                <w:highlight w:val="none"/>
                <w:u w:val="single"/>
                <w:lang w:val="en-US" w:eastAsia="zh-CN"/>
              </w:rPr>
              <w:t>360</w:t>
            </w:r>
            <w:r>
              <w:rPr>
                <w:rFonts w:hint="eastAsia" w:ascii="宋体" w:hAnsi="宋体" w:eastAsia="宋体" w:cs="宋体"/>
                <w:snapToGrid w:val="0"/>
                <w:color w:val="auto"/>
                <w:kern w:val="0"/>
                <w:sz w:val="24"/>
                <w:szCs w:val="24"/>
                <w:highlight w:val="none"/>
              </w:rPr>
              <w:t>万元银行授信证明的，得</w:t>
            </w:r>
            <w:r>
              <w:rPr>
                <w:rFonts w:hint="eastAsia" w:ascii="宋体" w:hAnsi="宋体" w:eastAsia="宋体" w:cs="宋体"/>
                <w:snapToGrid w:val="0"/>
                <w:color w:val="auto"/>
                <w:kern w:val="0"/>
                <w:sz w:val="24"/>
                <w:szCs w:val="24"/>
                <w:highlight w:val="none"/>
                <w:lang w:val="en-US" w:eastAsia="zh-CN"/>
              </w:rPr>
              <w:t>9</w:t>
            </w:r>
            <w:r>
              <w:rPr>
                <w:rFonts w:hint="eastAsia" w:ascii="宋体" w:hAnsi="宋体" w:eastAsia="宋体" w:cs="宋体"/>
                <w:snapToGrid w:val="0"/>
                <w:color w:val="auto"/>
                <w:kern w:val="0"/>
                <w:sz w:val="24"/>
                <w:szCs w:val="24"/>
                <w:highlight w:val="none"/>
              </w:rPr>
              <w:t>分。</w:t>
            </w:r>
          </w:p>
          <w:p w14:paraId="7834629B">
            <w:pPr>
              <w:pStyle w:val="39"/>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bidi="ar-SA"/>
              </w:rPr>
              <w:t>2．</w:t>
            </w:r>
            <w:r>
              <w:rPr>
                <w:rFonts w:hint="eastAsia" w:ascii="宋体" w:hAnsi="宋体" w:eastAsia="宋体" w:cs="宋体"/>
                <w:snapToGrid w:val="0"/>
                <w:color w:val="auto"/>
                <w:kern w:val="0"/>
                <w:sz w:val="24"/>
                <w:szCs w:val="24"/>
                <w:highlight w:val="none"/>
                <w:lang w:val="en-US" w:eastAsia="zh-CN"/>
              </w:rPr>
              <w:t>未提供的，不予计分</w:t>
            </w:r>
            <w:r>
              <w:rPr>
                <w:rFonts w:hint="eastAsia" w:ascii="宋体" w:hAnsi="宋体" w:eastAsia="宋体" w:cs="宋体"/>
                <w:snapToGrid w:val="0"/>
                <w:color w:val="auto"/>
                <w:kern w:val="0"/>
                <w:sz w:val="24"/>
                <w:szCs w:val="24"/>
                <w:highlight w:val="none"/>
              </w:rPr>
              <w:t>。</w:t>
            </w:r>
          </w:p>
        </w:tc>
        <w:tc>
          <w:tcPr>
            <w:tcW w:w="5133" w:type="dxa"/>
            <w:noWrap w:val="0"/>
            <w:vAlign w:val="center"/>
          </w:tcPr>
          <w:p w14:paraId="40DEE96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firstLine="0"/>
              <w:jc w:val="both"/>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1．需附在有效期内的有关证明扫描件</w:t>
            </w:r>
            <w:r>
              <w:rPr>
                <w:rFonts w:hint="eastAsia" w:ascii="宋体" w:hAnsi="宋体" w:eastAsia="宋体" w:cs="宋体"/>
                <w:b/>
                <w:bCs/>
                <w:snapToGrid w:val="0"/>
                <w:color w:val="auto"/>
                <w:kern w:val="0"/>
                <w:sz w:val="24"/>
                <w:szCs w:val="24"/>
                <w:highlight w:val="none"/>
                <w:lang w:val="en-US" w:eastAsia="zh-CN" w:bidi="ar-SA"/>
              </w:rPr>
              <w:t>。</w:t>
            </w:r>
          </w:p>
          <w:p w14:paraId="46D63FB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firstLine="0"/>
              <w:jc w:val="both"/>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2．银行授信证明有以下情形之一的，视为无效，不予计分：</w:t>
            </w:r>
          </w:p>
          <w:p w14:paraId="406016F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firstLine="0"/>
              <w:jc w:val="both"/>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①授信证明不在有效期内的；</w:t>
            </w:r>
          </w:p>
          <w:p w14:paraId="27E3AAA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firstLine="0" w:firstLineChars="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②授信额度不符合要求的。</w:t>
            </w:r>
          </w:p>
        </w:tc>
      </w:tr>
      <w:tr w14:paraId="4A20B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3" w:hRule="atLeast"/>
        </w:trPr>
        <w:tc>
          <w:tcPr>
            <w:tcW w:w="1214" w:type="dxa"/>
            <w:vMerge w:val="restart"/>
            <w:noWrap w:val="0"/>
            <w:vAlign w:val="center"/>
          </w:tcPr>
          <w:p w14:paraId="42DA1628">
            <w:pPr>
              <w:keepNext w:val="0"/>
              <w:keepLines w:val="0"/>
              <w:widowControl/>
              <w:suppressLineNumbers w:val="0"/>
              <w:kinsoku/>
              <w:wordWrap w:val="0"/>
              <w:autoSpaceDE/>
              <w:autoSpaceDN/>
              <w:adjustRightInd w:val="0"/>
              <w:snapToGrid w:val="0"/>
              <w:spacing w:before="0" w:beforeAutospacing="0" w:after="120" w:afterAutospacing="0" w:line="360" w:lineRule="auto"/>
              <w:ind w:left="0" w:right="0"/>
              <w:jc w:val="center"/>
              <w:textAlignment w:val="auto"/>
              <w:rPr>
                <w:rFonts w:hint="eastAsia" w:ascii="宋体" w:hAnsi="宋体" w:eastAsia="宋体" w:cs="宋体"/>
                <w:snapToGrid w:val="0"/>
                <w:color w:val="auto"/>
                <w:kern w:val="0"/>
                <w:sz w:val="24"/>
                <w:szCs w:val="24"/>
                <w:highlight w:val="none"/>
                <w:lang w:eastAsia="zh-CN" w:bidi="ar"/>
              </w:rPr>
            </w:pPr>
            <w:r>
              <w:rPr>
                <w:rFonts w:hint="eastAsia" w:ascii="宋体" w:hAnsi="宋体" w:eastAsia="宋体" w:cs="宋体"/>
                <w:snapToGrid w:val="0"/>
                <w:color w:val="auto"/>
                <w:kern w:val="0"/>
                <w:sz w:val="24"/>
                <w:szCs w:val="24"/>
                <w:highlight w:val="none"/>
                <w:lang w:eastAsia="zh-CN" w:bidi="ar"/>
              </w:rPr>
              <w:t>招标人</w:t>
            </w:r>
          </w:p>
          <w:p w14:paraId="5BDFEBC3">
            <w:pPr>
              <w:keepNext w:val="0"/>
              <w:keepLines w:val="0"/>
              <w:widowControl/>
              <w:suppressLineNumbers w:val="0"/>
              <w:kinsoku/>
              <w:wordWrap w:val="0"/>
              <w:autoSpaceDE/>
              <w:autoSpaceDN/>
              <w:adjustRightInd w:val="0"/>
              <w:snapToGrid w:val="0"/>
              <w:spacing w:before="0" w:beforeAutospacing="0" w:after="120" w:afterAutospacing="0" w:line="360" w:lineRule="auto"/>
              <w:ind w:left="0" w:right="0"/>
              <w:jc w:val="center"/>
              <w:textAlignment w:val="auto"/>
              <w:rPr>
                <w:rFonts w:hint="eastAsia" w:ascii="宋体" w:hAnsi="宋体" w:eastAsia="宋体" w:cs="宋体"/>
                <w:snapToGrid w:val="0"/>
                <w:color w:val="auto"/>
                <w:kern w:val="0"/>
                <w:sz w:val="24"/>
                <w:szCs w:val="24"/>
                <w:highlight w:val="none"/>
                <w:lang w:eastAsia="zh-CN" w:bidi="ar"/>
              </w:rPr>
            </w:pPr>
            <w:r>
              <w:rPr>
                <w:rFonts w:hint="eastAsia" w:ascii="宋体" w:hAnsi="宋体" w:eastAsia="宋体" w:cs="宋体"/>
                <w:snapToGrid w:val="0"/>
                <w:color w:val="auto"/>
                <w:kern w:val="0"/>
                <w:sz w:val="24"/>
                <w:szCs w:val="24"/>
                <w:highlight w:val="none"/>
                <w:lang w:eastAsia="zh-CN" w:bidi="ar"/>
              </w:rPr>
              <w:t>自选项</w:t>
            </w:r>
          </w:p>
          <w:p w14:paraId="525878A4">
            <w:pPr>
              <w:keepNext w:val="0"/>
              <w:keepLines w:val="0"/>
              <w:widowControl w:val="0"/>
              <w:suppressLineNumbers w:val="0"/>
              <w:wordWrap w:val="0"/>
              <w:adjustRightInd w:val="0"/>
              <w:snapToGrid w:val="0"/>
              <w:spacing w:before="0" w:beforeAutospacing="0" w:after="0" w:afterAutospacing="0" w:line="360" w:lineRule="auto"/>
              <w:ind w:left="0" w:right="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
              </w:rPr>
              <w:t>（10分）</w:t>
            </w:r>
          </w:p>
        </w:tc>
        <w:tc>
          <w:tcPr>
            <w:tcW w:w="3507" w:type="dxa"/>
            <w:noWrap w:val="0"/>
            <w:vAlign w:val="center"/>
          </w:tcPr>
          <w:p w14:paraId="198E9117">
            <w:pPr>
              <w:pStyle w:val="13"/>
              <w:widowControl w:val="0"/>
              <w:jc w:val="both"/>
              <w:rPr>
                <w:rFonts w:hint="eastAsia" w:ascii="宋体" w:hAnsi="宋体" w:eastAsia="宋体" w:cs="宋体"/>
                <w:color w:val="auto"/>
                <w:spacing w:val="2"/>
                <w:kern w:val="2"/>
                <w:sz w:val="24"/>
                <w:szCs w:val="24"/>
                <w:highlight w:val="none"/>
                <w:lang w:val="en-US" w:eastAsia="zh-CN" w:bidi="ar-SA"/>
              </w:rPr>
            </w:pPr>
          </w:p>
          <w:p w14:paraId="725FCFE7">
            <w:pPr>
              <w:pStyle w:val="13"/>
              <w:widowControl w:val="0"/>
              <w:jc w:val="both"/>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pacing w:val="2"/>
                <w:kern w:val="2"/>
                <w:sz w:val="24"/>
                <w:szCs w:val="24"/>
                <w:highlight w:val="none"/>
                <w:lang w:val="en-US" w:eastAsia="zh-CN" w:bidi="ar-SA"/>
              </w:rPr>
              <w:t>1.企业连续8年以上（含8年）获得纳税信用 A级纳税人的，得5分。(其中必须有2025年度)</w:t>
            </w:r>
          </w:p>
          <w:p w14:paraId="4DC98B29">
            <w:pPr>
              <w:pStyle w:val="13"/>
              <w:widowControl w:val="0"/>
              <w:jc w:val="both"/>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pacing w:val="2"/>
                <w:kern w:val="2"/>
                <w:sz w:val="24"/>
                <w:szCs w:val="24"/>
                <w:highlight w:val="none"/>
                <w:lang w:val="en-US" w:eastAsia="zh-CN" w:bidi="ar-SA"/>
              </w:rPr>
              <w:t>2.企业连续获得4-7年纳税信用A级纳税人的，得 3分。(其中必须有2025年度)</w:t>
            </w:r>
          </w:p>
          <w:p w14:paraId="6D89B8D7">
            <w:pPr>
              <w:pStyle w:val="13"/>
              <w:widowControl w:val="0"/>
              <w:jc w:val="both"/>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pacing w:val="2"/>
                <w:kern w:val="2"/>
                <w:sz w:val="24"/>
                <w:szCs w:val="24"/>
                <w:highlight w:val="none"/>
                <w:lang w:val="en-US" w:eastAsia="zh-CN" w:bidi="ar-SA"/>
              </w:rPr>
              <w:t>3.企业获得1-3年纳税信用A级纳税人的，得1分。(其中必须有2025年度)</w:t>
            </w:r>
          </w:p>
          <w:p w14:paraId="1F387A09">
            <w:pPr>
              <w:pStyle w:val="13"/>
              <w:widowControl w:val="0"/>
              <w:jc w:val="both"/>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pacing w:val="2"/>
                <w:kern w:val="2"/>
                <w:sz w:val="24"/>
                <w:szCs w:val="24"/>
                <w:highlight w:val="none"/>
                <w:lang w:val="en-US" w:eastAsia="zh-CN" w:bidi="ar-SA"/>
              </w:rPr>
              <w:t>4.其他情形的，不予计分。</w:t>
            </w:r>
          </w:p>
          <w:p w14:paraId="62361242">
            <w:pPr>
              <w:pStyle w:val="13"/>
              <w:widowControl w:val="0"/>
              <w:jc w:val="both"/>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pacing w:val="2"/>
                <w:kern w:val="2"/>
                <w:sz w:val="24"/>
                <w:szCs w:val="24"/>
                <w:highlight w:val="none"/>
                <w:lang w:val="en-US" w:eastAsia="zh-CN" w:bidi="ar-SA"/>
              </w:rPr>
              <w:t>5.本小项最高得5分。</w:t>
            </w:r>
          </w:p>
        </w:tc>
        <w:tc>
          <w:tcPr>
            <w:tcW w:w="5133" w:type="dxa"/>
            <w:noWrap w:val="0"/>
            <w:vAlign w:val="center"/>
          </w:tcPr>
          <w:p w14:paraId="7F5A8898">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eastAsia" w:ascii="宋体" w:hAnsi="宋体" w:eastAsia="宋体" w:cs="宋体"/>
                <w:snapToGrid/>
                <w:color w:val="auto"/>
                <w:kern w:val="2"/>
                <w:sz w:val="24"/>
                <w:szCs w:val="24"/>
                <w:highlight w:val="none"/>
                <w:lang w:eastAsia="zh-CN"/>
              </w:rPr>
            </w:pPr>
          </w:p>
          <w:p w14:paraId="48F7BF9E">
            <w:pPr>
              <w:keepNext w:val="0"/>
              <w:keepLines w:val="0"/>
              <w:pageBreakBefore w:val="0"/>
              <w:widowControl/>
              <w:suppressLineNumbers w:val="0"/>
              <w:overflowPunct/>
              <w:topLinePunct w:val="0"/>
              <w:bidi w:val="0"/>
              <w:adjustRightInd w:val="0"/>
              <w:snapToGrid w:val="0"/>
              <w:spacing w:before="0" w:beforeAutospacing="0" w:after="0" w:afterAutospacing="0" w:line="240" w:lineRule="auto"/>
              <w:ind w:left="0" w:right="0" w:firstLine="0"/>
              <w:jc w:val="center"/>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color w:val="auto"/>
                <w:spacing w:val="10"/>
                <w:kern w:val="2"/>
                <w:sz w:val="24"/>
                <w:szCs w:val="24"/>
                <w:highlight w:val="none"/>
                <w:lang w:val="en-US" w:eastAsia="en-US" w:bidi="ar-SA"/>
              </w:rPr>
              <w:t>1．必须提供企业纳税信用A级纳税人证明材料</w:t>
            </w:r>
            <w:r>
              <w:rPr>
                <w:rFonts w:hint="eastAsia" w:ascii="宋体" w:hAnsi="宋体" w:eastAsia="宋体" w:cs="宋体"/>
                <w:color w:val="auto"/>
                <w:spacing w:val="4"/>
                <w:kern w:val="2"/>
                <w:sz w:val="24"/>
                <w:szCs w:val="24"/>
                <w:highlight w:val="none"/>
                <w:lang w:val="en-US" w:eastAsia="en-US" w:bidi="ar-SA"/>
              </w:rPr>
              <w:t>（或证书）</w:t>
            </w:r>
            <w:r>
              <w:rPr>
                <w:rFonts w:hint="eastAsia" w:ascii="宋体" w:hAnsi="宋体" w:eastAsia="宋体" w:cs="宋体"/>
                <w:color w:val="auto"/>
                <w:spacing w:val="4"/>
                <w:kern w:val="2"/>
                <w:sz w:val="24"/>
                <w:szCs w:val="24"/>
                <w:highlight w:val="none"/>
                <w:lang w:val="en-US" w:eastAsia="zh-CN" w:bidi="ar-SA"/>
              </w:rPr>
              <w:t>或</w:t>
            </w:r>
            <w:r>
              <w:rPr>
                <w:rFonts w:hint="eastAsia" w:ascii="宋体" w:hAnsi="宋体" w:eastAsia="宋体" w:cs="宋体"/>
                <w:color w:val="auto"/>
                <w:spacing w:val="4"/>
                <w:kern w:val="2"/>
                <w:sz w:val="24"/>
                <w:szCs w:val="24"/>
                <w:highlight w:val="none"/>
                <w:lang w:val="en-US" w:eastAsia="en-US" w:bidi="ar-SA"/>
              </w:rPr>
              <w:t>国家税务总局网上查询截图，否则不得分。</w:t>
            </w:r>
          </w:p>
          <w:p w14:paraId="50B22506">
            <w:pPr>
              <w:keepNext w:val="0"/>
              <w:keepLines w:val="0"/>
              <w:pageBreakBefore w:val="0"/>
              <w:widowControl/>
              <w:suppressLineNumbers w:val="0"/>
              <w:overflowPunct/>
              <w:topLinePunct w:val="0"/>
              <w:bidi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color w:val="auto"/>
                <w:spacing w:val="3"/>
                <w:kern w:val="2"/>
                <w:sz w:val="24"/>
                <w:szCs w:val="24"/>
                <w:highlight w:val="none"/>
                <w:lang w:val="en-US" w:eastAsia="en-US" w:bidi="ar-SA"/>
              </w:rPr>
              <w:t>2．只计算投标人自身（不计算投标人的分公司、</w:t>
            </w:r>
            <w:r>
              <w:rPr>
                <w:rFonts w:hint="eastAsia" w:ascii="宋体" w:hAnsi="宋体" w:eastAsia="宋体" w:cs="宋体"/>
                <w:color w:val="auto"/>
                <w:spacing w:val="7"/>
                <w:kern w:val="2"/>
                <w:sz w:val="24"/>
                <w:szCs w:val="24"/>
                <w:highlight w:val="none"/>
                <w:lang w:val="en-US" w:eastAsia="en-US" w:bidi="ar-SA"/>
              </w:rPr>
              <w:t>子公司及分支机构）</w:t>
            </w:r>
          </w:p>
        </w:tc>
      </w:tr>
      <w:tr w14:paraId="6CA2A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1214" w:type="dxa"/>
            <w:vMerge w:val="continue"/>
            <w:noWrap w:val="0"/>
            <w:vAlign w:val="top"/>
          </w:tcPr>
          <w:p w14:paraId="541C593C">
            <w:pPr>
              <w:keepNext w:val="0"/>
              <w:keepLines w:val="0"/>
              <w:widowControl w:val="0"/>
              <w:suppressLineNumbers w:val="0"/>
              <w:kinsoku/>
              <w:autoSpaceDE/>
              <w:autoSpaceDN/>
              <w:adjustRightInd/>
              <w:snapToGrid/>
              <w:spacing w:before="0" w:beforeAutospacing="0" w:after="0" w:afterAutospacing="0" w:line="360" w:lineRule="auto"/>
              <w:ind w:left="0" w:right="0"/>
              <w:jc w:val="both"/>
              <w:textAlignment w:val="auto"/>
              <w:rPr>
                <w:rFonts w:hint="eastAsia" w:ascii="宋体" w:hAnsi="宋体" w:eastAsia="宋体" w:cs="宋体"/>
                <w:snapToGrid/>
                <w:color w:val="auto"/>
                <w:kern w:val="2"/>
                <w:sz w:val="24"/>
                <w:szCs w:val="24"/>
                <w:highlight w:val="none"/>
                <w:lang w:eastAsia="zh-CN"/>
              </w:rPr>
            </w:pPr>
          </w:p>
        </w:tc>
        <w:tc>
          <w:tcPr>
            <w:tcW w:w="3507" w:type="dxa"/>
            <w:shd w:val="clear" w:color="auto" w:fill="auto"/>
            <w:noWrap w:val="0"/>
            <w:vAlign w:val="center"/>
          </w:tcPr>
          <w:p w14:paraId="2FEB190C">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eastAsia" w:ascii="宋体" w:hAnsi="宋体" w:eastAsia="宋体" w:cs="宋体"/>
                <w:snapToGrid/>
                <w:color w:val="auto"/>
                <w:kern w:val="2"/>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
              </w:rPr>
              <w:t>企业具有高新技术企业证书的，得5分；</w:t>
            </w:r>
          </w:p>
        </w:tc>
        <w:tc>
          <w:tcPr>
            <w:tcW w:w="5133" w:type="dxa"/>
            <w:shd w:val="clear" w:color="auto" w:fill="auto"/>
            <w:noWrap w:val="0"/>
            <w:vAlign w:val="center"/>
          </w:tcPr>
          <w:p w14:paraId="4F955D94">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color w:val="auto"/>
                <w:kern w:val="2"/>
                <w:sz w:val="24"/>
                <w:szCs w:val="24"/>
                <w:highlight w:val="none"/>
                <w:lang w:val="en-US" w:eastAsia="zh-CN"/>
              </w:rPr>
              <w:t>提供有效期内的高新技术企业证书彩色扫描件及网上查询截图。证书不在有效期内的，不得分。</w:t>
            </w:r>
          </w:p>
        </w:tc>
      </w:tr>
      <w:tr w14:paraId="37AFD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3"/>
            <w:noWrap w:val="0"/>
            <w:vAlign w:val="top"/>
          </w:tcPr>
          <w:p w14:paraId="61817B3A">
            <w:pPr>
              <w:keepNext w:val="0"/>
              <w:keepLines w:val="0"/>
              <w:widowControl w:val="0"/>
              <w:suppressLineNumbers w:val="0"/>
              <w:kinsoku/>
              <w:autoSpaceDE/>
              <w:autoSpaceDN/>
              <w:adjustRightInd/>
              <w:snapToGrid/>
              <w:spacing w:before="0" w:beforeAutospacing="0" w:after="0" w:afterAutospacing="0" w:line="360" w:lineRule="auto"/>
              <w:ind w:left="0" w:right="0"/>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b/>
                <w:bCs/>
                <w:snapToGrid/>
                <w:color w:val="auto"/>
                <w:kern w:val="2"/>
                <w:sz w:val="24"/>
                <w:szCs w:val="24"/>
                <w:highlight w:val="none"/>
                <w:lang w:eastAsia="zh-CN"/>
              </w:rPr>
              <w:t>技术部分（施工组织设计），满分：20分。</w:t>
            </w:r>
          </w:p>
        </w:tc>
      </w:tr>
      <w:tr w14:paraId="7BDBC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noWrap w:val="0"/>
            <w:vAlign w:val="center"/>
          </w:tcPr>
          <w:p w14:paraId="2EBE321B">
            <w:pPr>
              <w:keepNext w:val="0"/>
              <w:keepLines w:val="0"/>
              <w:widowControl w:val="0"/>
              <w:suppressLineNumbers w:val="0"/>
              <w:kinsoku/>
              <w:autoSpaceDE/>
              <w:autoSpaceDN/>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eastAsia="zh-CN"/>
              </w:rPr>
              <w:t>评分因素</w:t>
            </w:r>
          </w:p>
        </w:tc>
        <w:tc>
          <w:tcPr>
            <w:tcW w:w="3507" w:type="dxa"/>
            <w:noWrap w:val="0"/>
            <w:vAlign w:val="center"/>
          </w:tcPr>
          <w:p w14:paraId="3E22121E">
            <w:pPr>
              <w:keepNext w:val="0"/>
              <w:keepLines w:val="0"/>
              <w:widowControl w:val="0"/>
              <w:suppressLineNumbers w:val="0"/>
              <w:kinsoku/>
              <w:autoSpaceDE/>
              <w:autoSpaceDN/>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eastAsia="zh-CN"/>
              </w:rPr>
              <w:t>评分标准</w:t>
            </w:r>
          </w:p>
        </w:tc>
        <w:tc>
          <w:tcPr>
            <w:tcW w:w="5133" w:type="dxa"/>
            <w:noWrap w:val="0"/>
            <w:vAlign w:val="center"/>
          </w:tcPr>
          <w:p w14:paraId="4B2B95F8">
            <w:pPr>
              <w:keepNext w:val="0"/>
              <w:keepLines w:val="0"/>
              <w:widowControl w:val="0"/>
              <w:suppressLineNumbers w:val="0"/>
              <w:kinsoku/>
              <w:autoSpaceDE/>
              <w:autoSpaceDN/>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eastAsia="zh-CN"/>
              </w:rPr>
              <w:t>备注</w:t>
            </w:r>
          </w:p>
        </w:tc>
      </w:tr>
      <w:tr w14:paraId="267CA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noWrap w:val="0"/>
            <w:vAlign w:val="center"/>
          </w:tcPr>
          <w:p w14:paraId="1B939598">
            <w:pPr>
              <w:pStyle w:val="26"/>
              <w:keepNext w:val="0"/>
              <w:keepLines w:val="0"/>
              <w:suppressLineNumbers w:val="0"/>
              <w:wordWrap w:val="0"/>
              <w:adjustRightInd w:val="0"/>
              <w:snapToGrid w:val="0"/>
              <w:spacing w:before="0" w:beforeAutospacing="0" w:after="0" w:afterAutospacing="0" w:line="360" w:lineRule="auto"/>
              <w:ind w:left="0" w:right="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总体概述</w:t>
            </w:r>
          </w:p>
          <w:p w14:paraId="3F25CC22">
            <w:pPr>
              <w:keepNext w:val="0"/>
              <w:keepLines w:val="0"/>
              <w:widowControl w:val="0"/>
              <w:suppressLineNumbers w:val="0"/>
              <w:wordWrap w:val="0"/>
              <w:adjustRightInd w:val="0"/>
              <w:snapToGrid w:val="0"/>
              <w:spacing w:before="0" w:beforeAutospacing="0" w:after="0" w:afterLines="0" w:afterAutospacing="0" w:line="360" w:lineRule="auto"/>
              <w:ind w:left="0" w:right="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w:t>
            </w:r>
            <w:r>
              <w:rPr>
                <w:rFonts w:hint="eastAsia" w:ascii="宋体" w:hAnsi="宋体" w:eastAsia="宋体" w:cs="宋体"/>
                <w:snapToGrid w:val="0"/>
                <w:color w:val="auto"/>
                <w:kern w:val="0"/>
                <w:sz w:val="24"/>
                <w:szCs w:val="24"/>
                <w:highlight w:val="none"/>
                <w:u w:val="single"/>
                <w:lang w:val="en-US" w:eastAsia="zh-CN" w:bidi="ar-SA"/>
              </w:rPr>
              <w:t>3</w:t>
            </w:r>
            <w:r>
              <w:rPr>
                <w:rFonts w:hint="eastAsia" w:ascii="宋体" w:hAnsi="宋体" w:eastAsia="宋体" w:cs="宋体"/>
                <w:snapToGrid w:val="0"/>
                <w:color w:val="auto"/>
                <w:kern w:val="0"/>
                <w:sz w:val="24"/>
                <w:szCs w:val="24"/>
                <w:highlight w:val="none"/>
                <w:lang w:val="en-US" w:eastAsia="zh-CN" w:bidi="ar-SA"/>
              </w:rPr>
              <w:t>分）</w:t>
            </w:r>
          </w:p>
        </w:tc>
        <w:tc>
          <w:tcPr>
            <w:tcW w:w="3507" w:type="dxa"/>
            <w:noWrap w:val="0"/>
            <w:vAlign w:val="center"/>
          </w:tcPr>
          <w:p w14:paraId="08F48F1E">
            <w:pPr>
              <w:pStyle w:val="27"/>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w:t>
            </w:r>
            <w:r>
              <w:rPr>
                <w:rFonts w:hint="eastAsia" w:ascii="宋体" w:hAnsi="宋体"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rPr>
              <w:t>（含90%）；</w:t>
            </w:r>
          </w:p>
          <w:p w14:paraId="486E71F5">
            <w:pPr>
              <w:pStyle w:val="27"/>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603A64BE">
            <w:pPr>
              <w:pStyle w:val="27"/>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1C7646C0">
            <w:pPr>
              <w:keepNext w:val="0"/>
              <w:keepLines w:val="0"/>
              <w:widowControl w:val="0"/>
              <w:suppressLineNumbers w:val="0"/>
              <w:wordWrap w:val="0"/>
              <w:adjustRightInd w:val="0"/>
              <w:snapToGrid w:val="0"/>
              <w:spacing w:before="0" w:beforeAutospacing="0" w:after="0" w:afterLines="0" w:afterAutospacing="0" w:line="360" w:lineRule="auto"/>
              <w:ind w:left="0" w:right="0"/>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【差】得该项因素分的60%～70%（含60%）。</w:t>
            </w:r>
          </w:p>
        </w:tc>
        <w:tc>
          <w:tcPr>
            <w:tcW w:w="5133" w:type="dxa"/>
            <w:noWrap w:val="0"/>
            <w:vAlign w:val="center"/>
          </w:tcPr>
          <w:p w14:paraId="5BE0CCEF">
            <w:pPr>
              <w:keepNext w:val="0"/>
              <w:keepLines w:val="0"/>
              <w:widowControl w:val="0"/>
              <w:suppressLineNumbers w:val="0"/>
              <w:wordWrap w:val="0"/>
              <w:adjustRightInd w:val="0"/>
              <w:snapToGrid w:val="0"/>
              <w:spacing w:before="0" w:beforeAutospacing="0" w:after="0" w:afterLines="0" w:afterAutospacing="0" w:line="360" w:lineRule="auto"/>
              <w:ind w:left="0" w:right="0"/>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【优】对项目总体有深刻认识，表述清晰、完整、严谨、合理，措施先进、具体、有效、成熟，采用了新技术、新工艺、新材料、新设备；施工段划分呼应总体表述，划分清晰、合理，符合规范要求。</w:t>
            </w:r>
          </w:p>
          <w:p w14:paraId="3C1482E2">
            <w:pPr>
              <w:keepNext w:val="0"/>
              <w:keepLines w:val="0"/>
              <w:widowControl w:val="0"/>
              <w:suppressLineNumbers w:val="0"/>
              <w:wordWrap w:val="0"/>
              <w:adjustRightInd w:val="0"/>
              <w:snapToGrid w:val="0"/>
              <w:spacing w:before="0" w:beforeAutospacing="0" w:after="0" w:afterLines="0" w:afterAutospacing="0" w:line="360" w:lineRule="auto"/>
              <w:ind w:left="0" w:right="0"/>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【良】对项目总体有一定认识，表述清晰、完整，措施具体有效；施工段划分呼应总体表述，划分清晰，符合规范要求。</w:t>
            </w:r>
          </w:p>
          <w:p w14:paraId="5D460C55">
            <w:pPr>
              <w:keepNext w:val="0"/>
              <w:keepLines w:val="0"/>
              <w:widowControl w:val="0"/>
              <w:suppressLineNumbers w:val="0"/>
              <w:wordWrap w:val="0"/>
              <w:adjustRightInd w:val="0"/>
              <w:snapToGrid w:val="0"/>
              <w:spacing w:before="0" w:beforeAutospacing="0" w:after="0" w:afterLines="0" w:afterAutospacing="0" w:line="360" w:lineRule="auto"/>
              <w:ind w:left="0" w:right="0"/>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【中】对项目总体有认识，有一定的措施但部分不具体；施工段划分较合理，符合规范要求。</w:t>
            </w:r>
          </w:p>
          <w:p w14:paraId="39E63B35">
            <w:pPr>
              <w:keepNext w:val="0"/>
              <w:keepLines w:val="0"/>
              <w:widowControl w:val="0"/>
              <w:suppressLineNumbers w:val="0"/>
              <w:wordWrap w:val="0"/>
              <w:adjustRightInd w:val="0"/>
              <w:snapToGrid w:val="0"/>
              <w:spacing w:before="0" w:beforeAutospacing="0" w:after="0" w:afterLines="0" w:afterAutospacing="0" w:line="360" w:lineRule="auto"/>
              <w:ind w:left="0" w:right="0"/>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【差】对项目认识不足，表述不清晰，措施不具体；施工段划分不合理。</w:t>
            </w:r>
          </w:p>
        </w:tc>
      </w:tr>
      <w:tr w14:paraId="18B57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noWrap w:val="0"/>
            <w:vAlign w:val="center"/>
          </w:tcPr>
          <w:p w14:paraId="16CCA667">
            <w:pPr>
              <w:keepNext w:val="0"/>
              <w:keepLines w:val="0"/>
              <w:widowControl w:val="0"/>
              <w:suppressLineNumbers w:val="0"/>
              <w:wordWrap w:val="0"/>
              <w:adjustRightInd w:val="0"/>
              <w:snapToGrid w:val="0"/>
              <w:spacing w:before="0" w:beforeAutospacing="0" w:after="0" w:afterAutospacing="0" w:line="360" w:lineRule="auto"/>
              <w:ind w:left="0" w:right="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施工总进度计划及保证措施</w:t>
            </w:r>
          </w:p>
          <w:p w14:paraId="21C7DD2C">
            <w:pPr>
              <w:keepNext w:val="0"/>
              <w:keepLines w:val="0"/>
              <w:widowControl w:val="0"/>
              <w:suppressLineNumbers w:val="0"/>
              <w:wordWrap w:val="0"/>
              <w:adjustRightInd w:val="0"/>
              <w:snapToGrid w:val="0"/>
              <w:spacing w:before="0" w:beforeAutospacing="0" w:after="0" w:afterAutospacing="0" w:line="360" w:lineRule="auto"/>
              <w:ind w:left="0" w:right="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w:t>
            </w:r>
            <w:r>
              <w:rPr>
                <w:rFonts w:hint="eastAsia" w:ascii="宋体" w:hAnsi="宋体" w:eastAsia="宋体" w:cs="宋体"/>
                <w:snapToGrid w:val="0"/>
                <w:color w:val="auto"/>
                <w:kern w:val="0"/>
                <w:sz w:val="24"/>
                <w:szCs w:val="24"/>
                <w:highlight w:val="none"/>
                <w:u w:val="single"/>
                <w:lang w:val="en-US" w:eastAsia="zh-CN" w:bidi="ar-SA"/>
              </w:rPr>
              <w:t>3</w:t>
            </w:r>
            <w:r>
              <w:rPr>
                <w:rFonts w:hint="eastAsia" w:ascii="宋体" w:hAnsi="宋体" w:eastAsia="宋体" w:cs="宋体"/>
                <w:snapToGrid w:val="0"/>
                <w:color w:val="auto"/>
                <w:kern w:val="0"/>
                <w:sz w:val="24"/>
                <w:szCs w:val="24"/>
                <w:highlight w:val="none"/>
                <w:lang w:val="en-US" w:eastAsia="zh-CN" w:bidi="ar-SA"/>
              </w:rPr>
              <w:t>分）</w:t>
            </w:r>
          </w:p>
        </w:tc>
        <w:tc>
          <w:tcPr>
            <w:tcW w:w="3507" w:type="dxa"/>
            <w:noWrap w:val="0"/>
            <w:vAlign w:val="center"/>
          </w:tcPr>
          <w:p w14:paraId="173072F1">
            <w:pPr>
              <w:pStyle w:val="27"/>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18C3B719">
            <w:pPr>
              <w:pStyle w:val="27"/>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5FB3DFFA">
            <w:pPr>
              <w:pStyle w:val="27"/>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6F897D42">
            <w:pPr>
              <w:pStyle w:val="29"/>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【差】得该项因素分的60%～70%（含60%）。</w:t>
            </w:r>
          </w:p>
        </w:tc>
        <w:tc>
          <w:tcPr>
            <w:tcW w:w="5133" w:type="dxa"/>
            <w:noWrap w:val="0"/>
            <w:vAlign w:val="center"/>
          </w:tcPr>
          <w:p w14:paraId="1B560AA8">
            <w:pPr>
              <w:pStyle w:val="29"/>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【优】关键线路清晰、准确、完整，计划编制合理、可行。关键节点的控制措施有力、合理、可行。人、材、机需求和进场计划与进度计划相呼应，较</w:t>
            </w:r>
            <w:r>
              <w:rPr>
                <w:rFonts w:hint="eastAsia" w:ascii="宋体" w:hAnsi="宋体" w:eastAsia="宋体" w:cs="宋体"/>
                <w:snapToGrid w:val="0"/>
                <w:color w:val="auto"/>
                <w:kern w:val="0"/>
                <w:sz w:val="24"/>
                <w:szCs w:val="24"/>
                <w:highlight w:val="none"/>
                <w:lang w:eastAsia="zh-CN"/>
              </w:rPr>
              <w:t>好地</w:t>
            </w:r>
            <w:r>
              <w:rPr>
                <w:rFonts w:hint="eastAsia" w:ascii="宋体" w:hAnsi="宋体" w:eastAsia="宋体" w:cs="宋体"/>
                <w:snapToGrid w:val="0"/>
                <w:color w:val="auto"/>
                <w:kern w:val="0"/>
                <w:sz w:val="24"/>
                <w:szCs w:val="24"/>
                <w:highlight w:val="none"/>
              </w:rPr>
              <w:t>满足施工需要，调配投入计划合理、准确。进度违约责任承诺具体，</w:t>
            </w:r>
            <w:r>
              <w:rPr>
                <w:rFonts w:hint="eastAsia" w:ascii="宋体" w:hAnsi="宋体" w:eastAsia="宋体" w:cs="宋体"/>
                <w:b/>
                <w:bCs/>
                <w:snapToGrid w:val="0"/>
                <w:color w:val="auto"/>
                <w:kern w:val="0"/>
                <w:sz w:val="24"/>
                <w:szCs w:val="24"/>
                <w:highlight w:val="none"/>
              </w:rPr>
              <w:t>经济赔偿合理。</w:t>
            </w:r>
          </w:p>
          <w:p w14:paraId="53131D36">
            <w:pPr>
              <w:pStyle w:val="29"/>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宋体" w:hAnsi="宋体" w:eastAsia="宋体" w:cs="宋体"/>
                <w:b/>
                <w:bCs/>
                <w:snapToGrid w:val="0"/>
                <w:color w:val="auto"/>
                <w:kern w:val="0"/>
                <w:sz w:val="24"/>
                <w:szCs w:val="24"/>
                <w:highlight w:val="none"/>
              </w:rPr>
              <w:t>经济赔偿较合理。</w:t>
            </w:r>
          </w:p>
          <w:p w14:paraId="6055304F">
            <w:pPr>
              <w:pStyle w:val="29"/>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【中】关键线路基本准确，计划编制基本合理。关键节点的控制措施基本可行。人、材、机需求和进场计划与进度计划相呼应，基本满足施工需要，调配投入计划基本合理。进度违约责任承诺具体。</w:t>
            </w:r>
          </w:p>
          <w:p w14:paraId="25FF8202">
            <w:pPr>
              <w:pStyle w:val="29"/>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【差】关键线路不准确，计划编制不合理。关键节点的控制不可行。人、材、机需求和进场计划与进度计划不相呼应，不能满足施工需要。没有违约责任承诺。</w:t>
            </w:r>
          </w:p>
        </w:tc>
      </w:tr>
      <w:tr w14:paraId="03324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noWrap w:val="0"/>
            <w:vAlign w:val="center"/>
          </w:tcPr>
          <w:p w14:paraId="525C73E5">
            <w:pPr>
              <w:keepNext w:val="0"/>
              <w:keepLines w:val="0"/>
              <w:widowControl w:val="0"/>
              <w:suppressLineNumbers w:val="0"/>
              <w:wordWrap w:val="0"/>
              <w:adjustRightInd w:val="0"/>
              <w:snapToGrid w:val="0"/>
              <w:spacing w:before="0" w:beforeAutospacing="0" w:after="0" w:afterAutospacing="0" w:line="360" w:lineRule="auto"/>
              <w:ind w:left="0" w:right="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质量保证措施</w:t>
            </w:r>
          </w:p>
          <w:p w14:paraId="7DBA5CE3">
            <w:pPr>
              <w:keepNext w:val="0"/>
              <w:keepLines w:val="0"/>
              <w:widowControl w:val="0"/>
              <w:suppressLineNumbers w:val="0"/>
              <w:wordWrap w:val="0"/>
              <w:adjustRightInd w:val="0"/>
              <w:snapToGrid w:val="0"/>
              <w:spacing w:before="0" w:beforeAutospacing="0" w:after="0" w:afterAutospacing="0" w:line="360" w:lineRule="auto"/>
              <w:ind w:left="0" w:right="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w:t>
            </w:r>
            <w:r>
              <w:rPr>
                <w:rFonts w:hint="eastAsia" w:ascii="宋体" w:hAnsi="宋体" w:eastAsia="宋体" w:cs="宋体"/>
                <w:snapToGrid w:val="0"/>
                <w:color w:val="auto"/>
                <w:kern w:val="0"/>
                <w:sz w:val="24"/>
                <w:szCs w:val="24"/>
                <w:highlight w:val="none"/>
                <w:u w:val="single"/>
                <w:lang w:val="en-US" w:eastAsia="zh-CN" w:bidi="ar-SA"/>
              </w:rPr>
              <w:t>4</w:t>
            </w:r>
            <w:r>
              <w:rPr>
                <w:rFonts w:hint="eastAsia" w:ascii="宋体" w:hAnsi="宋体" w:eastAsia="宋体" w:cs="宋体"/>
                <w:snapToGrid w:val="0"/>
                <w:color w:val="auto"/>
                <w:kern w:val="0"/>
                <w:sz w:val="24"/>
                <w:szCs w:val="24"/>
                <w:highlight w:val="none"/>
                <w:lang w:val="en-US" w:eastAsia="zh-CN" w:bidi="ar-SA"/>
              </w:rPr>
              <w:t>分）</w:t>
            </w:r>
          </w:p>
        </w:tc>
        <w:tc>
          <w:tcPr>
            <w:tcW w:w="3507" w:type="dxa"/>
            <w:noWrap w:val="0"/>
            <w:vAlign w:val="center"/>
          </w:tcPr>
          <w:p w14:paraId="072C61F7">
            <w:pPr>
              <w:pStyle w:val="27"/>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14A7842C">
            <w:pPr>
              <w:pStyle w:val="27"/>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2D18224C">
            <w:pPr>
              <w:pStyle w:val="27"/>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0109D5EF">
            <w:pPr>
              <w:pStyle w:val="29"/>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【差】得该项因素分的60%～70%（含60%）。</w:t>
            </w:r>
          </w:p>
        </w:tc>
        <w:tc>
          <w:tcPr>
            <w:tcW w:w="5133" w:type="dxa"/>
            <w:noWrap w:val="0"/>
            <w:vAlign w:val="center"/>
          </w:tcPr>
          <w:p w14:paraId="69643E21">
            <w:pPr>
              <w:pStyle w:val="29"/>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【优】应用新技术、新工艺、新材料、新设备，针对项目实际提出先进、可行、具体的保证措施。超过招标文件的质量要求。</w:t>
            </w:r>
          </w:p>
          <w:p w14:paraId="6E3E2DAA">
            <w:pPr>
              <w:pStyle w:val="29"/>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【良】针对项目实际提出先进、可行、具体的保证措施。满足招标文件的质量要求。</w:t>
            </w:r>
          </w:p>
          <w:p w14:paraId="53B0E097">
            <w:pPr>
              <w:pStyle w:val="29"/>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【中】具体措施可行。满足招标文件的质量要求。</w:t>
            </w:r>
          </w:p>
          <w:p w14:paraId="5F08F43B">
            <w:pPr>
              <w:pStyle w:val="29"/>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【差】措施不可行，没有质量违约责任承诺。</w:t>
            </w:r>
          </w:p>
        </w:tc>
      </w:tr>
      <w:tr w14:paraId="641A8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noWrap w:val="0"/>
            <w:vAlign w:val="center"/>
          </w:tcPr>
          <w:p w14:paraId="768B37A8">
            <w:pPr>
              <w:keepNext w:val="0"/>
              <w:keepLines w:val="0"/>
              <w:widowControl w:val="0"/>
              <w:suppressLineNumbers w:val="0"/>
              <w:wordWrap w:val="0"/>
              <w:adjustRightInd w:val="0"/>
              <w:snapToGrid w:val="0"/>
              <w:spacing w:before="0" w:beforeAutospacing="0" w:after="0" w:afterAutospacing="0" w:line="360" w:lineRule="auto"/>
              <w:ind w:left="0" w:right="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施工技术措施</w:t>
            </w:r>
          </w:p>
          <w:p w14:paraId="23EEF1ED">
            <w:pPr>
              <w:keepNext w:val="0"/>
              <w:keepLines w:val="0"/>
              <w:widowControl w:val="0"/>
              <w:suppressLineNumbers w:val="0"/>
              <w:wordWrap w:val="0"/>
              <w:adjustRightInd w:val="0"/>
              <w:snapToGrid w:val="0"/>
              <w:spacing w:before="0" w:beforeAutospacing="0" w:after="0" w:afterAutospacing="0" w:line="360" w:lineRule="auto"/>
              <w:ind w:left="0" w:right="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w:t>
            </w:r>
            <w:r>
              <w:rPr>
                <w:rFonts w:hint="eastAsia" w:ascii="宋体" w:hAnsi="宋体" w:eastAsia="宋体" w:cs="宋体"/>
                <w:snapToGrid w:val="0"/>
                <w:color w:val="auto"/>
                <w:kern w:val="0"/>
                <w:sz w:val="24"/>
                <w:szCs w:val="24"/>
                <w:highlight w:val="none"/>
                <w:u w:val="single"/>
                <w:lang w:val="en-US" w:eastAsia="zh-CN" w:bidi="ar-SA"/>
              </w:rPr>
              <w:t>2</w:t>
            </w:r>
            <w:r>
              <w:rPr>
                <w:rFonts w:hint="eastAsia" w:ascii="宋体" w:hAnsi="宋体" w:eastAsia="宋体" w:cs="宋体"/>
                <w:snapToGrid w:val="0"/>
                <w:color w:val="auto"/>
                <w:kern w:val="0"/>
                <w:sz w:val="24"/>
                <w:szCs w:val="24"/>
                <w:highlight w:val="none"/>
                <w:lang w:val="en-US" w:eastAsia="zh-CN" w:bidi="ar-SA"/>
              </w:rPr>
              <w:t>分）</w:t>
            </w:r>
          </w:p>
        </w:tc>
        <w:tc>
          <w:tcPr>
            <w:tcW w:w="3507" w:type="dxa"/>
            <w:noWrap w:val="0"/>
            <w:vAlign w:val="center"/>
          </w:tcPr>
          <w:p w14:paraId="391883F6">
            <w:pPr>
              <w:pStyle w:val="27"/>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4BCA3A07">
            <w:pPr>
              <w:pStyle w:val="27"/>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3C4AFBAA">
            <w:pPr>
              <w:pStyle w:val="27"/>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171F5BCA">
            <w:pPr>
              <w:pStyle w:val="29"/>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【差】得该项因素分的60%～70%（含60%）。</w:t>
            </w:r>
          </w:p>
        </w:tc>
        <w:tc>
          <w:tcPr>
            <w:tcW w:w="5133" w:type="dxa"/>
            <w:noWrap w:val="0"/>
            <w:vAlign w:val="center"/>
          </w:tcPr>
          <w:p w14:paraId="23604D31">
            <w:pPr>
              <w:pStyle w:val="29"/>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宋体" w:hAnsi="宋体" w:eastAsia="宋体" w:cs="宋体"/>
                <w:b/>
                <w:bCs/>
                <w:snapToGrid w:val="0"/>
                <w:color w:val="auto"/>
                <w:kern w:val="0"/>
                <w:sz w:val="24"/>
                <w:szCs w:val="24"/>
                <w:highlight w:val="none"/>
              </w:rPr>
              <w:t>经济赔偿合理。</w:t>
            </w:r>
          </w:p>
          <w:p w14:paraId="20622973">
            <w:pPr>
              <w:pStyle w:val="29"/>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宋体" w:hAnsi="宋体" w:eastAsia="宋体" w:cs="宋体"/>
                <w:b/>
                <w:bCs/>
                <w:snapToGrid w:val="0"/>
                <w:color w:val="auto"/>
                <w:kern w:val="0"/>
                <w:sz w:val="24"/>
                <w:szCs w:val="24"/>
                <w:highlight w:val="none"/>
              </w:rPr>
              <w:t>经济赔偿较合理。</w:t>
            </w:r>
          </w:p>
          <w:p w14:paraId="236D2BAC">
            <w:pPr>
              <w:pStyle w:val="29"/>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79F91994">
            <w:pPr>
              <w:pStyle w:val="29"/>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【差】对项目关键技术有表述，对重点、难点有建议，解决方案不可行。采用的新技术针对性不强或验证材料不可靠，对节约投资、工期没有具体收益。无违约责任承诺。</w:t>
            </w:r>
          </w:p>
        </w:tc>
      </w:tr>
      <w:tr w14:paraId="1B671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noWrap w:val="0"/>
            <w:vAlign w:val="center"/>
          </w:tcPr>
          <w:p w14:paraId="55A2C045">
            <w:pPr>
              <w:keepNext w:val="0"/>
              <w:keepLines w:val="0"/>
              <w:widowControl w:val="0"/>
              <w:suppressLineNumbers w:val="0"/>
              <w:wordWrap w:val="0"/>
              <w:adjustRightInd w:val="0"/>
              <w:snapToGrid w:val="0"/>
              <w:spacing w:before="0" w:beforeAutospacing="0" w:after="0" w:afterAutospacing="0" w:line="360" w:lineRule="auto"/>
              <w:ind w:left="0" w:right="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绿色施工、安全防护、文明施工措施计划</w:t>
            </w:r>
          </w:p>
          <w:p w14:paraId="359365B9">
            <w:pPr>
              <w:keepNext w:val="0"/>
              <w:keepLines w:val="0"/>
              <w:widowControl w:val="0"/>
              <w:suppressLineNumbers w:val="0"/>
              <w:wordWrap w:val="0"/>
              <w:adjustRightInd w:val="0"/>
              <w:snapToGrid w:val="0"/>
              <w:spacing w:before="0" w:beforeAutospacing="0" w:after="0" w:afterAutospacing="0" w:line="360" w:lineRule="auto"/>
              <w:ind w:left="0" w:right="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w:t>
            </w:r>
            <w:r>
              <w:rPr>
                <w:rFonts w:hint="eastAsia" w:ascii="宋体" w:hAnsi="宋体" w:eastAsia="宋体" w:cs="宋体"/>
                <w:snapToGrid w:val="0"/>
                <w:color w:val="auto"/>
                <w:kern w:val="0"/>
                <w:sz w:val="24"/>
                <w:szCs w:val="24"/>
                <w:highlight w:val="none"/>
                <w:u w:val="single"/>
                <w:lang w:val="en-US" w:eastAsia="zh-CN" w:bidi="ar-SA"/>
              </w:rPr>
              <w:t>3</w:t>
            </w:r>
            <w:r>
              <w:rPr>
                <w:rFonts w:hint="eastAsia" w:ascii="宋体" w:hAnsi="宋体" w:eastAsia="宋体" w:cs="宋体"/>
                <w:snapToGrid w:val="0"/>
                <w:color w:val="auto"/>
                <w:kern w:val="0"/>
                <w:sz w:val="24"/>
                <w:szCs w:val="24"/>
                <w:highlight w:val="none"/>
                <w:lang w:val="en-US" w:eastAsia="zh-CN" w:bidi="ar-SA"/>
              </w:rPr>
              <w:t>分）</w:t>
            </w:r>
          </w:p>
        </w:tc>
        <w:tc>
          <w:tcPr>
            <w:tcW w:w="3507" w:type="dxa"/>
            <w:noWrap w:val="0"/>
            <w:vAlign w:val="center"/>
          </w:tcPr>
          <w:p w14:paraId="1725B4D3">
            <w:pPr>
              <w:pStyle w:val="27"/>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4A63D799">
            <w:pPr>
              <w:pStyle w:val="27"/>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250E849A">
            <w:pPr>
              <w:pStyle w:val="27"/>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27C92C8B">
            <w:pPr>
              <w:pStyle w:val="29"/>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【差】得该项因素分的60%～70%（含60%）。</w:t>
            </w:r>
          </w:p>
        </w:tc>
        <w:tc>
          <w:tcPr>
            <w:tcW w:w="5133" w:type="dxa"/>
            <w:noWrap w:val="0"/>
            <w:vAlign w:val="center"/>
          </w:tcPr>
          <w:p w14:paraId="53639534">
            <w:pPr>
              <w:pStyle w:val="29"/>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【优】针对项目实际情况，有先进、具体、完整、可行的措施，采用规范准确、清晰。</w:t>
            </w:r>
          </w:p>
          <w:p w14:paraId="7F2B2B43">
            <w:pPr>
              <w:pStyle w:val="29"/>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【良】针对项目实际情况，有合理的措施且具体、完整，采用规范准确。</w:t>
            </w:r>
          </w:p>
          <w:p w14:paraId="068CAB68">
            <w:pPr>
              <w:pStyle w:val="29"/>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【中】有基本合理的措施，采用规范准确。</w:t>
            </w:r>
          </w:p>
          <w:p w14:paraId="12DBE0D0">
            <w:pPr>
              <w:pStyle w:val="29"/>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【差】措施不力，采用规范不正确。</w:t>
            </w:r>
          </w:p>
        </w:tc>
      </w:tr>
      <w:tr w14:paraId="130DE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noWrap w:val="0"/>
            <w:vAlign w:val="center"/>
          </w:tcPr>
          <w:p w14:paraId="169B9962">
            <w:pPr>
              <w:keepNext w:val="0"/>
              <w:keepLines w:val="0"/>
              <w:widowControl w:val="0"/>
              <w:suppressLineNumbers w:val="0"/>
              <w:wordWrap w:val="0"/>
              <w:adjustRightInd w:val="0"/>
              <w:snapToGrid w:val="0"/>
              <w:spacing w:before="0" w:beforeAutospacing="0" w:after="0" w:afterAutospacing="0" w:line="360" w:lineRule="auto"/>
              <w:ind w:left="0" w:right="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施工平面布置和临时设施布置</w:t>
            </w:r>
          </w:p>
          <w:p w14:paraId="4C18F271">
            <w:pPr>
              <w:keepNext w:val="0"/>
              <w:keepLines w:val="0"/>
              <w:widowControl w:val="0"/>
              <w:suppressLineNumbers w:val="0"/>
              <w:wordWrap w:val="0"/>
              <w:adjustRightInd w:val="0"/>
              <w:snapToGrid w:val="0"/>
              <w:spacing w:before="0" w:beforeAutospacing="0" w:after="0" w:afterAutospacing="0" w:line="360" w:lineRule="auto"/>
              <w:ind w:left="0" w:right="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w:t>
            </w:r>
            <w:r>
              <w:rPr>
                <w:rFonts w:hint="eastAsia" w:ascii="宋体" w:hAnsi="宋体" w:eastAsia="宋体" w:cs="宋体"/>
                <w:snapToGrid w:val="0"/>
                <w:color w:val="auto"/>
                <w:kern w:val="0"/>
                <w:sz w:val="24"/>
                <w:szCs w:val="24"/>
                <w:highlight w:val="none"/>
                <w:u w:val="single"/>
                <w:lang w:val="en-US" w:eastAsia="zh-CN" w:bidi="ar-SA"/>
              </w:rPr>
              <w:t>2</w:t>
            </w:r>
            <w:r>
              <w:rPr>
                <w:rFonts w:hint="eastAsia" w:ascii="宋体" w:hAnsi="宋体" w:eastAsia="宋体" w:cs="宋体"/>
                <w:snapToGrid w:val="0"/>
                <w:color w:val="auto"/>
                <w:kern w:val="0"/>
                <w:sz w:val="24"/>
                <w:szCs w:val="24"/>
                <w:highlight w:val="none"/>
                <w:lang w:val="en-US" w:eastAsia="zh-CN" w:bidi="ar-SA"/>
              </w:rPr>
              <w:t>分）</w:t>
            </w:r>
          </w:p>
        </w:tc>
        <w:tc>
          <w:tcPr>
            <w:tcW w:w="3507" w:type="dxa"/>
            <w:noWrap w:val="0"/>
            <w:vAlign w:val="center"/>
          </w:tcPr>
          <w:p w14:paraId="1C2B48EE">
            <w:pPr>
              <w:pStyle w:val="27"/>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25906C5D">
            <w:pPr>
              <w:pStyle w:val="27"/>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2ECC2174">
            <w:pPr>
              <w:pStyle w:val="27"/>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2A36A243">
            <w:pPr>
              <w:pStyle w:val="29"/>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【差】得该项因素分的60%～70%（含60%）。</w:t>
            </w:r>
          </w:p>
        </w:tc>
        <w:tc>
          <w:tcPr>
            <w:tcW w:w="5133" w:type="dxa"/>
            <w:noWrap w:val="0"/>
            <w:vAlign w:val="center"/>
          </w:tcPr>
          <w:p w14:paraId="37E76D46">
            <w:pPr>
              <w:pStyle w:val="29"/>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【优】总体布置有针对性、合理，较好满足施工需要，符合绿色施工、安全防护、文明施工要求。</w:t>
            </w:r>
          </w:p>
          <w:p w14:paraId="5A0B6A75">
            <w:pPr>
              <w:pStyle w:val="29"/>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【良】总体布置合理，能满足施工需要，基本符合绿色施工、安全防护、文明施工要求。</w:t>
            </w:r>
          </w:p>
          <w:p w14:paraId="45C29090">
            <w:pPr>
              <w:pStyle w:val="29"/>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【中】总体布置基本合理，基本满足施工需要。</w:t>
            </w:r>
          </w:p>
          <w:p w14:paraId="244500BA">
            <w:pPr>
              <w:pStyle w:val="29"/>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【差】总体布置不合理，不符合绿色施工、安全防护、文明施工要求。</w:t>
            </w:r>
          </w:p>
        </w:tc>
      </w:tr>
      <w:tr w14:paraId="2FF31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0" w:hRule="atLeast"/>
        </w:trPr>
        <w:tc>
          <w:tcPr>
            <w:tcW w:w="1214" w:type="dxa"/>
            <w:noWrap w:val="0"/>
            <w:vAlign w:val="center"/>
          </w:tcPr>
          <w:p w14:paraId="12387AD3">
            <w:pPr>
              <w:keepNext w:val="0"/>
              <w:keepLines w:val="0"/>
              <w:widowControl w:val="0"/>
              <w:suppressLineNumbers w:val="0"/>
              <w:wordWrap w:val="0"/>
              <w:adjustRightInd w:val="0"/>
              <w:snapToGrid w:val="0"/>
              <w:spacing w:before="0" w:beforeAutospacing="0" w:after="0" w:afterAutospacing="0" w:line="360" w:lineRule="auto"/>
              <w:ind w:left="0" w:right="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项目管理机构</w:t>
            </w:r>
          </w:p>
          <w:p w14:paraId="33A41233">
            <w:pPr>
              <w:keepNext w:val="0"/>
              <w:keepLines w:val="0"/>
              <w:widowControl w:val="0"/>
              <w:suppressLineNumbers w:val="0"/>
              <w:wordWrap w:val="0"/>
              <w:adjustRightInd w:val="0"/>
              <w:snapToGrid w:val="0"/>
              <w:spacing w:before="0" w:beforeAutospacing="0" w:after="0" w:afterAutospacing="0" w:line="360" w:lineRule="auto"/>
              <w:ind w:left="0" w:right="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w:t>
            </w:r>
            <w:r>
              <w:rPr>
                <w:rFonts w:hint="eastAsia" w:ascii="宋体" w:hAnsi="宋体" w:eastAsia="宋体" w:cs="宋体"/>
                <w:snapToGrid w:val="0"/>
                <w:color w:val="auto"/>
                <w:kern w:val="0"/>
                <w:sz w:val="24"/>
                <w:szCs w:val="24"/>
                <w:highlight w:val="none"/>
                <w:u w:val="single"/>
                <w:lang w:val="en-US" w:eastAsia="zh-CN" w:bidi="ar-SA"/>
              </w:rPr>
              <w:t>3</w:t>
            </w:r>
            <w:r>
              <w:rPr>
                <w:rFonts w:hint="eastAsia" w:ascii="宋体" w:hAnsi="宋体" w:eastAsia="宋体" w:cs="宋体"/>
                <w:snapToGrid w:val="0"/>
                <w:color w:val="auto"/>
                <w:kern w:val="0"/>
                <w:sz w:val="24"/>
                <w:szCs w:val="24"/>
                <w:highlight w:val="none"/>
                <w:lang w:val="en-US" w:eastAsia="zh-CN" w:bidi="ar-SA"/>
              </w:rPr>
              <w:t>分）</w:t>
            </w:r>
          </w:p>
        </w:tc>
        <w:tc>
          <w:tcPr>
            <w:tcW w:w="3507" w:type="dxa"/>
            <w:noWrap w:val="0"/>
            <w:vAlign w:val="center"/>
          </w:tcPr>
          <w:p w14:paraId="2FE46EE4">
            <w:pPr>
              <w:pStyle w:val="27"/>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78253400">
            <w:pPr>
              <w:pStyle w:val="27"/>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17A8CDF8">
            <w:pPr>
              <w:pStyle w:val="27"/>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2903BCC7">
            <w:pPr>
              <w:pStyle w:val="29"/>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【差】得该项因素分的60%～70%（含60%）。</w:t>
            </w:r>
          </w:p>
        </w:tc>
        <w:tc>
          <w:tcPr>
            <w:tcW w:w="5133" w:type="dxa"/>
            <w:noWrap w:val="0"/>
            <w:vAlign w:val="center"/>
          </w:tcPr>
          <w:p w14:paraId="51F0BC36">
            <w:pPr>
              <w:pStyle w:val="29"/>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【优】组织机构形式合理，有完善的指挥系统，生产及质量、绿色施工、安全、文明施工、创优达标监控系统、联络协调系统，项目管理人员内高级职称人员</w:t>
            </w:r>
            <w:r>
              <w:rPr>
                <w:rFonts w:hint="eastAsia" w:ascii="宋体" w:hAnsi="宋体" w:eastAsia="宋体" w:cs="宋体"/>
                <w:snapToGrid w:val="0"/>
                <w:color w:val="auto"/>
                <w:kern w:val="0"/>
                <w:sz w:val="24"/>
                <w:szCs w:val="24"/>
                <w:highlight w:val="none"/>
                <w:lang w:val="en-US" w:eastAsia="zh-CN"/>
              </w:rPr>
              <w:t>15</w:t>
            </w:r>
            <w:r>
              <w:rPr>
                <w:rFonts w:hint="eastAsia" w:ascii="宋体" w:hAnsi="宋体" w:eastAsia="宋体" w:cs="宋体"/>
                <w:snapToGrid w:val="0"/>
                <w:color w:val="auto"/>
                <w:kern w:val="0"/>
                <w:sz w:val="24"/>
                <w:szCs w:val="24"/>
                <w:highlight w:val="none"/>
              </w:rPr>
              <w:t>%（含</w:t>
            </w:r>
            <w:r>
              <w:rPr>
                <w:rFonts w:hint="eastAsia" w:ascii="宋体" w:hAnsi="宋体" w:eastAsia="宋体" w:cs="宋体"/>
                <w:snapToGrid w:val="0"/>
                <w:color w:val="auto"/>
                <w:kern w:val="0"/>
                <w:sz w:val="24"/>
                <w:szCs w:val="24"/>
                <w:highlight w:val="none"/>
                <w:lang w:val="en-US" w:eastAsia="zh-CN"/>
              </w:rPr>
              <w:t>15</w:t>
            </w:r>
            <w:r>
              <w:rPr>
                <w:rFonts w:hint="eastAsia" w:ascii="宋体" w:hAnsi="宋体" w:eastAsia="宋体" w:cs="宋体"/>
                <w:snapToGrid w:val="0"/>
                <w:color w:val="auto"/>
                <w:kern w:val="0"/>
                <w:sz w:val="24"/>
                <w:szCs w:val="24"/>
                <w:highlight w:val="none"/>
              </w:rPr>
              <w:t>%）以上、中级职称人员</w:t>
            </w:r>
            <w:r>
              <w:rPr>
                <w:rFonts w:hint="eastAsia" w:ascii="宋体" w:hAnsi="宋体" w:eastAsia="宋体" w:cs="宋体"/>
                <w:b/>
                <w:bCs/>
                <w:snapToGrid w:val="0"/>
                <w:color w:val="auto"/>
                <w:kern w:val="0"/>
                <w:sz w:val="24"/>
                <w:szCs w:val="24"/>
                <w:highlight w:val="none"/>
              </w:rPr>
              <w:t>及以上职称</w:t>
            </w:r>
            <w:r>
              <w:rPr>
                <w:rFonts w:hint="eastAsia" w:ascii="宋体" w:hAnsi="宋体" w:eastAsia="宋体" w:cs="宋体"/>
                <w:snapToGrid w:val="0"/>
                <w:color w:val="auto"/>
                <w:kern w:val="0"/>
                <w:sz w:val="24"/>
                <w:szCs w:val="24"/>
                <w:highlight w:val="none"/>
              </w:rPr>
              <w:t>60%（含60%）以上。</w:t>
            </w:r>
          </w:p>
          <w:p w14:paraId="6F1E013D">
            <w:pPr>
              <w:pStyle w:val="29"/>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【良】组织机构形式合理，指挥系统，生产及质量、绿色施工、安全、文明施工、创优达标监控系统、联络协调系统齐全，项目管理人员内高级职称人员</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15</w:t>
            </w:r>
            <w:r>
              <w:rPr>
                <w:rFonts w:hint="eastAsia" w:ascii="宋体" w:hAnsi="宋体" w:eastAsia="宋体" w:cs="宋体"/>
                <w:snapToGrid w:val="0"/>
                <w:color w:val="auto"/>
                <w:kern w:val="0"/>
                <w:sz w:val="24"/>
                <w:szCs w:val="24"/>
                <w:highlight w:val="none"/>
              </w:rPr>
              <w:t>%（含</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%）、中级职称</w:t>
            </w:r>
            <w:r>
              <w:rPr>
                <w:rFonts w:hint="eastAsia" w:ascii="宋体" w:hAnsi="宋体" w:eastAsia="宋体" w:cs="宋体"/>
                <w:b/>
                <w:bCs/>
                <w:snapToGrid w:val="0"/>
                <w:color w:val="auto"/>
                <w:kern w:val="0"/>
                <w:sz w:val="24"/>
                <w:szCs w:val="24"/>
                <w:highlight w:val="none"/>
              </w:rPr>
              <w:t>及以上职称</w:t>
            </w:r>
            <w:r>
              <w:rPr>
                <w:rFonts w:hint="eastAsia" w:ascii="宋体" w:hAnsi="宋体" w:eastAsia="宋体" w:cs="宋体"/>
                <w:snapToGrid w:val="0"/>
                <w:color w:val="auto"/>
                <w:kern w:val="0"/>
                <w:sz w:val="24"/>
                <w:szCs w:val="24"/>
                <w:highlight w:val="none"/>
              </w:rPr>
              <w:t>人员50%～60%（含50%）。</w:t>
            </w:r>
          </w:p>
          <w:p w14:paraId="6CCFA481">
            <w:pPr>
              <w:pStyle w:val="29"/>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【中】组织机构形式基本合理，有指挥系统，生产及质量、绿色施工、安全、文明施工、创优达标监控系统、联络协调系统，项目管理人员内高级职称人员</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%（含</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%）、中级职称人员</w:t>
            </w:r>
            <w:r>
              <w:rPr>
                <w:rFonts w:hint="eastAsia" w:ascii="宋体" w:hAnsi="宋体" w:eastAsia="宋体" w:cs="宋体"/>
                <w:b/>
                <w:bCs/>
                <w:snapToGrid w:val="0"/>
                <w:color w:val="auto"/>
                <w:kern w:val="0"/>
                <w:sz w:val="24"/>
                <w:szCs w:val="24"/>
                <w:highlight w:val="none"/>
              </w:rPr>
              <w:t>及以上职称</w:t>
            </w:r>
            <w:r>
              <w:rPr>
                <w:rFonts w:hint="eastAsia" w:ascii="宋体" w:hAnsi="宋体" w:eastAsia="宋体" w:cs="宋体"/>
                <w:snapToGrid w:val="0"/>
                <w:color w:val="auto"/>
                <w:kern w:val="0"/>
                <w:sz w:val="24"/>
                <w:szCs w:val="24"/>
                <w:highlight w:val="none"/>
              </w:rPr>
              <w:t>40%～50%（含40%）。</w:t>
            </w:r>
          </w:p>
          <w:p w14:paraId="6CBDFFDA">
            <w:pPr>
              <w:pStyle w:val="29"/>
              <w:keepNext w:val="0"/>
              <w:keepLines w:val="0"/>
              <w:suppressLineNumbers w:val="0"/>
              <w:wordWrap w:val="0"/>
              <w:adjustRightInd w:val="0"/>
              <w:snapToGrid w:val="0"/>
              <w:spacing w:before="0" w:beforeAutospacing="0" w:after="0" w:afterAutospacing="0" w:line="360" w:lineRule="auto"/>
              <w:ind w:left="0" w:right="0"/>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【差】组织机构形式合理，指挥系统，生产及质量、绿色施工、安全、文明施工、创优达标监控系统、联络协调系统不齐全，项目管理人员内高级职称人员10%以下、中级职称人员</w:t>
            </w:r>
            <w:r>
              <w:rPr>
                <w:rFonts w:hint="eastAsia" w:ascii="宋体" w:hAnsi="宋体" w:eastAsia="宋体" w:cs="宋体"/>
                <w:b/>
                <w:bCs/>
                <w:snapToGrid w:val="0"/>
                <w:color w:val="auto"/>
                <w:kern w:val="0"/>
                <w:sz w:val="24"/>
                <w:szCs w:val="24"/>
                <w:highlight w:val="none"/>
              </w:rPr>
              <w:t>及以上职称</w:t>
            </w:r>
            <w:r>
              <w:rPr>
                <w:rFonts w:hint="eastAsia" w:ascii="宋体" w:hAnsi="宋体" w:eastAsia="宋体" w:cs="宋体"/>
                <w:snapToGrid w:val="0"/>
                <w:color w:val="auto"/>
                <w:kern w:val="0"/>
                <w:sz w:val="24"/>
                <w:szCs w:val="24"/>
                <w:highlight w:val="none"/>
              </w:rPr>
              <w:t>40%以下。</w:t>
            </w:r>
          </w:p>
        </w:tc>
      </w:tr>
      <w:tr w14:paraId="4C77C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3"/>
            <w:noWrap w:val="0"/>
            <w:vAlign w:val="top"/>
          </w:tcPr>
          <w:p w14:paraId="658A573A">
            <w:pPr>
              <w:keepNext w:val="0"/>
              <w:keepLines w:val="0"/>
              <w:widowControl w:val="0"/>
              <w:suppressLineNumbers w:val="0"/>
              <w:kinsoku/>
              <w:autoSpaceDE/>
              <w:autoSpaceDN/>
              <w:adjustRightInd/>
              <w:snapToGrid/>
              <w:spacing w:before="0" w:beforeAutospacing="0" w:after="0" w:afterAutospacing="0" w:line="360" w:lineRule="auto"/>
              <w:ind w:left="0" w:right="0"/>
              <w:jc w:val="both"/>
              <w:textAlignment w:val="auto"/>
              <w:rPr>
                <w:rFonts w:hint="eastAsia" w:ascii="宋体" w:hAnsi="宋体" w:eastAsia="宋体" w:cs="宋体"/>
                <w:snapToGrid/>
                <w:color w:val="auto"/>
                <w:kern w:val="2"/>
                <w:sz w:val="24"/>
                <w:szCs w:val="24"/>
                <w:highlight w:val="none"/>
                <w:vertAlign w:val="baseline"/>
                <w:lang w:eastAsia="zh-CN"/>
              </w:rPr>
            </w:pPr>
            <w:r>
              <w:rPr>
                <w:rFonts w:hint="eastAsia" w:ascii="宋体" w:hAnsi="宋体" w:eastAsia="宋体" w:cs="宋体"/>
                <w:b/>
                <w:bCs/>
                <w:snapToGrid w:val="0"/>
                <w:color w:val="auto"/>
                <w:kern w:val="0"/>
                <w:sz w:val="24"/>
                <w:szCs w:val="24"/>
                <w:highlight w:val="none"/>
                <w:lang w:eastAsia="zh-CN"/>
              </w:rPr>
              <w:t>投标报价部分，满分：100分。</w:t>
            </w:r>
          </w:p>
        </w:tc>
      </w:tr>
      <w:tr w14:paraId="1CD1A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noWrap w:val="0"/>
            <w:vAlign w:val="center"/>
          </w:tcPr>
          <w:p w14:paraId="66B1ABDD">
            <w:pPr>
              <w:keepNext w:val="0"/>
              <w:keepLines w:val="0"/>
              <w:widowControl w:val="0"/>
              <w:suppressLineNumbers w:val="0"/>
              <w:kinsoku/>
              <w:wordWrap w:val="0"/>
              <w:autoSpaceDE/>
              <w:autoSpaceDN/>
              <w:adjustRightInd w:val="0"/>
              <w:snapToGrid w:val="0"/>
              <w:spacing w:before="0" w:beforeAutospacing="0" w:after="0" w:afterAutospacing="0" w:line="360" w:lineRule="auto"/>
              <w:ind w:left="0" w:right="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eastAsia="zh-CN"/>
              </w:rPr>
              <w:t>评分事项</w:t>
            </w:r>
          </w:p>
        </w:tc>
        <w:tc>
          <w:tcPr>
            <w:tcW w:w="8640" w:type="dxa"/>
            <w:gridSpan w:val="2"/>
            <w:noWrap w:val="0"/>
            <w:vAlign w:val="center"/>
          </w:tcPr>
          <w:p w14:paraId="667E1D60">
            <w:pPr>
              <w:keepNext w:val="0"/>
              <w:keepLines w:val="0"/>
              <w:widowControl w:val="0"/>
              <w:suppressLineNumbers w:val="0"/>
              <w:kinsoku/>
              <w:wordWrap w:val="0"/>
              <w:autoSpaceDE/>
              <w:autoSpaceDN/>
              <w:adjustRightInd w:val="0"/>
              <w:snapToGrid w:val="0"/>
              <w:spacing w:before="0" w:beforeAutospacing="0" w:after="0" w:afterAutospacing="0" w:line="360" w:lineRule="auto"/>
              <w:ind w:left="0" w:right="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eastAsia="zh-CN"/>
              </w:rPr>
              <w:t>评分方法</w:t>
            </w:r>
          </w:p>
        </w:tc>
      </w:tr>
      <w:tr w14:paraId="51D94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noWrap w:val="0"/>
            <w:vAlign w:val="center"/>
          </w:tcPr>
          <w:p w14:paraId="214F7A4D">
            <w:pPr>
              <w:keepNext w:val="0"/>
              <w:keepLines w:val="0"/>
              <w:widowControl w:val="0"/>
              <w:suppressLineNumbers w:val="0"/>
              <w:wordWrap w:val="0"/>
              <w:adjustRightInd w:val="0"/>
              <w:snapToGrid w:val="0"/>
              <w:spacing w:before="0" w:beforeAutospacing="0" w:after="0" w:afterAutospacing="0" w:line="360" w:lineRule="auto"/>
              <w:ind w:left="0" w:right="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评标基准价D</w:t>
            </w:r>
          </w:p>
        </w:tc>
        <w:tc>
          <w:tcPr>
            <w:tcW w:w="8640" w:type="dxa"/>
            <w:gridSpan w:val="2"/>
            <w:noWrap w:val="0"/>
            <w:vAlign w:val="center"/>
          </w:tcPr>
          <w:p w14:paraId="4868F511">
            <w:pPr>
              <w:keepNext w:val="0"/>
              <w:keepLines w:val="0"/>
              <w:widowControl w:val="0"/>
              <w:suppressLineNumbers w:val="0"/>
              <w:kinsoku/>
              <w:wordWrap w:val="0"/>
              <w:autoSpaceDE/>
              <w:autoSpaceDN/>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（1）确定招标控制价下浮系数n：用1～21号球分别代表一个下浮系数，由评委代表从这21个号码中随机抽取</w:t>
            </w:r>
            <w:r>
              <w:rPr>
                <w:rFonts w:hint="eastAsia" w:ascii="宋体" w:hAnsi="宋体" w:eastAsia="宋体" w:cs="宋体"/>
                <w:snapToGrid w:val="0"/>
                <w:color w:val="auto"/>
                <w:kern w:val="0"/>
                <w:sz w:val="24"/>
                <w:szCs w:val="24"/>
                <w:highlight w:val="none"/>
                <w:u w:val="single"/>
                <w:lang w:eastAsia="zh-CN"/>
              </w:rPr>
              <w:t>3</w:t>
            </w:r>
            <w:r>
              <w:rPr>
                <w:rFonts w:hint="eastAsia" w:ascii="宋体" w:hAnsi="宋体" w:eastAsia="宋体" w:cs="宋体"/>
                <w:snapToGrid w:val="0"/>
                <w:color w:val="auto"/>
                <w:kern w:val="0"/>
                <w:sz w:val="24"/>
                <w:szCs w:val="24"/>
                <w:highlight w:val="none"/>
                <w:lang w:eastAsia="zh-CN"/>
              </w:rPr>
              <w:t>次，每次抽取1个号码，抽出的号球不参与下次抽取。所抽取的3个号码对应下浮系数的算术平均值作为招标控制价下浮系数n。具体号码对应的下浮系数可参考下表。</w:t>
            </w:r>
          </w:p>
          <w:tbl>
            <w:tblPr>
              <w:tblStyle w:val="14"/>
              <w:tblW w:w="0" w:type="auto"/>
              <w:jc w:val="center"/>
              <w:shd w:val="clear" w:color="auto" w:fill="FFFFFF"/>
              <w:tblLayout w:type="fixed"/>
              <w:tblCellMar>
                <w:top w:w="0" w:type="dxa"/>
                <w:left w:w="108" w:type="dxa"/>
                <w:bottom w:w="0" w:type="dxa"/>
                <w:right w:w="108" w:type="dxa"/>
              </w:tblCellMar>
            </w:tblPr>
            <w:tblGrid>
              <w:gridCol w:w="1818"/>
              <w:gridCol w:w="828"/>
              <w:gridCol w:w="865"/>
              <w:gridCol w:w="901"/>
              <w:gridCol w:w="885"/>
              <w:gridCol w:w="921"/>
              <w:gridCol w:w="864"/>
              <w:gridCol w:w="854"/>
            </w:tblGrid>
            <w:tr w14:paraId="77E1EF8C">
              <w:tblPrEx>
                <w:tblCellMar>
                  <w:top w:w="0" w:type="dxa"/>
                  <w:left w:w="108" w:type="dxa"/>
                  <w:bottom w:w="0" w:type="dxa"/>
                  <w:right w:w="108" w:type="dxa"/>
                </w:tblCellMar>
              </w:tblPrEx>
              <w:trPr>
                <w:trHeight w:val="454" w:hRule="exact"/>
                <w:jc w:val="center"/>
              </w:trPr>
              <w:tc>
                <w:tcPr>
                  <w:tcW w:w="18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461A8A">
                  <w:pPr>
                    <w:widowControl w:val="0"/>
                    <w:kinsoku/>
                    <w:wordWrap w:val="0"/>
                    <w:autoSpaceDE/>
                    <w:autoSpaceDN/>
                    <w:adjustRightInd w:val="0"/>
                    <w:snapToGrid w:val="0"/>
                    <w:spacing w:line="360" w:lineRule="auto"/>
                    <w:jc w:val="center"/>
                    <w:textAlignment w:val="auto"/>
                    <w:rPr>
                      <w:rFonts w:hint="eastAsia" w:ascii="宋体" w:hAnsi="宋体" w:eastAsia="宋体" w:cs="宋体"/>
                      <w:b/>
                      <w:snapToGrid w:val="0"/>
                      <w:color w:val="auto"/>
                      <w:kern w:val="0"/>
                      <w:sz w:val="24"/>
                      <w:szCs w:val="24"/>
                      <w:highlight w:val="none"/>
                      <w:lang w:eastAsia="zh-CN"/>
                    </w:rPr>
                  </w:pPr>
                  <w:r>
                    <w:rPr>
                      <w:rFonts w:hint="eastAsia" w:ascii="宋体" w:hAnsi="宋体" w:eastAsia="宋体" w:cs="宋体"/>
                      <w:bCs/>
                      <w:snapToGrid w:val="0"/>
                      <w:color w:val="auto"/>
                      <w:kern w:val="0"/>
                      <w:sz w:val="24"/>
                      <w:szCs w:val="24"/>
                      <w:highlight w:val="none"/>
                      <w:lang w:eastAsia="zh-CN"/>
                    </w:rPr>
                    <w:t>号球</w:t>
                  </w:r>
                </w:p>
              </w:tc>
              <w:tc>
                <w:tcPr>
                  <w:tcW w:w="82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CEC4B2">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1</w:t>
                  </w:r>
                </w:p>
              </w:tc>
              <w:tc>
                <w:tcPr>
                  <w:tcW w:w="8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24748D">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2</w:t>
                  </w:r>
                </w:p>
              </w:tc>
              <w:tc>
                <w:tcPr>
                  <w:tcW w:w="90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C21B66">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3</w:t>
                  </w:r>
                </w:p>
              </w:tc>
              <w:tc>
                <w:tcPr>
                  <w:tcW w:w="8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F27FB2">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4</w:t>
                  </w:r>
                </w:p>
              </w:tc>
              <w:tc>
                <w:tcPr>
                  <w:tcW w:w="9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00F9CA">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5</w:t>
                  </w:r>
                </w:p>
              </w:tc>
              <w:tc>
                <w:tcPr>
                  <w:tcW w:w="86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934730">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6</w:t>
                  </w:r>
                </w:p>
              </w:tc>
              <w:tc>
                <w:tcPr>
                  <w:tcW w:w="85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346E4F">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7</w:t>
                  </w:r>
                </w:p>
              </w:tc>
            </w:tr>
            <w:tr w14:paraId="7BDE5735">
              <w:tblPrEx>
                <w:shd w:val="clear" w:color="auto" w:fill="FFFFFF"/>
                <w:tblCellMar>
                  <w:top w:w="0" w:type="dxa"/>
                  <w:left w:w="108" w:type="dxa"/>
                  <w:bottom w:w="0" w:type="dxa"/>
                  <w:right w:w="108" w:type="dxa"/>
                </w:tblCellMar>
              </w:tblPrEx>
              <w:trPr>
                <w:trHeight w:val="454" w:hRule="exact"/>
                <w:jc w:val="center"/>
              </w:trPr>
              <w:tc>
                <w:tcPr>
                  <w:tcW w:w="18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5CFF02">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下浮系数（%）</w:t>
                  </w:r>
                </w:p>
              </w:tc>
              <w:tc>
                <w:tcPr>
                  <w:tcW w:w="82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79A0BC">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1.0</w:t>
                  </w:r>
                </w:p>
              </w:tc>
              <w:tc>
                <w:tcPr>
                  <w:tcW w:w="8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B2E71C">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1.1</w:t>
                  </w:r>
                </w:p>
              </w:tc>
              <w:tc>
                <w:tcPr>
                  <w:tcW w:w="90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4CE584">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1.2</w:t>
                  </w:r>
                </w:p>
              </w:tc>
              <w:tc>
                <w:tcPr>
                  <w:tcW w:w="8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1FCD13">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1.3</w:t>
                  </w:r>
                </w:p>
              </w:tc>
              <w:tc>
                <w:tcPr>
                  <w:tcW w:w="9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17CD82">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1.4</w:t>
                  </w:r>
                </w:p>
              </w:tc>
              <w:tc>
                <w:tcPr>
                  <w:tcW w:w="86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D9DCDC">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1.5</w:t>
                  </w:r>
                </w:p>
              </w:tc>
              <w:tc>
                <w:tcPr>
                  <w:tcW w:w="85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ED71E3">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1.6</w:t>
                  </w:r>
                </w:p>
              </w:tc>
            </w:tr>
            <w:tr w14:paraId="21799A84">
              <w:tblPrEx>
                <w:tblCellMar>
                  <w:top w:w="0" w:type="dxa"/>
                  <w:left w:w="108" w:type="dxa"/>
                  <w:bottom w:w="0" w:type="dxa"/>
                  <w:right w:w="108" w:type="dxa"/>
                </w:tblCellMar>
              </w:tblPrEx>
              <w:trPr>
                <w:trHeight w:val="454" w:hRule="exact"/>
                <w:jc w:val="center"/>
              </w:trPr>
              <w:tc>
                <w:tcPr>
                  <w:tcW w:w="18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D5142F">
                  <w:pPr>
                    <w:widowControl w:val="0"/>
                    <w:kinsoku/>
                    <w:wordWrap w:val="0"/>
                    <w:autoSpaceDE/>
                    <w:autoSpaceDN/>
                    <w:adjustRightInd w:val="0"/>
                    <w:snapToGrid w:val="0"/>
                    <w:spacing w:line="360" w:lineRule="auto"/>
                    <w:jc w:val="center"/>
                    <w:textAlignment w:val="auto"/>
                    <w:rPr>
                      <w:rFonts w:hint="eastAsia" w:ascii="宋体" w:hAnsi="宋体" w:eastAsia="宋体" w:cs="宋体"/>
                      <w:b/>
                      <w:snapToGrid w:val="0"/>
                      <w:color w:val="auto"/>
                      <w:kern w:val="0"/>
                      <w:sz w:val="24"/>
                      <w:szCs w:val="24"/>
                      <w:highlight w:val="none"/>
                      <w:lang w:eastAsia="zh-CN"/>
                    </w:rPr>
                  </w:pPr>
                  <w:r>
                    <w:rPr>
                      <w:rFonts w:hint="eastAsia" w:ascii="宋体" w:hAnsi="宋体" w:eastAsia="宋体" w:cs="宋体"/>
                      <w:bCs/>
                      <w:snapToGrid w:val="0"/>
                      <w:color w:val="auto"/>
                      <w:kern w:val="0"/>
                      <w:sz w:val="24"/>
                      <w:szCs w:val="24"/>
                      <w:highlight w:val="none"/>
                      <w:lang w:eastAsia="zh-CN"/>
                    </w:rPr>
                    <w:t>号球</w:t>
                  </w:r>
                </w:p>
              </w:tc>
              <w:tc>
                <w:tcPr>
                  <w:tcW w:w="82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47DC7D">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8</w:t>
                  </w:r>
                </w:p>
              </w:tc>
              <w:tc>
                <w:tcPr>
                  <w:tcW w:w="8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1DAF64">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9</w:t>
                  </w:r>
                </w:p>
              </w:tc>
              <w:tc>
                <w:tcPr>
                  <w:tcW w:w="90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5AB7CD">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E3DC50">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11</w:t>
                  </w:r>
                </w:p>
              </w:tc>
              <w:tc>
                <w:tcPr>
                  <w:tcW w:w="9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B59069">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12</w:t>
                  </w:r>
                </w:p>
              </w:tc>
              <w:tc>
                <w:tcPr>
                  <w:tcW w:w="86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700072">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13</w:t>
                  </w:r>
                </w:p>
              </w:tc>
              <w:tc>
                <w:tcPr>
                  <w:tcW w:w="85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8E8DCB">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14</w:t>
                  </w:r>
                </w:p>
              </w:tc>
            </w:tr>
            <w:tr w14:paraId="25B03DFF">
              <w:tblPrEx>
                <w:tblCellMar>
                  <w:top w:w="0" w:type="dxa"/>
                  <w:left w:w="108" w:type="dxa"/>
                  <w:bottom w:w="0" w:type="dxa"/>
                  <w:right w:w="108" w:type="dxa"/>
                </w:tblCellMar>
              </w:tblPrEx>
              <w:trPr>
                <w:trHeight w:val="454" w:hRule="exact"/>
                <w:jc w:val="center"/>
              </w:trPr>
              <w:tc>
                <w:tcPr>
                  <w:tcW w:w="18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BF5C76">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下浮系数（%）</w:t>
                  </w:r>
                </w:p>
              </w:tc>
              <w:tc>
                <w:tcPr>
                  <w:tcW w:w="82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7AEA77">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1.7</w:t>
                  </w:r>
                </w:p>
              </w:tc>
              <w:tc>
                <w:tcPr>
                  <w:tcW w:w="8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7DA0D4">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1.8</w:t>
                  </w:r>
                </w:p>
              </w:tc>
              <w:tc>
                <w:tcPr>
                  <w:tcW w:w="90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1877F6">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1.9</w:t>
                  </w:r>
                </w:p>
              </w:tc>
              <w:tc>
                <w:tcPr>
                  <w:tcW w:w="8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BBDFF3">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2.0</w:t>
                  </w:r>
                </w:p>
              </w:tc>
              <w:tc>
                <w:tcPr>
                  <w:tcW w:w="9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8CF264">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2.1</w:t>
                  </w:r>
                </w:p>
              </w:tc>
              <w:tc>
                <w:tcPr>
                  <w:tcW w:w="86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0C106B">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2.2</w:t>
                  </w:r>
                </w:p>
              </w:tc>
              <w:tc>
                <w:tcPr>
                  <w:tcW w:w="85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F6CCF7">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2.3</w:t>
                  </w:r>
                </w:p>
              </w:tc>
            </w:tr>
            <w:tr w14:paraId="742BE088">
              <w:tblPrEx>
                <w:shd w:val="clear" w:color="auto" w:fill="FFFFFF"/>
                <w:tblCellMar>
                  <w:top w:w="0" w:type="dxa"/>
                  <w:left w:w="108" w:type="dxa"/>
                  <w:bottom w:w="0" w:type="dxa"/>
                  <w:right w:w="108" w:type="dxa"/>
                </w:tblCellMar>
              </w:tblPrEx>
              <w:trPr>
                <w:trHeight w:val="454" w:hRule="exact"/>
                <w:jc w:val="center"/>
              </w:trPr>
              <w:tc>
                <w:tcPr>
                  <w:tcW w:w="18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73B278">
                  <w:pPr>
                    <w:widowControl w:val="0"/>
                    <w:kinsoku/>
                    <w:wordWrap w:val="0"/>
                    <w:autoSpaceDE/>
                    <w:autoSpaceDN/>
                    <w:adjustRightInd w:val="0"/>
                    <w:snapToGrid w:val="0"/>
                    <w:spacing w:line="360" w:lineRule="auto"/>
                    <w:jc w:val="center"/>
                    <w:textAlignment w:val="auto"/>
                    <w:rPr>
                      <w:rFonts w:hint="eastAsia" w:ascii="宋体" w:hAnsi="宋体" w:eastAsia="宋体" w:cs="宋体"/>
                      <w:b/>
                      <w:snapToGrid w:val="0"/>
                      <w:color w:val="auto"/>
                      <w:kern w:val="0"/>
                      <w:sz w:val="24"/>
                      <w:szCs w:val="24"/>
                      <w:highlight w:val="none"/>
                      <w:lang w:val="en-US" w:eastAsia="en-US" w:bidi="ar-SA"/>
                    </w:rPr>
                  </w:pPr>
                  <w:r>
                    <w:rPr>
                      <w:rFonts w:hint="eastAsia" w:ascii="宋体" w:hAnsi="宋体" w:eastAsia="宋体" w:cs="宋体"/>
                      <w:bCs/>
                      <w:snapToGrid w:val="0"/>
                      <w:color w:val="auto"/>
                      <w:kern w:val="0"/>
                      <w:sz w:val="24"/>
                      <w:szCs w:val="24"/>
                      <w:highlight w:val="none"/>
                      <w:lang w:eastAsia="zh-CN"/>
                    </w:rPr>
                    <w:t>号球</w:t>
                  </w:r>
                </w:p>
              </w:tc>
              <w:tc>
                <w:tcPr>
                  <w:tcW w:w="82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7A5DBF">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eastAsia="zh-CN"/>
                    </w:rPr>
                    <w:t>15</w:t>
                  </w:r>
                </w:p>
              </w:tc>
              <w:tc>
                <w:tcPr>
                  <w:tcW w:w="8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BE48FC">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eastAsia="zh-CN"/>
                    </w:rPr>
                    <w:t>16</w:t>
                  </w:r>
                </w:p>
              </w:tc>
              <w:tc>
                <w:tcPr>
                  <w:tcW w:w="90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6DEC7C">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eastAsia="zh-CN"/>
                    </w:rPr>
                    <w:t>17</w:t>
                  </w:r>
                </w:p>
              </w:tc>
              <w:tc>
                <w:tcPr>
                  <w:tcW w:w="8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DCDC8C">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eastAsia="zh-CN"/>
                    </w:rPr>
                    <w:t>18</w:t>
                  </w:r>
                </w:p>
              </w:tc>
              <w:tc>
                <w:tcPr>
                  <w:tcW w:w="9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CB30F5">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eastAsia="zh-CN"/>
                    </w:rPr>
                    <w:t>19</w:t>
                  </w:r>
                </w:p>
              </w:tc>
              <w:tc>
                <w:tcPr>
                  <w:tcW w:w="86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BCE0C8">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eastAsia="zh-CN"/>
                    </w:rPr>
                    <w:t>20</w:t>
                  </w:r>
                </w:p>
              </w:tc>
              <w:tc>
                <w:tcPr>
                  <w:tcW w:w="85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A85365">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eastAsia="zh-CN"/>
                    </w:rPr>
                    <w:t>21</w:t>
                  </w:r>
                </w:p>
              </w:tc>
            </w:tr>
            <w:tr w14:paraId="7C0D8EFF">
              <w:tblPrEx>
                <w:tblCellMar>
                  <w:top w:w="0" w:type="dxa"/>
                  <w:left w:w="108" w:type="dxa"/>
                  <w:bottom w:w="0" w:type="dxa"/>
                  <w:right w:w="108" w:type="dxa"/>
                </w:tblCellMar>
              </w:tblPrEx>
              <w:trPr>
                <w:trHeight w:val="454" w:hRule="exact"/>
                <w:jc w:val="center"/>
              </w:trPr>
              <w:tc>
                <w:tcPr>
                  <w:tcW w:w="18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CE9F41">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eastAsia="zh-CN"/>
                    </w:rPr>
                    <w:t>下浮系数（%）</w:t>
                  </w:r>
                </w:p>
              </w:tc>
              <w:tc>
                <w:tcPr>
                  <w:tcW w:w="82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3E89EC">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eastAsia="zh-CN"/>
                    </w:rPr>
                    <w:t>2.4</w:t>
                  </w:r>
                </w:p>
              </w:tc>
              <w:tc>
                <w:tcPr>
                  <w:tcW w:w="8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DB418C">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eastAsia="zh-CN"/>
                    </w:rPr>
                    <w:t>2.5</w:t>
                  </w:r>
                </w:p>
              </w:tc>
              <w:tc>
                <w:tcPr>
                  <w:tcW w:w="90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D971C8">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eastAsia="zh-CN"/>
                    </w:rPr>
                    <w:t>2.6</w:t>
                  </w:r>
                </w:p>
              </w:tc>
              <w:tc>
                <w:tcPr>
                  <w:tcW w:w="8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9F1618">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eastAsia="zh-CN"/>
                    </w:rPr>
                    <w:t>2.7</w:t>
                  </w:r>
                </w:p>
              </w:tc>
              <w:tc>
                <w:tcPr>
                  <w:tcW w:w="9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89FB54">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eastAsia="zh-CN"/>
                    </w:rPr>
                    <w:t>2.8</w:t>
                  </w:r>
                </w:p>
              </w:tc>
              <w:tc>
                <w:tcPr>
                  <w:tcW w:w="86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F1E653">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eastAsia="zh-CN"/>
                    </w:rPr>
                    <w:t>2.9</w:t>
                  </w:r>
                </w:p>
              </w:tc>
              <w:tc>
                <w:tcPr>
                  <w:tcW w:w="85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C3A2BE">
                  <w:pPr>
                    <w:widowControl w:val="0"/>
                    <w:kinsoku/>
                    <w:wordWrap w:val="0"/>
                    <w:autoSpaceDE/>
                    <w:autoSpaceDN/>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eastAsia="zh-CN"/>
                    </w:rPr>
                    <w:t>3.0</w:t>
                  </w:r>
                </w:p>
              </w:tc>
            </w:tr>
          </w:tbl>
          <w:p w14:paraId="4E67E921">
            <w:pPr>
              <w:keepNext w:val="0"/>
              <w:keepLines w:val="0"/>
              <w:widowControl w:val="0"/>
              <w:suppressLineNumbers w:val="0"/>
              <w:kinsoku/>
              <w:wordWrap w:val="0"/>
              <w:autoSpaceDE/>
              <w:autoSpaceDN/>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eastAsia="zh-CN"/>
              </w:rPr>
              <w:t>（2）评标基准价D＝招标控制价×（1－n）</w:t>
            </w:r>
          </w:p>
        </w:tc>
      </w:tr>
      <w:tr w14:paraId="3DEC7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noWrap w:val="0"/>
            <w:vAlign w:val="center"/>
          </w:tcPr>
          <w:p w14:paraId="5AD40B05">
            <w:pPr>
              <w:keepNext w:val="0"/>
              <w:keepLines w:val="0"/>
              <w:widowControl w:val="0"/>
              <w:suppressLineNumbers w:val="0"/>
              <w:wordWrap w:val="0"/>
              <w:adjustRightInd w:val="0"/>
              <w:snapToGrid w:val="0"/>
              <w:spacing w:before="0" w:beforeAutospacing="0" w:after="0" w:afterAutospacing="0" w:line="360" w:lineRule="auto"/>
              <w:ind w:left="0" w:right="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投标报价</w:t>
            </w:r>
          </w:p>
          <w:p w14:paraId="12C612D9">
            <w:pPr>
              <w:keepNext w:val="0"/>
              <w:keepLines w:val="0"/>
              <w:widowControl w:val="0"/>
              <w:suppressLineNumbers w:val="0"/>
              <w:wordWrap w:val="0"/>
              <w:adjustRightInd w:val="0"/>
              <w:snapToGrid w:val="0"/>
              <w:spacing w:before="0" w:beforeAutospacing="0" w:after="0" w:afterAutospacing="0" w:line="360" w:lineRule="auto"/>
              <w:ind w:left="0" w:right="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得分N</w:t>
            </w:r>
          </w:p>
        </w:tc>
        <w:tc>
          <w:tcPr>
            <w:tcW w:w="8640" w:type="dxa"/>
            <w:gridSpan w:val="2"/>
            <w:noWrap w:val="0"/>
            <w:vAlign w:val="center"/>
          </w:tcPr>
          <w:p w14:paraId="137993CE">
            <w:pPr>
              <w:keepNext w:val="0"/>
              <w:keepLines w:val="0"/>
              <w:widowControl w:val="0"/>
              <w:suppressLineNumbers w:val="0"/>
              <w:kinsoku/>
              <w:wordWrap w:val="0"/>
              <w:autoSpaceDE/>
              <w:autoSpaceDN/>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采用内插法计算某投标人的投标报价得分N，即当投标人的投标总价等于评标基准价时得100分，每高于评标基准价一个百分点扣1分，每低于评标基准价一个百分点扣0.5分，扣完为止。公式如下：</w:t>
            </w:r>
          </w:p>
          <w:p w14:paraId="0B997891">
            <w:pPr>
              <w:keepNext w:val="0"/>
              <w:keepLines w:val="0"/>
              <w:widowControl w:val="0"/>
              <w:suppressLineNumbers w:val="0"/>
              <w:kinsoku/>
              <w:wordWrap w:val="0"/>
              <w:autoSpaceDE/>
              <w:autoSpaceDN/>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N＝100－（|Di－D|÷D）×100×E</w:t>
            </w:r>
          </w:p>
          <w:p w14:paraId="4D8FC9E6">
            <w:pPr>
              <w:keepNext w:val="0"/>
              <w:keepLines w:val="0"/>
              <w:widowControl w:val="0"/>
              <w:suppressLineNumbers w:val="0"/>
              <w:kinsoku/>
              <w:wordWrap w:val="0"/>
              <w:autoSpaceDE/>
              <w:autoSpaceDN/>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eastAsia="zh-CN"/>
              </w:rPr>
              <w:t>式中：D为评标基准价；Di为某投标人的投标总价；E为扣分因子，当Di＞D时，E＝1；当Di＜D时，E＝0.5。</w:t>
            </w:r>
          </w:p>
        </w:tc>
      </w:tr>
    </w:tbl>
    <w:p w14:paraId="05DE4620">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37B21C64">
      <w:pPr>
        <w:spacing w:before="155" w:line="211" w:lineRule="auto"/>
        <w:ind w:firstLine="470" w:firstLineChars="200"/>
        <w:outlineLvl w:val="9"/>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6</w:t>
      </w:r>
      <w:r>
        <w:rPr>
          <w:rFonts w:hint="eastAsia" w:ascii="宋体" w:hAnsi="宋体" w:eastAsia="宋体" w:cs="宋体"/>
          <w:b/>
          <w:bCs/>
          <w:color w:val="auto"/>
          <w:spacing w:val="-3"/>
          <w:sz w:val="24"/>
          <w:szCs w:val="24"/>
          <w:highlight w:val="none"/>
        </w:rPr>
        <w:t xml:space="preserve">.2  </w:t>
      </w:r>
      <w:r>
        <w:rPr>
          <w:rFonts w:hint="eastAsia" w:ascii="宋体" w:hAnsi="宋体" w:eastAsia="宋体" w:cs="宋体"/>
          <w:color w:val="auto"/>
          <w:spacing w:val="-3"/>
          <w:sz w:val="24"/>
          <w:szCs w:val="24"/>
          <w:highlight w:val="none"/>
        </w:rPr>
        <w:t>否决投标说明</w:t>
      </w:r>
      <w:bookmarkEnd w:id="132"/>
      <w:bookmarkEnd w:id="133"/>
      <w:bookmarkEnd w:id="134"/>
      <w:bookmarkEnd w:id="135"/>
    </w:p>
    <w:p w14:paraId="3A277E6B">
      <w:pPr>
        <w:spacing w:before="150" w:line="332" w:lineRule="auto"/>
        <w:ind w:left="10" w:right="195" w:firstLine="564"/>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详细评审阶段否决投标的全部条件，在本章第四节“否决投标条件 ”第1条至第4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78A719F9">
      <w:pPr>
        <w:spacing w:before="59" w:line="330" w:lineRule="auto"/>
        <w:ind w:left="10" w:right="195" w:firstLine="48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注：投标人在详细评审阶段根据评分方法提供的佐证材料，其合法性、有效性和准确性不符合要求的，有关量化因素（或评分因素）的折算、调整（或评分）按相应</w:t>
      </w:r>
      <w:r>
        <w:rPr>
          <w:rFonts w:hint="eastAsia" w:ascii="宋体" w:hAnsi="宋体" w:eastAsia="宋体" w:cs="宋体"/>
          <w:b/>
          <w:bCs/>
          <w:color w:val="auto"/>
          <w:spacing w:val="-3"/>
          <w:sz w:val="24"/>
          <w:szCs w:val="24"/>
          <w:highlight w:val="none"/>
        </w:rPr>
        <w:t>量化标准（或评分标准）处理，但不否决投标。</w:t>
      </w:r>
    </w:p>
    <w:p w14:paraId="634CACC5">
      <w:pPr>
        <w:pStyle w:val="2"/>
        <w:keepNext w:val="0"/>
        <w:keepLines w:val="0"/>
        <w:pageBreakBefore w:val="0"/>
        <w:widowControl w:val="0"/>
        <w:kinsoku/>
        <w:wordWrap w:val="0"/>
        <w:overflowPunct/>
        <w:topLinePunct w:val="0"/>
        <w:autoSpaceDE/>
        <w:autoSpaceDN/>
        <w:bidi w:val="0"/>
        <w:adjustRightInd/>
        <w:snapToGrid/>
        <w:spacing w:before="0" w:beforeLines="0" w:after="0" w:afterLines="0" w:line="440" w:lineRule="exact"/>
        <w:ind w:firstLine="480"/>
        <w:jc w:val="both"/>
        <w:textAlignment w:val="auto"/>
        <w:rPr>
          <w:rFonts w:hint="eastAsia" w:ascii="宋体" w:hAnsi="宋体" w:eastAsia="宋体" w:cs="宋体"/>
          <w:b/>
          <w:snapToGrid w:val="0"/>
          <w:color w:val="auto"/>
          <w:sz w:val="24"/>
          <w:szCs w:val="24"/>
          <w:highlight w:val="none"/>
        </w:rPr>
      </w:pPr>
      <w:bookmarkStart w:id="136" w:name="bookmark138"/>
      <w:bookmarkEnd w:id="136"/>
      <w:bookmarkStart w:id="137" w:name="bookmark137"/>
      <w:bookmarkEnd w:id="137"/>
      <w:bookmarkStart w:id="138" w:name="_Toc7762"/>
      <w:bookmarkStart w:id="139" w:name="_Toc13897"/>
      <w:bookmarkStart w:id="140" w:name="_Toc19232"/>
      <w:bookmarkStart w:id="141" w:name="_Toc2769"/>
      <w:bookmarkStart w:id="142" w:name="_Toc18711"/>
      <w:bookmarkStart w:id="143" w:name="_Toc32569"/>
      <w:bookmarkStart w:id="144" w:name="_Toc10900"/>
      <w:r>
        <w:rPr>
          <w:rFonts w:hint="eastAsia" w:ascii="宋体" w:hAnsi="宋体" w:eastAsia="宋体" w:cs="宋体"/>
          <w:b/>
          <w:snapToGrid w:val="0"/>
          <w:color w:val="auto"/>
          <w:sz w:val="24"/>
          <w:szCs w:val="24"/>
          <w:highlight w:val="none"/>
        </w:rPr>
        <w:t>16．</w:t>
      </w:r>
      <w:bookmarkEnd w:id="138"/>
      <w:bookmarkEnd w:id="139"/>
      <w:bookmarkEnd w:id="140"/>
      <w:bookmarkEnd w:id="141"/>
      <w:bookmarkEnd w:id="142"/>
      <w:r>
        <w:rPr>
          <w:rFonts w:hint="eastAsia" w:ascii="宋体" w:hAnsi="宋体" w:eastAsia="宋体" w:cs="宋体"/>
          <w:b/>
          <w:snapToGrid w:val="0"/>
          <w:color w:val="auto"/>
          <w:sz w:val="24"/>
          <w:szCs w:val="24"/>
          <w:highlight w:val="none"/>
          <w:lang w:eastAsia="zh-CN"/>
        </w:rPr>
        <w:t>评标结果公示</w:t>
      </w:r>
      <w:bookmarkEnd w:id="143"/>
      <w:bookmarkEnd w:id="144"/>
    </w:p>
    <w:p w14:paraId="006A16BE">
      <w:pPr>
        <w:keepNext w:val="0"/>
        <w:keepLines w:val="0"/>
        <w:pageBreakBefore w:val="0"/>
        <w:widowControl w:val="0"/>
        <w:kinsoku/>
        <w:wordWrap w:val="0"/>
        <w:overflowPunct/>
        <w:topLinePunct w:val="0"/>
        <w:autoSpaceDE/>
        <w:autoSpaceDN/>
        <w:bidi w:val="0"/>
        <w:adjustRightInd/>
        <w:snapToGrid/>
        <w:spacing w:line="44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w:t>
      </w:r>
      <w:r>
        <w:rPr>
          <w:rFonts w:hint="eastAsia" w:ascii="宋体" w:hAnsi="宋体" w:eastAsia="宋体" w:cs="宋体"/>
          <w:snapToGrid w:val="0"/>
          <w:color w:val="auto"/>
          <w:kern w:val="0"/>
          <w:sz w:val="24"/>
          <w:szCs w:val="24"/>
          <w:highlight w:val="none"/>
        </w:rPr>
        <w:t xml:space="preserve"> 评标委员会按照</w:t>
      </w:r>
      <w:r>
        <w:rPr>
          <w:rFonts w:hint="eastAsia" w:ascii="宋体" w:hAnsi="宋体" w:eastAsia="宋体" w:cs="宋体"/>
          <w:snapToGrid w:val="0"/>
          <w:color w:val="auto"/>
          <w:kern w:val="0"/>
          <w:sz w:val="24"/>
          <w:szCs w:val="24"/>
          <w:highlight w:val="none"/>
          <w:lang w:eastAsia="zh-CN"/>
        </w:rPr>
        <w:t>投标人</w:t>
      </w:r>
      <w:r>
        <w:rPr>
          <w:rFonts w:hint="eastAsia" w:ascii="宋体" w:hAnsi="宋体" w:eastAsia="宋体" w:cs="宋体"/>
          <w:snapToGrid w:val="0"/>
          <w:color w:val="auto"/>
          <w:kern w:val="0"/>
          <w:sz w:val="24"/>
          <w:szCs w:val="24"/>
          <w:highlight w:val="none"/>
        </w:rPr>
        <w:t>评审综合总得分</w:t>
      </w:r>
      <w:r>
        <w:rPr>
          <w:rFonts w:hint="eastAsia" w:ascii="宋体" w:hAnsi="宋体" w:eastAsia="宋体" w:cs="宋体"/>
          <w:snapToGrid w:val="0"/>
          <w:color w:val="auto"/>
          <w:kern w:val="0"/>
          <w:sz w:val="24"/>
          <w:szCs w:val="24"/>
          <w:highlight w:val="none"/>
          <w:lang w:eastAsia="zh-CN"/>
        </w:rPr>
        <w:t>由</w:t>
      </w:r>
      <w:r>
        <w:rPr>
          <w:rFonts w:hint="eastAsia" w:ascii="宋体" w:hAnsi="宋体" w:eastAsia="宋体" w:cs="宋体"/>
          <w:snapToGrid w:val="0"/>
          <w:color w:val="auto"/>
          <w:kern w:val="0"/>
          <w:sz w:val="24"/>
          <w:szCs w:val="24"/>
          <w:highlight w:val="none"/>
        </w:rPr>
        <w:t>高</w:t>
      </w:r>
      <w:r>
        <w:rPr>
          <w:rFonts w:hint="eastAsia" w:ascii="宋体" w:hAnsi="宋体" w:eastAsia="宋体" w:cs="宋体"/>
          <w:snapToGrid w:val="0"/>
          <w:color w:val="auto"/>
          <w:kern w:val="0"/>
          <w:sz w:val="24"/>
          <w:szCs w:val="24"/>
          <w:highlight w:val="none"/>
          <w:lang w:eastAsia="zh-CN"/>
        </w:rPr>
        <w:t>到</w:t>
      </w:r>
      <w:r>
        <w:rPr>
          <w:rFonts w:hint="eastAsia" w:ascii="宋体" w:hAnsi="宋体" w:eastAsia="宋体" w:cs="宋体"/>
          <w:snapToGrid w:val="0"/>
          <w:color w:val="auto"/>
          <w:kern w:val="0"/>
          <w:sz w:val="24"/>
          <w:szCs w:val="24"/>
          <w:highlight w:val="none"/>
        </w:rPr>
        <w:t>低的</w:t>
      </w:r>
      <w:r>
        <w:rPr>
          <w:rFonts w:hint="eastAsia" w:ascii="宋体" w:hAnsi="宋体" w:eastAsia="宋体" w:cs="宋体"/>
          <w:snapToGrid w:val="0"/>
          <w:color w:val="auto"/>
          <w:kern w:val="0"/>
          <w:sz w:val="24"/>
          <w:szCs w:val="24"/>
          <w:highlight w:val="none"/>
          <w:lang w:eastAsia="zh-CN"/>
        </w:rPr>
        <w:t>原则</w:t>
      </w:r>
      <w:r>
        <w:rPr>
          <w:rFonts w:hint="eastAsia" w:ascii="宋体" w:hAnsi="宋体" w:eastAsia="宋体" w:cs="宋体"/>
          <w:snapToGrid w:val="0"/>
          <w:color w:val="auto"/>
          <w:kern w:val="0"/>
          <w:sz w:val="24"/>
          <w:szCs w:val="24"/>
          <w:highlight w:val="none"/>
        </w:rPr>
        <w:t>,向招标人推荐</w:t>
      </w:r>
      <w:r>
        <w:rPr>
          <w:rFonts w:hint="eastAsia" w:ascii="宋体" w:hAnsi="宋体" w:eastAsia="宋体" w:cs="宋体"/>
          <w:snapToGrid w:val="0"/>
          <w:color w:val="auto"/>
          <w:kern w:val="0"/>
          <w:sz w:val="24"/>
          <w:szCs w:val="24"/>
          <w:highlight w:val="none"/>
          <w:lang w:val="en-US" w:eastAsia="zh-CN"/>
        </w:rPr>
        <w:t>已明确的</w:t>
      </w:r>
      <w:r>
        <w:rPr>
          <w:rFonts w:hint="eastAsia" w:ascii="宋体" w:hAnsi="宋体" w:eastAsia="宋体" w:cs="宋体"/>
          <w:snapToGrid w:val="0"/>
          <w:color w:val="auto"/>
          <w:kern w:val="0"/>
          <w:sz w:val="24"/>
          <w:szCs w:val="24"/>
          <w:highlight w:val="none"/>
        </w:rPr>
        <w:t>定标候选人</w:t>
      </w:r>
      <w:r>
        <w:rPr>
          <w:rFonts w:hint="eastAsia" w:ascii="宋体" w:hAnsi="宋体" w:eastAsia="宋体" w:cs="宋体"/>
          <w:snapToGrid w:val="0"/>
          <w:color w:val="auto"/>
          <w:kern w:val="0"/>
          <w:sz w:val="24"/>
          <w:szCs w:val="24"/>
          <w:highlight w:val="none"/>
          <w:lang w:eastAsia="zh-CN"/>
        </w:rPr>
        <w:t>数量</w:t>
      </w:r>
      <w:r>
        <w:rPr>
          <w:rFonts w:hint="eastAsia" w:ascii="宋体" w:hAnsi="宋体" w:eastAsia="宋体" w:cs="宋体"/>
          <w:snapToGrid w:val="0"/>
          <w:color w:val="auto"/>
          <w:kern w:val="0"/>
          <w:sz w:val="24"/>
          <w:szCs w:val="24"/>
          <w:highlight w:val="none"/>
        </w:rPr>
        <w:t>（不</w:t>
      </w:r>
      <w:r>
        <w:rPr>
          <w:rFonts w:hint="eastAsia" w:ascii="宋体" w:hAnsi="宋体" w:eastAsia="宋体" w:cs="宋体"/>
          <w:snapToGrid w:val="0"/>
          <w:color w:val="auto"/>
          <w:kern w:val="0"/>
          <w:sz w:val="24"/>
          <w:szCs w:val="24"/>
          <w:highlight w:val="none"/>
          <w:lang w:val="en-US" w:eastAsia="zh-CN"/>
        </w:rPr>
        <w:t>标明</w:t>
      </w:r>
      <w:r>
        <w:rPr>
          <w:rFonts w:hint="eastAsia" w:ascii="宋体" w:hAnsi="宋体" w:eastAsia="宋体" w:cs="宋体"/>
          <w:snapToGrid w:val="0"/>
          <w:color w:val="auto"/>
          <w:kern w:val="0"/>
          <w:sz w:val="24"/>
          <w:szCs w:val="24"/>
          <w:highlight w:val="none"/>
        </w:rPr>
        <w:t>排序）</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评标委员会推荐定标候选人后，</w:t>
      </w:r>
      <w:r>
        <w:rPr>
          <w:rFonts w:hint="eastAsia" w:ascii="宋体" w:hAnsi="宋体" w:eastAsia="宋体" w:cs="宋体"/>
          <w:snapToGrid w:val="0"/>
          <w:color w:val="auto"/>
          <w:kern w:val="0"/>
          <w:sz w:val="24"/>
          <w:szCs w:val="24"/>
          <w:highlight w:val="none"/>
        </w:rPr>
        <w:t>招标人应</w:t>
      </w:r>
      <w:r>
        <w:rPr>
          <w:rFonts w:hint="eastAsia" w:ascii="宋体" w:hAnsi="宋体" w:eastAsia="宋体" w:cs="宋体"/>
          <w:snapToGrid w:val="0"/>
          <w:color w:val="auto"/>
          <w:kern w:val="0"/>
          <w:sz w:val="24"/>
          <w:szCs w:val="24"/>
          <w:highlight w:val="none"/>
          <w:lang w:eastAsia="zh-CN"/>
        </w:rPr>
        <w:t>于评标会结束后</w:t>
      </w:r>
      <w:r>
        <w:rPr>
          <w:rFonts w:hint="eastAsia" w:ascii="宋体" w:hAnsi="宋体" w:eastAsia="宋体" w:cs="宋体"/>
          <w:snapToGrid w:val="0"/>
          <w:color w:val="auto"/>
          <w:kern w:val="0"/>
          <w:sz w:val="24"/>
          <w:szCs w:val="24"/>
          <w:highlight w:val="none"/>
          <w:lang w:val="en-US" w:eastAsia="zh-CN"/>
        </w:rPr>
        <w:t>3日内将</w:t>
      </w:r>
      <w:r>
        <w:rPr>
          <w:rFonts w:hint="eastAsia" w:ascii="宋体" w:hAnsi="宋体" w:eastAsia="宋体" w:cs="宋体"/>
          <w:snapToGrid w:val="0"/>
          <w:color w:val="auto"/>
          <w:kern w:val="0"/>
          <w:sz w:val="24"/>
          <w:szCs w:val="24"/>
          <w:highlight w:val="none"/>
          <w:lang w:eastAsia="zh-CN"/>
        </w:rPr>
        <w:t>定</w:t>
      </w:r>
      <w:r>
        <w:rPr>
          <w:rFonts w:hint="eastAsia" w:ascii="宋体" w:hAnsi="宋体" w:eastAsia="宋体" w:cs="宋体"/>
          <w:snapToGrid w:val="0"/>
          <w:color w:val="auto"/>
          <w:kern w:val="0"/>
          <w:sz w:val="24"/>
          <w:szCs w:val="24"/>
          <w:highlight w:val="none"/>
        </w:rPr>
        <w:t>标候选</w:t>
      </w:r>
      <w:r>
        <w:rPr>
          <w:rFonts w:hint="eastAsia" w:ascii="宋体" w:hAnsi="宋体" w:eastAsia="宋体" w:cs="宋体"/>
          <w:snapToGrid w:val="0"/>
          <w:color w:val="auto"/>
          <w:kern w:val="0"/>
          <w:sz w:val="24"/>
          <w:szCs w:val="24"/>
          <w:highlight w:val="none"/>
          <w:lang w:eastAsia="zh-CN"/>
        </w:rPr>
        <w:t>人和评标情况</w:t>
      </w:r>
      <w:r>
        <w:rPr>
          <w:rFonts w:hint="eastAsia" w:ascii="宋体" w:hAnsi="宋体" w:eastAsia="宋体" w:cs="宋体"/>
          <w:snapToGrid w:val="0"/>
          <w:color w:val="auto"/>
          <w:kern w:val="0"/>
          <w:sz w:val="24"/>
          <w:szCs w:val="24"/>
          <w:highlight w:val="none"/>
          <w:lang w:val="en-US" w:eastAsia="zh-CN"/>
        </w:rPr>
        <w:t>在广东省招标投标监管网和</w:t>
      </w:r>
      <w:r>
        <w:rPr>
          <w:rFonts w:hint="eastAsia" w:ascii="宋体" w:hAnsi="宋体" w:eastAsia="宋体" w:cs="宋体"/>
          <w:snapToGrid w:val="0"/>
          <w:color w:val="auto"/>
          <w:kern w:val="0"/>
          <w:sz w:val="24"/>
          <w:szCs w:val="24"/>
          <w:highlight w:val="none"/>
        </w:rPr>
        <w:t>全国公共资源交易平台（广东省·韶关市）</w:t>
      </w:r>
      <w:r>
        <w:rPr>
          <w:rFonts w:hint="eastAsia" w:ascii="宋体" w:hAnsi="宋体" w:eastAsia="宋体" w:cs="宋体"/>
          <w:snapToGrid w:val="0"/>
          <w:color w:val="auto"/>
          <w:kern w:val="0"/>
          <w:sz w:val="24"/>
          <w:szCs w:val="24"/>
          <w:highlight w:val="none"/>
          <w:lang w:val="en-US" w:eastAsia="zh-CN"/>
        </w:rPr>
        <w:t>上</w:t>
      </w:r>
      <w:r>
        <w:rPr>
          <w:rFonts w:hint="eastAsia" w:ascii="宋体" w:hAnsi="宋体" w:eastAsia="宋体" w:cs="宋体"/>
          <w:snapToGrid w:val="0"/>
          <w:color w:val="auto"/>
          <w:kern w:val="0"/>
          <w:sz w:val="24"/>
          <w:szCs w:val="24"/>
          <w:highlight w:val="none"/>
        </w:rPr>
        <w:t>公示</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公示时间不少于3日。</w:t>
      </w:r>
      <w:r>
        <w:rPr>
          <w:rFonts w:hint="eastAsia" w:ascii="宋体" w:hAnsi="宋体" w:eastAsia="宋体" w:cs="宋体"/>
          <w:snapToGrid w:val="0"/>
          <w:color w:val="auto"/>
          <w:kern w:val="0"/>
          <w:sz w:val="24"/>
          <w:szCs w:val="24"/>
          <w:highlight w:val="none"/>
          <w:lang w:eastAsia="zh-CN"/>
        </w:rPr>
        <w:t>公示主要内容包括：（</w:t>
      </w:r>
      <w:r>
        <w:rPr>
          <w:rFonts w:hint="eastAsia" w:ascii="宋体" w:hAnsi="宋体" w:eastAsia="宋体" w:cs="宋体"/>
          <w:snapToGrid w:val="0"/>
          <w:color w:val="auto"/>
          <w:kern w:val="0"/>
          <w:sz w:val="24"/>
          <w:szCs w:val="24"/>
          <w:highlight w:val="none"/>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266A4FA3">
      <w:pPr>
        <w:keepNext w:val="0"/>
        <w:keepLines w:val="0"/>
        <w:pageBreakBefore w:val="0"/>
        <w:widowControl w:val="0"/>
        <w:kinsoku/>
        <w:wordWrap w:val="0"/>
        <w:overflowPunct/>
        <w:topLinePunct w:val="0"/>
        <w:autoSpaceDE/>
        <w:autoSpaceDN/>
        <w:bidi w:val="0"/>
        <w:adjustRightInd/>
        <w:snapToGrid/>
        <w:spacing w:line="440" w:lineRule="exact"/>
        <w:ind w:firstLine="482"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16.2</w:t>
      </w:r>
      <w:r>
        <w:rPr>
          <w:rFonts w:hint="eastAsia" w:ascii="宋体" w:hAnsi="宋体" w:eastAsia="宋体" w:cs="宋体"/>
          <w:snapToGrid w:val="0"/>
          <w:color w:val="auto"/>
          <w:kern w:val="0"/>
          <w:sz w:val="24"/>
          <w:szCs w:val="24"/>
          <w:highlight w:val="none"/>
          <w:lang w:val="en-US" w:eastAsia="zh-CN"/>
        </w:rPr>
        <w:t xml:space="preserve"> 投标人或其他利害关系人对定标候选人有异议的，应当在公示期内提出。异议及投诉处理，严格按照招标投标有关法律法规及《韶关市工程建设项目招标投标活动异议和投诉处理办法》的规定执行。招标人及其评标委员会发现招标投标活动存在违反法律法规规定的，由招标人向有关监管部门投诉。</w:t>
      </w:r>
    </w:p>
    <w:p w14:paraId="26AE14CF">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680F7091">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19AD7595">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34EE0DBD">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5871E195">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5A66E3B3">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7058147D">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23BF46C7">
      <w:pPr>
        <w:rPr>
          <w:rFonts w:hint="eastAsia" w:ascii="宋体" w:hAnsi="宋体" w:eastAsia="宋体" w:cs="宋体"/>
          <w:b/>
          <w:bCs/>
          <w:color w:val="auto"/>
          <w:spacing w:val="-3"/>
          <w:sz w:val="24"/>
          <w:szCs w:val="24"/>
          <w:highlight w:val="none"/>
        </w:rPr>
      </w:pPr>
      <w:bookmarkStart w:id="145" w:name="_Toc16554"/>
      <w:r>
        <w:rPr>
          <w:rFonts w:hint="eastAsia" w:ascii="宋体" w:hAnsi="宋体" w:eastAsia="宋体" w:cs="宋体"/>
          <w:b/>
          <w:bCs/>
          <w:color w:val="auto"/>
          <w:spacing w:val="-3"/>
          <w:sz w:val="24"/>
          <w:szCs w:val="24"/>
          <w:highlight w:val="none"/>
        </w:rPr>
        <w:br w:type="page"/>
      </w:r>
    </w:p>
    <w:p w14:paraId="5C1476C7">
      <w:pPr>
        <w:spacing w:before="78" w:line="220" w:lineRule="auto"/>
        <w:ind w:left="9"/>
        <w:jc w:val="center"/>
        <w:outlineLvl w:val="1"/>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第四节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否决投标条件</w:t>
      </w:r>
      <w:bookmarkEnd w:id="145"/>
    </w:p>
    <w:p w14:paraId="2637533F">
      <w:pPr>
        <w:pStyle w:val="5"/>
        <w:spacing w:line="256" w:lineRule="auto"/>
        <w:rPr>
          <w:rFonts w:hint="eastAsia" w:ascii="宋体" w:hAnsi="宋体" w:eastAsia="宋体" w:cs="宋体"/>
          <w:color w:val="auto"/>
          <w:highlight w:val="none"/>
        </w:rPr>
      </w:pPr>
    </w:p>
    <w:p w14:paraId="16FA277C">
      <w:pPr>
        <w:spacing w:before="78" w:line="330" w:lineRule="auto"/>
        <w:ind w:left="10" w:right="65"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本节所集中列示的否决投标条件，是本章第三节“投标人须知正文</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3"/>
          <w:sz w:val="24"/>
          <w:szCs w:val="24"/>
          <w:highlight w:val="none"/>
        </w:rPr>
        <w:t>”的组成部分，</w:t>
      </w:r>
      <w:r>
        <w:rPr>
          <w:rFonts w:hint="eastAsia" w:ascii="宋体" w:hAnsi="宋体" w:eastAsia="宋体" w:cs="宋体"/>
          <w:color w:val="auto"/>
          <w:spacing w:val="-2"/>
          <w:sz w:val="24"/>
          <w:szCs w:val="24"/>
          <w:highlight w:val="none"/>
        </w:rPr>
        <w:t>是对本章第三节所规定的否决投标条件的总</w:t>
      </w:r>
      <w:r>
        <w:rPr>
          <w:rFonts w:hint="eastAsia" w:ascii="宋体" w:hAnsi="宋体" w:eastAsia="宋体" w:cs="宋体"/>
          <w:color w:val="auto"/>
          <w:spacing w:val="-3"/>
          <w:sz w:val="24"/>
          <w:szCs w:val="24"/>
          <w:highlight w:val="none"/>
        </w:rPr>
        <w:t>结和补充。</w:t>
      </w:r>
      <w:r>
        <w:rPr>
          <w:rFonts w:hint="eastAsia" w:ascii="宋体" w:hAnsi="宋体" w:eastAsia="宋体" w:cs="宋体"/>
          <w:b/>
          <w:bCs/>
          <w:color w:val="auto"/>
          <w:spacing w:val="-3"/>
          <w:sz w:val="24"/>
          <w:szCs w:val="24"/>
          <w:highlight w:val="none"/>
        </w:rPr>
        <w:t>投标人未有列入本节情形的，评</w:t>
      </w:r>
      <w:r>
        <w:rPr>
          <w:rFonts w:hint="eastAsia" w:ascii="宋体" w:hAnsi="宋体" w:eastAsia="宋体" w:cs="宋体"/>
          <w:b/>
          <w:bCs/>
          <w:color w:val="auto"/>
          <w:spacing w:val="-2"/>
          <w:sz w:val="24"/>
          <w:szCs w:val="24"/>
          <w:highlight w:val="none"/>
        </w:rPr>
        <w:t>标时一律不得否决其投标。</w:t>
      </w:r>
      <w:r>
        <w:rPr>
          <w:rFonts w:hint="eastAsia" w:ascii="宋体" w:hAnsi="宋体" w:eastAsia="宋体" w:cs="宋体"/>
          <w:color w:val="auto"/>
          <w:spacing w:val="-2"/>
          <w:sz w:val="24"/>
          <w:szCs w:val="24"/>
          <w:highlight w:val="none"/>
        </w:rPr>
        <w:t>本节所称“规定</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”均指招标文件的规</w:t>
      </w:r>
      <w:r>
        <w:rPr>
          <w:rFonts w:hint="eastAsia" w:ascii="宋体" w:hAnsi="宋体" w:eastAsia="宋体" w:cs="宋体"/>
          <w:color w:val="auto"/>
          <w:spacing w:val="-3"/>
          <w:sz w:val="24"/>
          <w:szCs w:val="24"/>
          <w:highlight w:val="none"/>
        </w:rPr>
        <w:t>定。</w:t>
      </w:r>
    </w:p>
    <w:p w14:paraId="3B6FE9A6">
      <w:pPr>
        <w:spacing w:before="34" w:line="220" w:lineRule="auto"/>
        <w:ind w:left="495"/>
        <w:outlineLvl w:val="2"/>
        <w:rPr>
          <w:rFonts w:hint="eastAsia" w:ascii="宋体" w:hAnsi="宋体" w:eastAsia="宋体" w:cs="宋体"/>
          <w:color w:val="auto"/>
          <w:sz w:val="24"/>
          <w:szCs w:val="24"/>
          <w:highlight w:val="none"/>
        </w:rPr>
      </w:pPr>
      <w:bookmarkStart w:id="146" w:name="_Toc15082"/>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．资格评审环节</w:t>
      </w:r>
      <w:bookmarkEnd w:id="146"/>
    </w:p>
    <w:p w14:paraId="51ABE522">
      <w:pPr>
        <w:spacing w:before="150" w:line="280" w:lineRule="auto"/>
        <w:ind w:right="200" w:firstLine="492"/>
        <w:rPr>
          <w:rFonts w:hint="eastAsia" w:ascii="宋体" w:hAnsi="宋体" w:eastAsia="宋体" w:cs="宋体"/>
          <w:color w:val="auto"/>
          <w:spacing w:val="-3"/>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投标人有下列情形之一的，评标委员会应否决其投标。被否决的投标人，不进入形</w:t>
      </w:r>
      <w:r>
        <w:rPr>
          <w:rFonts w:hint="eastAsia" w:ascii="宋体" w:hAnsi="宋体" w:eastAsia="宋体" w:cs="宋体"/>
          <w:color w:val="auto"/>
          <w:spacing w:val="-3"/>
          <w:sz w:val="24"/>
          <w:szCs w:val="24"/>
          <w:highlight w:val="none"/>
        </w:rPr>
        <w:t>式评审环节。</w:t>
      </w:r>
    </w:p>
    <w:p w14:paraId="5A5D99B5">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（1）有本章第三节第 2.4 条“禁止投标条款 ”规定的任何一种情形；</w:t>
      </w:r>
    </w:p>
    <w:p w14:paraId="128D62E3">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（2）投标人资质不符合规定的；</w:t>
      </w:r>
    </w:p>
    <w:p w14:paraId="19664B7F">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名称与营业执照、资质证书、安全生产许可证上的企业名称相互不一致的；其资质证书、安全生产许可证不是由住房城乡建设主管部门颁发的；营业执照、资质证书、安全生产许可证被吊销、暂扣或不在有效期内的；</w:t>
      </w:r>
    </w:p>
    <w:p w14:paraId="28A10984">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660246F1">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240"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（4）拟派项目经理、项目技术负责人、专职安全员的条件不符合规定的；拟派专职安全员数量不符合规定的；项目技术负责人未在投标文件《项目技术负责人简历表》中签字确认。</w:t>
      </w:r>
    </w:p>
    <w:p w14:paraId="67723322">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温馨提示：建造师打印电子证书后，应在个人签名处手写本人签名，未手写签名或与签名图像笔迹不一致的，该电子证书无效。</w:t>
      </w:r>
    </w:p>
    <w:p w14:paraId="4935AD73">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项目经理简历表》中拟派项目经理与《开标一览表》不一致的；拟派的项目经理未在投标文件《项目经理简历表》中签字确认；一级建造师的注册证书不是国家住建部颁发的；二级建造师的电子注册证书不是省级住建厅颁发的；建造师的注册单位与投标人不一致的；项目管理班子组成人员的各类证书、证件、证明不在有效期内的（建造师注册证书不在使用有效期内的）；擅自修改、遗漏《项目经理任职声明》实质性内容的；</w:t>
      </w:r>
    </w:p>
    <w:p w14:paraId="5D58D1E1">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注：投标人已经工商变更，但其员工执业资格注册证书的注册单位名称未完成变更的，不得否决其投标。</w:t>
      </w:r>
    </w:p>
    <w:p w14:paraId="6CDD9500">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鉴于目前继续教育开展的实际情况，建筑和市政工程施工现场专业人员（例如：施工员、质量员、材料员、资料员）的岗位证书或培训证书不审查其证书的有效期。</w:t>
      </w:r>
    </w:p>
    <w:p w14:paraId="4B23118B">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（6）招标文件规定不接受联合体投标，但以联合体投标的；</w:t>
      </w:r>
    </w:p>
    <w:p w14:paraId="1E3DF654">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）投标人为外省建筑企业，但未提供“进粤企业和人员诚信信息登记平台 ”企业和拟派人员信息情况打印页或网页截图的。</w:t>
      </w:r>
    </w:p>
    <w:p w14:paraId="62EEE4F7">
      <w:pPr>
        <w:spacing w:before="154" w:line="221" w:lineRule="auto"/>
        <w:ind w:left="477"/>
        <w:outlineLvl w:val="2"/>
        <w:rPr>
          <w:rFonts w:hint="eastAsia" w:ascii="宋体" w:hAnsi="宋体" w:eastAsia="宋体" w:cs="宋体"/>
          <w:color w:val="auto"/>
          <w:sz w:val="24"/>
          <w:szCs w:val="24"/>
          <w:highlight w:val="none"/>
        </w:rPr>
      </w:pPr>
      <w:bookmarkStart w:id="147" w:name="_Toc5925"/>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．形式评审环节</w:t>
      </w:r>
      <w:bookmarkEnd w:id="147"/>
    </w:p>
    <w:p w14:paraId="053CEC5E">
      <w:pPr>
        <w:keepNext w:val="0"/>
        <w:keepLines w:val="0"/>
        <w:pageBreakBefore w:val="0"/>
        <w:widowControl/>
        <w:kinsoku w:val="0"/>
        <w:wordWrap/>
        <w:overflowPunct/>
        <w:topLinePunct w:val="0"/>
        <w:autoSpaceDE w:val="0"/>
        <w:autoSpaceDN w:val="0"/>
        <w:bidi w:val="0"/>
        <w:adjustRightInd w:val="0"/>
        <w:snapToGrid w:val="0"/>
        <w:spacing w:line="360" w:lineRule="auto"/>
        <w:ind w:right="20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投标人有下列情形之一的，评标委员会应否决其投标。被否决的投标人，不进入响应性评审环节。</w:t>
      </w:r>
    </w:p>
    <w:p w14:paraId="18B6E674">
      <w:pPr>
        <w:keepNext w:val="0"/>
        <w:keepLines w:val="0"/>
        <w:pageBreakBefore w:val="0"/>
        <w:widowControl/>
        <w:kinsoku w:val="0"/>
        <w:wordWrap/>
        <w:overflowPunct/>
        <w:topLinePunct w:val="0"/>
        <w:autoSpaceDE w:val="0"/>
        <w:autoSpaceDN w:val="0"/>
        <w:bidi w:val="0"/>
        <w:adjustRightInd w:val="0"/>
        <w:snapToGrid w:val="0"/>
        <w:spacing w:line="360" w:lineRule="auto"/>
        <w:ind w:left="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（1）各分册没按招标文件规定加盖电子印章；</w:t>
      </w:r>
    </w:p>
    <w:p w14:paraId="74AD0720">
      <w:pPr>
        <w:keepNext w:val="0"/>
        <w:keepLines w:val="0"/>
        <w:pageBreakBefore w:val="0"/>
        <w:widowControl/>
        <w:kinsoku w:val="0"/>
        <w:wordWrap/>
        <w:overflowPunct/>
        <w:topLinePunct w:val="0"/>
        <w:autoSpaceDE w:val="0"/>
        <w:autoSpaceDN w:val="0"/>
        <w:bidi w:val="0"/>
        <w:adjustRightInd w:val="0"/>
        <w:snapToGrid w:val="0"/>
        <w:spacing w:line="360" w:lineRule="auto"/>
        <w:ind w:left="1" w:right="200" w:firstLine="4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（2）本章第三节第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10.2.2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10.3.2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10.4.3</w:t>
      </w:r>
      <w:r>
        <w:rPr>
          <w:rFonts w:hint="eastAsia" w:ascii="宋体" w:hAnsi="宋体" w:eastAsia="宋体" w:cs="宋体"/>
          <w:color w:val="auto"/>
          <w:spacing w:val="-8"/>
          <w:sz w:val="24"/>
          <w:szCs w:val="24"/>
          <w:highlight w:val="none"/>
        </w:rPr>
        <w:t xml:space="preserve"> 目中规定的“所有投标人</w:t>
      </w:r>
      <w:r>
        <w:rPr>
          <w:rFonts w:hint="eastAsia" w:ascii="宋体" w:hAnsi="宋体" w:eastAsia="宋体" w:cs="宋体"/>
          <w:color w:val="auto"/>
          <w:spacing w:val="-1"/>
          <w:sz w:val="24"/>
          <w:szCs w:val="24"/>
          <w:highlight w:val="none"/>
        </w:rPr>
        <w:t>均应提供</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”的组成内容（包括该组成内容的所附资料）中，</w:t>
      </w:r>
      <w:r>
        <w:rPr>
          <w:rFonts w:hint="eastAsia" w:ascii="宋体" w:hAnsi="宋体" w:eastAsia="宋体" w:cs="宋体"/>
          <w:color w:val="auto"/>
          <w:spacing w:val="-2"/>
          <w:sz w:val="24"/>
          <w:szCs w:val="24"/>
          <w:highlight w:val="none"/>
        </w:rPr>
        <w:t>任何一项有缺漏的；</w:t>
      </w:r>
    </w:p>
    <w:p w14:paraId="5933D0A3">
      <w:pPr>
        <w:keepNext w:val="0"/>
        <w:keepLines w:val="0"/>
        <w:pageBreakBefore w:val="0"/>
        <w:widowControl/>
        <w:kinsoku w:val="0"/>
        <w:wordWrap/>
        <w:overflowPunct/>
        <w:topLinePunct w:val="0"/>
        <w:autoSpaceDE w:val="0"/>
        <w:autoSpaceDN w:val="0"/>
        <w:bidi w:val="0"/>
        <w:adjustRightInd w:val="0"/>
        <w:snapToGrid w:val="0"/>
        <w:spacing w:line="360" w:lineRule="auto"/>
        <w:ind w:left="8" w:right="200" w:firstLine="4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（3）关键字迹模糊、无法辨认，且该种过错将导致评标委员会无法判断投标文件是</w:t>
      </w:r>
      <w:r>
        <w:rPr>
          <w:rFonts w:hint="eastAsia" w:ascii="宋体" w:hAnsi="宋体" w:eastAsia="宋体" w:cs="宋体"/>
          <w:color w:val="auto"/>
          <w:spacing w:val="-2"/>
          <w:sz w:val="24"/>
          <w:szCs w:val="24"/>
          <w:highlight w:val="none"/>
        </w:rPr>
        <w:t>否响应招标文件实质性要求的；有涂改、行间插字或删除，但未加盖单位章或由投标人</w:t>
      </w:r>
      <w:r>
        <w:rPr>
          <w:rFonts w:hint="eastAsia" w:ascii="宋体" w:hAnsi="宋体" w:eastAsia="宋体" w:cs="宋体"/>
          <w:color w:val="auto"/>
          <w:spacing w:val="-1"/>
          <w:sz w:val="24"/>
          <w:szCs w:val="24"/>
          <w:highlight w:val="none"/>
        </w:rPr>
        <w:t>的法定代表人或其委托代理人签字确认的；</w:t>
      </w:r>
    </w:p>
    <w:p w14:paraId="54158009">
      <w:pPr>
        <w:keepNext w:val="0"/>
        <w:keepLines w:val="0"/>
        <w:pageBreakBefore w:val="0"/>
        <w:widowControl/>
        <w:kinsoku w:val="0"/>
        <w:wordWrap/>
        <w:overflowPunct/>
        <w:topLinePunct w:val="0"/>
        <w:autoSpaceDE w:val="0"/>
        <w:autoSpaceDN w:val="0"/>
        <w:bidi w:val="0"/>
        <w:adjustRightInd w:val="0"/>
        <w:snapToGrid w:val="0"/>
        <w:spacing w:line="360" w:lineRule="auto"/>
        <w:ind w:left="43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（4）投标文件未按规定签字、盖章的。</w:t>
      </w:r>
    </w:p>
    <w:p w14:paraId="39AD0DAE">
      <w:pPr>
        <w:spacing w:before="227" w:line="221" w:lineRule="auto"/>
        <w:ind w:left="475"/>
        <w:outlineLvl w:val="2"/>
        <w:rPr>
          <w:rFonts w:hint="eastAsia" w:ascii="宋体" w:hAnsi="宋体" w:eastAsia="宋体" w:cs="宋体"/>
          <w:color w:val="auto"/>
          <w:sz w:val="24"/>
          <w:szCs w:val="24"/>
          <w:highlight w:val="none"/>
        </w:rPr>
      </w:pPr>
      <w:bookmarkStart w:id="148" w:name="_Toc19828"/>
      <w:r>
        <w:rPr>
          <w:rFonts w:hint="eastAsia" w:ascii="宋体" w:hAnsi="宋体" w:eastAsia="宋体" w:cs="宋体"/>
          <w:b/>
          <w:bCs/>
          <w:color w:val="auto"/>
          <w:spacing w:val="-6"/>
          <w:sz w:val="24"/>
          <w:szCs w:val="24"/>
          <w:highlight w:val="none"/>
        </w:rPr>
        <w:t>3</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6"/>
          <w:sz w:val="24"/>
          <w:szCs w:val="24"/>
          <w:highlight w:val="none"/>
        </w:rPr>
        <w:t>．响应性评审环节</w:t>
      </w:r>
      <w:bookmarkEnd w:id="148"/>
    </w:p>
    <w:p w14:paraId="4686AB01">
      <w:pPr>
        <w:spacing w:before="151" w:line="327" w:lineRule="auto"/>
        <w:ind w:left="1" w:right="200"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投标人有下列情形之一的，评标委员会应否决其投标。被否决的投标人，不进入详细评审阶段。</w:t>
      </w:r>
    </w:p>
    <w:p w14:paraId="3A367586">
      <w:pPr>
        <w:spacing w:before="31" w:line="279" w:lineRule="auto"/>
        <w:ind w:left="40" w:right="200" w:firstLine="45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（1）承诺的投标有效期短于规定的；质量标准低于规定的；工期超出规定的；擅</w:t>
      </w:r>
      <w:r>
        <w:rPr>
          <w:rFonts w:hint="eastAsia" w:ascii="宋体" w:hAnsi="宋体" w:eastAsia="宋体" w:cs="宋体"/>
          <w:color w:val="auto"/>
          <w:spacing w:val="-2"/>
          <w:sz w:val="24"/>
          <w:szCs w:val="24"/>
          <w:highlight w:val="none"/>
        </w:rPr>
        <w:t>自修改、遗漏《投标函》《各项承诺一览表》实质性内容的；</w:t>
      </w:r>
    </w:p>
    <w:p w14:paraId="7740EF66">
      <w:pPr>
        <w:spacing w:before="157" w:line="278" w:lineRule="auto"/>
        <w:ind w:left="2" w:right="200" w:firstLine="48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（2）编制《投标总价》的造价工程师，其注册证书不是</w:t>
      </w:r>
      <w:r>
        <w:rPr>
          <w:rFonts w:hint="eastAsia" w:ascii="宋体" w:hAnsi="宋体" w:eastAsia="宋体" w:cs="宋体"/>
          <w:b/>
          <w:bCs/>
          <w:color w:val="auto"/>
          <w:spacing w:val="1"/>
          <w:sz w:val="24"/>
          <w:szCs w:val="24"/>
          <w:highlight w:val="none"/>
        </w:rPr>
        <w:t>住建部门</w:t>
      </w:r>
      <w:r>
        <w:rPr>
          <w:rFonts w:hint="eastAsia" w:ascii="宋体" w:hAnsi="宋体" w:eastAsia="宋体" w:cs="宋体"/>
          <w:color w:val="auto"/>
          <w:spacing w:val="1"/>
          <w:sz w:val="24"/>
          <w:szCs w:val="24"/>
          <w:highlight w:val="none"/>
        </w:rPr>
        <w:t>颁发的；其注册</w:t>
      </w:r>
      <w:r>
        <w:rPr>
          <w:rFonts w:hint="eastAsia" w:ascii="宋体" w:hAnsi="宋体" w:eastAsia="宋体" w:cs="宋体"/>
          <w:color w:val="auto"/>
          <w:sz w:val="24"/>
          <w:szCs w:val="24"/>
          <w:highlight w:val="none"/>
        </w:rPr>
        <w:t>单位与投标人（或造价咨询人）不一致的；</w:t>
      </w:r>
      <w:r>
        <w:rPr>
          <w:rFonts w:hint="eastAsia" w:ascii="宋体" w:hAnsi="宋体" w:eastAsia="宋体" w:cs="宋体"/>
          <w:color w:val="auto"/>
          <w:spacing w:val="-1"/>
          <w:sz w:val="24"/>
          <w:szCs w:val="24"/>
          <w:highlight w:val="none"/>
        </w:rPr>
        <w:t>其注册证书不在有效期内的。</w:t>
      </w:r>
    </w:p>
    <w:p w14:paraId="5077F36E">
      <w:pPr>
        <w:spacing w:before="156" w:line="329" w:lineRule="auto"/>
        <w:ind w:right="200" w:firstLine="480"/>
        <w:jc w:val="both"/>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注：投标人（或造价咨询人）已经工商变更，但其员工的执业资格注</w:t>
      </w:r>
      <w:r>
        <w:rPr>
          <w:rFonts w:hint="eastAsia" w:ascii="宋体" w:hAnsi="宋体" w:eastAsia="宋体" w:cs="宋体"/>
          <w:b/>
          <w:bCs/>
          <w:color w:val="auto"/>
          <w:spacing w:val="-5"/>
          <w:sz w:val="24"/>
          <w:szCs w:val="24"/>
          <w:highlight w:val="none"/>
        </w:rPr>
        <w:t>册证书的注册单位名称未完成变更的，不得否决其投标。此条与 10.3.1 中的造价工程师执业（含二级造价工程师）指引相一致。</w:t>
      </w:r>
    </w:p>
    <w:p w14:paraId="2A683A42">
      <w:pPr>
        <w:spacing w:before="78" w:line="299" w:lineRule="auto"/>
        <w:ind w:left="2" w:right="81"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（3）投标人委托造价咨询单位编制《投标总价》，但未在《投标总价扉页》“投标人</w:t>
      </w:r>
      <w:r>
        <w:rPr>
          <w:rFonts w:hint="eastAsia" w:ascii="宋体" w:hAnsi="宋体" w:eastAsia="宋体" w:cs="宋体"/>
          <w:color w:val="auto"/>
          <w:spacing w:val="-86"/>
          <w:sz w:val="24"/>
          <w:szCs w:val="24"/>
          <w:highlight w:val="none"/>
        </w:rPr>
        <w:t xml:space="preserve"> </w:t>
      </w:r>
      <w:r>
        <w:rPr>
          <w:rFonts w:hint="eastAsia" w:ascii="宋体" w:hAnsi="宋体" w:eastAsia="宋体" w:cs="宋体"/>
          <w:color w:val="auto"/>
          <w:spacing w:val="1"/>
          <w:sz w:val="24"/>
          <w:szCs w:val="24"/>
          <w:highlight w:val="none"/>
        </w:rPr>
        <w:t>”栏目加盖造价咨询人公章的；未提</w:t>
      </w:r>
      <w:r>
        <w:rPr>
          <w:rFonts w:hint="eastAsia" w:ascii="宋体" w:hAnsi="宋体" w:eastAsia="宋体" w:cs="宋体"/>
          <w:color w:val="auto"/>
          <w:sz w:val="24"/>
          <w:szCs w:val="24"/>
          <w:highlight w:val="none"/>
        </w:rPr>
        <w:t>供造价咨询人的营业执照彩</w:t>
      </w:r>
      <w:r>
        <w:rPr>
          <w:rFonts w:hint="eastAsia" w:ascii="宋体" w:hAnsi="宋体" w:eastAsia="宋体" w:cs="宋体"/>
          <w:color w:val="auto"/>
          <w:spacing w:val="-3"/>
          <w:sz w:val="24"/>
          <w:szCs w:val="24"/>
          <w:highlight w:val="none"/>
        </w:rPr>
        <w:t>色扫描件；</w:t>
      </w:r>
    </w:p>
    <w:p w14:paraId="3D7914BD">
      <w:pPr>
        <w:spacing w:before="151" w:line="360" w:lineRule="auto"/>
        <w:ind w:right="21"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（4）出现两个或两个以上投标总价的（同一个投标总价大、小写不一致的除外</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投标总价超出</w:t>
      </w:r>
      <w:r>
        <w:rPr>
          <w:rFonts w:hint="eastAsia" w:ascii="宋体" w:hAnsi="宋体" w:eastAsia="宋体" w:cs="宋体"/>
          <w:b/>
          <w:bCs/>
          <w:color w:val="auto"/>
          <w:spacing w:val="-2"/>
          <w:sz w:val="24"/>
          <w:szCs w:val="24"/>
          <w:highlight w:val="none"/>
          <w:lang w:eastAsia="zh-CN"/>
        </w:rPr>
        <w:t>最高投标限价</w:t>
      </w:r>
      <w:r>
        <w:rPr>
          <w:rFonts w:hint="eastAsia" w:ascii="宋体" w:hAnsi="宋体" w:eastAsia="宋体" w:cs="宋体"/>
          <w:color w:val="auto"/>
          <w:spacing w:val="-2"/>
          <w:sz w:val="24"/>
          <w:szCs w:val="24"/>
          <w:highlight w:val="none"/>
        </w:rPr>
        <w:t>的；</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color w:val="auto"/>
          <w:spacing w:val="-2"/>
          <w:sz w:val="24"/>
          <w:szCs w:val="24"/>
          <w:highlight w:val="none"/>
        </w:rPr>
        <w:t>少于规定的；暂列金额、</w:t>
      </w:r>
      <w:r>
        <w:rPr>
          <w:rFonts w:hint="eastAsia" w:ascii="宋体" w:hAnsi="宋体" w:eastAsia="宋体" w:cs="宋体"/>
          <w:color w:val="auto"/>
          <w:spacing w:val="-2"/>
          <w:sz w:val="24"/>
          <w:szCs w:val="24"/>
          <w:highlight w:val="none"/>
          <w:lang w:val="en-US" w:eastAsia="zh-CN"/>
        </w:rPr>
        <w:t>专业工程</w:t>
      </w:r>
      <w:r>
        <w:rPr>
          <w:rFonts w:hint="eastAsia" w:ascii="宋体" w:hAnsi="宋体" w:eastAsia="宋体" w:cs="宋体"/>
          <w:color w:val="auto"/>
          <w:spacing w:val="-2"/>
          <w:sz w:val="24"/>
          <w:szCs w:val="24"/>
          <w:highlight w:val="none"/>
        </w:rPr>
        <w:t>暂估</w:t>
      </w:r>
      <w:r>
        <w:rPr>
          <w:rFonts w:hint="eastAsia" w:ascii="宋体" w:hAnsi="宋体" w:eastAsia="宋体" w:cs="宋体"/>
          <w:color w:val="auto"/>
          <w:spacing w:val="-3"/>
          <w:sz w:val="24"/>
          <w:szCs w:val="24"/>
          <w:highlight w:val="none"/>
        </w:rPr>
        <w:t>价未按照招标工程量清单统一报价的；投标总价下浮率超过</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3"/>
          <w:sz w:val="24"/>
          <w:szCs w:val="24"/>
          <w:highlight w:val="none"/>
        </w:rPr>
        <w:t>15%，又未提供相应书面说</w:t>
      </w:r>
      <w:r>
        <w:rPr>
          <w:rFonts w:hint="eastAsia" w:ascii="宋体" w:hAnsi="宋体" w:eastAsia="宋体" w:cs="宋体"/>
          <w:color w:val="auto"/>
          <w:spacing w:val="-2"/>
          <w:sz w:val="24"/>
          <w:szCs w:val="24"/>
          <w:highlight w:val="none"/>
        </w:rPr>
        <w:t>明和佐证材料或提供的书面说明和佐证材料不能令人信服，被评标委员会认定以低于成</w:t>
      </w:r>
      <w:r>
        <w:rPr>
          <w:rFonts w:hint="eastAsia" w:ascii="宋体" w:hAnsi="宋体" w:eastAsia="宋体" w:cs="宋体"/>
          <w:color w:val="auto"/>
          <w:sz w:val="24"/>
          <w:szCs w:val="24"/>
          <w:highlight w:val="none"/>
        </w:rPr>
        <w:t>本报价竞标的；擅自修改、增减招标工程量清单</w:t>
      </w:r>
      <w:r>
        <w:rPr>
          <w:rFonts w:hint="eastAsia" w:ascii="宋体" w:hAnsi="宋体" w:eastAsia="宋体" w:cs="宋体"/>
          <w:color w:val="auto"/>
          <w:spacing w:val="-1"/>
          <w:sz w:val="24"/>
          <w:szCs w:val="24"/>
          <w:highlight w:val="none"/>
        </w:rPr>
        <w:t>项目（包括措施项目）的；</w:t>
      </w:r>
    </w:p>
    <w:p w14:paraId="7BE05ED8">
      <w:pPr>
        <w:spacing w:before="156" w:line="299" w:lineRule="auto"/>
        <w:ind w:right="81" w:firstLine="49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（5）在施工组织设计评审中，评标委员会认定质量、进度保障措施与国家和省市</w:t>
      </w:r>
      <w:r>
        <w:rPr>
          <w:rFonts w:hint="eastAsia" w:ascii="宋体" w:hAnsi="宋体" w:eastAsia="宋体" w:cs="宋体"/>
          <w:color w:val="auto"/>
          <w:spacing w:val="-3"/>
          <w:sz w:val="24"/>
          <w:szCs w:val="24"/>
          <w:highlight w:val="none"/>
        </w:rPr>
        <w:t>现行有关规范、规定、标准有重大偏差，</w:t>
      </w:r>
      <w:r>
        <w:rPr>
          <w:rFonts w:hint="eastAsia" w:ascii="宋体" w:hAnsi="宋体" w:eastAsia="宋体" w:cs="宋体"/>
          <w:b/>
          <w:bCs/>
          <w:color w:val="auto"/>
          <w:spacing w:val="-3"/>
          <w:sz w:val="24"/>
          <w:szCs w:val="24"/>
          <w:highlight w:val="none"/>
        </w:rPr>
        <w:t>且该种过错将导致工程质量、进度管理目标无</w:t>
      </w:r>
      <w:r>
        <w:rPr>
          <w:rFonts w:hint="eastAsia" w:ascii="宋体" w:hAnsi="宋体" w:eastAsia="宋体" w:cs="宋体"/>
          <w:b/>
          <w:bCs/>
          <w:color w:val="auto"/>
          <w:spacing w:val="-4"/>
          <w:sz w:val="24"/>
          <w:szCs w:val="24"/>
          <w:highlight w:val="none"/>
        </w:rPr>
        <w:t>法实现的</w:t>
      </w:r>
      <w:r>
        <w:rPr>
          <w:rFonts w:hint="eastAsia" w:ascii="宋体" w:hAnsi="宋体" w:eastAsia="宋体" w:cs="宋体"/>
          <w:color w:val="auto"/>
          <w:spacing w:val="-4"/>
          <w:sz w:val="24"/>
          <w:szCs w:val="24"/>
          <w:highlight w:val="none"/>
        </w:rPr>
        <w:t>。</w:t>
      </w:r>
    </w:p>
    <w:p w14:paraId="1F2CAFD7">
      <w:pPr>
        <w:spacing w:before="151" w:line="221" w:lineRule="auto"/>
        <w:ind w:left="476"/>
        <w:outlineLvl w:val="2"/>
        <w:rPr>
          <w:rFonts w:hint="eastAsia" w:ascii="宋体" w:hAnsi="宋体" w:eastAsia="宋体" w:cs="宋体"/>
          <w:color w:val="auto"/>
          <w:sz w:val="24"/>
          <w:szCs w:val="24"/>
          <w:highlight w:val="none"/>
        </w:rPr>
      </w:pPr>
      <w:bookmarkStart w:id="149" w:name="_Toc1458"/>
      <w:r>
        <w:rPr>
          <w:rFonts w:hint="eastAsia" w:ascii="宋体" w:hAnsi="宋体" w:eastAsia="宋体" w:cs="宋体"/>
          <w:b/>
          <w:bCs/>
          <w:color w:val="auto"/>
          <w:spacing w:val="-11"/>
          <w:sz w:val="24"/>
          <w:szCs w:val="24"/>
          <w:highlight w:val="none"/>
        </w:rPr>
        <w:t>4</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11"/>
          <w:sz w:val="24"/>
          <w:szCs w:val="24"/>
          <w:highlight w:val="none"/>
        </w:rPr>
        <w:t>．其他</w:t>
      </w:r>
      <w:bookmarkEnd w:id="149"/>
    </w:p>
    <w:p w14:paraId="4300F4C0">
      <w:pPr>
        <w:spacing w:before="153" w:line="326" w:lineRule="auto"/>
        <w:ind w:firstLine="47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在任何评标环节（或阶段</w:t>
      </w:r>
      <w:r>
        <w:rPr>
          <w:rFonts w:hint="eastAsia" w:ascii="宋体" w:hAnsi="宋体" w:eastAsia="宋体" w:cs="宋体"/>
          <w:color w:val="auto"/>
          <w:spacing w:val="-36"/>
          <w:sz w:val="24"/>
          <w:szCs w:val="24"/>
          <w:highlight w:val="none"/>
        </w:rPr>
        <w:t>），</w:t>
      </w:r>
      <w:r>
        <w:rPr>
          <w:rFonts w:hint="eastAsia" w:ascii="宋体" w:hAnsi="宋体" w:eastAsia="宋体" w:cs="宋体"/>
          <w:color w:val="auto"/>
          <w:spacing w:val="-4"/>
          <w:sz w:val="24"/>
          <w:szCs w:val="24"/>
          <w:highlight w:val="none"/>
        </w:rPr>
        <w:t>投标人有下列情形之一的，评标委员会应否</w:t>
      </w:r>
      <w:r>
        <w:rPr>
          <w:rFonts w:hint="eastAsia" w:ascii="宋体" w:hAnsi="宋体" w:eastAsia="宋体" w:cs="宋体"/>
          <w:color w:val="auto"/>
          <w:spacing w:val="-5"/>
          <w:sz w:val="24"/>
          <w:szCs w:val="24"/>
          <w:highlight w:val="none"/>
        </w:rPr>
        <w:t>决其投标。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被否决的投标人，不进入下一环节（或阶段）。</w:t>
      </w:r>
    </w:p>
    <w:p w14:paraId="780DC4D6">
      <w:pPr>
        <w:spacing w:before="33"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（1）不按评标委员会要求澄清、说明或补正的；</w:t>
      </w:r>
    </w:p>
    <w:p w14:paraId="1BD88C6E">
      <w:pPr>
        <w:spacing w:before="154"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（2）有下列情形之一，被评标委员会认定属于串通投标的：</w:t>
      </w:r>
    </w:p>
    <w:p w14:paraId="1240E213">
      <w:pPr>
        <w:keepNext w:val="0"/>
        <w:keepLines w:val="0"/>
        <w:pageBreakBefore w:val="0"/>
        <w:widowControl/>
        <w:kinsoku w:val="0"/>
        <w:wordWrap/>
        <w:overflowPunct/>
        <w:topLinePunct w:val="0"/>
        <w:autoSpaceDE w:val="0"/>
        <w:autoSpaceDN w:val="0"/>
        <w:bidi w:val="0"/>
        <w:adjustRightInd w:val="0"/>
        <w:snapToGrid w:val="0"/>
        <w:spacing w:before="157" w:line="218" w:lineRule="auto"/>
        <w:ind w:left="47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①不同投标人的投标文件两处以上（含两处）错、漏一致；</w:t>
      </w:r>
    </w:p>
    <w:p w14:paraId="00F333AB">
      <w:pPr>
        <w:keepNext w:val="0"/>
        <w:keepLines w:val="0"/>
        <w:pageBreakBefore w:val="0"/>
        <w:widowControl/>
        <w:kinsoku w:val="0"/>
        <w:wordWrap/>
        <w:overflowPunct/>
        <w:topLinePunct w:val="0"/>
        <w:autoSpaceDE w:val="0"/>
        <w:autoSpaceDN w:val="0"/>
        <w:bidi w:val="0"/>
        <w:adjustRightInd w:val="0"/>
        <w:snapToGrid w:val="0"/>
        <w:spacing w:before="156" w:line="278" w:lineRule="auto"/>
        <w:ind w:right="21"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②不同投标人的投标总价相近且各分项报价、综合单价分析表内容混乱不能相互对</w:t>
      </w:r>
      <w:r>
        <w:rPr>
          <w:rFonts w:hint="eastAsia" w:ascii="宋体" w:hAnsi="宋体" w:eastAsia="宋体" w:cs="宋体"/>
          <w:color w:val="auto"/>
          <w:spacing w:val="-6"/>
          <w:sz w:val="24"/>
          <w:szCs w:val="24"/>
          <w:highlight w:val="none"/>
        </w:rPr>
        <w:t>应、乱调乱压或乱抬的，而在询标时没有合理的解释或者不能提供计算依据和</w:t>
      </w:r>
      <w:r>
        <w:rPr>
          <w:rFonts w:hint="eastAsia" w:ascii="宋体" w:hAnsi="宋体" w:eastAsia="宋体" w:cs="宋体"/>
          <w:color w:val="auto"/>
          <w:spacing w:val="-7"/>
          <w:sz w:val="24"/>
          <w:szCs w:val="24"/>
          <w:highlight w:val="none"/>
        </w:rPr>
        <w:t>报价依据；</w:t>
      </w:r>
    </w:p>
    <w:p w14:paraId="3F875C43">
      <w:pPr>
        <w:keepNext w:val="0"/>
        <w:keepLines w:val="0"/>
        <w:pageBreakBefore w:val="0"/>
        <w:widowControl/>
        <w:kinsoku w:val="0"/>
        <w:wordWrap/>
        <w:overflowPunct/>
        <w:topLinePunct w:val="0"/>
        <w:autoSpaceDE w:val="0"/>
        <w:autoSpaceDN w:val="0"/>
        <w:bidi w:val="0"/>
        <w:adjustRightInd w:val="0"/>
        <w:snapToGrid w:val="0"/>
        <w:spacing w:before="157"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③不同投标人的投标各项报价存在异常一致</w:t>
      </w:r>
      <w:r>
        <w:rPr>
          <w:rFonts w:hint="eastAsia" w:ascii="宋体" w:hAnsi="宋体" w:eastAsia="宋体" w:cs="宋体"/>
          <w:color w:val="auto"/>
          <w:spacing w:val="-1"/>
          <w:sz w:val="24"/>
          <w:szCs w:val="24"/>
          <w:highlight w:val="none"/>
        </w:rPr>
        <w:t>或者呈规律性变化；</w:t>
      </w:r>
    </w:p>
    <w:p w14:paraId="46E9D77B">
      <w:pPr>
        <w:keepNext w:val="0"/>
        <w:keepLines w:val="0"/>
        <w:pageBreakBefore w:val="0"/>
        <w:widowControl/>
        <w:kinsoku w:val="0"/>
        <w:wordWrap/>
        <w:overflowPunct/>
        <w:topLinePunct w:val="0"/>
        <w:autoSpaceDE w:val="0"/>
        <w:autoSpaceDN w:val="0"/>
        <w:bidi w:val="0"/>
        <w:adjustRightInd w:val="0"/>
        <w:snapToGrid w:val="0"/>
        <w:spacing w:before="156"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④不同投标人的投标文件由同一单位或者同一个人编制；</w:t>
      </w:r>
    </w:p>
    <w:p w14:paraId="09D8E95C">
      <w:pPr>
        <w:keepNext w:val="0"/>
        <w:keepLines w:val="0"/>
        <w:pageBreakBefore w:val="0"/>
        <w:widowControl/>
        <w:kinsoku w:val="0"/>
        <w:wordWrap/>
        <w:overflowPunct/>
        <w:topLinePunct w:val="0"/>
        <w:autoSpaceDE w:val="0"/>
        <w:autoSpaceDN w:val="0"/>
        <w:bidi w:val="0"/>
        <w:adjustRightInd w:val="0"/>
        <w:snapToGrid w:val="0"/>
        <w:spacing w:before="157" w:line="280" w:lineRule="auto"/>
        <w:ind w:left="1" w:right="81"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⑤不同投标人的投标文件中投标资料（包括电子资料）相互混装或项目班子成员出</w:t>
      </w:r>
      <w:r>
        <w:rPr>
          <w:rFonts w:hint="eastAsia" w:ascii="宋体" w:hAnsi="宋体" w:eastAsia="宋体" w:cs="宋体"/>
          <w:color w:val="auto"/>
          <w:spacing w:val="-3"/>
          <w:sz w:val="24"/>
          <w:szCs w:val="24"/>
          <w:highlight w:val="none"/>
        </w:rPr>
        <w:t>现同一人；</w:t>
      </w:r>
    </w:p>
    <w:p w14:paraId="510230E6">
      <w:pPr>
        <w:keepNext w:val="0"/>
        <w:keepLines w:val="0"/>
        <w:pageBreakBefore w:val="0"/>
        <w:widowControl/>
        <w:kinsoku w:val="0"/>
        <w:wordWrap/>
        <w:overflowPunct/>
        <w:topLinePunct w:val="0"/>
        <w:autoSpaceDE w:val="0"/>
        <w:autoSpaceDN w:val="0"/>
        <w:bidi w:val="0"/>
        <w:adjustRightInd w:val="0"/>
        <w:snapToGrid w:val="0"/>
        <w:spacing w:before="152" w:line="279" w:lineRule="auto"/>
        <w:ind w:left="3" w:right="81"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⑥不同投标人的投标文件由同一电脑编制或同一台附属设备打印，或投标报价用同</w:t>
      </w:r>
      <w:r>
        <w:rPr>
          <w:rFonts w:hint="eastAsia" w:ascii="宋体" w:hAnsi="宋体" w:eastAsia="宋体" w:cs="宋体"/>
          <w:color w:val="auto"/>
          <w:spacing w:val="-1"/>
          <w:sz w:val="24"/>
          <w:szCs w:val="24"/>
          <w:highlight w:val="none"/>
        </w:rPr>
        <w:t>一个预算编制软件密码锁制作或出自同一电子文档；</w:t>
      </w:r>
    </w:p>
    <w:p w14:paraId="5A36E25E">
      <w:pPr>
        <w:keepNext w:val="0"/>
        <w:keepLines w:val="0"/>
        <w:pageBreakBefore w:val="0"/>
        <w:widowControl/>
        <w:kinsoku w:val="0"/>
        <w:wordWrap/>
        <w:overflowPunct/>
        <w:topLinePunct w:val="0"/>
        <w:autoSpaceDE w:val="0"/>
        <w:autoSpaceDN w:val="0"/>
        <w:bidi w:val="0"/>
        <w:adjustRightInd w:val="0"/>
        <w:snapToGrid w:val="0"/>
        <w:spacing w:before="155"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⑦不同投标人的投标保证由同一企业或同一账户资金缴纳；</w:t>
      </w:r>
    </w:p>
    <w:p w14:paraId="5239CFAB">
      <w:pPr>
        <w:keepNext w:val="0"/>
        <w:keepLines w:val="0"/>
        <w:pageBreakBefore w:val="0"/>
        <w:widowControl/>
        <w:kinsoku w:val="0"/>
        <w:wordWrap/>
        <w:overflowPunct/>
        <w:topLinePunct w:val="0"/>
        <w:autoSpaceDE w:val="0"/>
        <w:autoSpaceDN w:val="0"/>
        <w:bidi w:val="0"/>
        <w:adjustRightInd w:val="0"/>
        <w:snapToGrid w:val="0"/>
        <w:spacing w:before="157" w:line="299" w:lineRule="auto"/>
        <w:ind w:right="81" w:firstLine="477"/>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rPr>
        <w:t>⑧不同投标人委托同一个人或注册在同一家企业的注册人员或同一家企业为其投</w:t>
      </w:r>
      <w:r>
        <w:rPr>
          <w:rFonts w:hint="eastAsia" w:ascii="宋体" w:hAnsi="宋体" w:eastAsia="宋体" w:cs="宋体"/>
          <w:color w:val="auto"/>
          <w:spacing w:val="-2"/>
          <w:sz w:val="24"/>
          <w:szCs w:val="24"/>
          <w:highlight w:val="none"/>
        </w:rPr>
        <w:t>标提供投标咨询、商务报价、技术咨询（招标项目本身要求采用专有技术的除外）等服</w:t>
      </w:r>
      <w:r>
        <w:rPr>
          <w:rFonts w:hint="eastAsia" w:ascii="宋体" w:hAnsi="宋体" w:eastAsia="宋体" w:cs="宋体"/>
          <w:color w:val="auto"/>
          <w:spacing w:val="-6"/>
          <w:sz w:val="24"/>
          <w:szCs w:val="24"/>
          <w:highlight w:val="none"/>
        </w:rPr>
        <w:t>务</w:t>
      </w:r>
      <w:r>
        <w:rPr>
          <w:rFonts w:hint="eastAsia" w:ascii="宋体" w:hAnsi="宋体" w:eastAsia="宋体" w:cs="宋体"/>
          <w:color w:val="auto"/>
          <w:spacing w:val="-6"/>
          <w:sz w:val="24"/>
          <w:szCs w:val="24"/>
          <w:highlight w:val="none"/>
          <w:lang w:eastAsia="zh-CN"/>
        </w:rPr>
        <w:t>；</w:t>
      </w:r>
    </w:p>
    <w:p w14:paraId="2AE1062E">
      <w:pPr>
        <w:keepNext w:val="0"/>
        <w:keepLines w:val="0"/>
        <w:pageBreakBefore w:val="0"/>
        <w:widowControl/>
        <w:kinsoku w:val="0"/>
        <w:wordWrap/>
        <w:overflowPunct/>
        <w:topLinePunct w:val="0"/>
        <w:autoSpaceDE w:val="0"/>
        <w:autoSpaceDN w:val="0"/>
        <w:bidi w:val="0"/>
        <w:adjustRightInd w:val="0"/>
        <w:snapToGrid w:val="0"/>
        <w:spacing w:before="157" w:line="299" w:lineRule="auto"/>
        <w:ind w:right="81" w:firstLine="477"/>
        <w:textAlignment w:val="baseline"/>
        <w:rPr>
          <w:rFonts w:hint="eastAsia" w:ascii="宋体" w:hAnsi="宋体" w:eastAsia="宋体" w:cs="宋体"/>
          <w:color w:val="auto"/>
          <w:spacing w:val="-2"/>
          <w:sz w:val="24"/>
          <w:szCs w:val="24"/>
          <w:highlight w:val="none"/>
          <w:lang w:eastAsia="zh-CN"/>
        </w:rPr>
        <w:sectPr>
          <w:headerReference r:id="rId9" w:type="default"/>
          <w:footerReference r:id="rId10" w:type="default"/>
          <w:pgSz w:w="11906" w:h="16839"/>
          <w:pgMar w:top="1440" w:right="946" w:bottom="1440" w:left="1080" w:header="0" w:footer="1023"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spacing w:val="-2"/>
          <w:sz w:val="24"/>
          <w:szCs w:val="24"/>
          <w:highlight w:val="none"/>
        </w:rPr>
        <w:t>⑨监督部门于韶关市公共交易一体化平台发现系统提示风险预警，如提示投标单位上传投标文件使用的电脑IP地址一致等</w:t>
      </w:r>
      <w:r>
        <w:rPr>
          <w:rFonts w:hint="eastAsia" w:ascii="宋体" w:hAnsi="宋体" w:eastAsia="宋体" w:cs="宋体"/>
          <w:color w:val="auto"/>
          <w:spacing w:val="-2"/>
          <w:sz w:val="24"/>
          <w:szCs w:val="24"/>
          <w:highlight w:val="none"/>
          <w:lang w:eastAsia="zh-CN"/>
        </w:rPr>
        <w:t>。</w:t>
      </w:r>
    </w:p>
    <w:p w14:paraId="592EEFA9">
      <w:pPr>
        <w:spacing w:before="78" w:line="220" w:lineRule="auto"/>
        <w:ind w:left="9"/>
        <w:jc w:val="center"/>
        <w:outlineLvl w:val="1"/>
        <w:rPr>
          <w:rFonts w:hint="eastAsia" w:ascii="宋体" w:hAnsi="宋体" w:eastAsia="宋体" w:cs="宋体"/>
          <w:color w:val="auto"/>
          <w:sz w:val="24"/>
          <w:szCs w:val="24"/>
          <w:highlight w:val="none"/>
        </w:rPr>
      </w:pPr>
      <w:bookmarkStart w:id="150" w:name="bookmark57"/>
      <w:bookmarkEnd w:id="150"/>
      <w:bookmarkStart w:id="151" w:name="_Toc22243"/>
      <w:r>
        <w:rPr>
          <w:rFonts w:hint="eastAsia" w:ascii="宋体" w:hAnsi="宋体" w:eastAsia="宋体" w:cs="宋体"/>
          <w:b/>
          <w:bCs/>
          <w:color w:val="auto"/>
          <w:spacing w:val="-3"/>
          <w:sz w:val="24"/>
          <w:szCs w:val="24"/>
          <w:highlight w:val="none"/>
        </w:rPr>
        <w:t>第</w:t>
      </w:r>
      <w:r>
        <w:rPr>
          <w:rFonts w:hint="eastAsia" w:ascii="宋体" w:hAnsi="宋体" w:eastAsia="宋体" w:cs="宋体"/>
          <w:b/>
          <w:bCs/>
          <w:color w:val="auto"/>
          <w:spacing w:val="-3"/>
          <w:sz w:val="24"/>
          <w:szCs w:val="24"/>
          <w:highlight w:val="none"/>
          <w:lang w:val="en-US" w:eastAsia="zh-CN"/>
        </w:rPr>
        <w:t>五</w:t>
      </w:r>
      <w:r>
        <w:rPr>
          <w:rFonts w:hint="eastAsia" w:ascii="宋体" w:hAnsi="宋体" w:eastAsia="宋体" w:cs="宋体"/>
          <w:b/>
          <w:bCs/>
          <w:color w:val="auto"/>
          <w:spacing w:val="-3"/>
          <w:sz w:val="24"/>
          <w:szCs w:val="24"/>
          <w:highlight w:val="none"/>
        </w:rPr>
        <w:t>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定标规定及细则（本项目采用票决数量法定标）</w:t>
      </w:r>
      <w:bookmarkEnd w:id="151"/>
    </w:p>
    <w:p w14:paraId="68BF1814">
      <w:pPr>
        <w:pStyle w:val="5"/>
        <w:spacing w:line="256" w:lineRule="auto"/>
        <w:rPr>
          <w:rFonts w:hint="eastAsia" w:ascii="宋体" w:hAnsi="宋体" w:eastAsia="宋体" w:cs="宋体"/>
          <w:color w:val="auto"/>
          <w:highlight w:val="none"/>
        </w:rPr>
      </w:pPr>
    </w:p>
    <w:p w14:paraId="10B417A3">
      <w:pPr>
        <w:keepNext w:val="0"/>
        <w:keepLines w:val="0"/>
        <w:pageBreakBefore w:val="0"/>
        <w:wordWrap/>
        <w:overflowPunct/>
        <w:topLinePunct w:val="0"/>
        <w:bidi w:val="0"/>
        <w:spacing w:line="360" w:lineRule="auto"/>
        <w:ind w:firstLine="482" w:firstLineChars="200"/>
        <w:rPr>
          <w:rStyle w:val="21"/>
          <w:rFonts w:hint="eastAsia" w:ascii="宋体" w:hAnsi="宋体" w:eastAsia="宋体" w:cs="宋体"/>
          <w:b/>
          <w:bCs/>
          <w:color w:val="auto"/>
          <w:kern w:val="0"/>
          <w:sz w:val="24"/>
          <w:szCs w:val="24"/>
          <w:highlight w:val="none"/>
        </w:rPr>
      </w:pPr>
      <w:r>
        <w:rPr>
          <w:rStyle w:val="21"/>
          <w:rFonts w:hint="eastAsia" w:hAnsi="宋体" w:eastAsia="宋体" w:cs="宋体"/>
          <w:b/>
          <w:bCs/>
          <w:color w:val="auto"/>
          <w:kern w:val="0"/>
          <w:sz w:val="24"/>
          <w:szCs w:val="24"/>
          <w:highlight w:val="none"/>
          <w:lang w:val="en-US" w:eastAsia="zh-CN"/>
        </w:rPr>
        <w:t>1.</w:t>
      </w:r>
      <w:r>
        <w:rPr>
          <w:rStyle w:val="21"/>
          <w:rFonts w:hint="eastAsia" w:ascii="宋体" w:hAnsi="宋体" w:eastAsia="宋体" w:cs="宋体"/>
          <w:b/>
          <w:bCs/>
          <w:color w:val="auto"/>
          <w:kern w:val="0"/>
          <w:sz w:val="24"/>
          <w:szCs w:val="24"/>
          <w:highlight w:val="none"/>
          <w:lang w:eastAsia="zh-CN"/>
        </w:rPr>
        <w:t>确定</w:t>
      </w:r>
      <w:r>
        <w:rPr>
          <w:rStyle w:val="21"/>
          <w:rFonts w:hint="eastAsia" w:ascii="宋体" w:hAnsi="宋体" w:eastAsia="宋体" w:cs="宋体"/>
          <w:b/>
          <w:bCs/>
          <w:color w:val="auto"/>
          <w:kern w:val="0"/>
          <w:sz w:val="24"/>
          <w:szCs w:val="24"/>
          <w:highlight w:val="none"/>
        </w:rPr>
        <w:t>定标时间</w:t>
      </w:r>
    </w:p>
    <w:p w14:paraId="766A39D9">
      <w:pPr>
        <w:keepNext w:val="0"/>
        <w:keepLines w:val="0"/>
        <w:pageBreakBefore w:val="0"/>
        <w:wordWrap/>
        <w:overflowPunct/>
        <w:topLinePunct w:val="0"/>
        <w:bidi w:val="0"/>
        <w:spacing w:line="360" w:lineRule="auto"/>
        <w:ind w:firstLine="480" w:firstLineChars="200"/>
        <w:rPr>
          <w:rStyle w:val="21"/>
          <w:rFonts w:hint="eastAsia" w:ascii="宋体" w:hAnsi="宋体" w:eastAsia="宋体" w:cs="宋体"/>
          <w:color w:val="auto"/>
          <w:kern w:val="0"/>
          <w:sz w:val="24"/>
          <w:szCs w:val="24"/>
          <w:highlight w:val="none"/>
        </w:rPr>
      </w:pPr>
      <w:r>
        <w:rPr>
          <w:rStyle w:val="21"/>
          <w:rFonts w:hint="eastAsia" w:ascii="宋体" w:hAnsi="宋体" w:eastAsia="宋体" w:cs="宋体"/>
          <w:color w:val="auto"/>
          <w:kern w:val="0"/>
          <w:sz w:val="24"/>
          <w:szCs w:val="24"/>
          <w:highlight w:val="none"/>
        </w:rPr>
        <w:t>招标人</w:t>
      </w:r>
      <w:r>
        <w:rPr>
          <w:rStyle w:val="21"/>
          <w:rFonts w:hint="eastAsia" w:ascii="宋体" w:hAnsi="宋体" w:eastAsia="宋体" w:cs="宋体"/>
          <w:color w:val="auto"/>
          <w:kern w:val="0"/>
          <w:sz w:val="24"/>
          <w:szCs w:val="24"/>
          <w:highlight w:val="none"/>
          <w:lang w:eastAsia="zh-CN"/>
        </w:rPr>
        <w:t>应</w:t>
      </w:r>
      <w:r>
        <w:rPr>
          <w:rStyle w:val="21"/>
          <w:rFonts w:hint="eastAsia" w:ascii="宋体" w:hAnsi="宋体" w:eastAsia="宋体" w:cs="宋体"/>
          <w:color w:val="auto"/>
          <w:kern w:val="0"/>
          <w:sz w:val="24"/>
          <w:szCs w:val="24"/>
          <w:highlight w:val="none"/>
        </w:rPr>
        <w:t>自</w:t>
      </w:r>
      <w:r>
        <w:rPr>
          <w:rStyle w:val="21"/>
          <w:rFonts w:hint="eastAsia" w:ascii="宋体" w:hAnsi="宋体" w:eastAsia="宋体" w:cs="宋体"/>
          <w:color w:val="auto"/>
          <w:kern w:val="0"/>
          <w:sz w:val="24"/>
          <w:szCs w:val="24"/>
          <w:highlight w:val="none"/>
          <w:lang w:val="en-US" w:eastAsia="zh-CN"/>
        </w:rPr>
        <w:t>定标候选人</w:t>
      </w:r>
      <w:r>
        <w:rPr>
          <w:rStyle w:val="21"/>
          <w:rFonts w:hint="eastAsia" w:ascii="宋体" w:hAnsi="宋体" w:eastAsia="宋体" w:cs="宋体"/>
          <w:color w:val="auto"/>
          <w:kern w:val="0"/>
          <w:sz w:val="24"/>
          <w:szCs w:val="24"/>
          <w:highlight w:val="none"/>
        </w:rPr>
        <w:t>公示期满后</w:t>
      </w:r>
      <w:r>
        <w:rPr>
          <w:rStyle w:val="21"/>
          <w:rFonts w:hint="eastAsia" w:ascii="宋体" w:hAnsi="宋体" w:eastAsia="宋体" w:cs="宋体"/>
          <w:color w:val="auto"/>
          <w:kern w:val="0"/>
          <w:sz w:val="24"/>
          <w:szCs w:val="24"/>
          <w:highlight w:val="none"/>
          <w:lang w:val="en-US" w:eastAsia="zh-CN"/>
        </w:rPr>
        <w:t>5</w:t>
      </w:r>
      <w:r>
        <w:rPr>
          <w:rStyle w:val="21"/>
          <w:rFonts w:hint="eastAsia" w:ascii="宋体" w:hAnsi="宋体" w:eastAsia="宋体" w:cs="宋体"/>
          <w:color w:val="auto"/>
          <w:kern w:val="0"/>
          <w:sz w:val="24"/>
          <w:szCs w:val="24"/>
          <w:highlight w:val="none"/>
        </w:rPr>
        <w:t>个工作日内进入公共资源交易平台（与评标阶段公共资源交易平台相同）进行定标。定标会议全过程录音录像。招标人需要延期定标的，</w:t>
      </w:r>
      <w:r>
        <w:rPr>
          <w:rStyle w:val="21"/>
          <w:rFonts w:hint="eastAsia" w:ascii="宋体" w:hAnsi="宋体" w:eastAsia="宋体" w:cs="宋体"/>
          <w:color w:val="auto"/>
          <w:kern w:val="0"/>
          <w:sz w:val="24"/>
          <w:szCs w:val="24"/>
          <w:highlight w:val="none"/>
          <w:lang w:eastAsia="zh-CN"/>
        </w:rPr>
        <w:t>应</w:t>
      </w:r>
      <w:r>
        <w:rPr>
          <w:rStyle w:val="21"/>
          <w:rFonts w:hint="eastAsia" w:ascii="宋体" w:hAnsi="宋体" w:eastAsia="宋体" w:cs="宋体"/>
          <w:color w:val="auto"/>
          <w:kern w:val="0"/>
          <w:sz w:val="24"/>
          <w:szCs w:val="24"/>
          <w:highlight w:val="none"/>
        </w:rPr>
        <w:t>通过</w:t>
      </w:r>
      <w:r>
        <w:rPr>
          <w:rStyle w:val="21"/>
          <w:rFonts w:hint="eastAsia" w:ascii="宋体" w:hAnsi="宋体" w:eastAsia="宋体" w:cs="宋体"/>
          <w:color w:val="auto"/>
          <w:kern w:val="0"/>
          <w:sz w:val="24"/>
          <w:szCs w:val="24"/>
          <w:highlight w:val="none"/>
          <w:lang w:val="en-US" w:eastAsia="zh-CN"/>
        </w:rPr>
        <w:t>广东省招标投标监管网和全国公共资源交易平台（广东省·韶关市）</w:t>
      </w:r>
      <w:r>
        <w:rPr>
          <w:rStyle w:val="21"/>
          <w:rFonts w:hint="eastAsia" w:ascii="宋体" w:hAnsi="宋体" w:eastAsia="宋体" w:cs="宋体"/>
          <w:color w:val="auto"/>
          <w:kern w:val="0"/>
          <w:sz w:val="24"/>
          <w:szCs w:val="24"/>
          <w:highlight w:val="none"/>
        </w:rPr>
        <w:t>公布延期原因和定标时间。</w:t>
      </w:r>
    </w:p>
    <w:p w14:paraId="5FB42728">
      <w:pPr>
        <w:keepNext w:val="0"/>
        <w:keepLines w:val="0"/>
        <w:pageBreakBefore w:val="0"/>
        <w:wordWrap/>
        <w:overflowPunct/>
        <w:topLinePunct w:val="0"/>
        <w:bidi w:val="0"/>
        <w:spacing w:line="360" w:lineRule="auto"/>
        <w:ind w:firstLine="482" w:firstLineChars="200"/>
        <w:rPr>
          <w:rStyle w:val="21"/>
          <w:rFonts w:hint="eastAsia" w:ascii="宋体" w:hAnsi="宋体" w:eastAsia="宋体" w:cs="宋体"/>
          <w:b/>
          <w:bCs/>
          <w:color w:val="auto"/>
          <w:kern w:val="0"/>
          <w:sz w:val="24"/>
          <w:szCs w:val="24"/>
          <w:highlight w:val="none"/>
          <w:lang w:eastAsia="zh-CN"/>
        </w:rPr>
      </w:pPr>
      <w:r>
        <w:rPr>
          <w:rStyle w:val="21"/>
          <w:rFonts w:hint="eastAsia" w:hAnsi="宋体" w:eastAsia="宋体" w:cs="宋体"/>
          <w:b/>
          <w:bCs/>
          <w:color w:val="auto"/>
          <w:kern w:val="0"/>
          <w:sz w:val="24"/>
          <w:szCs w:val="24"/>
          <w:highlight w:val="none"/>
          <w:lang w:val="en-US" w:eastAsia="zh-CN"/>
        </w:rPr>
        <w:t>2</w:t>
      </w:r>
      <w:r>
        <w:rPr>
          <w:rStyle w:val="21"/>
          <w:rFonts w:hint="eastAsia" w:ascii="宋体" w:hAnsi="宋体" w:eastAsia="宋体" w:cs="宋体"/>
          <w:b/>
          <w:bCs/>
          <w:color w:val="auto"/>
          <w:kern w:val="0"/>
          <w:sz w:val="24"/>
          <w:szCs w:val="24"/>
          <w:highlight w:val="none"/>
        </w:rPr>
        <w:t>.</w:t>
      </w:r>
      <w:r>
        <w:rPr>
          <w:rStyle w:val="21"/>
          <w:rFonts w:hint="eastAsia" w:ascii="宋体" w:hAnsi="宋体" w:eastAsia="宋体" w:cs="宋体"/>
          <w:b/>
          <w:bCs/>
          <w:color w:val="auto"/>
          <w:kern w:val="0"/>
          <w:sz w:val="24"/>
          <w:szCs w:val="24"/>
          <w:highlight w:val="none"/>
          <w:lang w:eastAsia="zh-CN"/>
        </w:rPr>
        <w:t>定标委员会</w:t>
      </w:r>
    </w:p>
    <w:p w14:paraId="239D68EE">
      <w:pPr>
        <w:keepNext w:val="0"/>
        <w:keepLines w:val="0"/>
        <w:pageBreakBefore w:val="0"/>
        <w:wordWrap/>
        <w:overflowPunct/>
        <w:topLinePunct w:val="0"/>
        <w:bidi w:val="0"/>
        <w:spacing w:line="360" w:lineRule="auto"/>
        <w:ind w:firstLine="480" w:firstLineChars="200"/>
        <w:rPr>
          <w:rStyle w:val="21"/>
          <w:rFonts w:hint="eastAsia" w:ascii="宋体" w:hAnsi="宋体" w:eastAsia="宋体" w:cs="宋体"/>
          <w:color w:val="auto"/>
          <w:kern w:val="0"/>
          <w:sz w:val="24"/>
          <w:szCs w:val="24"/>
          <w:highlight w:val="none"/>
          <w:lang w:val="en-US" w:eastAsia="zh-CN"/>
        </w:rPr>
      </w:pPr>
      <w:r>
        <w:rPr>
          <w:rStyle w:val="21"/>
          <w:rFonts w:hint="eastAsia" w:hAnsi="宋体" w:eastAsia="宋体" w:cs="宋体"/>
          <w:color w:val="auto"/>
          <w:kern w:val="0"/>
          <w:sz w:val="24"/>
          <w:szCs w:val="24"/>
          <w:highlight w:val="none"/>
          <w:lang w:val="en-US" w:eastAsia="zh-CN"/>
        </w:rPr>
        <w:t>2.1</w:t>
      </w:r>
      <w:r>
        <w:rPr>
          <w:rStyle w:val="21"/>
          <w:rFonts w:hint="eastAsia" w:ascii="宋体" w:hAnsi="宋体" w:eastAsia="宋体" w:cs="宋体"/>
          <w:color w:val="auto"/>
          <w:kern w:val="0"/>
          <w:sz w:val="24"/>
          <w:szCs w:val="24"/>
          <w:highlight w:val="none"/>
          <w:lang w:val="en-US" w:eastAsia="zh-CN"/>
        </w:rPr>
        <w:t>定标委员会由招标人负责组建和管理。定标委员会的组成方式、组长和成员由项目业主单位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0166038F">
      <w:pPr>
        <w:keepNext w:val="0"/>
        <w:keepLines w:val="0"/>
        <w:pageBreakBefore w:val="0"/>
        <w:wordWrap/>
        <w:overflowPunct/>
        <w:topLinePunct w:val="0"/>
        <w:bidi w:val="0"/>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170F3163">
      <w:pPr>
        <w:keepNext w:val="0"/>
        <w:keepLines w:val="0"/>
        <w:pageBreakBefore w:val="0"/>
        <w:wordWrap/>
        <w:overflowPunct/>
        <w:topLinePunct w:val="0"/>
        <w:bidi w:val="0"/>
        <w:spacing w:line="360" w:lineRule="auto"/>
        <w:ind w:firstLine="480" w:firstLineChars="200"/>
        <w:rPr>
          <w:rFonts w:hint="eastAsia"/>
          <w:color w:val="auto"/>
          <w:sz w:val="24"/>
          <w:szCs w:val="24"/>
          <w:highlight w:val="none"/>
          <w:lang w:val="en-US" w:eastAsia="zh-CN"/>
        </w:rPr>
      </w:pPr>
      <w:r>
        <w:rPr>
          <w:rStyle w:val="21"/>
          <w:rFonts w:hint="eastAsia" w:hAnsi="宋体" w:eastAsia="宋体" w:cs="宋体"/>
          <w:color w:val="auto"/>
          <w:kern w:val="0"/>
          <w:sz w:val="24"/>
          <w:szCs w:val="24"/>
          <w:highlight w:val="none"/>
          <w:lang w:val="en-US" w:eastAsia="zh-CN"/>
        </w:rPr>
        <w:t>2</w:t>
      </w:r>
      <w:r>
        <w:rPr>
          <w:rStyle w:val="21"/>
          <w:rFonts w:hint="eastAsia" w:ascii="宋体" w:hAnsi="宋体" w:eastAsia="宋体" w:cs="宋体"/>
          <w:color w:val="auto"/>
          <w:kern w:val="0"/>
          <w:sz w:val="24"/>
          <w:szCs w:val="24"/>
          <w:highlight w:val="none"/>
        </w:rPr>
        <w:t>.</w:t>
      </w:r>
      <w:r>
        <w:rPr>
          <w:rStyle w:val="21"/>
          <w:rFonts w:hint="eastAsia" w:hAnsi="宋体" w:eastAsia="宋体" w:cs="宋体"/>
          <w:color w:val="auto"/>
          <w:kern w:val="0"/>
          <w:sz w:val="24"/>
          <w:szCs w:val="24"/>
          <w:highlight w:val="none"/>
          <w:lang w:val="en-US" w:eastAsia="zh-CN"/>
        </w:rPr>
        <w:t>3</w:t>
      </w:r>
      <w:r>
        <w:rPr>
          <w:rStyle w:val="21"/>
          <w:rFonts w:hint="eastAsia" w:ascii="宋体" w:hAnsi="宋体" w:eastAsia="宋体" w:cs="宋体"/>
          <w:color w:val="auto"/>
          <w:kern w:val="0"/>
          <w:sz w:val="24"/>
          <w:szCs w:val="24"/>
          <w:highlight w:val="none"/>
          <w:lang w:val="en-US" w:eastAsia="zh-CN"/>
        </w:rPr>
        <w:t>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690E8EBF">
      <w:pPr>
        <w:keepNext w:val="0"/>
        <w:keepLines w:val="0"/>
        <w:pageBreakBefore w:val="0"/>
        <w:wordWrap/>
        <w:overflowPunct/>
        <w:topLinePunct w:val="0"/>
        <w:bidi w:val="0"/>
        <w:spacing w:line="360" w:lineRule="auto"/>
        <w:ind w:firstLine="482" w:firstLineChars="200"/>
        <w:rPr>
          <w:rStyle w:val="21"/>
          <w:rFonts w:hint="eastAsia" w:ascii="宋体" w:hAnsi="宋体" w:eastAsia="宋体" w:cs="宋体"/>
          <w:b/>
          <w:bCs/>
          <w:color w:val="auto"/>
          <w:kern w:val="0"/>
          <w:sz w:val="24"/>
          <w:szCs w:val="24"/>
          <w:highlight w:val="none"/>
          <w:lang w:val="en-US" w:eastAsia="zh-CN"/>
        </w:rPr>
      </w:pPr>
      <w:r>
        <w:rPr>
          <w:rStyle w:val="21"/>
          <w:rFonts w:hint="eastAsia" w:hAnsi="宋体" w:eastAsia="宋体" w:cs="宋体"/>
          <w:b/>
          <w:bCs/>
          <w:color w:val="auto"/>
          <w:kern w:val="0"/>
          <w:sz w:val="24"/>
          <w:szCs w:val="24"/>
          <w:highlight w:val="none"/>
          <w:lang w:val="en-US" w:eastAsia="zh-CN"/>
        </w:rPr>
        <w:t>3</w:t>
      </w:r>
      <w:r>
        <w:rPr>
          <w:rStyle w:val="21"/>
          <w:rFonts w:hint="eastAsia" w:ascii="宋体" w:hAnsi="宋体" w:eastAsia="宋体" w:cs="宋体"/>
          <w:b/>
          <w:bCs/>
          <w:color w:val="auto"/>
          <w:kern w:val="0"/>
          <w:sz w:val="24"/>
          <w:szCs w:val="24"/>
          <w:highlight w:val="none"/>
        </w:rPr>
        <w:t>.</w:t>
      </w:r>
      <w:r>
        <w:rPr>
          <w:rStyle w:val="21"/>
          <w:rFonts w:hint="eastAsia" w:ascii="宋体" w:hAnsi="宋体" w:eastAsia="宋体" w:cs="宋体"/>
          <w:b/>
          <w:bCs/>
          <w:color w:val="auto"/>
          <w:kern w:val="0"/>
          <w:sz w:val="24"/>
          <w:szCs w:val="24"/>
          <w:highlight w:val="none"/>
          <w:lang w:val="en-US" w:eastAsia="zh-CN"/>
        </w:rPr>
        <w:t>组建招标监督小组</w:t>
      </w:r>
    </w:p>
    <w:p w14:paraId="451680C4">
      <w:pPr>
        <w:keepNext w:val="0"/>
        <w:keepLines w:val="0"/>
        <w:pageBreakBefore w:val="0"/>
        <w:wordWrap/>
        <w:overflowPunct/>
        <w:topLinePunct w:val="0"/>
        <w:bidi w:val="0"/>
        <w:spacing w:line="360" w:lineRule="auto"/>
        <w:ind w:firstLine="480" w:firstLineChars="200"/>
        <w:rPr>
          <w:rStyle w:val="21"/>
          <w:rFonts w:hint="eastAsia" w:ascii="宋体" w:hAnsi="宋体" w:eastAsia="宋体" w:cs="宋体"/>
          <w:color w:val="auto"/>
          <w:kern w:val="0"/>
          <w:sz w:val="24"/>
          <w:szCs w:val="24"/>
          <w:highlight w:val="none"/>
          <w:lang w:val="en-US" w:eastAsia="zh-CN"/>
        </w:rPr>
      </w:pPr>
      <w:r>
        <w:rPr>
          <w:rStyle w:val="21"/>
          <w:rFonts w:hint="eastAsia" w:ascii="宋体" w:hAnsi="宋体" w:eastAsia="宋体" w:cs="宋体"/>
          <w:color w:val="auto"/>
          <w:kern w:val="0"/>
          <w:sz w:val="24"/>
          <w:szCs w:val="24"/>
          <w:highlight w:val="none"/>
          <w:lang w:val="en-US" w:eastAsia="zh-CN"/>
        </w:rPr>
        <w:t>招标人应组建招标监督小组，招标监督小组原则上由不少于 3 人组成，人员可由招标人直接委派，也可以从招标人的上级主管单位、项目业主单位、使用单位等补充委派，并确定一名组长负责统筹监督工作。同一人不得同时担任定标委员会成员和招标监督小组成员中的两个角色。招标监督小组应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7D9B31AD">
      <w:pPr>
        <w:keepNext w:val="0"/>
        <w:keepLines w:val="0"/>
        <w:pageBreakBefore w:val="0"/>
        <w:wordWrap/>
        <w:overflowPunct/>
        <w:topLinePunct w:val="0"/>
        <w:bidi w:val="0"/>
        <w:spacing w:line="360" w:lineRule="auto"/>
        <w:ind w:firstLine="482" w:firstLineChars="200"/>
        <w:jc w:val="left"/>
        <w:rPr>
          <w:rStyle w:val="21"/>
          <w:rFonts w:hint="eastAsia" w:ascii="宋体" w:hAnsi="宋体" w:eastAsia="宋体" w:cs="宋体"/>
          <w:b/>
          <w:bCs/>
          <w:color w:val="auto"/>
          <w:kern w:val="0"/>
          <w:sz w:val="24"/>
          <w:szCs w:val="24"/>
          <w:highlight w:val="none"/>
          <w:lang w:eastAsia="zh-CN"/>
        </w:rPr>
      </w:pPr>
      <w:r>
        <w:rPr>
          <w:rStyle w:val="21"/>
          <w:rFonts w:hint="eastAsia" w:hAnsi="宋体" w:eastAsia="宋体" w:cs="宋体"/>
          <w:b/>
          <w:bCs/>
          <w:color w:val="auto"/>
          <w:kern w:val="0"/>
          <w:sz w:val="24"/>
          <w:szCs w:val="24"/>
          <w:highlight w:val="none"/>
          <w:lang w:val="en-US" w:eastAsia="zh-CN"/>
        </w:rPr>
        <w:t>4</w:t>
      </w:r>
      <w:r>
        <w:rPr>
          <w:rStyle w:val="21"/>
          <w:rFonts w:hint="eastAsia" w:ascii="宋体" w:hAnsi="宋体" w:eastAsia="宋体" w:cs="宋体"/>
          <w:b/>
          <w:bCs/>
          <w:color w:val="auto"/>
          <w:kern w:val="0"/>
          <w:sz w:val="24"/>
          <w:szCs w:val="24"/>
          <w:highlight w:val="none"/>
        </w:rPr>
        <w:t>.</w:t>
      </w:r>
      <w:r>
        <w:rPr>
          <w:rStyle w:val="21"/>
          <w:rFonts w:hint="eastAsia" w:ascii="宋体" w:hAnsi="宋体" w:eastAsia="宋体" w:cs="宋体"/>
          <w:b/>
          <w:bCs/>
          <w:color w:val="auto"/>
          <w:kern w:val="0"/>
          <w:sz w:val="24"/>
          <w:szCs w:val="24"/>
          <w:highlight w:val="none"/>
          <w:lang w:eastAsia="zh-CN"/>
        </w:rPr>
        <w:t>定标办法</w:t>
      </w:r>
    </w:p>
    <w:p w14:paraId="65B6341F">
      <w:pPr>
        <w:keepNext w:val="0"/>
        <w:keepLines w:val="0"/>
        <w:pageBreakBefore w:val="0"/>
        <w:wordWrap/>
        <w:overflowPunct/>
        <w:topLinePunct w:val="0"/>
        <w:bidi w:val="0"/>
        <w:spacing w:line="360" w:lineRule="auto"/>
        <w:ind w:firstLine="240" w:firstLineChars="100"/>
        <w:rPr>
          <w:rStyle w:val="21"/>
          <w:rFonts w:hint="eastAsia" w:ascii="宋体" w:hAnsi="宋体" w:eastAsia="宋体" w:cs="宋体"/>
          <w:color w:val="auto"/>
          <w:kern w:val="0"/>
          <w:sz w:val="24"/>
          <w:szCs w:val="24"/>
          <w:highlight w:val="none"/>
          <w:lang w:val="en-US" w:eastAsia="zh-CN"/>
        </w:rPr>
      </w:pPr>
      <w:r>
        <w:rPr>
          <w:rStyle w:val="21"/>
          <w:rFonts w:hint="eastAsia" w:ascii="宋体" w:hAnsi="宋体" w:eastAsia="宋体" w:cs="宋体"/>
          <w:color w:val="auto"/>
          <w:kern w:val="0"/>
          <w:sz w:val="24"/>
          <w:szCs w:val="24"/>
          <w:highlight w:val="none"/>
          <w:lang w:val="en-US" w:eastAsia="zh-CN"/>
        </w:rPr>
        <w:t>定标办法由招标人按本投标人须知前附表的规定确定（只能选定其中一种定标办法）。</w:t>
      </w:r>
    </w:p>
    <w:p w14:paraId="2E09F1EC">
      <w:pPr>
        <w:keepNext w:val="0"/>
        <w:keepLines w:val="0"/>
        <w:pageBreakBefore w:val="0"/>
        <w:wordWrap/>
        <w:overflowPunct/>
        <w:topLinePunct w:val="0"/>
        <w:bidi w:val="0"/>
        <w:spacing w:line="360" w:lineRule="auto"/>
        <w:ind w:firstLine="480" w:firstLineChars="200"/>
        <w:rPr>
          <w:rFonts w:hint="eastAsia"/>
          <w:color w:val="auto"/>
          <w:sz w:val="24"/>
          <w:szCs w:val="24"/>
          <w:highlight w:val="none"/>
        </w:rPr>
      </w:pPr>
      <w:bookmarkStart w:id="152" w:name="OLE_LINK3"/>
      <w:r>
        <w:rPr>
          <w:rFonts w:hint="eastAsia"/>
          <w:b/>
          <w:bCs/>
          <w:color w:val="auto"/>
          <w:sz w:val="24"/>
          <w:szCs w:val="24"/>
          <w:highlight w:val="none"/>
          <w:lang w:val="en-US" w:eastAsia="zh-CN"/>
        </w:rPr>
        <w:t>本项目</w:t>
      </w:r>
      <w:bookmarkEnd w:id="152"/>
      <w:r>
        <w:rPr>
          <w:rFonts w:hint="eastAsia"/>
          <w:b/>
          <w:bCs/>
          <w:color w:val="auto"/>
          <w:sz w:val="24"/>
          <w:szCs w:val="24"/>
          <w:highlight w:val="none"/>
          <w:lang w:val="en-US" w:eastAsia="zh-CN"/>
        </w:rPr>
        <w:t>采用票决数量法定标。</w:t>
      </w:r>
    </w:p>
    <w:p w14:paraId="7DC142B9">
      <w:pPr>
        <w:keepNext w:val="0"/>
        <w:keepLines w:val="0"/>
        <w:pageBreakBefore w:val="0"/>
        <w:wordWrap/>
        <w:overflowPunct/>
        <w:topLinePunct w:val="0"/>
        <w:bidi w:val="0"/>
        <w:spacing w:line="360" w:lineRule="auto"/>
        <w:ind w:firstLine="482" w:firstLineChars="200"/>
        <w:rPr>
          <w:rStyle w:val="21"/>
          <w:rFonts w:hint="eastAsia" w:hAnsi="宋体" w:eastAsia="宋体" w:cs="宋体"/>
          <w:b/>
          <w:bCs/>
          <w:color w:val="auto"/>
          <w:kern w:val="0"/>
          <w:sz w:val="24"/>
          <w:szCs w:val="24"/>
          <w:highlight w:val="none"/>
          <w:lang w:val="en-US" w:eastAsia="zh-CN"/>
        </w:rPr>
      </w:pPr>
      <w:r>
        <w:rPr>
          <w:rStyle w:val="21"/>
          <w:rFonts w:hint="eastAsia" w:hAnsi="宋体" w:eastAsia="宋体" w:cs="宋体"/>
          <w:b/>
          <w:bCs/>
          <w:color w:val="auto"/>
          <w:kern w:val="0"/>
          <w:sz w:val="24"/>
          <w:szCs w:val="24"/>
          <w:highlight w:val="none"/>
          <w:lang w:val="en-US" w:eastAsia="zh-CN"/>
        </w:rPr>
        <w:t>5.定标细则</w:t>
      </w:r>
    </w:p>
    <w:p w14:paraId="21B82FE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eastAsia="zh-CN"/>
        </w:rPr>
      </w:pPr>
      <w:r>
        <w:rPr>
          <w:rFonts w:hint="eastAsia" w:ascii="宋体" w:hAnsi="宋体" w:eastAsia="宋体" w:cs="宋体"/>
          <w:b/>
          <w:bCs/>
          <w:color w:val="auto"/>
          <w:spacing w:val="0"/>
          <w:position w:val="0"/>
          <w:sz w:val="24"/>
          <w:szCs w:val="24"/>
          <w:highlight w:val="none"/>
          <w:u w:val="none" w:color="auto"/>
          <w:lang w:val="en-US" w:eastAsia="zh-CN"/>
        </w:rPr>
        <w:t>5.1票决数量法程序</w:t>
      </w:r>
    </w:p>
    <w:p w14:paraId="322D43F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i w:val="0"/>
          <w:snapToGrid/>
          <w:color w:val="auto"/>
          <w:sz w:val="24"/>
          <w:szCs w:val="24"/>
          <w:highlight w:val="none"/>
          <w:u w:val="none"/>
          <w:shd w:val="clear" w:color="auto" w:fill="FFFFFF"/>
          <w:lang w:eastAsia="zh-CN"/>
        </w:rPr>
        <w:t>定标委员会根据定标因素对定标候选人进行评审比较后，每名定标委员会成员</w:t>
      </w:r>
      <w:r>
        <w:rPr>
          <w:rFonts w:hint="eastAsia" w:ascii="宋体" w:hAnsi="宋体" w:eastAsia="宋体" w:cs="宋体"/>
          <w:color w:val="auto"/>
          <w:sz w:val="24"/>
          <w:szCs w:val="24"/>
          <w:highlight w:val="none"/>
          <w:u w:val="none"/>
          <w:lang w:val="en-US" w:eastAsia="zh-CN"/>
        </w:rPr>
        <w:t>有且仅有投出1票的权利，1票只能投1名定标候选人，</w:t>
      </w:r>
      <w:r>
        <w:rPr>
          <w:rFonts w:hint="eastAsia" w:ascii="宋体" w:hAnsi="宋体" w:eastAsia="宋体" w:cs="宋体"/>
          <w:b w:val="0"/>
          <w:i w:val="0"/>
          <w:snapToGrid/>
          <w:color w:val="auto"/>
          <w:sz w:val="24"/>
          <w:szCs w:val="24"/>
          <w:highlight w:val="none"/>
          <w:u w:val="none"/>
          <w:shd w:val="clear" w:color="auto" w:fill="FFFFFF"/>
          <w:lang w:eastAsia="zh-CN"/>
        </w:rPr>
        <w:t>进行票决排名确定排序的中标候选人。即各定标委员会成员对定标候选人进行投票，按得票高低推荐排序的前三名中标候选人。</w:t>
      </w:r>
      <w:r>
        <w:rPr>
          <w:rFonts w:hint="eastAsia" w:ascii="宋体" w:hAnsi="宋体" w:eastAsia="宋体" w:cs="宋体"/>
          <w:color w:val="auto"/>
          <w:sz w:val="24"/>
          <w:szCs w:val="24"/>
          <w:highlight w:val="none"/>
          <w:u w:val="none"/>
          <w:lang w:val="en-US" w:eastAsia="zh-CN"/>
        </w:rPr>
        <w:t>若第一轮投票中前三名中标候选人有</w:t>
      </w:r>
      <w:r>
        <w:rPr>
          <w:rFonts w:hint="eastAsia" w:ascii="宋体" w:hAnsi="宋体" w:eastAsia="宋体" w:cs="宋体"/>
          <w:color w:val="auto"/>
          <w:sz w:val="24"/>
          <w:szCs w:val="24"/>
          <w:highlight w:val="none"/>
          <w:u w:val="none"/>
          <w:shd w:val="clear" w:color="auto" w:fill="FFFFFF"/>
          <w:lang w:val="en-US" w:eastAsia="zh-CN"/>
        </w:rPr>
        <w:t>得票相同且影响中标候选人排序确定的，由定标委员会对总票数相同的单位进行再次票决确定排序,</w:t>
      </w:r>
      <w:r>
        <w:rPr>
          <w:rFonts w:hint="eastAsia" w:ascii="宋体" w:hAnsi="宋体" w:eastAsia="宋体" w:cs="宋体"/>
          <w:color w:val="auto"/>
          <w:sz w:val="24"/>
          <w:szCs w:val="24"/>
          <w:highlight w:val="none"/>
          <w:u w:val="none"/>
          <w:lang w:val="en-US" w:eastAsia="zh-CN"/>
        </w:rPr>
        <w:t>直至决出排序的前三名中标候选人。若定标候选人中没有符合评审要求的三名中标候选人，则宣告本次招标失败。</w:t>
      </w:r>
      <w:r>
        <w:rPr>
          <w:rFonts w:hint="eastAsia" w:ascii="宋体" w:hAnsi="宋体" w:eastAsia="宋体" w:cs="宋体"/>
          <w:b w:val="0"/>
          <w:i w:val="0"/>
          <w:snapToGrid/>
          <w:color w:val="auto"/>
          <w:sz w:val="24"/>
          <w:szCs w:val="24"/>
          <w:highlight w:val="none"/>
          <w:u w:val="none"/>
          <w:shd w:val="clear" w:color="auto" w:fill="FFFFFF"/>
          <w:lang w:eastAsia="zh-CN"/>
        </w:rPr>
        <w:t>票决采用记名方式并注明投票理由。</w:t>
      </w:r>
    </w:p>
    <w:p w14:paraId="40D9E50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5.1.1.</w:t>
      </w:r>
      <w:r>
        <w:rPr>
          <w:rFonts w:hint="eastAsia" w:ascii="宋体" w:hAnsi="宋体" w:eastAsia="宋体" w:cs="宋体"/>
          <w:b/>
          <w:bCs/>
          <w:color w:val="auto"/>
          <w:sz w:val="24"/>
          <w:szCs w:val="24"/>
          <w:highlight w:val="none"/>
          <w:u w:val="none"/>
          <w:shd w:val="clear" w:color="auto" w:fill="FFFFFF"/>
        </w:rPr>
        <w:t>项目情况介绍</w:t>
      </w:r>
    </w:p>
    <w:p w14:paraId="31594E7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招标人代表介绍项目的概况及招标要求，以及定标方法与定标工作规则，不得发表具有倾向性的言论。</w:t>
      </w:r>
    </w:p>
    <w:p w14:paraId="2B63202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5.1.2.</w:t>
      </w:r>
      <w:r>
        <w:rPr>
          <w:rFonts w:hint="eastAsia" w:ascii="宋体" w:hAnsi="宋体" w:eastAsia="宋体" w:cs="宋体"/>
          <w:b/>
          <w:bCs/>
          <w:color w:val="auto"/>
          <w:sz w:val="24"/>
          <w:szCs w:val="24"/>
          <w:highlight w:val="none"/>
          <w:u w:val="none"/>
          <w:shd w:val="clear" w:color="auto" w:fill="FFFFFF"/>
        </w:rPr>
        <w:t>审阅定标资料</w:t>
      </w:r>
    </w:p>
    <w:p w14:paraId="65146BA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color w:val="auto"/>
          <w:spacing w:val="0"/>
          <w:position w:val="0"/>
          <w:sz w:val="24"/>
          <w:szCs w:val="24"/>
          <w:highlight w:val="none"/>
          <w:u w:val="none" w:color="auto"/>
          <w:lang w:val="en-US" w:eastAsia="zh-CN"/>
        </w:rPr>
        <w:t>聚焦于项目需求与候选人能力的匹配度</w:t>
      </w:r>
      <w:r>
        <w:rPr>
          <w:rFonts w:hint="eastAsia" w:ascii="宋体" w:hAnsi="宋体" w:eastAsia="宋体" w:cs="宋体"/>
          <w:color w:val="auto"/>
          <w:sz w:val="24"/>
          <w:szCs w:val="24"/>
          <w:highlight w:val="none"/>
          <w:u w:val="none"/>
          <w:shd w:val="clear" w:color="auto" w:fill="FFFFFF"/>
          <w:lang w:eastAsia="zh-CN"/>
        </w:rPr>
        <w:t>。</w:t>
      </w:r>
    </w:p>
    <w:p w14:paraId="28D62039">
      <w:pPr>
        <w:pStyle w:val="1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5.1.3.</w:t>
      </w:r>
      <w:r>
        <w:rPr>
          <w:rFonts w:hint="eastAsia" w:ascii="宋体" w:hAnsi="宋体" w:eastAsia="宋体" w:cs="宋体"/>
          <w:b/>
          <w:bCs/>
          <w:color w:val="auto"/>
          <w:sz w:val="24"/>
          <w:szCs w:val="24"/>
          <w:highlight w:val="none"/>
          <w:u w:val="none"/>
          <w:shd w:val="clear" w:color="auto" w:fill="FFFFFF"/>
        </w:rPr>
        <w:t>疑问澄清</w:t>
      </w:r>
    </w:p>
    <w:p w14:paraId="7F6080F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color w:val="auto"/>
          <w:sz w:val="24"/>
          <w:szCs w:val="24"/>
          <w:highlight w:val="none"/>
          <w:u w:val="none"/>
          <w:shd w:val="clear" w:color="auto" w:fill="FFFFFF"/>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2116CA6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5.1.4.投票，收票，点票和汇总</w:t>
      </w:r>
    </w:p>
    <w:p w14:paraId="3D9FAC9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358DA39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bCs/>
          <w:color w:val="auto"/>
          <w:kern w:val="0"/>
          <w:sz w:val="24"/>
          <w:szCs w:val="24"/>
          <w:highlight w:val="none"/>
          <w:u w:val="none"/>
          <w:shd w:val="clear" w:color="auto" w:fill="FFFFFF"/>
          <w:lang w:val="en-US" w:eastAsia="zh-CN" w:bidi="ar-SA"/>
        </w:rPr>
        <w:t>5.1.5.公布结果和出具定标报告</w:t>
      </w:r>
    </w:p>
    <w:p w14:paraId="6F04ECF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color w:val="auto"/>
          <w:sz w:val="24"/>
          <w:szCs w:val="24"/>
          <w:highlight w:val="none"/>
          <w:lang w:eastAsia="zh-CN"/>
        </w:rPr>
        <w:t>点票工作完成后，定标委员会组长汇总定标结果，编制定标报告，确定中标候选人，全体成员签名。</w:t>
      </w:r>
    </w:p>
    <w:p w14:paraId="73597560">
      <w:pPr>
        <w:pStyle w:val="1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left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5.1.6.</w:t>
      </w:r>
      <w:r>
        <w:rPr>
          <w:rFonts w:hint="eastAsia" w:ascii="宋体" w:hAnsi="宋体" w:eastAsia="宋体" w:cs="宋体"/>
          <w:b/>
          <w:bCs/>
          <w:color w:val="auto"/>
          <w:sz w:val="24"/>
          <w:szCs w:val="24"/>
          <w:highlight w:val="none"/>
          <w:u w:val="none"/>
          <w:shd w:val="clear" w:color="auto" w:fill="FFFFFF"/>
        </w:rPr>
        <w:t>全程监督</w:t>
      </w:r>
    </w:p>
    <w:p w14:paraId="42C77B4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招标监督小组对</w:t>
      </w:r>
      <w:r>
        <w:rPr>
          <w:rFonts w:hint="eastAsia" w:ascii="宋体" w:hAnsi="宋体" w:eastAsia="宋体" w:cs="宋体"/>
          <w:b w:val="0"/>
          <w:bCs/>
          <w:color w:val="auto"/>
          <w:sz w:val="24"/>
          <w:szCs w:val="24"/>
          <w:highlight w:val="none"/>
          <w:lang w:val="en-US" w:eastAsia="zh-CN"/>
        </w:rPr>
        <w:t>定标会议</w:t>
      </w:r>
      <w:r>
        <w:rPr>
          <w:rFonts w:hint="eastAsia" w:ascii="宋体" w:hAnsi="宋体" w:eastAsia="宋体" w:cs="宋体"/>
          <w:b w:val="0"/>
          <w:bCs/>
          <w:color w:val="auto"/>
          <w:sz w:val="24"/>
          <w:szCs w:val="24"/>
          <w:highlight w:val="none"/>
          <w:lang w:eastAsia="zh-CN"/>
        </w:rPr>
        <w:t>的全过程进行监督，确保程序合规、记录完整，结论形成过程公正、透明。</w:t>
      </w:r>
    </w:p>
    <w:p w14:paraId="6C6211A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5.2定标因素</w:t>
      </w:r>
    </w:p>
    <w:p w14:paraId="546EFB8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i/>
          <w:iCs/>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定标因素和相对标准有以下几个方面：</w:t>
      </w:r>
    </w:p>
    <w:p w14:paraId="6264BCE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（1）拟派团队管理能力与水平（履约能力）</w:t>
      </w:r>
    </w:p>
    <w:p w14:paraId="088F27F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相对标准：拟派团队管理能力与水平（履约能力）强的定标候选人优于拟派团队管理能力与水平（履约能力）一般的定标候选人。</w:t>
      </w:r>
    </w:p>
    <w:p w14:paraId="0AD9522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（2）企业信誉</w:t>
      </w:r>
    </w:p>
    <w:p w14:paraId="746214B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相对标准：企业信誉评价好的定标候选人优于企业信誉评价一般的定标候选人。</w:t>
      </w:r>
    </w:p>
    <w:p w14:paraId="29593FC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（3）企业社会贡献（助力“百千万工程”、社会公益项目）</w:t>
      </w:r>
    </w:p>
    <w:p w14:paraId="05E40F0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相对标准：承诺助力“百千万工程”的定标候选人优于未承诺的定标候选人（以《助力项目承诺书》为准）；参与过社会公益项目的定标候选人优于未参与过的定标候选人（提供相关佐证）。</w:t>
      </w:r>
    </w:p>
    <w:p w14:paraId="2CEA812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（4）评标报告</w:t>
      </w:r>
    </w:p>
    <w:p w14:paraId="2AADDC8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相对标准：评标委员会评审意见为具有优势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低</w:t>
      </w:r>
      <w:r>
        <w:rPr>
          <w:rFonts w:hint="eastAsia" w:ascii="宋体" w:hAnsi="宋体" w:eastAsia="宋体" w:cs="宋体"/>
          <w:b w:val="0"/>
          <w:bCs w:val="0"/>
          <w:color w:val="auto"/>
          <w:spacing w:val="0"/>
          <w:position w:val="0"/>
          <w:sz w:val="24"/>
          <w:szCs w:val="24"/>
          <w:highlight w:val="none"/>
          <w:u w:val="none" w:color="auto"/>
          <w:lang w:val="en-US" w:eastAsia="zh-CN"/>
        </w:rPr>
        <w:t>的定标候选人优于评标委员会评审意见为没有优势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高</w:t>
      </w:r>
      <w:r>
        <w:rPr>
          <w:rFonts w:hint="eastAsia" w:ascii="宋体" w:hAnsi="宋体" w:eastAsia="宋体" w:cs="宋体"/>
          <w:b w:val="0"/>
          <w:bCs w:val="0"/>
          <w:color w:val="auto"/>
          <w:spacing w:val="0"/>
          <w:position w:val="0"/>
          <w:sz w:val="24"/>
          <w:szCs w:val="24"/>
          <w:highlight w:val="none"/>
          <w:u w:val="none" w:color="auto"/>
          <w:lang w:val="en-US" w:eastAsia="zh-CN"/>
        </w:rPr>
        <w:t>的</w:t>
      </w:r>
      <w:r>
        <w:rPr>
          <w:rFonts w:hint="eastAsia" w:ascii="宋体" w:hAnsi="宋体" w:eastAsia="宋体" w:cs="宋体"/>
          <w:color w:val="auto"/>
          <w:sz w:val="24"/>
          <w:szCs w:val="24"/>
          <w:highlight w:val="none"/>
        </w:rPr>
        <w:t>定标候选人</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综合考虑评标委员会的评审意见，对各定标候选人</w:t>
      </w:r>
      <w:r>
        <w:rPr>
          <w:rFonts w:hint="eastAsia" w:ascii="宋体" w:hAnsi="宋体" w:eastAsia="宋体" w:cs="宋体"/>
          <w:color w:val="auto"/>
          <w:sz w:val="24"/>
          <w:szCs w:val="24"/>
          <w:highlight w:val="none"/>
        </w:rPr>
        <w:t>的优势、风险等评审情况</w:t>
      </w:r>
      <w:r>
        <w:rPr>
          <w:rFonts w:hint="eastAsia" w:ascii="宋体" w:hAnsi="宋体" w:eastAsia="宋体" w:cs="宋体"/>
          <w:b w:val="0"/>
          <w:bCs w:val="0"/>
          <w:color w:val="auto"/>
          <w:spacing w:val="0"/>
          <w:position w:val="0"/>
          <w:sz w:val="24"/>
          <w:szCs w:val="24"/>
          <w:highlight w:val="none"/>
          <w:u w:val="none" w:color="auto"/>
          <w:lang w:val="en-US" w:eastAsia="zh-CN"/>
        </w:rPr>
        <w:t>进行评审比较</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w:t>
      </w:r>
    </w:p>
    <w:p w14:paraId="30E1ECD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（5）农民工工资保障情况</w:t>
      </w:r>
    </w:p>
    <w:p w14:paraId="71F4519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spacing w:val="0"/>
          <w:position w:val="0"/>
          <w:sz w:val="24"/>
          <w:szCs w:val="24"/>
          <w:highlight w:val="none"/>
          <w:u w:val="none" w:color="auto"/>
          <w:lang w:val="en-US" w:eastAsia="zh-CN"/>
        </w:rPr>
        <w:t>相对标准：农民工工资保障情况好的定标候选人优于农民工工资保障情况差的定标候选人（结合</w:t>
      </w:r>
      <w:r>
        <w:rPr>
          <w:rFonts w:hint="eastAsia" w:ascii="宋体" w:hAnsi="宋体" w:eastAsia="宋体" w:cs="宋体"/>
          <w:b w:val="0"/>
          <w:bCs w:val="0"/>
          <w:color w:val="auto"/>
          <w:kern w:val="0"/>
          <w:sz w:val="24"/>
          <w:szCs w:val="24"/>
          <w:highlight w:val="none"/>
          <w:u w:val="none"/>
          <w:shd w:val="clear" w:color="auto" w:fill="FFFFFF"/>
          <w:lang w:val="en-US" w:eastAsia="zh-CN" w:bidi="ar-SA"/>
        </w:rPr>
        <w:t>定标候选人提交的证明材料和招标人查询的材料进行评审）。</w:t>
      </w:r>
    </w:p>
    <w:p w14:paraId="59CB27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6.定标结果公示</w:t>
      </w:r>
    </w:p>
    <w:p w14:paraId="3FF6B90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1"/>
          <w:rFonts w:hint="eastAsia" w:ascii="宋体" w:hAnsi="宋体" w:eastAsia="宋体" w:cs="宋体"/>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定标委员会完成定标</w:t>
      </w:r>
      <w:r>
        <w:rPr>
          <w:rStyle w:val="21"/>
          <w:rFonts w:hint="eastAsia" w:ascii="宋体" w:hAnsi="宋体" w:eastAsia="宋体" w:cs="宋体"/>
          <w:b w:val="0"/>
          <w:bCs w:val="0"/>
          <w:color w:val="auto"/>
          <w:kern w:val="0"/>
          <w:sz w:val="24"/>
          <w:szCs w:val="24"/>
          <w:highlight w:val="none"/>
          <w:lang w:val="en-US" w:eastAsia="zh-CN"/>
        </w:rPr>
        <w:t>后</w:t>
      </w:r>
      <w:r>
        <w:rPr>
          <w:rStyle w:val="21"/>
          <w:rFonts w:hint="eastAsia" w:ascii="宋体" w:hAnsi="宋体" w:eastAsia="宋体" w:cs="宋体"/>
          <w:color w:val="auto"/>
          <w:kern w:val="0"/>
          <w:sz w:val="24"/>
          <w:szCs w:val="24"/>
          <w:highlight w:val="none"/>
          <w:lang w:val="en-US" w:eastAsia="zh-CN"/>
        </w:rPr>
        <w:t>，招标人应当自收到定标报告之日起3日内将中标候选人和定标情况在广东省招标投标监管网和全国公共资源交易平台（广东省·韶关市）上公示，公示时间不少于3日。公示主要内容包括：定标报告（定标成员信息除外）、中标人候选人名单、投标报价和拟投入本项目的项目负责人、技术负责人及各专业负责人（如有）等内容。</w:t>
      </w:r>
    </w:p>
    <w:p w14:paraId="030EA7EB">
      <w:pPr>
        <w:keepNext w:val="0"/>
        <w:keepLines w:val="0"/>
        <w:pageBreakBefore w:val="0"/>
        <w:wordWrap/>
        <w:overflowPunct/>
        <w:topLinePunct w:val="0"/>
        <w:bidi w:val="0"/>
        <w:spacing w:line="360" w:lineRule="auto"/>
        <w:rPr>
          <w:rFonts w:hint="eastAsia"/>
          <w:color w:val="auto"/>
          <w:sz w:val="24"/>
          <w:szCs w:val="24"/>
          <w:highlight w:val="none"/>
          <w:lang w:val="en-US" w:eastAsia="zh-CN"/>
        </w:rPr>
      </w:pPr>
    </w:p>
    <w:p w14:paraId="63554396">
      <w:pPr>
        <w:keepNext w:val="0"/>
        <w:keepLines w:val="0"/>
        <w:pageBreakBefore w:val="0"/>
        <w:wordWrap/>
        <w:overflowPunct/>
        <w:topLinePunct w:val="0"/>
        <w:bidi w:val="0"/>
        <w:spacing w:before="78" w:line="360" w:lineRule="auto"/>
        <w:ind w:left="3525"/>
        <w:outlineLvl w:val="0"/>
        <w:rPr>
          <w:rFonts w:hint="eastAsia" w:ascii="宋体" w:hAnsi="宋体" w:eastAsia="宋体" w:cs="宋体"/>
          <w:b/>
          <w:bCs/>
          <w:color w:val="auto"/>
          <w:spacing w:val="-7"/>
          <w:sz w:val="24"/>
          <w:szCs w:val="24"/>
          <w:highlight w:val="none"/>
        </w:rPr>
      </w:pPr>
    </w:p>
    <w:p w14:paraId="09ABEA5F">
      <w:pPr>
        <w:pStyle w:val="3"/>
        <w:rPr>
          <w:rFonts w:hint="eastAsia" w:ascii="宋体" w:hAnsi="宋体" w:eastAsia="宋体" w:cs="宋体"/>
          <w:b/>
          <w:bCs/>
          <w:color w:val="auto"/>
          <w:spacing w:val="-7"/>
          <w:sz w:val="24"/>
          <w:szCs w:val="24"/>
          <w:highlight w:val="none"/>
        </w:rPr>
      </w:pPr>
    </w:p>
    <w:p w14:paraId="0A396179">
      <w:pPr>
        <w:rPr>
          <w:rFonts w:hint="eastAsia" w:ascii="宋体" w:hAnsi="宋体" w:eastAsia="宋体" w:cs="宋体"/>
          <w:b/>
          <w:bCs/>
          <w:color w:val="auto"/>
          <w:spacing w:val="-7"/>
          <w:sz w:val="24"/>
          <w:szCs w:val="24"/>
          <w:highlight w:val="none"/>
        </w:rPr>
      </w:pPr>
    </w:p>
    <w:p w14:paraId="4AD40A13">
      <w:pPr>
        <w:pStyle w:val="3"/>
        <w:rPr>
          <w:rFonts w:hint="eastAsia" w:ascii="宋体" w:hAnsi="宋体" w:eastAsia="宋体" w:cs="宋体"/>
          <w:b/>
          <w:bCs/>
          <w:color w:val="auto"/>
          <w:spacing w:val="-7"/>
          <w:sz w:val="24"/>
          <w:szCs w:val="24"/>
          <w:highlight w:val="none"/>
        </w:rPr>
      </w:pPr>
    </w:p>
    <w:p w14:paraId="62C08327">
      <w:pPr>
        <w:rPr>
          <w:rFonts w:hint="eastAsia" w:ascii="宋体" w:hAnsi="宋体" w:eastAsia="宋体" w:cs="宋体"/>
          <w:b/>
          <w:bCs/>
          <w:color w:val="auto"/>
          <w:spacing w:val="-7"/>
          <w:sz w:val="24"/>
          <w:szCs w:val="24"/>
          <w:highlight w:val="none"/>
        </w:rPr>
      </w:pPr>
    </w:p>
    <w:p w14:paraId="4AEC3161">
      <w:pPr>
        <w:rPr>
          <w:rFonts w:hint="eastAsia" w:ascii="宋体" w:hAnsi="宋体" w:eastAsia="宋体" w:cs="宋体"/>
          <w:b/>
          <w:bCs/>
          <w:color w:val="auto"/>
          <w:spacing w:val="-7"/>
          <w:sz w:val="24"/>
          <w:szCs w:val="24"/>
          <w:highlight w:val="none"/>
        </w:rPr>
      </w:pPr>
    </w:p>
    <w:p w14:paraId="154A867D">
      <w:pPr>
        <w:spacing w:before="78" w:line="220" w:lineRule="auto"/>
        <w:ind w:left="9"/>
        <w:jc w:val="center"/>
        <w:outlineLvl w:val="1"/>
        <w:rPr>
          <w:rFonts w:hint="eastAsia" w:ascii="宋体" w:hAnsi="宋体" w:eastAsia="宋体" w:cs="宋体"/>
          <w:b/>
          <w:bCs/>
          <w:color w:val="auto"/>
          <w:spacing w:val="-3"/>
          <w:sz w:val="24"/>
          <w:szCs w:val="24"/>
          <w:highlight w:val="none"/>
        </w:rPr>
      </w:pPr>
      <w:bookmarkStart w:id="153" w:name="_Toc4926"/>
      <w:bookmarkStart w:id="154" w:name="_Toc209"/>
    </w:p>
    <w:p w14:paraId="125A965B">
      <w:pPr>
        <w:spacing w:before="78" w:line="220" w:lineRule="auto"/>
        <w:ind w:left="9"/>
        <w:jc w:val="center"/>
        <w:outlineLvl w:val="1"/>
        <w:rPr>
          <w:rFonts w:hint="eastAsia" w:ascii="宋体" w:hAnsi="宋体" w:eastAsia="宋体" w:cs="宋体"/>
          <w:b/>
          <w:bCs/>
          <w:color w:val="auto"/>
          <w:spacing w:val="-3"/>
          <w:sz w:val="24"/>
          <w:szCs w:val="24"/>
          <w:highlight w:val="none"/>
          <w:lang w:val="en-US" w:eastAsia="zh-CN"/>
        </w:rPr>
      </w:pPr>
      <w:r>
        <w:rPr>
          <w:rFonts w:hint="eastAsia" w:ascii="宋体" w:hAnsi="宋体" w:eastAsia="宋体" w:cs="宋体"/>
          <w:b/>
          <w:bCs/>
          <w:color w:val="auto"/>
          <w:spacing w:val="-3"/>
          <w:sz w:val="24"/>
          <w:szCs w:val="24"/>
          <w:highlight w:val="none"/>
        </w:rPr>
        <w:t>第</w:t>
      </w:r>
      <w:r>
        <w:rPr>
          <w:rFonts w:hint="eastAsia" w:ascii="宋体" w:hAnsi="宋体" w:eastAsia="宋体" w:cs="宋体"/>
          <w:b/>
          <w:bCs/>
          <w:color w:val="auto"/>
          <w:spacing w:val="-3"/>
          <w:sz w:val="24"/>
          <w:szCs w:val="24"/>
          <w:highlight w:val="none"/>
          <w:lang w:val="en-US" w:eastAsia="zh-CN"/>
        </w:rPr>
        <w:t>六</w:t>
      </w:r>
      <w:r>
        <w:rPr>
          <w:rFonts w:hint="eastAsia" w:ascii="宋体" w:hAnsi="宋体" w:eastAsia="宋体" w:cs="宋体"/>
          <w:b/>
          <w:bCs/>
          <w:color w:val="auto"/>
          <w:spacing w:val="-3"/>
          <w:sz w:val="24"/>
          <w:szCs w:val="24"/>
          <w:highlight w:val="none"/>
        </w:rPr>
        <w:t>节 中标确认</w:t>
      </w:r>
      <w:bookmarkEnd w:id="153"/>
      <w:bookmarkEnd w:id="154"/>
    </w:p>
    <w:p w14:paraId="276CA96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default"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1.中标人确定过程</w:t>
      </w:r>
    </w:p>
    <w:p w14:paraId="3A29BAB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1.1 中标人确定。中标候选人公示期满无异议的，招标人确认排名第一的中标候选人为中标人，中标人的投标报价即为中标价。</w:t>
      </w:r>
    </w:p>
    <w:p w14:paraId="2EA71AC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1.2 中标人确定后，招标人应当于7日内在线完成加盖招标人单位电子签章的中标通知书并发放到中标人及各相关单位。招标人最迟应当在投标有效期届满30日前发出中标通知书，否则，应当按照本投标人须知投标有效期的规定延长投标有效期。</w:t>
      </w:r>
      <w:r>
        <w:rPr>
          <w:rFonts w:hint="eastAsia" w:ascii="宋体" w:hAnsi="宋体" w:eastAsia="宋体" w:cs="宋体"/>
          <w:snapToGrid w:val="0"/>
          <w:color w:val="auto"/>
          <w:kern w:val="0"/>
          <w:sz w:val="24"/>
          <w:szCs w:val="24"/>
          <w:highlight w:val="none"/>
        </w:rPr>
        <w:t>在中标通知书发出后5个工作日内，韶关市公共资源交易中心将投标保证金（或银行保函）退还给中标候选人以外的投标人。</w:t>
      </w:r>
    </w:p>
    <w:p w14:paraId="58F427C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1.3 招标人应当自中标通知书发出之日起15日内，通过广东省招标投标监管网和全国公共资源交易平台（广东省 ·韶关市）发布中标结果公示。 招标人应当自确定中标人之日起15日内，在线向有关招标管理部门提交招标投标情况的书面报告。</w:t>
      </w:r>
    </w:p>
    <w:p w14:paraId="723C0190">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异议和投诉</w:t>
      </w:r>
    </w:p>
    <w:p w14:paraId="5075223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2.1 投标人或者其他利害关系人对招标项目的评标和定标结果有异议的，应当在定标候选人和中标候选人公示期间按规定线上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3DC88F0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2.2在定标候选人和中标候选人公示期间有关评标结果的异议成立的，招标人原则上应当组织原评标委员会和原定标委员会对有关的问题予以纠正，问题纠正后再公示定标候选人和中标候选人。</w:t>
      </w:r>
    </w:p>
    <w:p w14:paraId="79D9286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2.3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46163FFD">
      <w:pPr>
        <w:pStyle w:val="12"/>
        <w:keepNext w:val="0"/>
        <w:keepLines w:val="0"/>
        <w:pageBreakBefore w:val="0"/>
        <w:widowControl w:val="0"/>
        <w:shd w:val="clear" w:color="auto" w:fill="auto"/>
        <w:kinsoku/>
        <w:wordWrap/>
        <w:overflowPunct/>
        <w:topLinePunct w:val="0"/>
        <w:bidi w:val="0"/>
        <w:adjustRightInd/>
        <w:snapToGrid/>
        <w:spacing w:before="0" w:beforeLines="0" w:after="0" w:afterLines="0" w:line="360" w:lineRule="auto"/>
        <w:ind w:left="0" w:leftChars="0" w:firstLine="482" w:firstLineChars="200"/>
        <w:jc w:val="both"/>
        <w:textAlignment w:val="auto"/>
        <w:outlineLvl w:val="9"/>
        <w:rPr>
          <w:rFonts w:hint="eastAsia" w:ascii="宋体" w:hAnsi="宋体" w:eastAsia="宋体" w:cs="宋体"/>
          <w:b/>
          <w:bCs/>
          <w:i/>
          <w:color w:val="auto"/>
          <w:sz w:val="24"/>
          <w:szCs w:val="24"/>
          <w:highlight w:val="none"/>
        </w:rPr>
      </w:pPr>
      <w:bookmarkStart w:id="155" w:name="_Toc236550039"/>
      <w:r>
        <w:rPr>
          <w:rStyle w:val="18"/>
          <w:rFonts w:hint="eastAsia" w:ascii="宋体" w:hAnsi="宋体" w:eastAsia="宋体" w:cs="宋体"/>
          <w:b/>
          <w:bCs/>
          <w:i w:val="0"/>
          <w:color w:val="auto"/>
          <w:sz w:val="24"/>
          <w:szCs w:val="24"/>
          <w:highlight w:val="none"/>
          <w:lang w:val="en-US" w:eastAsia="zh-CN"/>
        </w:rPr>
        <w:t>3</w:t>
      </w:r>
      <w:r>
        <w:rPr>
          <w:rStyle w:val="18"/>
          <w:rFonts w:hint="eastAsia" w:ascii="宋体" w:hAnsi="宋体" w:eastAsia="宋体" w:cs="宋体"/>
          <w:b/>
          <w:bCs/>
          <w:i w:val="0"/>
          <w:color w:val="auto"/>
          <w:sz w:val="24"/>
          <w:szCs w:val="24"/>
          <w:highlight w:val="none"/>
        </w:rPr>
        <w:t>．废除授标</w:t>
      </w:r>
      <w:bookmarkEnd w:id="155"/>
      <w:r>
        <w:rPr>
          <w:rStyle w:val="18"/>
          <w:rFonts w:hint="eastAsia" w:ascii="宋体" w:hAnsi="宋体" w:eastAsia="宋体" w:cs="宋体"/>
          <w:b/>
          <w:bCs/>
          <w:i w:val="0"/>
          <w:color w:val="auto"/>
          <w:sz w:val="24"/>
          <w:szCs w:val="24"/>
          <w:highlight w:val="none"/>
        </w:rPr>
        <w:t>及授标</w:t>
      </w:r>
    </w:p>
    <w:p w14:paraId="0362AA0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3.1评定标完成后，中标候选人有下列情形之一的，招标人应按规定取消中标候选人资格或废除授标：</w:t>
      </w:r>
    </w:p>
    <w:p w14:paraId="2CBAA0D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（1）以他人名义投标或者以其他方式弄虚作假骗取中标的；</w:t>
      </w:r>
    </w:p>
    <w:p w14:paraId="24BDE8D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（2）与其他投标人串通投标或以行贿的手段谋取中标的；</w:t>
      </w:r>
    </w:p>
    <w:p w14:paraId="6C85C9F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（3）不是从本投标企业基本账户提交投标担保或以虚假方式提交投标保证金保函（保单）的；</w:t>
      </w:r>
    </w:p>
    <w:p w14:paraId="7C70DC6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（4）中标人于投标有效期终止之前撤回投标文件，或者排名第一的中标候选人放弃中标资格的；</w:t>
      </w:r>
    </w:p>
    <w:p w14:paraId="7AB9C1D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（5）因中标人过错而未能按照规定与招标人签订工程总承包合同或中标人因不可抗力提出不能履行合同的；</w:t>
      </w:r>
    </w:p>
    <w:p w14:paraId="6044F17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（6）因中标人过错而未能按照招标文件要求向招标人提交履约担保的；</w:t>
      </w:r>
    </w:p>
    <w:p w14:paraId="0B03F67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（7）中标单位拟派的项目负责人从投标截止时间起在其他建设工程担任项目负责人；</w:t>
      </w:r>
    </w:p>
    <w:p w14:paraId="155A8FD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（8）中标人被有关部门查实存在影响中标结果的违法行为，不符合中标条件的；</w:t>
      </w:r>
    </w:p>
    <w:p w14:paraId="7BE77A8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（9）中标人在参加本项目投标时有本企业投标承诺书所列被依法限制或暂停承揽业务或停业的处罚的；</w:t>
      </w:r>
    </w:p>
    <w:p w14:paraId="24E9515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（10）招标文件明确规定可以废除授标的其他情形。</w:t>
      </w:r>
    </w:p>
    <w:p w14:paraId="6FB0715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3.2 排名第一的中标候选人被取消中标候选人资格或废除授标，招标人可以按照定标委员会提出的中标候选人名单排序按规定依次确定其他中标候选人为中标人，并按规定实行中标结果公示；也可以按规定重新组织招标或报原项目审批、核准部门重新审批、核准招标方式。</w:t>
      </w:r>
    </w:p>
    <w:p w14:paraId="271899B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3.3 招标人有下列情形之一的，应依法承担相应的责任：</w:t>
      </w:r>
    </w:p>
    <w:p w14:paraId="02A329C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（1）无正当理由不发出中标通知书的；</w:t>
      </w:r>
    </w:p>
    <w:p w14:paraId="5E11F3F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（2）招标人不按照规定确定中标人的；</w:t>
      </w:r>
    </w:p>
    <w:p w14:paraId="196BBAC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（3）中标通知书发出后无正当理由改变中标结果的；</w:t>
      </w:r>
    </w:p>
    <w:p w14:paraId="5913D60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（4）无正当理由不与中标人签订工程总承包合同的；</w:t>
      </w:r>
    </w:p>
    <w:p w14:paraId="541DA46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1"/>
          <w:rFonts w:hint="eastAsia" w:ascii="宋体" w:hAnsi="宋体" w:eastAsia="宋体" w:cs="宋体"/>
          <w:color w:val="auto"/>
          <w:kern w:val="0"/>
          <w:sz w:val="24"/>
          <w:szCs w:val="24"/>
          <w:highlight w:val="none"/>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（5）在签订工程总承包合同时向中标人提出附加条件或者更改合同实质性内容的。</w:t>
      </w:r>
    </w:p>
    <w:p w14:paraId="06AE4C69">
      <w:pPr>
        <w:keepNext w:val="0"/>
        <w:keepLines w:val="0"/>
        <w:pageBreakBefore w:val="0"/>
        <w:wordWrap/>
        <w:overflowPunct/>
        <w:topLinePunct w:val="0"/>
        <w:bidi w:val="0"/>
        <w:spacing w:line="360" w:lineRule="auto"/>
        <w:rPr>
          <w:rFonts w:hint="eastAsia"/>
          <w:color w:val="auto"/>
          <w:sz w:val="24"/>
          <w:szCs w:val="24"/>
          <w:highlight w:val="none"/>
        </w:rPr>
        <w:sectPr>
          <w:endnotePr>
            <w:numFmt w:val="decimal"/>
          </w:endnotePr>
          <w:pgSz w:w="11906" w:h="16838"/>
          <w:pgMar w:top="1247" w:right="1304" w:bottom="1247" w:left="1304" w:header="850" w:footer="544" w:gutter="0"/>
          <w:cols w:space="720" w:num="1"/>
          <w:rtlGutter w:val="0"/>
          <w:docGrid w:linePitch="327" w:charSpace="0"/>
        </w:sectPr>
      </w:pPr>
    </w:p>
    <w:p w14:paraId="477FF410">
      <w:pPr>
        <w:spacing w:before="78" w:line="219" w:lineRule="auto"/>
        <w:ind w:left="3525"/>
        <w:outlineLvl w:val="0"/>
        <w:rPr>
          <w:rFonts w:hint="eastAsia" w:ascii="宋体" w:hAnsi="宋体" w:eastAsia="宋体" w:cs="宋体"/>
          <w:color w:val="auto"/>
          <w:sz w:val="24"/>
          <w:szCs w:val="24"/>
          <w:highlight w:val="none"/>
        </w:rPr>
      </w:pPr>
      <w:bookmarkStart w:id="156" w:name="_Toc13655"/>
      <w:r>
        <w:rPr>
          <w:rFonts w:hint="eastAsia" w:ascii="宋体" w:hAnsi="宋体" w:eastAsia="宋体" w:cs="宋体"/>
          <w:b/>
          <w:bCs/>
          <w:color w:val="auto"/>
          <w:spacing w:val="-7"/>
          <w:sz w:val="24"/>
          <w:szCs w:val="24"/>
          <w:highlight w:val="none"/>
        </w:rPr>
        <w:t>第二章</w:t>
      </w:r>
      <w:r>
        <w:rPr>
          <w:rFonts w:hint="eastAsia" w:ascii="宋体" w:hAnsi="宋体" w:eastAsia="宋体" w:cs="宋体"/>
          <w:color w:val="auto"/>
          <w:spacing w:val="32"/>
          <w:sz w:val="24"/>
          <w:szCs w:val="24"/>
          <w:highlight w:val="none"/>
        </w:rPr>
        <w:t xml:space="preserve"> </w:t>
      </w:r>
      <w:r>
        <w:rPr>
          <w:rFonts w:hint="eastAsia" w:ascii="宋体" w:hAnsi="宋体" w:eastAsia="宋体" w:cs="宋体"/>
          <w:b/>
          <w:bCs/>
          <w:color w:val="auto"/>
          <w:spacing w:val="-7"/>
          <w:sz w:val="24"/>
          <w:szCs w:val="24"/>
          <w:highlight w:val="none"/>
        </w:rPr>
        <w:t>中标人须知</w:t>
      </w:r>
      <w:bookmarkEnd w:id="156"/>
    </w:p>
    <w:p w14:paraId="0D76B119">
      <w:pPr>
        <w:spacing w:before="78" w:line="219" w:lineRule="auto"/>
        <w:ind w:left="582"/>
        <w:outlineLvl w:val="2"/>
        <w:rPr>
          <w:rFonts w:hint="eastAsia" w:ascii="宋体" w:hAnsi="宋体" w:eastAsia="宋体" w:cs="宋体"/>
          <w:color w:val="auto"/>
          <w:sz w:val="24"/>
          <w:szCs w:val="24"/>
          <w:highlight w:val="none"/>
        </w:rPr>
      </w:pPr>
      <w:bookmarkStart w:id="157" w:name="_Toc21697"/>
      <w:r>
        <w:rPr>
          <w:rFonts w:hint="eastAsia" w:ascii="宋体" w:hAnsi="宋体" w:eastAsia="宋体" w:cs="宋体"/>
          <w:b/>
          <w:bCs/>
          <w:color w:val="auto"/>
          <w:spacing w:val="-9"/>
          <w:sz w:val="24"/>
          <w:szCs w:val="24"/>
          <w:highlight w:val="none"/>
        </w:rPr>
        <w:t>1</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9"/>
          <w:sz w:val="24"/>
          <w:szCs w:val="24"/>
          <w:highlight w:val="none"/>
        </w:rPr>
        <w:t>．中标通知书</w:t>
      </w:r>
      <w:bookmarkEnd w:id="157"/>
    </w:p>
    <w:p w14:paraId="32F31BA3">
      <w:pPr>
        <w:spacing w:before="152" w:line="332" w:lineRule="auto"/>
        <w:ind w:left="17" w:firstLine="559"/>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招标人确定第一中标候选人为中标人，并在中标人确定之日起</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1"/>
          <w:sz w:val="24"/>
          <w:szCs w:val="24"/>
          <w:highlight w:val="none"/>
        </w:rPr>
        <w:t>7日内向中</w:t>
      </w:r>
      <w:r>
        <w:rPr>
          <w:rFonts w:hint="eastAsia" w:ascii="宋体" w:hAnsi="宋体" w:eastAsia="宋体" w:cs="宋体"/>
          <w:color w:val="auto"/>
          <w:sz w:val="24"/>
          <w:szCs w:val="24"/>
          <w:highlight w:val="none"/>
        </w:rPr>
        <w:t>标人发</w:t>
      </w:r>
      <w:r>
        <w:rPr>
          <w:rFonts w:hint="eastAsia" w:ascii="宋体" w:hAnsi="宋体" w:eastAsia="宋体" w:cs="宋体"/>
          <w:color w:val="auto"/>
          <w:spacing w:val="-3"/>
          <w:sz w:val="24"/>
          <w:szCs w:val="24"/>
          <w:highlight w:val="none"/>
        </w:rPr>
        <w:t>出中标通知书，中标人必须按韶关市公共资源交易中心的规定办理相关手续后方可领取。</w:t>
      </w:r>
      <w:r>
        <w:rPr>
          <w:rFonts w:hint="eastAsia" w:ascii="宋体" w:hAnsi="宋体" w:eastAsia="宋体" w:cs="宋体"/>
          <w:color w:val="auto"/>
          <w:spacing w:val="-2"/>
          <w:sz w:val="24"/>
          <w:szCs w:val="24"/>
          <w:highlight w:val="none"/>
        </w:rPr>
        <w:t>中标通知书对招标人和中标人均具有法律约束力。中标通知书发出后，招标人改变中标</w:t>
      </w:r>
      <w:r>
        <w:rPr>
          <w:rFonts w:hint="eastAsia" w:ascii="宋体" w:hAnsi="宋体" w:eastAsia="宋体" w:cs="宋体"/>
          <w:color w:val="auto"/>
          <w:spacing w:val="-1"/>
          <w:sz w:val="24"/>
          <w:szCs w:val="24"/>
          <w:highlight w:val="none"/>
        </w:rPr>
        <w:t>结果和中标人放弃中标的，应当承担法律责任。</w:t>
      </w:r>
    </w:p>
    <w:p w14:paraId="013B0F34">
      <w:pPr>
        <w:pStyle w:val="5"/>
        <w:spacing w:line="394" w:lineRule="auto"/>
        <w:rPr>
          <w:rFonts w:hint="eastAsia" w:ascii="宋体" w:hAnsi="宋体" w:eastAsia="宋体" w:cs="宋体"/>
          <w:color w:val="auto"/>
          <w:highlight w:val="none"/>
        </w:rPr>
      </w:pPr>
    </w:p>
    <w:p w14:paraId="05CE895D">
      <w:pPr>
        <w:spacing w:before="78" w:line="221" w:lineRule="auto"/>
        <w:ind w:left="572"/>
        <w:outlineLvl w:val="2"/>
        <w:rPr>
          <w:rFonts w:hint="eastAsia" w:ascii="宋体" w:hAnsi="宋体" w:eastAsia="宋体" w:cs="宋体"/>
          <w:color w:val="auto"/>
          <w:sz w:val="24"/>
          <w:szCs w:val="24"/>
          <w:highlight w:val="none"/>
        </w:rPr>
      </w:pPr>
      <w:bookmarkStart w:id="158" w:name="_Toc979"/>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．中标结果公示</w:t>
      </w:r>
      <w:bookmarkEnd w:id="158"/>
    </w:p>
    <w:p w14:paraId="3A691EA9">
      <w:pPr>
        <w:spacing w:before="115" w:line="316" w:lineRule="auto"/>
        <w:ind w:left="2" w:right="203" w:firstLine="595"/>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中标通知书发出后</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2"/>
          <w:sz w:val="24"/>
          <w:szCs w:val="24"/>
          <w:highlight w:val="none"/>
        </w:rPr>
        <w:t>15日内，招标人应将中标结果在广东省招标投标</w:t>
      </w:r>
      <w:r>
        <w:rPr>
          <w:rFonts w:hint="eastAsia" w:ascii="宋体" w:hAnsi="宋体" w:eastAsia="宋体" w:cs="宋体"/>
          <w:color w:val="auto"/>
          <w:spacing w:val="-3"/>
          <w:sz w:val="24"/>
          <w:szCs w:val="24"/>
          <w:highlight w:val="none"/>
        </w:rPr>
        <w:t>监管网（http:</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//zbtb.gd.gov.cn）、全国公共资源交易平台（广东省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34"/>
          <w:sz w:val="24"/>
          <w:szCs w:val="24"/>
          <w:highlight w:val="none"/>
        </w:rPr>
        <w:t>）（</w:t>
      </w:r>
      <w:r>
        <w:rPr>
          <w:rFonts w:hint="eastAsia" w:ascii="宋体" w:hAnsi="宋体" w:eastAsia="宋体" w:cs="宋体"/>
          <w:color w:val="auto"/>
          <w:spacing w:val="-2"/>
          <w:sz w:val="24"/>
          <w:szCs w:val="24"/>
          <w:highlight w:val="none"/>
        </w:rPr>
        <w:t>https://ygp.</w:t>
      </w:r>
      <w:r>
        <w:rPr>
          <w:rFonts w:hint="eastAsia" w:ascii="宋体" w:hAnsi="宋体" w:eastAsia="宋体" w:cs="宋体"/>
          <w:color w:val="auto"/>
          <w:spacing w:val="-3"/>
          <w:sz w:val="24"/>
          <w:szCs w:val="24"/>
          <w:highlight w:val="none"/>
        </w:rPr>
        <w:t>gdzwfw.gov.</w:t>
      </w:r>
      <w:r>
        <w:rPr>
          <w:rFonts w:hint="eastAsia" w:ascii="宋体" w:hAnsi="宋体" w:eastAsia="宋体" w:cs="宋体"/>
          <w:color w:val="auto"/>
          <w:sz w:val="24"/>
          <w:szCs w:val="24"/>
          <w:highlight w:val="none"/>
        </w:rPr>
        <w:t xml:space="preserve"> cn/ggzy-portal/#/440200/index）进行公示。</w:t>
      </w:r>
    </w:p>
    <w:p w14:paraId="48284D2A">
      <w:pPr>
        <w:pStyle w:val="5"/>
        <w:spacing w:line="475" w:lineRule="auto"/>
        <w:rPr>
          <w:rFonts w:hint="eastAsia" w:ascii="宋体" w:hAnsi="宋体" w:eastAsia="宋体" w:cs="宋体"/>
          <w:color w:val="auto"/>
          <w:highlight w:val="none"/>
        </w:rPr>
      </w:pPr>
    </w:p>
    <w:p w14:paraId="7F9996BC">
      <w:pPr>
        <w:spacing w:before="79" w:line="221" w:lineRule="auto"/>
        <w:ind w:left="570"/>
        <w:outlineLvl w:val="2"/>
        <w:rPr>
          <w:rFonts w:hint="eastAsia" w:ascii="宋体" w:hAnsi="宋体" w:eastAsia="宋体" w:cs="宋体"/>
          <w:color w:val="auto"/>
          <w:sz w:val="24"/>
          <w:szCs w:val="24"/>
          <w:highlight w:val="none"/>
        </w:rPr>
      </w:pPr>
      <w:bookmarkStart w:id="159" w:name="_Toc13145"/>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．履约保证</w:t>
      </w:r>
      <w:bookmarkEnd w:id="159"/>
    </w:p>
    <w:p w14:paraId="2A654F72">
      <w:pPr>
        <w:keepNext w:val="0"/>
        <w:keepLines w:val="0"/>
        <w:pageBreakBefore w:val="0"/>
        <w:widowControl/>
        <w:kinsoku w:val="0"/>
        <w:wordWrap/>
        <w:overflowPunct/>
        <w:topLinePunct w:val="0"/>
        <w:autoSpaceDE w:val="0"/>
        <w:autoSpaceDN w:val="0"/>
        <w:bidi w:val="0"/>
        <w:adjustRightInd w:val="0"/>
        <w:snapToGrid w:val="0"/>
        <w:spacing w:before="153" w:line="312" w:lineRule="auto"/>
        <w:ind w:firstLine="47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3.1</w:t>
      </w:r>
      <w:r>
        <w:rPr>
          <w:rFonts w:hint="eastAsia" w:ascii="宋体" w:hAnsi="宋体" w:eastAsia="宋体" w:cs="宋体"/>
          <w:b/>
          <w:bCs/>
          <w:color w:val="auto"/>
          <w:spacing w:val="17"/>
          <w:sz w:val="24"/>
          <w:szCs w:val="24"/>
          <w:highlight w:val="none"/>
        </w:rPr>
        <w:t xml:space="preserve">  </w:t>
      </w:r>
      <w:r>
        <w:rPr>
          <w:rFonts w:hint="eastAsia" w:ascii="宋体" w:hAnsi="宋体" w:eastAsia="宋体" w:cs="宋体"/>
          <w:color w:val="auto"/>
          <w:spacing w:val="-3"/>
          <w:sz w:val="24"/>
          <w:szCs w:val="24"/>
          <w:highlight w:val="none"/>
        </w:rPr>
        <w:t>中标人须在领取中标通知书之日起</w:t>
      </w:r>
      <w:r>
        <w:rPr>
          <w:rFonts w:hint="eastAsia" w:ascii="宋体" w:hAnsi="宋体" w:eastAsia="宋体" w:cs="宋体"/>
          <w:color w:val="auto"/>
          <w:spacing w:val="-3"/>
          <w:sz w:val="24"/>
          <w:szCs w:val="24"/>
          <w:highlight w:val="none"/>
          <w:u w:val="single"/>
          <w:lang w:val="en-US" w:eastAsia="zh-CN"/>
        </w:rPr>
        <w:t xml:space="preserve"> 10 </w:t>
      </w:r>
      <w:r>
        <w:rPr>
          <w:rFonts w:hint="eastAsia" w:ascii="宋体" w:hAnsi="宋体" w:eastAsia="宋体" w:cs="宋体"/>
          <w:color w:val="auto"/>
          <w:spacing w:val="-3"/>
          <w:sz w:val="24"/>
          <w:szCs w:val="24"/>
          <w:highlight w:val="none"/>
        </w:rPr>
        <w:t>个工作日内、签订合同前向招标人提交金额</w:t>
      </w:r>
      <w:r>
        <w:rPr>
          <w:rFonts w:hint="eastAsia" w:ascii="宋体" w:hAnsi="宋体" w:eastAsia="宋体" w:cs="宋体"/>
          <w:color w:val="auto"/>
          <w:spacing w:val="-1"/>
          <w:position w:val="2"/>
          <w:sz w:val="24"/>
          <w:szCs w:val="24"/>
          <w:highlight w:val="none"/>
        </w:rPr>
        <w:t>为中标价</w:t>
      </w:r>
      <w:r>
        <w:rPr>
          <w:rFonts w:hint="eastAsia" w:ascii="宋体" w:hAnsi="宋体" w:eastAsia="宋体" w:cs="宋体"/>
          <w:color w:val="auto"/>
          <w:spacing w:val="-1"/>
          <w:position w:val="2"/>
          <w:sz w:val="24"/>
          <w:szCs w:val="24"/>
          <w:highlight w:val="none"/>
          <w:u w:val="single"/>
          <w:lang w:val="en-US" w:eastAsia="zh-CN"/>
        </w:rPr>
        <w:t xml:space="preserve"> 5</w:t>
      </w:r>
      <w:r>
        <w:rPr>
          <w:rFonts w:hint="eastAsia" w:ascii="宋体" w:hAnsi="宋体" w:eastAsia="宋体" w:cs="宋体"/>
          <w:color w:val="auto"/>
          <w:spacing w:val="-1"/>
          <w:position w:val="2"/>
          <w:sz w:val="24"/>
          <w:szCs w:val="24"/>
          <w:highlight w:val="none"/>
          <w:u w:val="single"/>
        </w:rPr>
        <w:t xml:space="preserve">%  </w:t>
      </w:r>
      <w:r>
        <w:rPr>
          <w:rFonts w:hint="eastAsia" w:ascii="宋体" w:hAnsi="宋体" w:eastAsia="宋体" w:cs="宋体"/>
          <w:color w:val="auto"/>
          <w:spacing w:val="-1"/>
          <w:position w:val="2"/>
          <w:sz w:val="24"/>
          <w:szCs w:val="24"/>
          <w:highlight w:val="none"/>
        </w:rPr>
        <w:t>的履约保证。联合体中标的，由联合体牵头人提交。</w:t>
      </w:r>
    </w:p>
    <w:p w14:paraId="63F343AD">
      <w:pPr>
        <w:spacing w:before="89" w:line="286" w:lineRule="auto"/>
        <w:ind w:left="12" w:right="108" w:firstLine="473"/>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3.2</w:t>
      </w:r>
      <w:r>
        <w:rPr>
          <w:rFonts w:hint="eastAsia" w:ascii="宋体" w:hAnsi="宋体" w:eastAsia="宋体" w:cs="宋体"/>
          <w:b/>
          <w:bCs/>
          <w:color w:val="auto"/>
          <w:spacing w:val="34"/>
          <w:w w:val="101"/>
          <w:sz w:val="24"/>
          <w:szCs w:val="24"/>
          <w:highlight w:val="none"/>
        </w:rPr>
        <w:t xml:space="preserve"> </w:t>
      </w:r>
      <w:r>
        <w:rPr>
          <w:rFonts w:hint="eastAsia" w:ascii="宋体" w:hAnsi="宋体" w:eastAsia="宋体" w:cs="宋体"/>
          <w:color w:val="auto"/>
          <w:spacing w:val="-1"/>
          <w:position w:val="2"/>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auto"/>
          <w:spacing w:val="-2"/>
          <w:sz w:val="24"/>
          <w:szCs w:val="24"/>
          <w:highlight w:val="none"/>
        </w:rPr>
        <w:t>。商业保函、银行保函或保险合同（或保险单）的</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1"/>
          <w:sz w:val="24"/>
          <w:szCs w:val="24"/>
          <w:highlight w:val="none"/>
        </w:rPr>
        <w:t>有效期应当自合同生效之日起至项目通过竣工验收之日后</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
          <w:sz w:val="24"/>
          <w:szCs w:val="24"/>
          <w:highlight w:val="none"/>
        </w:rPr>
        <w:t>28 天止。</w:t>
      </w:r>
    </w:p>
    <w:p w14:paraId="78DED6D5">
      <w:pPr>
        <w:wordWrap w:val="0"/>
        <w:spacing w:line="440" w:lineRule="exact"/>
        <w:ind w:firstLine="562"/>
        <w:rPr>
          <w:rFonts w:hint="eastAsia" w:ascii="宋体" w:hAnsi="宋体" w:eastAsia="宋体" w:cs="宋体"/>
          <w:color w:val="auto"/>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position w:val="2"/>
          <w:sz w:val="24"/>
          <w:szCs w:val="24"/>
          <w:highlight w:val="none"/>
          <w:lang w:eastAsia="zh-CN"/>
        </w:rPr>
        <w:t>注：中标通知书发出时，招标人发起收缴履约保证金并填写保证金金额、缴交时限和项目工期；由中标人在建设工程交易系统中自主选择一种进行缴交。项目竣工后，由招标人发起退保。）</w:t>
      </w:r>
    </w:p>
    <w:p w14:paraId="5680480B">
      <w:pPr>
        <w:spacing w:before="145" w:line="319" w:lineRule="auto"/>
        <w:ind w:left="12" w:right="108"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3.3</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4"/>
          <w:sz w:val="24"/>
          <w:szCs w:val="24"/>
          <w:highlight w:val="none"/>
        </w:rPr>
        <w:t>中标人在领取中标通知书之日起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10 个工</w:t>
      </w:r>
      <w:r>
        <w:rPr>
          <w:rFonts w:hint="eastAsia" w:ascii="宋体" w:hAnsi="宋体" w:eastAsia="宋体" w:cs="宋体"/>
          <w:color w:val="auto"/>
          <w:spacing w:val="-5"/>
          <w:sz w:val="24"/>
          <w:szCs w:val="24"/>
          <w:highlight w:val="none"/>
        </w:rPr>
        <w:t>作日内仍未提交履约保证的，招标人发</w:t>
      </w:r>
      <w:r>
        <w:rPr>
          <w:rFonts w:hint="eastAsia" w:ascii="宋体" w:hAnsi="宋体" w:eastAsia="宋体" w:cs="宋体"/>
          <w:color w:val="auto"/>
          <w:spacing w:val="1"/>
          <w:sz w:val="24"/>
          <w:szCs w:val="24"/>
          <w:highlight w:val="none"/>
        </w:rPr>
        <w:t>出第一次提醒函；在领取中标通知书之日起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15 个工作日内仍未提交的</w:t>
      </w:r>
      <w:r>
        <w:rPr>
          <w:rFonts w:hint="eastAsia" w:ascii="宋体" w:hAnsi="宋体" w:eastAsia="宋体" w:cs="宋体"/>
          <w:color w:val="auto"/>
          <w:sz w:val="24"/>
          <w:szCs w:val="24"/>
          <w:highlight w:val="none"/>
        </w:rPr>
        <w:t>，招标人发出第</w:t>
      </w:r>
      <w:r>
        <w:rPr>
          <w:rFonts w:hint="eastAsia" w:ascii="宋体" w:hAnsi="宋体" w:eastAsia="宋体" w:cs="宋体"/>
          <w:color w:val="auto"/>
          <w:spacing w:val="1"/>
          <w:sz w:val="24"/>
          <w:szCs w:val="24"/>
          <w:highlight w:val="none"/>
        </w:rPr>
        <w:t>二次提醒函；在领取中标通知书之日起</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1"/>
          <w:sz w:val="24"/>
          <w:szCs w:val="24"/>
          <w:highlight w:val="none"/>
        </w:rPr>
        <w:t>20 个工作日内仍未提交的，视其放弃中标。并</w:t>
      </w:r>
      <w:r>
        <w:rPr>
          <w:rFonts w:hint="eastAsia" w:ascii="宋体" w:hAnsi="宋体" w:eastAsia="宋体" w:cs="宋体"/>
          <w:color w:val="auto"/>
          <w:spacing w:val="-2"/>
          <w:sz w:val="24"/>
          <w:szCs w:val="24"/>
          <w:highlight w:val="none"/>
        </w:rPr>
        <w:t>由招标人通报建设行政管理部门。如采用商业保函、银行保函或保险合同方式缴纳履约保证金，在保函或保险合同到期前一个月，中标人须主动办理续期手续或提交新的商业</w:t>
      </w:r>
      <w:r>
        <w:rPr>
          <w:rFonts w:hint="eastAsia" w:ascii="宋体" w:hAnsi="宋体" w:eastAsia="宋体" w:cs="宋体"/>
          <w:color w:val="auto"/>
          <w:spacing w:val="-1"/>
          <w:sz w:val="24"/>
          <w:szCs w:val="24"/>
          <w:highlight w:val="none"/>
        </w:rPr>
        <w:t>保函、银行保函或保险合同。</w:t>
      </w:r>
    </w:p>
    <w:p w14:paraId="1772FFBF">
      <w:pPr>
        <w:spacing w:before="152" w:line="299" w:lineRule="auto"/>
        <w:ind w:left="12"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3.4  </w:t>
      </w:r>
      <w:r>
        <w:rPr>
          <w:rFonts w:hint="eastAsia" w:ascii="宋体" w:hAnsi="宋体" w:eastAsia="宋体" w:cs="宋体"/>
          <w:color w:val="auto"/>
          <w:sz w:val="24"/>
          <w:szCs w:val="24"/>
          <w:highlight w:val="none"/>
        </w:rPr>
        <w:t>在工程实施过程中，如果承包人（即招标阶段的中标人，下同）由于自身的资</w:t>
      </w:r>
      <w:r>
        <w:rPr>
          <w:rFonts w:hint="eastAsia" w:ascii="宋体" w:hAnsi="宋体" w:eastAsia="宋体" w:cs="宋体"/>
          <w:color w:val="auto"/>
          <w:spacing w:val="-2"/>
          <w:sz w:val="24"/>
          <w:szCs w:val="24"/>
          <w:highlight w:val="none"/>
        </w:rPr>
        <w:t>金、技术、质量、非不可抗力等原因给发包人（即招标阶段的招标人，下同）造成经济</w:t>
      </w:r>
      <w:r>
        <w:rPr>
          <w:rFonts w:hint="eastAsia" w:ascii="宋体" w:hAnsi="宋体" w:eastAsia="宋体" w:cs="宋体"/>
          <w:color w:val="auto"/>
          <w:spacing w:val="-1"/>
          <w:sz w:val="24"/>
          <w:szCs w:val="24"/>
          <w:highlight w:val="none"/>
        </w:rPr>
        <w:t>损失，发包人有权扣划相应金额的履约保证。</w:t>
      </w:r>
    </w:p>
    <w:p w14:paraId="10E237DB">
      <w:pPr>
        <w:spacing w:before="154" w:line="220" w:lineRule="auto"/>
        <w:ind w:left="48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3.5  </w:t>
      </w:r>
      <w:r>
        <w:rPr>
          <w:rFonts w:hint="eastAsia" w:ascii="宋体" w:hAnsi="宋体" w:eastAsia="宋体" w:cs="宋体"/>
          <w:color w:val="auto"/>
          <w:sz w:val="24"/>
          <w:szCs w:val="24"/>
          <w:highlight w:val="none"/>
        </w:rPr>
        <w:t>项目通过竣工验收之日后</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28 天内，发包人将履</w:t>
      </w:r>
      <w:r>
        <w:rPr>
          <w:rFonts w:hint="eastAsia" w:ascii="宋体" w:hAnsi="宋体" w:eastAsia="宋体" w:cs="宋体"/>
          <w:color w:val="auto"/>
          <w:spacing w:val="-1"/>
          <w:sz w:val="24"/>
          <w:szCs w:val="24"/>
          <w:highlight w:val="none"/>
        </w:rPr>
        <w:t>约保证退还给承包人。</w:t>
      </w:r>
    </w:p>
    <w:p w14:paraId="432F8D77">
      <w:pPr>
        <w:pStyle w:val="5"/>
        <w:spacing w:line="256" w:lineRule="auto"/>
        <w:rPr>
          <w:rFonts w:hint="eastAsia" w:ascii="宋体" w:hAnsi="宋体" w:eastAsia="宋体" w:cs="宋体"/>
          <w:color w:val="auto"/>
          <w:highlight w:val="none"/>
        </w:rPr>
      </w:pPr>
    </w:p>
    <w:p w14:paraId="53274F32">
      <w:pPr>
        <w:pStyle w:val="5"/>
        <w:spacing w:line="257" w:lineRule="auto"/>
        <w:rPr>
          <w:rFonts w:hint="eastAsia" w:ascii="宋体" w:hAnsi="宋体" w:eastAsia="宋体" w:cs="宋体"/>
          <w:color w:val="auto"/>
          <w:highlight w:val="none"/>
        </w:rPr>
      </w:pPr>
    </w:p>
    <w:p w14:paraId="1374047A">
      <w:pPr>
        <w:spacing w:before="78" w:line="222" w:lineRule="auto"/>
        <w:ind w:left="488"/>
        <w:outlineLvl w:val="2"/>
        <w:rPr>
          <w:rFonts w:hint="eastAsia" w:ascii="宋体" w:hAnsi="宋体" w:eastAsia="宋体" w:cs="宋体"/>
          <w:color w:val="auto"/>
          <w:sz w:val="24"/>
          <w:szCs w:val="24"/>
          <w:highlight w:val="none"/>
        </w:rPr>
      </w:pPr>
      <w:bookmarkStart w:id="160" w:name="_Toc133"/>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．合同订立</w:t>
      </w:r>
      <w:bookmarkEnd w:id="160"/>
    </w:p>
    <w:p w14:paraId="1A200521">
      <w:pPr>
        <w:spacing w:before="150" w:line="279" w:lineRule="auto"/>
        <w:ind w:left="13"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4.1  </w:t>
      </w:r>
      <w:r>
        <w:rPr>
          <w:rFonts w:hint="eastAsia" w:ascii="宋体" w:hAnsi="宋体" w:eastAsia="宋体" w:cs="宋体"/>
          <w:color w:val="auto"/>
          <w:sz w:val="24"/>
          <w:szCs w:val="24"/>
          <w:highlight w:val="none"/>
        </w:rPr>
        <w:t>招标人应当自中标通知书发出之日起</w:t>
      </w:r>
      <w:r>
        <w:rPr>
          <w:rFonts w:hint="eastAsia" w:ascii="宋体" w:hAnsi="宋体" w:eastAsia="宋体" w:cs="宋体"/>
          <w:color w:val="auto"/>
          <w:sz w:val="24"/>
          <w:szCs w:val="24"/>
          <w:highlight w:val="none"/>
          <w:u w:val="single"/>
          <w:lang w:val="en-US" w:eastAsia="zh-CN"/>
        </w:rPr>
        <w:t xml:space="preserve"> 三十 </w:t>
      </w:r>
      <w:r>
        <w:rPr>
          <w:rFonts w:hint="eastAsia" w:ascii="宋体" w:hAnsi="宋体" w:eastAsia="宋体" w:cs="宋体"/>
          <w:color w:val="auto"/>
          <w:sz w:val="24"/>
          <w:szCs w:val="24"/>
          <w:highlight w:val="none"/>
        </w:rPr>
        <w:t>日内，按照招标文件、中标人的投标</w:t>
      </w:r>
      <w:r>
        <w:rPr>
          <w:rFonts w:hint="eastAsia" w:ascii="宋体" w:hAnsi="宋体" w:eastAsia="宋体" w:cs="宋体"/>
          <w:color w:val="auto"/>
          <w:spacing w:val="-1"/>
          <w:sz w:val="24"/>
          <w:szCs w:val="24"/>
          <w:highlight w:val="none"/>
        </w:rPr>
        <w:t>文件与中标人订立书面合同。</w:t>
      </w:r>
    </w:p>
    <w:p w14:paraId="2679C49D">
      <w:pPr>
        <w:spacing w:before="156"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4.2  </w:t>
      </w:r>
      <w:r>
        <w:rPr>
          <w:rFonts w:hint="eastAsia" w:ascii="宋体" w:hAnsi="宋体" w:eastAsia="宋体" w:cs="宋体"/>
          <w:color w:val="auto"/>
          <w:spacing w:val="-1"/>
          <w:sz w:val="24"/>
          <w:szCs w:val="24"/>
          <w:highlight w:val="none"/>
        </w:rPr>
        <w:t>不正常报价的梳理和确认</w:t>
      </w:r>
    </w:p>
    <w:p w14:paraId="4BC8F1D0">
      <w:pPr>
        <w:spacing w:before="154" w:line="299" w:lineRule="auto"/>
        <w:ind w:left="14" w:right="64"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4.2.1 合同订立期间，在不改变中标人的投标总价的前提下，招标人应对中标人的</w:t>
      </w:r>
      <w:r>
        <w:rPr>
          <w:rFonts w:hint="eastAsia" w:ascii="宋体" w:hAnsi="宋体" w:eastAsia="宋体" w:cs="宋体"/>
          <w:b/>
          <w:bCs/>
          <w:color w:val="auto"/>
          <w:spacing w:val="-3"/>
          <w:sz w:val="24"/>
          <w:szCs w:val="24"/>
          <w:highlight w:val="none"/>
        </w:rPr>
        <w:t>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3"/>
          <w:sz w:val="24"/>
          <w:szCs w:val="24"/>
          <w:highlight w:val="none"/>
        </w:rPr>
        <w:t>招标人不具备</w:t>
      </w:r>
      <w:r>
        <w:rPr>
          <w:rFonts w:hint="eastAsia" w:ascii="宋体" w:hAnsi="宋体" w:eastAsia="宋体" w:cs="宋体"/>
          <w:color w:val="auto"/>
          <w:spacing w:val="-4"/>
          <w:sz w:val="24"/>
          <w:szCs w:val="24"/>
          <w:highlight w:val="none"/>
        </w:rPr>
        <w:t>以上能力的，可授</w:t>
      </w:r>
      <w:r>
        <w:rPr>
          <w:rFonts w:hint="eastAsia" w:ascii="宋体" w:hAnsi="宋体" w:eastAsia="宋体" w:cs="宋体"/>
          <w:color w:val="auto"/>
          <w:spacing w:val="-1"/>
          <w:sz w:val="24"/>
          <w:szCs w:val="24"/>
          <w:highlight w:val="none"/>
        </w:rPr>
        <w:t>权编制本项目</w:t>
      </w:r>
      <w:r>
        <w:rPr>
          <w:rFonts w:hint="eastAsia" w:ascii="宋体" w:hAnsi="宋体" w:eastAsia="宋体" w:cs="宋体"/>
          <w:color w:val="auto"/>
          <w:spacing w:val="-1"/>
          <w:sz w:val="24"/>
          <w:szCs w:val="24"/>
          <w:highlight w:val="none"/>
          <w:lang w:eastAsia="zh-CN"/>
        </w:rPr>
        <w:t>最高投标限价</w:t>
      </w:r>
      <w:r>
        <w:rPr>
          <w:rFonts w:hint="eastAsia" w:ascii="宋体" w:hAnsi="宋体" w:eastAsia="宋体" w:cs="宋体"/>
          <w:color w:val="auto"/>
          <w:spacing w:val="-1"/>
          <w:sz w:val="24"/>
          <w:szCs w:val="24"/>
          <w:highlight w:val="none"/>
        </w:rPr>
        <w:t>的造价咨询单位实施。</w:t>
      </w:r>
    </w:p>
    <w:p w14:paraId="4CE5699A">
      <w:pPr>
        <w:spacing w:before="121" w:line="309" w:lineRule="auto"/>
        <w:ind w:left="14" w:right="65"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4.2.2  </w:t>
      </w:r>
      <w:r>
        <w:rPr>
          <w:rFonts w:hint="eastAsia" w:ascii="宋体" w:hAnsi="宋体" w:eastAsia="宋体" w:cs="宋体"/>
          <w:color w:val="auto"/>
          <w:spacing w:val="2"/>
          <w:sz w:val="24"/>
          <w:szCs w:val="24"/>
          <w:highlight w:val="none"/>
        </w:rPr>
        <w:t>算术性错误的分析和修正。投标报价汇</w:t>
      </w:r>
      <w:r>
        <w:rPr>
          <w:rFonts w:hint="eastAsia" w:ascii="宋体" w:hAnsi="宋体" w:eastAsia="宋体" w:cs="宋体"/>
          <w:color w:val="auto"/>
          <w:spacing w:val="1"/>
          <w:sz w:val="24"/>
          <w:szCs w:val="24"/>
          <w:highlight w:val="none"/>
        </w:rPr>
        <w:t>总表中，投标总价与各分项费用之和</w:t>
      </w:r>
      <w:r>
        <w:rPr>
          <w:rFonts w:hint="eastAsia" w:ascii="宋体" w:hAnsi="宋体" w:eastAsia="宋体" w:cs="宋体"/>
          <w:color w:val="auto"/>
          <w:spacing w:val="-2"/>
          <w:sz w:val="24"/>
          <w:szCs w:val="24"/>
          <w:highlight w:val="none"/>
        </w:rPr>
        <w:t>不一致的，以投标总价为准修正分项费用；投标报价汇总表的各分项费用与对应分项表中的费用不一致的，以投标报价汇总表中的分项费用为准修正对应分项表中的费用；各</w:t>
      </w:r>
      <w:r>
        <w:rPr>
          <w:rFonts w:hint="eastAsia" w:ascii="宋体" w:hAnsi="宋体" w:eastAsia="宋体" w:cs="宋体"/>
          <w:color w:val="auto"/>
          <w:sz w:val="24"/>
          <w:szCs w:val="24"/>
          <w:highlight w:val="none"/>
        </w:rPr>
        <w:t>分项表中总价金额与依据单价计算出的结果不</w:t>
      </w:r>
      <w:r>
        <w:rPr>
          <w:rFonts w:hint="eastAsia" w:ascii="宋体" w:hAnsi="宋体" w:eastAsia="宋体" w:cs="宋体"/>
          <w:color w:val="auto"/>
          <w:spacing w:val="-1"/>
          <w:sz w:val="24"/>
          <w:szCs w:val="24"/>
          <w:highlight w:val="none"/>
        </w:rPr>
        <w:t>一致的，以总价为准修正单价。</w:t>
      </w:r>
    </w:p>
    <w:p w14:paraId="11DE13F3">
      <w:pPr>
        <w:spacing w:before="157" w:line="279" w:lineRule="auto"/>
        <w:ind w:left="12" w:right="66"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4.2.3  </w:t>
      </w:r>
      <w:r>
        <w:rPr>
          <w:rFonts w:hint="eastAsia" w:ascii="宋体" w:hAnsi="宋体" w:eastAsia="宋体" w:cs="宋体"/>
          <w:color w:val="auto"/>
          <w:spacing w:val="2"/>
          <w:sz w:val="24"/>
          <w:szCs w:val="24"/>
          <w:highlight w:val="none"/>
        </w:rPr>
        <w:t>错漏项的认定。中标人已标价工程量清</w:t>
      </w:r>
      <w:r>
        <w:rPr>
          <w:rFonts w:hint="eastAsia" w:ascii="宋体" w:hAnsi="宋体" w:eastAsia="宋体" w:cs="宋体"/>
          <w:color w:val="auto"/>
          <w:spacing w:val="1"/>
          <w:sz w:val="24"/>
          <w:szCs w:val="24"/>
          <w:highlight w:val="none"/>
        </w:rPr>
        <w:t>单中，任一清单项目未填报价格或价</w:t>
      </w:r>
      <w:r>
        <w:rPr>
          <w:rFonts w:hint="eastAsia" w:ascii="宋体" w:hAnsi="宋体" w:eastAsia="宋体" w:cs="宋体"/>
          <w:color w:val="auto"/>
          <w:spacing w:val="-1"/>
          <w:sz w:val="24"/>
          <w:szCs w:val="24"/>
          <w:highlight w:val="none"/>
        </w:rPr>
        <w:t>格为零的，视为错漏项。</w:t>
      </w:r>
    </w:p>
    <w:p w14:paraId="59E7D3F9">
      <w:pPr>
        <w:spacing w:before="121" w:line="360" w:lineRule="auto"/>
        <w:ind w:firstLine="490"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4.2.4  </w:t>
      </w:r>
      <w:r>
        <w:rPr>
          <w:rFonts w:hint="eastAsia" w:ascii="宋体" w:hAnsi="宋体" w:eastAsia="宋体" w:cs="宋体"/>
          <w:color w:val="auto"/>
          <w:spacing w:val="2"/>
          <w:sz w:val="24"/>
          <w:szCs w:val="24"/>
          <w:highlight w:val="none"/>
        </w:rPr>
        <w:t>不平衡报价的认定。经修正算术性错误后的中标人已标价工程量清单中，</w:t>
      </w:r>
      <w:r>
        <w:rPr>
          <w:rFonts w:hint="eastAsia" w:ascii="宋体" w:hAnsi="宋体" w:eastAsia="宋体" w:cs="宋体"/>
          <w:color w:val="auto"/>
          <w:spacing w:val="2"/>
          <w:sz w:val="24"/>
          <w:szCs w:val="24"/>
          <w:highlight w:val="none"/>
          <w:u w:val="single"/>
        </w:rPr>
        <w:t>对于投标报价中综合单价相对</w:t>
      </w:r>
      <w:r>
        <w:rPr>
          <w:rFonts w:hint="eastAsia" w:ascii="宋体" w:hAnsi="宋体" w:eastAsia="宋体" w:cs="宋体"/>
          <w:color w:val="auto"/>
          <w:spacing w:val="2"/>
          <w:sz w:val="24"/>
          <w:szCs w:val="24"/>
          <w:highlight w:val="none"/>
          <w:u w:val="single"/>
          <w:lang w:eastAsia="zh-CN"/>
        </w:rPr>
        <w:t>最高投标限价</w:t>
      </w:r>
      <w:r>
        <w:rPr>
          <w:rFonts w:hint="eastAsia" w:ascii="宋体" w:hAnsi="宋体" w:eastAsia="宋体" w:cs="宋体"/>
          <w:color w:val="auto"/>
          <w:spacing w:val="2"/>
          <w:sz w:val="24"/>
          <w:szCs w:val="24"/>
          <w:highlight w:val="none"/>
          <w:u w:val="single"/>
        </w:rPr>
        <w:t xml:space="preserve">《分部分项工程和单价措施项目清单与计价表》中对应综合单价的偏差大于±15% </w:t>
      </w:r>
      <w:r>
        <w:rPr>
          <w:rFonts w:hint="eastAsia" w:ascii="宋体" w:hAnsi="宋体" w:eastAsia="宋体" w:cs="宋体"/>
          <w:color w:val="auto"/>
          <w:spacing w:val="2"/>
          <w:sz w:val="24"/>
          <w:szCs w:val="24"/>
          <w:highlight w:val="none"/>
          <w:u w:val="none"/>
        </w:rPr>
        <w:t>的清</w:t>
      </w:r>
      <w:r>
        <w:rPr>
          <w:rFonts w:hint="eastAsia" w:ascii="宋体" w:hAnsi="宋体" w:eastAsia="宋体" w:cs="宋体"/>
          <w:color w:val="auto"/>
          <w:spacing w:val="-3"/>
          <w:sz w:val="24"/>
          <w:szCs w:val="24"/>
          <w:highlight w:val="none"/>
          <w:u w:val="none"/>
        </w:rPr>
        <w:t>单项目</w:t>
      </w:r>
      <w:r>
        <w:rPr>
          <w:rFonts w:hint="eastAsia" w:ascii="宋体" w:hAnsi="宋体" w:eastAsia="宋体" w:cs="宋体"/>
          <w:color w:val="auto"/>
          <w:spacing w:val="-3"/>
          <w:sz w:val="24"/>
          <w:szCs w:val="24"/>
          <w:highlight w:val="none"/>
        </w:rPr>
        <w:t>，视为不平衡报价项目。</w:t>
      </w:r>
    </w:p>
    <w:p w14:paraId="4DB1B0CA">
      <w:pPr>
        <w:spacing w:before="146" w:line="330" w:lineRule="auto"/>
        <w:ind w:left="10" w:right="65" w:firstLine="478"/>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4.2.5 </w:t>
      </w:r>
      <w:r>
        <w:rPr>
          <w:rFonts w:hint="eastAsia" w:ascii="宋体" w:hAnsi="宋体" w:eastAsia="宋体" w:cs="宋体"/>
          <w:color w:val="auto"/>
          <w:spacing w:val="-3"/>
          <w:sz w:val="24"/>
          <w:szCs w:val="24"/>
          <w:highlight w:val="none"/>
        </w:rPr>
        <w:t>施工合同签订前，招标人或其授权的造价咨询单位应就发现的以上所有不平衡报价进行修正，形成《不平衡报价修正报告》，并由招标人和中标人共同签章确认，构成施工合同的组成部分。</w:t>
      </w:r>
    </w:p>
    <w:p w14:paraId="57725225">
      <w:pPr>
        <w:spacing w:before="34" w:line="326" w:lineRule="auto"/>
        <w:ind w:left="12" w:right="65" w:firstLine="47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4.2.6 合同履行过程中，被认定为错漏项的清单项目，结算时按照第三章“拟签订</w:t>
      </w:r>
      <w:r>
        <w:rPr>
          <w:rFonts w:hint="eastAsia" w:ascii="宋体" w:hAnsi="宋体" w:eastAsia="宋体" w:cs="宋体"/>
          <w:b/>
          <w:bCs/>
          <w:color w:val="auto"/>
          <w:spacing w:val="-6"/>
          <w:sz w:val="24"/>
          <w:szCs w:val="24"/>
          <w:highlight w:val="none"/>
        </w:rPr>
        <w:t>合同的主要条款</w:t>
      </w:r>
      <w:r>
        <w:rPr>
          <w:rFonts w:hint="eastAsia" w:ascii="宋体" w:hAnsi="宋体" w:eastAsia="宋体" w:cs="宋体"/>
          <w:color w:val="auto"/>
          <w:spacing w:val="-77"/>
          <w:sz w:val="24"/>
          <w:szCs w:val="24"/>
          <w:highlight w:val="none"/>
        </w:rPr>
        <w:t xml:space="preserve"> </w:t>
      </w:r>
      <w:r>
        <w:rPr>
          <w:rFonts w:hint="eastAsia" w:ascii="宋体" w:hAnsi="宋体" w:eastAsia="宋体" w:cs="宋体"/>
          <w:b/>
          <w:bCs/>
          <w:color w:val="auto"/>
          <w:spacing w:val="-6"/>
          <w:sz w:val="24"/>
          <w:szCs w:val="24"/>
          <w:highlight w:val="none"/>
        </w:rPr>
        <w:t>”规定处理。</w:t>
      </w:r>
    </w:p>
    <w:p w14:paraId="6AFE27E5">
      <w:pPr>
        <w:spacing w:before="33" w:line="317" w:lineRule="auto"/>
        <w:ind w:left="12" w:right="38" w:firstLine="476"/>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4.2.7  合同履行过程中，合同约定的调</w:t>
      </w:r>
      <w:r>
        <w:rPr>
          <w:rFonts w:hint="eastAsia" w:ascii="宋体" w:hAnsi="宋体" w:eastAsia="宋体" w:cs="宋体"/>
          <w:b/>
          <w:bCs/>
          <w:color w:val="auto"/>
          <w:spacing w:val="-1"/>
          <w:sz w:val="24"/>
          <w:szCs w:val="24"/>
          <w:highlight w:val="none"/>
        </w:rPr>
        <w:t>整因素（如工程量偏差、工程变更、项目特</w:t>
      </w:r>
      <w:r>
        <w:rPr>
          <w:rFonts w:hint="eastAsia" w:ascii="宋体" w:hAnsi="宋体" w:eastAsia="宋体" w:cs="宋体"/>
          <w:b/>
          <w:bCs/>
          <w:color w:val="auto"/>
          <w:spacing w:val="-4"/>
          <w:sz w:val="24"/>
          <w:szCs w:val="24"/>
          <w:highlight w:val="none"/>
        </w:rPr>
        <w:t>征不符、招标工程量清单缺项等）出现时，被认定为不平衡报价的清单项目以及</w:t>
      </w:r>
      <w:r>
        <w:rPr>
          <w:rFonts w:hint="eastAsia" w:ascii="宋体" w:hAnsi="宋体" w:eastAsia="宋体" w:cs="宋体"/>
          <w:b/>
          <w:bCs/>
          <w:color w:val="auto"/>
          <w:spacing w:val="-5"/>
          <w:sz w:val="24"/>
          <w:szCs w:val="24"/>
          <w:highlight w:val="none"/>
        </w:rPr>
        <w:t>采用被</w:t>
      </w:r>
      <w:r>
        <w:rPr>
          <w:rFonts w:hint="eastAsia" w:ascii="宋体" w:hAnsi="宋体" w:eastAsia="宋体" w:cs="宋体"/>
          <w:b/>
          <w:bCs/>
          <w:color w:val="auto"/>
          <w:spacing w:val="-3"/>
          <w:sz w:val="24"/>
          <w:szCs w:val="24"/>
          <w:highlight w:val="none"/>
        </w:rPr>
        <w:t>认定为不平衡报价的清单项目的价格作为取价（或参照取</w:t>
      </w:r>
      <w:r>
        <w:rPr>
          <w:rFonts w:hint="eastAsia" w:ascii="宋体" w:hAnsi="宋体" w:eastAsia="宋体" w:cs="宋体"/>
          <w:b/>
          <w:bCs/>
          <w:color w:val="auto"/>
          <w:spacing w:val="-4"/>
          <w:sz w:val="24"/>
          <w:szCs w:val="24"/>
          <w:highlight w:val="none"/>
        </w:rPr>
        <w:t>价）依据的变更、新增项目，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3"/>
          <w:sz w:val="24"/>
          <w:szCs w:val="24"/>
          <w:highlight w:val="none"/>
        </w:rPr>
        <w:t>按照第三章“拟签订合同的主要条款</w:t>
      </w:r>
      <w:r>
        <w:rPr>
          <w:rFonts w:hint="eastAsia" w:ascii="宋体" w:hAnsi="宋体" w:eastAsia="宋体" w:cs="宋体"/>
          <w:color w:val="auto"/>
          <w:spacing w:val="-86"/>
          <w:sz w:val="24"/>
          <w:szCs w:val="24"/>
          <w:highlight w:val="none"/>
        </w:rPr>
        <w:t xml:space="preserve"> </w:t>
      </w:r>
      <w:r>
        <w:rPr>
          <w:rFonts w:hint="eastAsia" w:ascii="宋体" w:hAnsi="宋体" w:eastAsia="宋体" w:cs="宋体"/>
          <w:b/>
          <w:bCs/>
          <w:color w:val="auto"/>
          <w:spacing w:val="-3"/>
          <w:sz w:val="24"/>
          <w:szCs w:val="24"/>
          <w:highlight w:val="none"/>
        </w:rPr>
        <w:t>”有关规定调整</w:t>
      </w:r>
      <w:r>
        <w:rPr>
          <w:rFonts w:hint="eastAsia" w:ascii="宋体" w:hAnsi="宋体" w:eastAsia="宋体" w:cs="宋体"/>
          <w:b/>
          <w:bCs/>
          <w:color w:val="auto"/>
          <w:spacing w:val="-4"/>
          <w:sz w:val="24"/>
          <w:szCs w:val="24"/>
          <w:highlight w:val="none"/>
        </w:rPr>
        <w:t>合同价款。</w:t>
      </w:r>
    </w:p>
    <w:p w14:paraId="505FDF3C">
      <w:pPr>
        <w:spacing w:before="87" w:line="276"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4.3  </w:t>
      </w:r>
      <w:r>
        <w:rPr>
          <w:rFonts w:hint="eastAsia" w:ascii="宋体" w:hAnsi="宋体" w:eastAsia="宋体" w:cs="宋体"/>
          <w:color w:val="auto"/>
          <w:sz w:val="24"/>
          <w:szCs w:val="24"/>
          <w:highlight w:val="none"/>
        </w:rPr>
        <w:t>本招标项目合同计价方式为：</w:t>
      </w:r>
      <w:r>
        <w:rPr>
          <w:rFonts w:hint="eastAsia" w:ascii="宋体" w:hAnsi="宋体" w:eastAsia="宋体" w:cs="宋体"/>
          <w:color w:val="auto"/>
          <w:sz w:val="24"/>
          <w:szCs w:val="24"/>
          <w:highlight w:val="none"/>
          <w:u w:val="single"/>
        </w:rPr>
        <w:t xml:space="preserve"> 单价 </w:t>
      </w:r>
      <w:r>
        <w:rPr>
          <w:rFonts w:hint="eastAsia" w:ascii="宋体" w:hAnsi="宋体" w:eastAsia="宋体" w:cs="宋体"/>
          <w:color w:val="auto"/>
          <w:spacing w:val="-1"/>
          <w:sz w:val="24"/>
          <w:szCs w:val="24"/>
          <w:highlight w:val="none"/>
        </w:rPr>
        <w:t>合同。</w:t>
      </w:r>
    </w:p>
    <w:p w14:paraId="5126E8F2">
      <w:pPr>
        <w:spacing w:before="120" w:line="298" w:lineRule="auto"/>
        <w:ind w:left="11" w:right="28"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 xml:space="preserve">4.4  </w:t>
      </w:r>
      <w:r>
        <w:rPr>
          <w:rFonts w:hint="eastAsia" w:ascii="宋体" w:hAnsi="宋体" w:eastAsia="宋体" w:cs="宋体"/>
          <w:color w:val="auto"/>
          <w:spacing w:val="-4"/>
          <w:sz w:val="24"/>
          <w:szCs w:val="24"/>
          <w:highlight w:val="none"/>
        </w:rPr>
        <w:t>合同的标的、质量、履行期限条款和合同的价款、单</w:t>
      </w:r>
      <w:r>
        <w:rPr>
          <w:rFonts w:hint="eastAsia" w:ascii="宋体" w:hAnsi="宋体" w:eastAsia="宋体" w:cs="宋体"/>
          <w:color w:val="auto"/>
          <w:spacing w:val="-5"/>
          <w:sz w:val="24"/>
          <w:szCs w:val="24"/>
          <w:highlight w:val="none"/>
        </w:rPr>
        <w:t>价、比例条款等主要条款，</w:t>
      </w:r>
      <w:r>
        <w:rPr>
          <w:rFonts w:hint="eastAsia" w:ascii="宋体" w:hAnsi="宋体" w:eastAsia="宋体" w:cs="宋体"/>
          <w:color w:val="auto"/>
          <w:spacing w:val="-2"/>
          <w:sz w:val="24"/>
          <w:szCs w:val="24"/>
          <w:highlight w:val="none"/>
        </w:rPr>
        <w:t>应当与招标文件、中标人的投标文件的内容一致。中标人在签订合同时不得向招标人提出附加条件。</w:t>
      </w:r>
    </w:p>
    <w:p w14:paraId="1A98BEF7">
      <w:pPr>
        <w:spacing w:before="158" w:line="298" w:lineRule="auto"/>
        <w:ind w:left="12" w:right="9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4.5  </w:t>
      </w:r>
      <w:r>
        <w:rPr>
          <w:rFonts w:hint="eastAsia" w:ascii="宋体" w:hAnsi="宋体" w:eastAsia="宋体" w:cs="宋体"/>
          <w:color w:val="auto"/>
          <w:spacing w:val="-3"/>
          <w:sz w:val="24"/>
          <w:szCs w:val="24"/>
          <w:highlight w:val="none"/>
        </w:rPr>
        <w:t>若中标人在领取中标通知书之日起</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4"/>
          <w:sz w:val="24"/>
          <w:szCs w:val="24"/>
          <w:highlight w:val="none"/>
        </w:rPr>
        <w:t>30天内仍未签订合同，招标人发出第一次提</w:t>
      </w:r>
      <w:r>
        <w:rPr>
          <w:rFonts w:hint="eastAsia" w:ascii="宋体" w:hAnsi="宋体" w:eastAsia="宋体" w:cs="宋体"/>
          <w:color w:val="auto"/>
          <w:spacing w:val="1"/>
          <w:sz w:val="24"/>
          <w:szCs w:val="24"/>
          <w:highlight w:val="none"/>
        </w:rPr>
        <w:t>醒函；在领取中标通知书之日起</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40天内仍未签订，招标人发出第二次提醒函；在</w:t>
      </w:r>
      <w:r>
        <w:rPr>
          <w:rFonts w:hint="eastAsia" w:ascii="宋体" w:hAnsi="宋体" w:eastAsia="宋体" w:cs="宋体"/>
          <w:color w:val="auto"/>
          <w:sz w:val="24"/>
          <w:szCs w:val="24"/>
          <w:highlight w:val="none"/>
        </w:rPr>
        <w:t>领取</w:t>
      </w:r>
      <w:r>
        <w:rPr>
          <w:rFonts w:hint="eastAsia" w:ascii="宋体" w:hAnsi="宋体" w:eastAsia="宋体" w:cs="宋体"/>
          <w:color w:val="auto"/>
          <w:spacing w:val="-1"/>
          <w:sz w:val="24"/>
          <w:szCs w:val="24"/>
          <w:highlight w:val="none"/>
        </w:rPr>
        <w:t>中标通知书之日起</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
          <w:sz w:val="24"/>
          <w:szCs w:val="24"/>
          <w:highlight w:val="none"/>
        </w:rPr>
        <w:t>45天内仍未签订，视其放弃中标。</w:t>
      </w:r>
    </w:p>
    <w:p w14:paraId="2096A616">
      <w:pPr>
        <w:spacing w:before="155" w:line="299" w:lineRule="auto"/>
        <w:ind w:left="12" w:right="82"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4.6  </w:t>
      </w:r>
      <w:r>
        <w:rPr>
          <w:rFonts w:hint="eastAsia" w:ascii="宋体" w:hAnsi="宋体" w:eastAsia="宋体" w:cs="宋体"/>
          <w:color w:val="auto"/>
          <w:sz w:val="24"/>
          <w:szCs w:val="24"/>
          <w:highlight w:val="none"/>
        </w:rPr>
        <w:t>在书面合同订立之日起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 个工作日内，由中标人或招标代理机构将合同上传至</w:t>
      </w:r>
      <w:r>
        <w:rPr>
          <w:rFonts w:hint="eastAsia" w:ascii="宋体" w:hAnsi="宋体" w:eastAsia="宋体" w:cs="宋体"/>
          <w:color w:val="auto"/>
          <w:spacing w:val="-2"/>
          <w:sz w:val="24"/>
          <w:szCs w:val="24"/>
          <w:highlight w:val="none"/>
        </w:rPr>
        <w:t>建设工程交易系统，并发起退还投标保证的申请。韶关市公共资源交易中心在收到申请之日起</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2"/>
          <w:sz w:val="24"/>
          <w:szCs w:val="24"/>
          <w:highlight w:val="none"/>
        </w:rPr>
        <w:t>3 个工作日内，将投标保证金（或银行保函）退还给中标人和其他中标候选人。</w:t>
      </w:r>
    </w:p>
    <w:p w14:paraId="736E5DE8">
      <w:pPr>
        <w:spacing w:before="78" w:line="220" w:lineRule="auto"/>
        <w:ind w:left="489"/>
        <w:outlineLvl w:val="2"/>
        <w:rPr>
          <w:rFonts w:hint="eastAsia" w:ascii="宋体" w:hAnsi="宋体" w:eastAsia="宋体" w:cs="宋体"/>
          <w:color w:val="auto"/>
          <w:sz w:val="24"/>
          <w:szCs w:val="24"/>
          <w:highlight w:val="none"/>
        </w:rPr>
      </w:pPr>
      <w:bookmarkStart w:id="161" w:name="_Toc4089"/>
      <w:r>
        <w:rPr>
          <w:rFonts w:hint="eastAsia" w:ascii="宋体" w:hAnsi="宋体" w:eastAsia="宋体" w:cs="宋体"/>
          <w:b/>
          <w:bCs/>
          <w:color w:val="auto"/>
          <w:spacing w:val="-6"/>
          <w:sz w:val="24"/>
          <w:szCs w:val="24"/>
          <w:highlight w:val="none"/>
        </w:rPr>
        <w:t>5</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6"/>
          <w:sz w:val="24"/>
          <w:szCs w:val="24"/>
          <w:highlight w:val="none"/>
        </w:rPr>
        <w:t>．放弃中标的处理</w:t>
      </w:r>
      <w:bookmarkEnd w:id="161"/>
    </w:p>
    <w:p w14:paraId="148812D5">
      <w:pPr>
        <w:spacing w:before="150" w:line="319" w:lineRule="auto"/>
        <w:ind w:left="12" w:right="91" w:firstLine="47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5.1</w:t>
      </w:r>
      <w:r>
        <w:rPr>
          <w:rFonts w:hint="eastAsia" w:ascii="宋体" w:hAnsi="宋体" w:eastAsia="宋体" w:cs="宋体"/>
          <w:b/>
          <w:bCs/>
          <w:color w:val="auto"/>
          <w:spacing w:val="19"/>
          <w:w w:val="101"/>
          <w:sz w:val="24"/>
          <w:szCs w:val="24"/>
          <w:highlight w:val="none"/>
        </w:rPr>
        <w:t xml:space="preserve">  </w:t>
      </w:r>
      <w:r>
        <w:rPr>
          <w:rFonts w:hint="eastAsia" w:ascii="宋体" w:hAnsi="宋体" w:eastAsia="宋体" w:cs="宋体"/>
          <w:color w:val="auto"/>
          <w:spacing w:val="-1"/>
          <w:sz w:val="24"/>
          <w:szCs w:val="24"/>
          <w:highlight w:val="none"/>
        </w:rPr>
        <w:t>中标人无正当理由放弃中标的，取消其中标资格，其投标保证不予退还，给招</w:t>
      </w:r>
      <w:r>
        <w:rPr>
          <w:rFonts w:hint="eastAsia" w:ascii="宋体" w:hAnsi="宋体" w:eastAsia="宋体" w:cs="宋体"/>
          <w:color w:val="auto"/>
          <w:spacing w:val="-2"/>
          <w:sz w:val="24"/>
          <w:szCs w:val="24"/>
          <w:highlight w:val="none"/>
        </w:rPr>
        <w:t>标人造成的损失超过投标保证金额的，弃标人还应当对超过部分予以赔偿。招标人可按照</w:t>
      </w:r>
      <w:r>
        <w:rPr>
          <w:rFonts w:hint="eastAsia" w:ascii="宋体" w:hAnsi="宋体" w:eastAsia="宋体" w:cs="宋体"/>
          <w:color w:val="auto"/>
          <w:spacing w:val="-2"/>
          <w:sz w:val="24"/>
          <w:szCs w:val="24"/>
          <w:highlight w:val="none"/>
          <w:lang w:val="en-US" w:eastAsia="zh-CN"/>
        </w:rPr>
        <w:t>定</w:t>
      </w:r>
      <w:r>
        <w:rPr>
          <w:rFonts w:hint="eastAsia" w:ascii="宋体" w:hAnsi="宋体" w:eastAsia="宋体" w:cs="宋体"/>
          <w:color w:val="auto"/>
          <w:spacing w:val="-2"/>
          <w:sz w:val="24"/>
          <w:szCs w:val="24"/>
          <w:highlight w:val="none"/>
        </w:rPr>
        <w:t>标委员会提交的</w:t>
      </w:r>
      <w:r>
        <w:rPr>
          <w:rFonts w:hint="eastAsia" w:ascii="宋体" w:hAnsi="宋体" w:eastAsia="宋体" w:cs="宋体"/>
          <w:color w:val="auto"/>
          <w:spacing w:val="-2"/>
          <w:sz w:val="24"/>
          <w:szCs w:val="24"/>
          <w:highlight w:val="none"/>
          <w:lang w:val="en-US" w:eastAsia="zh-CN"/>
        </w:rPr>
        <w:t>中</w:t>
      </w:r>
      <w:r>
        <w:rPr>
          <w:rFonts w:hint="eastAsia" w:ascii="宋体" w:hAnsi="宋体" w:eastAsia="宋体" w:cs="宋体"/>
          <w:color w:val="auto"/>
          <w:spacing w:val="-2"/>
          <w:sz w:val="24"/>
          <w:szCs w:val="24"/>
          <w:highlight w:val="none"/>
        </w:rPr>
        <w:t>标候选人名单排序依次确定其他中标候选人为中标人，如果招标人认为其他中标候选人的条件明显不利于招标人的，也可以重新招标。因此种情况造成招标人重新招标的，招标人可不接受该弃标人再次投标。同时，</w:t>
      </w:r>
      <w:r>
        <w:rPr>
          <w:rFonts w:hint="eastAsia" w:ascii="宋体" w:hAnsi="宋体" w:eastAsia="宋体" w:cs="宋体"/>
          <w:b/>
          <w:bCs/>
          <w:color w:val="auto"/>
          <w:spacing w:val="-2"/>
          <w:sz w:val="24"/>
          <w:szCs w:val="24"/>
          <w:highlight w:val="none"/>
        </w:rPr>
        <w:t>招</w:t>
      </w:r>
      <w:r>
        <w:rPr>
          <w:rFonts w:hint="eastAsia" w:ascii="宋体" w:hAnsi="宋体" w:eastAsia="宋体" w:cs="宋体"/>
          <w:b/>
          <w:bCs/>
          <w:color w:val="auto"/>
          <w:spacing w:val="-3"/>
          <w:sz w:val="24"/>
          <w:szCs w:val="24"/>
          <w:highlight w:val="none"/>
        </w:rPr>
        <w:t>标人应将该弃标人的失信行为向行政监督部门报告。</w:t>
      </w:r>
    </w:p>
    <w:p w14:paraId="7BD56114">
      <w:pPr>
        <w:spacing w:before="79" w:line="298" w:lineRule="auto"/>
        <w:ind w:left="10" w:right="91" w:firstLine="479"/>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5.2</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5"/>
          <w:sz w:val="24"/>
          <w:szCs w:val="24"/>
          <w:highlight w:val="none"/>
        </w:rPr>
        <w:t>中标人因不可抗力提出不能履行合同的，须在领取中标通知书之日起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10天</w:t>
      </w:r>
      <w:r>
        <w:rPr>
          <w:rFonts w:hint="eastAsia" w:ascii="宋体" w:hAnsi="宋体" w:eastAsia="宋体" w:cs="宋体"/>
          <w:color w:val="auto"/>
          <w:spacing w:val="-6"/>
          <w:sz w:val="24"/>
          <w:szCs w:val="24"/>
          <w:highlight w:val="none"/>
        </w:rPr>
        <w:t>内提</w:t>
      </w:r>
      <w:r>
        <w:rPr>
          <w:rFonts w:hint="eastAsia" w:ascii="宋体" w:hAnsi="宋体" w:eastAsia="宋体" w:cs="宋体"/>
          <w:color w:val="auto"/>
          <w:spacing w:val="-2"/>
          <w:sz w:val="24"/>
          <w:szCs w:val="24"/>
          <w:highlight w:val="none"/>
        </w:rPr>
        <w:t>供有关证明文件或资料，其投标保证予以退还，招标人可按照</w:t>
      </w:r>
      <w:r>
        <w:rPr>
          <w:rFonts w:hint="eastAsia" w:ascii="宋体" w:hAnsi="宋体" w:eastAsia="宋体" w:cs="宋体"/>
          <w:color w:val="auto"/>
          <w:spacing w:val="-2"/>
          <w:sz w:val="24"/>
          <w:szCs w:val="24"/>
          <w:highlight w:val="none"/>
          <w:lang w:val="en-US" w:eastAsia="zh-CN"/>
        </w:rPr>
        <w:t>定</w:t>
      </w:r>
      <w:r>
        <w:rPr>
          <w:rFonts w:hint="eastAsia" w:ascii="宋体" w:hAnsi="宋体" w:eastAsia="宋体" w:cs="宋体"/>
          <w:color w:val="auto"/>
          <w:spacing w:val="-2"/>
          <w:sz w:val="24"/>
          <w:szCs w:val="24"/>
          <w:highlight w:val="none"/>
        </w:rPr>
        <w:t>标委员会提出的中标候选人名单排序依次确定其他中标候选人为中标人。如果招标人认为其他中标候选人的条</w:t>
      </w:r>
      <w:bookmarkStart w:id="162" w:name="bookmark84"/>
      <w:bookmarkEnd w:id="162"/>
      <w:r>
        <w:rPr>
          <w:rFonts w:hint="eastAsia" w:ascii="宋体" w:hAnsi="宋体" w:eastAsia="宋体" w:cs="宋体"/>
          <w:color w:val="auto"/>
          <w:spacing w:val="-2"/>
          <w:sz w:val="24"/>
          <w:szCs w:val="24"/>
          <w:highlight w:val="none"/>
        </w:rPr>
        <w:t>件明显不利于招标人的，也可以重新招标</w:t>
      </w:r>
      <w:r>
        <w:rPr>
          <w:rFonts w:hint="eastAsia" w:ascii="宋体" w:hAnsi="宋体" w:eastAsia="宋体" w:cs="宋体"/>
          <w:color w:val="auto"/>
          <w:spacing w:val="-1"/>
          <w:sz w:val="24"/>
          <w:szCs w:val="24"/>
          <w:highlight w:val="none"/>
        </w:rPr>
        <w:t>。</w:t>
      </w:r>
    </w:p>
    <w:p w14:paraId="40983202">
      <w:pPr>
        <w:pStyle w:val="13"/>
        <w:rPr>
          <w:rFonts w:hint="eastAsia" w:ascii="宋体" w:hAnsi="宋体" w:eastAsia="宋体" w:cs="宋体"/>
          <w:color w:val="auto"/>
          <w:highlight w:val="none"/>
        </w:rPr>
        <w:sectPr>
          <w:footerReference r:id="rId1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0B3EAE0">
      <w:pPr>
        <w:spacing w:before="78" w:line="219" w:lineRule="auto"/>
        <w:ind w:left="2923"/>
        <w:outlineLvl w:val="0"/>
        <w:rPr>
          <w:rFonts w:hint="eastAsia" w:ascii="宋体" w:hAnsi="宋体" w:eastAsia="宋体" w:cs="宋体"/>
          <w:color w:val="auto"/>
          <w:sz w:val="24"/>
          <w:szCs w:val="24"/>
          <w:highlight w:val="none"/>
        </w:rPr>
      </w:pPr>
      <w:bookmarkStart w:id="163" w:name="bookmark86"/>
      <w:bookmarkEnd w:id="163"/>
      <w:bookmarkStart w:id="164" w:name="_Toc7715"/>
      <w:r>
        <w:rPr>
          <w:rFonts w:hint="eastAsia" w:ascii="宋体" w:hAnsi="宋体" w:eastAsia="宋体" w:cs="宋体"/>
          <w:b/>
          <w:bCs/>
          <w:color w:val="auto"/>
          <w:spacing w:val="-3"/>
          <w:sz w:val="24"/>
          <w:szCs w:val="24"/>
          <w:highlight w:val="none"/>
        </w:rPr>
        <w:t>第三章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拟签订合同的主要条款</w:t>
      </w:r>
      <w:bookmarkEnd w:id="164"/>
    </w:p>
    <w:p w14:paraId="5C534CD3">
      <w:pPr>
        <w:pStyle w:val="5"/>
        <w:spacing w:line="257" w:lineRule="auto"/>
        <w:rPr>
          <w:rFonts w:hint="eastAsia" w:ascii="宋体" w:hAnsi="宋体" w:eastAsia="宋体" w:cs="宋体"/>
          <w:color w:val="auto"/>
          <w:highlight w:val="none"/>
        </w:rPr>
      </w:pPr>
    </w:p>
    <w:p w14:paraId="69498346">
      <w:pPr>
        <w:pStyle w:val="5"/>
        <w:spacing w:line="257" w:lineRule="auto"/>
        <w:rPr>
          <w:rFonts w:hint="eastAsia" w:ascii="宋体" w:hAnsi="宋体" w:eastAsia="宋体" w:cs="宋体"/>
          <w:color w:val="auto"/>
          <w:highlight w:val="none"/>
        </w:rPr>
      </w:pPr>
    </w:p>
    <w:p w14:paraId="50F7B5FC">
      <w:pPr>
        <w:spacing w:before="78" w:line="220" w:lineRule="auto"/>
        <w:ind w:left="498"/>
        <w:outlineLvl w:val="2"/>
        <w:rPr>
          <w:rFonts w:hint="eastAsia" w:ascii="宋体" w:hAnsi="宋体" w:eastAsia="宋体" w:cs="宋体"/>
          <w:color w:val="auto"/>
          <w:sz w:val="24"/>
          <w:szCs w:val="24"/>
          <w:highlight w:val="none"/>
        </w:rPr>
      </w:pPr>
      <w:bookmarkStart w:id="165" w:name="_Toc6603"/>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．工程承包方式</w:t>
      </w:r>
      <w:bookmarkEnd w:id="165"/>
    </w:p>
    <w:p w14:paraId="15E51171">
      <w:pPr>
        <w:spacing w:before="153" w:line="299" w:lineRule="auto"/>
        <w:ind w:left="11" w:right="295" w:firstLine="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1.1  </w:t>
      </w:r>
      <w:r>
        <w:rPr>
          <w:rFonts w:hint="eastAsia" w:ascii="宋体" w:hAnsi="宋体" w:eastAsia="宋体" w:cs="宋体"/>
          <w:color w:val="auto"/>
          <w:sz w:val="24"/>
          <w:szCs w:val="24"/>
          <w:highlight w:val="none"/>
        </w:rPr>
        <w:t>承包人以中标价按包工包料、包质量、包安全包文明施工、包工期</w:t>
      </w:r>
      <w:r>
        <w:rPr>
          <w:rFonts w:hint="eastAsia" w:ascii="宋体" w:hAnsi="宋体" w:eastAsia="宋体" w:cs="宋体"/>
          <w:color w:val="auto"/>
          <w:spacing w:val="-1"/>
          <w:sz w:val="24"/>
          <w:szCs w:val="24"/>
          <w:highlight w:val="none"/>
        </w:rPr>
        <w:t>方式总承包</w:t>
      </w:r>
      <w:r>
        <w:rPr>
          <w:rFonts w:hint="eastAsia" w:ascii="宋体" w:hAnsi="宋体" w:eastAsia="宋体" w:cs="宋体"/>
          <w:color w:val="auto"/>
          <w:spacing w:val="-2"/>
          <w:sz w:val="24"/>
          <w:szCs w:val="24"/>
          <w:highlight w:val="none"/>
        </w:rPr>
        <w:t>施工，不允许转包和违法分包，如果确需分包须与发包人协商，在得到发包人和监理单</w:t>
      </w:r>
      <w:r>
        <w:rPr>
          <w:rFonts w:hint="eastAsia" w:ascii="宋体" w:hAnsi="宋体" w:eastAsia="宋体" w:cs="宋体"/>
          <w:color w:val="auto"/>
          <w:spacing w:val="-1"/>
          <w:sz w:val="24"/>
          <w:szCs w:val="24"/>
          <w:highlight w:val="none"/>
        </w:rPr>
        <w:t>位同意后报建设行政主管部门备案。</w:t>
      </w:r>
    </w:p>
    <w:p w14:paraId="2B524C76">
      <w:pPr>
        <w:spacing w:before="153" w:line="219"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1.1.1  </w:t>
      </w:r>
      <w:r>
        <w:rPr>
          <w:rFonts w:hint="eastAsia" w:ascii="宋体" w:hAnsi="宋体" w:eastAsia="宋体" w:cs="宋体"/>
          <w:color w:val="auto"/>
          <w:spacing w:val="-1"/>
          <w:sz w:val="24"/>
          <w:szCs w:val="24"/>
          <w:highlight w:val="none"/>
        </w:rPr>
        <w:t>包工包料：材料符合招标文件要求并报验使用；办理用工保险。</w:t>
      </w:r>
    </w:p>
    <w:p w14:paraId="2C8F6059">
      <w:pPr>
        <w:spacing w:before="156" w:line="22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1.1.2  </w:t>
      </w:r>
      <w:r>
        <w:rPr>
          <w:rFonts w:hint="eastAsia" w:ascii="宋体" w:hAnsi="宋体" w:eastAsia="宋体" w:cs="宋体"/>
          <w:color w:val="auto"/>
          <w:spacing w:val="-1"/>
          <w:sz w:val="24"/>
          <w:szCs w:val="24"/>
          <w:highlight w:val="none"/>
        </w:rPr>
        <w:t>包质量：符合招标文件要求。</w:t>
      </w:r>
    </w:p>
    <w:p w14:paraId="0FB12A34">
      <w:pPr>
        <w:spacing w:before="153" w:line="22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1.1.3  </w:t>
      </w:r>
      <w:r>
        <w:rPr>
          <w:rFonts w:hint="eastAsia" w:ascii="宋体" w:hAnsi="宋体" w:eastAsia="宋体" w:cs="宋体"/>
          <w:color w:val="auto"/>
          <w:spacing w:val="-1"/>
          <w:sz w:val="24"/>
          <w:szCs w:val="24"/>
          <w:highlight w:val="none"/>
        </w:rPr>
        <w:t>包安全包文明施工：符合招标文件要求。</w:t>
      </w:r>
    </w:p>
    <w:p w14:paraId="3398DD31">
      <w:pPr>
        <w:spacing w:before="154" w:line="219"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1.1.4  </w:t>
      </w:r>
      <w:r>
        <w:rPr>
          <w:rFonts w:hint="eastAsia" w:ascii="宋体" w:hAnsi="宋体" w:eastAsia="宋体" w:cs="宋体"/>
          <w:color w:val="auto"/>
          <w:spacing w:val="-1"/>
          <w:sz w:val="24"/>
          <w:szCs w:val="24"/>
          <w:highlight w:val="none"/>
        </w:rPr>
        <w:t>包工期：本招标项目施工必须在招标工期内完成。</w:t>
      </w:r>
    </w:p>
    <w:p w14:paraId="1E6FD563">
      <w:pPr>
        <w:pStyle w:val="5"/>
        <w:spacing w:line="257" w:lineRule="auto"/>
        <w:rPr>
          <w:rFonts w:hint="eastAsia" w:ascii="宋体" w:hAnsi="宋体" w:eastAsia="宋体" w:cs="宋体"/>
          <w:color w:val="auto"/>
          <w:highlight w:val="none"/>
        </w:rPr>
      </w:pPr>
    </w:p>
    <w:p w14:paraId="0E04F086">
      <w:pPr>
        <w:pStyle w:val="5"/>
        <w:spacing w:line="257" w:lineRule="auto"/>
        <w:rPr>
          <w:rFonts w:hint="eastAsia" w:ascii="宋体" w:hAnsi="宋体" w:eastAsia="宋体" w:cs="宋体"/>
          <w:color w:val="auto"/>
          <w:highlight w:val="none"/>
        </w:rPr>
      </w:pPr>
    </w:p>
    <w:p w14:paraId="53182D61">
      <w:pPr>
        <w:spacing w:before="78" w:line="220" w:lineRule="auto"/>
        <w:ind w:left="488"/>
        <w:outlineLvl w:val="2"/>
        <w:rPr>
          <w:rFonts w:hint="eastAsia" w:ascii="宋体" w:hAnsi="宋体" w:eastAsia="宋体" w:cs="宋体"/>
          <w:color w:val="auto"/>
          <w:sz w:val="24"/>
          <w:szCs w:val="24"/>
          <w:highlight w:val="none"/>
        </w:rPr>
      </w:pPr>
      <w:bookmarkStart w:id="166" w:name="bookmark88"/>
      <w:bookmarkEnd w:id="166"/>
      <w:bookmarkStart w:id="167" w:name="_Toc24910"/>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．工程结算原则</w:t>
      </w:r>
      <w:bookmarkEnd w:id="167"/>
    </w:p>
    <w:p w14:paraId="684618CF">
      <w:pPr>
        <w:spacing w:before="153"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2.1 </w:t>
      </w:r>
      <w:r>
        <w:rPr>
          <w:rFonts w:hint="eastAsia" w:ascii="宋体" w:hAnsi="宋体" w:eastAsia="宋体" w:cs="宋体"/>
          <w:color w:val="auto"/>
          <w:spacing w:val="-1"/>
          <w:sz w:val="24"/>
          <w:szCs w:val="24"/>
          <w:highlight w:val="none"/>
        </w:rPr>
        <w:t>承包人的投标总价为中标价，即为签约合同价。</w:t>
      </w:r>
    </w:p>
    <w:p w14:paraId="50873142">
      <w:pPr>
        <w:spacing w:before="155" w:line="319" w:lineRule="auto"/>
        <w:ind w:left="12" w:right="231"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2.2 </w:t>
      </w:r>
      <w:r>
        <w:rPr>
          <w:rFonts w:hint="eastAsia" w:ascii="宋体" w:hAnsi="宋体" w:eastAsia="宋体" w:cs="宋体"/>
          <w:color w:val="auto"/>
          <w:spacing w:val="2"/>
          <w:sz w:val="24"/>
          <w:szCs w:val="24"/>
          <w:highlight w:val="none"/>
        </w:rPr>
        <w:t>招标工程量清单标明的工程量是投标人投标报价的</w:t>
      </w:r>
      <w:r>
        <w:rPr>
          <w:rFonts w:hint="eastAsia" w:ascii="宋体" w:hAnsi="宋体" w:eastAsia="宋体" w:cs="宋体"/>
          <w:color w:val="auto"/>
          <w:spacing w:val="1"/>
          <w:sz w:val="24"/>
          <w:szCs w:val="24"/>
          <w:highlight w:val="none"/>
        </w:rPr>
        <w:t>共同基础，竣工结算的工程</w:t>
      </w:r>
      <w:r>
        <w:rPr>
          <w:rFonts w:hint="eastAsia" w:ascii="宋体" w:hAnsi="宋体" w:eastAsia="宋体" w:cs="宋体"/>
          <w:color w:val="auto"/>
          <w:spacing w:val="-5"/>
          <w:sz w:val="24"/>
          <w:szCs w:val="24"/>
          <w:highlight w:val="none"/>
        </w:rPr>
        <w:t>量按</w:t>
      </w:r>
      <w:bookmarkStart w:id="168" w:name="OLE_LINK28"/>
      <w:r>
        <w:rPr>
          <w:rFonts w:hint="eastAsia" w:ascii="宋体" w:hAnsi="宋体" w:eastAsia="宋体" w:cs="宋体"/>
          <w:color w:val="auto"/>
          <w:spacing w:val="-5"/>
          <w:sz w:val="24"/>
          <w:szCs w:val="24"/>
          <w:highlight w:val="none"/>
        </w:rPr>
        <w:t>《建设工程工程量清单计价</w:t>
      </w:r>
      <w:r>
        <w:rPr>
          <w:rFonts w:hint="eastAsia" w:ascii="宋体" w:hAnsi="宋体" w:eastAsia="宋体" w:cs="宋体"/>
          <w:color w:val="auto"/>
          <w:spacing w:val="-5"/>
          <w:sz w:val="24"/>
          <w:szCs w:val="24"/>
          <w:highlight w:val="none"/>
          <w:lang w:val="en-US" w:eastAsia="zh-CN"/>
        </w:rPr>
        <w:t>标准</w:t>
      </w:r>
      <w:r>
        <w:rPr>
          <w:rFonts w:hint="eastAsia" w:ascii="宋体" w:hAnsi="宋体" w:eastAsia="宋体" w:cs="宋体"/>
          <w:color w:val="auto"/>
          <w:spacing w:val="-5"/>
          <w:sz w:val="24"/>
          <w:szCs w:val="24"/>
          <w:highlight w:val="none"/>
        </w:rPr>
        <w:t>》（GB50500—</w:t>
      </w:r>
      <w:r>
        <w:rPr>
          <w:rFonts w:hint="eastAsia" w:ascii="宋体" w:hAnsi="宋体" w:eastAsia="宋体" w:cs="宋体"/>
          <w:color w:val="auto"/>
          <w:spacing w:val="-5"/>
          <w:sz w:val="24"/>
          <w:szCs w:val="24"/>
          <w:highlight w:val="none"/>
          <w:lang w:val="en-US" w:eastAsia="zh-CN"/>
        </w:rPr>
        <w:t>2024</w:t>
      </w:r>
      <w:r>
        <w:rPr>
          <w:rFonts w:hint="eastAsia" w:ascii="宋体" w:hAnsi="宋体" w:eastAsia="宋体" w:cs="宋体"/>
          <w:color w:val="auto"/>
          <w:spacing w:val="-5"/>
          <w:sz w:val="24"/>
          <w:szCs w:val="24"/>
          <w:highlight w:val="none"/>
        </w:rPr>
        <w:t>）对工程计量的规定进行计量，</w:t>
      </w:r>
      <w:r>
        <w:rPr>
          <w:rFonts w:hint="eastAsia" w:ascii="宋体" w:hAnsi="宋体" w:eastAsia="宋体" w:cs="宋体"/>
          <w:color w:val="auto"/>
          <w:spacing w:val="-2"/>
          <w:sz w:val="24"/>
          <w:szCs w:val="24"/>
          <w:highlight w:val="none"/>
        </w:rPr>
        <w:t>必须以承包人完成合同工程应予计量的工程量确定。施</w:t>
      </w:r>
      <w:bookmarkEnd w:id="168"/>
      <w:r>
        <w:rPr>
          <w:rFonts w:hint="eastAsia" w:ascii="宋体" w:hAnsi="宋体" w:eastAsia="宋体" w:cs="宋体"/>
          <w:color w:val="auto"/>
          <w:spacing w:val="-2"/>
          <w:sz w:val="24"/>
          <w:szCs w:val="24"/>
          <w:highlight w:val="none"/>
        </w:rPr>
        <w:t>工中进行工程计量，当发现招标工程量清单中出现缺项、工程量偏差、或因工程变更引起工程量增减时，应按承包人在履行合同义务中完成的工程量计算。因承包人原因造成的超出合同工程范围施工或返工</w:t>
      </w:r>
      <w:r>
        <w:rPr>
          <w:rFonts w:hint="eastAsia" w:ascii="宋体" w:hAnsi="宋体" w:eastAsia="宋体" w:cs="宋体"/>
          <w:color w:val="auto"/>
          <w:spacing w:val="-1"/>
          <w:sz w:val="24"/>
          <w:szCs w:val="24"/>
          <w:highlight w:val="none"/>
        </w:rPr>
        <w:t>的工程量，发包人不予计量，由</w:t>
      </w:r>
      <w:r>
        <w:rPr>
          <w:rFonts w:hint="eastAsia" w:ascii="宋体" w:hAnsi="宋体" w:eastAsia="宋体" w:cs="宋体"/>
          <w:color w:val="auto"/>
          <w:spacing w:val="-1"/>
          <w:sz w:val="24"/>
          <w:szCs w:val="24"/>
          <w:highlight w:val="none"/>
          <w:lang w:val="en-US" w:eastAsia="zh-CN"/>
        </w:rPr>
        <w:t>承包人</w:t>
      </w:r>
      <w:r>
        <w:rPr>
          <w:rFonts w:hint="eastAsia" w:ascii="宋体" w:hAnsi="宋体" w:eastAsia="宋体" w:cs="宋体"/>
          <w:color w:val="auto"/>
          <w:spacing w:val="-1"/>
          <w:sz w:val="24"/>
          <w:szCs w:val="24"/>
          <w:highlight w:val="none"/>
        </w:rPr>
        <w:t>自行承担相关责任和费用。</w:t>
      </w:r>
    </w:p>
    <w:p w14:paraId="52C2BD5C">
      <w:pPr>
        <w:spacing w:before="38" w:line="299" w:lineRule="auto"/>
        <w:ind w:left="12" w:right="183" w:firstLine="475"/>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2.3  </w:t>
      </w:r>
      <w:r>
        <w:rPr>
          <w:rFonts w:hint="eastAsia" w:ascii="宋体" w:hAnsi="宋体" w:eastAsia="宋体" w:cs="宋体"/>
          <w:color w:val="auto"/>
          <w:sz w:val="24"/>
          <w:szCs w:val="24"/>
          <w:highlight w:val="none"/>
        </w:rPr>
        <w:t>施工合同履行期间，若出现下列情形的，发、承包双方应当按照以下规定调整</w:t>
      </w:r>
      <w:r>
        <w:rPr>
          <w:rFonts w:hint="eastAsia" w:ascii="宋体" w:hAnsi="宋体" w:eastAsia="宋体" w:cs="宋体"/>
          <w:color w:val="auto"/>
          <w:spacing w:val="-3"/>
          <w:sz w:val="24"/>
          <w:szCs w:val="24"/>
          <w:highlight w:val="none"/>
        </w:rPr>
        <w:t>合同价款：</w:t>
      </w:r>
    </w:p>
    <w:p w14:paraId="123F83B6">
      <w:pPr>
        <w:spacing w:before="227" w:line="220"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2.3.1  </w:t>
      </w:r>
      <w:r>
        <w:rPr>
          <w:rFonts w:hint="eastAsia" w:ascii="宋体" w:hAnsi="宋体" w:eastAsia="宋体" w:cs="宋体"/>
          <w:color w:val="auto"/>
          <w:spacing w:val="-1"/>
          <w:sz w:val="24"/>
          <w:szCs w:val="24"/>
          <w:highlight w:val="none"/>
        </w:rPr>
        <w:t>法律法规变化</w:t>
      </w:r>
    </w:p>
    <w:p w14:paraId="4F8CA025">
      <w:pPr>
        <w:spacing w:before="156" w:line="298" w:lineRule="auto"/>
        <w:ind w:left="10" w:right="183"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2.3.1.1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基准日之后，因国家法律、法规、规章和政策发生变化引起工程造价增减变</w:t>
      </w:r>
      <w:r>
        <w:rPr>
          <w:rFonts w:hint="eastAsia" w:ascii="宋体" w:hAnsi="宋体" w:eastAsia="宋体" w:cs="宋体"/>
          <w:color w:val="auto"/>
          <w:spacing w:val="-2"/>
          <w:sz w:val="24"/>
          <w:szCs w:val="24"/>
          <w:highlight w:val="none"/>
        </w:rPr>
        <w:t>化时，发、承包双方应按照省级建设主管部门（或省级行业主管部门）或其授权的工程</w:t>
      </w:r>
      <w:r>
        <w:rPr>
          <w:rFonts w:hint="eastAsia" w:ascii="宋体" w:hAnsi="宋体" w:eastAsia="宋体" w:cs="宋体"/>
          <w:color w:val="auto"/>
          <w:spacing w:val="-1"/>
          <w:sz w:val="24"/>
          <w:szCs w:val="24"/>
          <w:highlight w:val="none"/>
        </w:rPr>
        <w:t>造价管理机构据此发布的最新规定调整合同价款。</w:t>
      </w:r>
    </w:p>
    <w:p w14:paraId="1DD96964">
      <w:pPr>
        <w:spacing w:before="157" w:line="325" w:lineRule="auto"/>
        <w:ind w:left="12" w:right="183" w:firstLine="479"/>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注：本招标文件所称“基准日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11"/>
          <w:sz w:val="24"/>
          <w:szCs w:val="24"/>
          <w:highlight w:val="none"/>
        </w:rPr>
        <w:t>”，均指投标文</w:t>
      </w:r>
      <w:r>
        <w:rPr>
          <w:rFonts w:hint="eastAsia" w:ascii="宋体" w:hAnsi="宋体" w:eastAsia="宋体" w:cs="宋体"/>
          <w:b/>
          <w:bCs/>
          <w:color w:val="auto"/>
          <w:spacing w:val="-12"/>
          <w:sz w:val="24"/>
          <w:szCs w:val="24"/>
          <w:highlight w:val="none"/>
        </w:rPr>
        <w:t>件递交截止时间（见第一章第二节“重</w:t>
      </w:r>
      <w:r>
        <w:rPr>
          <w:rFonts w:hint="eastAsia" w:ascii="宋体" w:hAnsi="宋体" w:eastAsia="宋体" w:cs="宋体"/>
          <w:b/>
          <w:bCs/>
          <w:color w:val="auto"/>
          <w:spacing w:val="-5"/>
          <w:sz w:val="24"/>
          <w:szCs w:val="24"/>
          <w:highlight w:val="none"/>
        </w:rPr>
        <w:t>要事项时间地点一览表</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5"/>
          <w:sz w:val="24"/>
          <w:szCs w:val="24"/>
          <w:highlight w:val="none"/>
        </w:rPr>
        <w:t>”）前</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5"/>
          <w:sz w:val="24"/>
          <w:szCs w:val="24"/>
          <w:highlight w:val="none"/>
        </w:rPr>
        <w:t>28 天。</w:t>
      </w:r>
    </w:p>
    <w:p w14:paraId="5D934C11">
      <w:pPr>
        <w:spacing w:before="33" w:line="299" w:lineRule="auto"/>
        <w:ind w:left="11"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2.3.1.2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1"/>
          <w:sz w:val="24"/>
          <w:szCs w:val="24"/>
          <w:highlight w:val="none"/>
        </w:rPr>
        <w:t>因承包人原因导致工程延误，本章第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1"/>
          <w:sz w:val="24"/>
          <w:szCs w:val="24"/>
          <w:highlight w:val="none"/>
        </w:rPr>
        <w:t>2</w:t>
      </w:r>
      <w:r>
        <w:rPr>
          <w:rFonts w:hint="eastAsia" w:ascii="宋体" w:hAnsi="宋体" w:eastAsia="宋体" w:cs="宋体"/>
          <w:b/>
          <w:bCs/>
          <w:color w:val="auto"/>
          <w:sz w:val="24"/>
          <w:szCs w:val="24"/>
          <w:highlight w:val="none"/>
        </w:rPr>
        <w:t xml:space="preserve">.3.1.1 </w:t>
      </w:r>
      <w:r>
        <w:rPr>
          <w:rFonts w:hint="eastAsia" w:ascii="宋体" w:hAnsi="宋体" w:eastAsia="宋体" w:cs="宋体"/>
          <w:color w:val="auto"/>
          <w:sz w:val="24"/>
          <w:szCs w:val="24"/>
          <w:highlight w:val="none"/>
        </w:rPr>
        <w:t>子目中的法定机构根据国家法</w:t>
      </w:r>
      <w:r>
        <w:rPr>
          <w:rFonts w:hint="eastAsia" w:ascii="宋体" w:hAnsi="宋体" w:eastAsia="宋体" w:cs="宋体"/>
          <w:color w:val="auto"/>
          <w:spacing w:val="-3"/>
          <w:sz w:val="24"/>
          <w:szCs w:val="24"/>
          <w:highlight w:val="none"/>
        </w:rPr>
        <w:t>律法规变化发布新规的时间在合同工程原定竣工时间之后的，合同价款调增的不予调整，</w:t>
      </w:r>
      <w:r>
        <w:rPr>
          <w:rFonts w:hint="eastAsia" w:ascii="宋体" w:hAnsi="宋体" w:eastAsia="宋体" w:cs="宋体"/>
          <w:color w:val="auto"/>
          <w:spacing w:val="-1"/>
          <w:sz w:val="24"/>
          <w:szCs w:val="24"/>
          <w:highlight w:val="none"/>
        </w:rPr>
        <w:t>合同价款调减的予以调整。</w:t>
      </w:r>
    </w:p>
    <w:p w14:paraId="0FEEE35F">
      <w:pPr>
        <w:spacing w:before="155" w:line="220"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2.3.2  </w:t>
      </w:r>
      <w:r>
        <w:rPr>
          <w:rFonts w:hint="eastAsia" w:ascii="宋体" w:hAnsi="宋体" w:eastAsia="宋体" w:cs="宋体"/>
          <w:color w:val="auto"/>
          <w:spacing w:val="-1"/>
          <w:sz w:val="24"/>
          <w:szCs w:val="24"/>
          <w:highlight w:val="none"/>
        </w:rPr>
        <w:t>工程量偏差或变化</w:t>
      </w:r>
    </w:p>
    <w:p w14:paraId="692AAD08">
      <w:pPr>
        <w:spacing w:before="158" w:line="309" w:lineRule="auto"/>
        <w:ind w:left="10" w:right="183"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2.3.2.1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合同履行期间，当应予计算的实际工程量与招标工程量清单出现偏差或因工程变更引起已标价工程量清单项目的工程数量发生变化时，工程量偏差或变化在</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3"/>
          <w:sz w:val="24"/>
          <w:szCs w:val="24"/>
          <w:highlight w:val="none"/>
        </w:rPr>
        <w:t>15%以</w:t>
      </w:r>
      <w:r>
        <w:rPr>
          <w:rFonts w:hint="eastAsia" w:ascii="宋体" w:hAnsi="宋体" w:eastAsia="宋体" w:cs="宋体"/>
          <w:color w:val="auto"/>
          <w:spacing w:val="-4"/>
          <w:sz w:val="24"/>
          <w:szCs w:val="24"/>
          <w:highlight w:val="none"/>
        </w:rPr>
        <w:t>内（含</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4"/>
          <w:sz w:val="24"/>
          <w:szCs w:val="24"/>
          <w:highlight w:val="none"/>
        </w:rPr>
        <w:t>15%）的，其综合单价不予调整；工程量偏差或变化超过</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15%的，按照以下规定</w:t>
      </w:r>
      <w:r>
        <w:rPr>
          <w:rFonts w:hint="eastAsia" w:ascii="宋体" w:hAnsi="宋体" w:eastAsia="宋体" w:cs="宋体"/>
          <w:color w:val="auto"/>
          <w:spacing w:val="-3"/>
          <w:sz w:val="24"/>
          <w:szCs w:val="24"/>
          <w:highlight w:val="none"/>
        </w:rPr>
        <w:t>调整：</w:t>
      </w:r>
    </w:p>
    <w:p w14:paraId="5440C71D">
      <w:pPr>
        <w:spacing w:before="78" w:line="327" w:lineRule="auto"/>
        <w:ind w:left="12" w:firstLine="478"/>
        <w:jc w:val="both"/>
        <w:rPr>
          <w:rFonts w:hint="eastAsia" w:ascii="宋体" w:hAnsi="宋体" w:eastAsia="宋体" w:cs="宋体"/>
          <w:color w:val="auto"/>
          <w:sz w:val="24"/>
          <w:szCs w:val="24"/>
          <w:highlight w:val="none"/>
        </w:rPr>
      </w:pPr>
      <w:bookmarkStart w:id="169" w:name="bookmark142"/>
      <w:bookmarkEnd w:id="169"/>
      <w:r>
        <w:rPr>
          <w:rFonts w:hint="eastAsia" w:ascii="宋体" w:hAnsi="宋体" w:eastAsia="宋体" w:cs="宋体"/>
          <w:color w:val="auto"/>
          <w:spacing w:val="-3"/>
          <w:sz w:val="24"/>
          <w:szCs w:val="24"/>
          <w:highlight w:val="none"/>
        </w:rPr>
        <w:t>对于合理报价的清单项目，当工程量增加超过</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15%时，增加部分的工程量的综合单</w:t>
      </w:r>
      <w:r>
        <w:rPr>
          <w:rFonts w:hint="eastAsia" w:ascii="宋体" w:hAnsi="宋体" w:eastAsia="宋体" w:cs="宋体"/>
          <w:color w:val="auto"/>
          <w:spacing w:val="-7"/>
          <w:sz w:val="24"/>
          <w:szCs w:val="24"/>
          <w:highlight w:val="none"/>
        </w:rPr>
        <w:t>价以</w:t>
      </w:r>
      <w:r>
        <w:rPr>
          <w:rFonts w:hint="eastAsia" w:ascii="宋体" w:hAnsi="宋体" w:eastAsia="宋体" w:cs="宋体"/>
          <w:color w:val="auto"/>
          <w:spacing w:val="-3"/>
          <w:sz w:val="24"/>
          <w:szCs w:val="24"/>
          <w:highlight w:val="none"/>
        </w:rPr>
        <w:t>投标报价《分部分项工程和单价措施项目清单与计价表》中综合单价为基价调低 3%；当工程量减少超过 15%时，减少后剩余部分的工程量的综合单价以投标报价《分部分项工程和单价措施项目清单与计价表》中综合单价为基价调高 3%</w:t>
      </w:r>
      <w:r>
        <w:rPr>
          <w:rFonts w:hint="eastAsia" w:ascii="宋体" w:hAnsi="宋体" w:eastAsia="宋体" w:cs="宋体"/>
          <w:color w:val="auto"/>
          <w:spacing w:val="-1"/>
          <w:sz w:val="24"/>
          <w:szCs w:val="24"/>
          <w:highlight w:val="none"/>
        </w:rPr>
        <w:t>。</w:t>
      </w:r>
    </w:p>
    <w:p w14:paraId="2282BBC8">
      <w:pPr>
        <w:spacing w:before="97" w:line="324" w:lineRule="auto"/>
        <w:ind w:left="13" w:right="179"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对于按照第二章“</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 条被认定为不平衡报价的清单项目，其综合</w:t>
      </w:r>
      <w:r>
        <w:rPr>
          <w:rFonts w:hint="eastAsia" w:ascii="宋体" w:hAnsi="宋体" w:eastAsia="宋体" w:cs="宋体"/>
          <w:b/>
          <w:bCs/>
          <w:color w:val="auto"/>
          <w:spacing w:val="-3"/>
          <w:sz w:val="24"/>
          <w:szCs w:val="24"/>
          <w:highlight w:val="none"/>
        </w:rPr>
        <w:t>单价按照以下方法调整：</w:t>
      </w:r>
    </w:p>
    <w:p w14:paraId="36DE154B">
      <w:pPr>
        <w:spacing w:before="97" w:line="324" w:lineRule="auto"/>
        <w:ind w:left="13" w:right="179" w:firstLine="477"/>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t>以</w:t>
      </w:r>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中《分部分项工程和单价措施项目清单与计价表》子目相对应综合单价×（1-中标下浮率）。</w:t>
      </w:r>
    </w:p>
    <w:p w14:paraId="55E5B01A">
      <w:pPr>
        <w:spacing w:before="97" w:line="324" w:lineRule="auto"/>
        <w:ind w:left="13" w:right="179" w:firstLine="477"/>
        <w:rPr>
          <w:rFonts w:hint="eastAsia" w:ascii="宋体" w:hAnsi="宋体" w:eastAsia="宋体" w:cs="宋体"/>
          <w:b/>
          <w:bCs/>
          <w:color w:val="auto"/>
          <w:spacing w:val="-4"/>
          <w:sz w:val="24"/>
          <w:szCs w:val="24"/>
          <w:highlight w:val="none"/>
        </w:rPr>
      </w:pPr>
      <w:bookmarkStart w:id="170" w:name="_Toc12035"/>
      <w:bookmarkStart w:id="171" w:name="_Toc18478"/>
      <w:bookmarkStart w:id="172" w:name="_Toc30068"/>
      <w:r>
        <w:rPr>
          <w:rFonts w:hint="eastAsia" w:ascii="宋体" w:hAnsi="宋体" w:eastAsia="宋体" w:cs="宋体"/>
          <w:b/>
          <w:bCs/>
          <w:color w:val="auto"/>
          <w:spacing w:val="-4"/>
          <w:sz w:val="24"/>
          <w:szCs w:val="24"/>
          <w:highlight w:val="none"/>
        </w:rPr>
        <w:t>中标下浮率=[1-（中标价-</w:t>
      </w:r>
      <w:r>
        <w:rPr>
          <w:rFonts w:hint="eastAsia" w:ascii="宋体" w:hAnsi="宋体" w:eastAsia="宋体" w:cs="宋体"/>
          <w:b/>
          <w:bCs/>
          <w:color w:val="auto"/>
          <w:spacing w:val="-4"/>
          <w:sz w:val="24"/>
          <w:szCs w:val="24"/>
          <w:highlight w:val="none"/>
          <w:lang w:val="en-US" w:eastAsia="zh-CN"/>
        </w:rPr>
        <w:t>中标安全生产措施费</w:t>
      </w:r>
      <w:r>
        <w:rPr>
          <w:rFonts w:hint="eastAsia" w:ascii="宋体" w:hAnsi="宋体" w:eastAsia="宋体" w:cs="宋体"/>
          <w:b/>
          <w:bCs/>
          <w:color w:val="auto"/>
          <w:spacing w:val="-4"/>
          <w:sz w:val="24"/>
          <w:szCs w:val="24"/>
          <w:highlight w:val="none"/>
        </w:rPr>
        <w:t>-暂列金额-</w:t>
      </w:r>
      <w:r>
        <w:rPr>
          <w:rFonts w:hint="eastAsia" w:ascii="宋体" w:hAnsi="宋体" w:eastAsia="宋体" w:cs="宋体"/>
          <w:b/>
          <w:bCs/>
          <w:color w:val="auto"/>
          <w:spacing w:val="-4"/>
          <w:sz w:val="24"/>
          <w:szCs w:val="24"/>
          <w:highlight w:val="none"/>
          <w:lang w:val="en-US" w:eastAsia="zh-CN"/>
        </w:rPr>
        <w:t>专业工程</w:t>
      </w:r>
      <w:r>
        <w:rPr>
          <w:rFonts w:hint="eastAsia" w:ascii="宋体" w:hAnsi="宋体" w:eastAsia="宋体" w:cs="宋体"/>
          <w:b/>
          <w:bCs/>
          <w:color w:val="auto"/>
          <w:spacing w:val="-4"/>
          <w:sz w:val="24"/>
          <w:szCs w:val="24"/>
          <w:highlight w:val="none"/>
        </w:rPr>
        <w:t>暂估价）/（</w:t>
      </w:r>
      <w:bookmarkEnd w:id="170"/>
      <w:bookmarkEnd w:id="171"/>
      <w:bookmarkStart w:id="173" w:name="_Toc13602"/>
      <w:bookmarkStart w:id="174" w:name="_Toc15512"/>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-控制价</w:t>
      </w:r>
      <w:r>
        <w:rPr>
          <w:rFonts w:hint="eastAsia" w:ascii="宋体" w:hAnsi="宋体" w:eastAsia="宋体" w:cs="宋体"/>
          <w:b/>
          <w:bCs/>
          <w:color w:val="auto"/>
          <w:spacing w:val="-4"/>
          <w:sz w:val="24"/>
          <w:szCs w:val="24"/>
          <w:highlight w:val="none"/>
          <w:lang w:val="en-US" w:eastAsia="zh-CN"/>
        </w:rPr>
        <w:t>安全生产措施费</w:t>
      </w:r>
      <w:r>
        <w:rPr>
          <w:rFonts w:hint="eastAsia" w:ascii="宋体" w:hAnsi="宋体" w:eastAsia="宋体" w:cs="宋体"/>
          <w:b/>
          <w:bCs/>
          <w:color w:val="auto"/>
          <w:spacing w:val="-4"/>
          <w:sz w:val="24"/>
          <w:szCs w:val="24"/>
          <w:highlight w:val="none"/>
        </w:rPr>
        <w:t>-暂列金额-</w:t>
      </w:r>
      <w:r>
        <w:rPr>
          <w:rFonts w:hint="eastAsia" w:ascii="宋体" w:hAnsi="宋体" w:eastAsia="宋体" w:cs="宋体"/>
          <w:b/>
          <w:bCs/>
          <w:color w:val="auto"/>
          <w:spacing w:val="-4"/>
          <w:sz w:val="24"/>
          <w:szCs w:val="24"/>
          <w:highlight w:val="none"/>
          <w:lang w:val="en-US" w:eastAsia="zh-CN"/>
        </w:rPr>
        <w:t>专业工程</w:t>
      </w:r>
      <w:r>
        <w:rPr>
          <w:rFonts w:hint="eastAsia" w:ascii="宋体" w:hAnsi="宋体" w:eastAsia="宋体" w:cs="宋体"/>
          <w:b/>
          <w:bCs/>
          <w:color w:val="auto"/>
          <w:spacing w:val="-4"/>
          <w:sz w:val="24"/>
          <w:szCs w:val="24"/>
          <w:highlight w:val="none"/>
        </w:rPr>
        <w:t>暂估价）] ×100%</w:t>
      </w:r>
      <w:bookmarkEnd w:id="172"/>
      <w:bookmarkEnd w:id="173"/>
      <w:bookmarkEnd w:id="174"/>
    </w:p>
    <w:p w14:paraId="6ABFAD1C">
      <w:pPr>
        <w:spacing w:before="123" w:line="301" w:lineRule="auto"/>
        <w:ind w:left="10" w:right="116" w:firstLine="482"/>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若修正后的该部分《分部分项工程和单价措施项目清单与计价表》总金额大于原投</w:t>
      </w:r>
      <w:r>
        <w:rPr>
          <w:rFonts w:hint="eastAsia" w:ascii="宋体" w:hAnsi="宋体" w:eastAsia="宋体" w:cs="宋体"/>
          <w:color w:val="auto"/>
          <w:spacing w:val="-1"/>
          <w:sz w:val="24"/>
          <w:szCs w:val="24"/>
          <w:highlight w:val="none"/>
        </w:rPr>
        <w:t>标报价中的该部分总金额，则从投标报价需</w:t>
      </w:r>
      <w:r>
        <w:rPr>
          <w:rFonts w:hint="eastAsia" w:ascii="宋体" w:hAnsi="宋体" w:eastAsia="宋体" w:cs="宋体"/>
          <w:color w:val="auto"/>
          <w:spacing w:val="-2"/>
          <w:sz w:val="24"/>
          <w:szCs w:val="24"/>
          <w:highlight w:val="none"/>
        </w:rPr>
        <w:t>调高的综合单价中选择偏离最大的清单开始</w:t>
      </w:r>
      <w:r>
        <w:rPr>
          <w:rFonts w:hint="eastAsia" w:ascii="宋体" w:hAnsi="宋体" w:eastAsia="宋体" w:cs="宋体"/>
          <w:color w:val="auto"/>
          <w:spacing w:val="-1"/>
          <w:sz w:val="24"/>
          <w:szCs w:val="24"/>
          <w:highlight w:val="none"/>
        </w:rPr>
        <w:t>调整，调整幅度逐步减少，直至修正后的该</w:t>
      </w:r>
      <w:r>
        <w:rPr>
          <w:rFonts w:hint="eastAsia" w:ascii="宋体" w:hAnsi="宋体" w:eastAsia="宋体" w:cs="宋体"/>
          <w:color w:val="auto"/>
          <w:spacing w:val="-2"/>
          <w:sz w:val="24"/>
          <w:szCs w:val="24"/>
          <w:highlight w:val="none"/>
        </w:rPr>
        <w:t>部分《分部分项工程和单价措施项目清单与</w:t>
      </w:r>
      <w:r>
        <w:rPr>
          <w:rFonts w:hint="eastAsia" w:ascii="宋体" w:hAnsi="宋体" w:eastAsia="宋体" w:cs="宋体"/>
          <w:color w:val="auto"/>
          <w:spacing w:val="-1"/>
          <w:sz w:val="24"/>
          <w:szCs w:val="24"/>
          <w:highlight w:val="none"/>
        </w:rPr>
        <w:t>计价表》总金额与原投标报价中的该部分总</w:t>
      </w:r>
      <w:r>
        <w:rPr>
          <w:rFonts w:hint="eastAsia" w:ascii="宋体" w:hAnsi="宋体" w:eastAsia="宋体" w:cs="宋体"/>
          <w:color w:val="auto"/>
          <w:spacing w:val="-2"/>
          <w:sz w:val="24"/>
          <w:szCs w:val="24"/>
          <w:highlight w:val="none"/>
        </w:rPr>
        <w:t>金额一致；若修正后的该部分《分部分项工</w:t>
      </w:r>
      <w:r>
        <w:rPr>
          <w:rFonts w:hint="eastAsia" w:ascii="宋体" w:hAnsi="宋体" w:eastAsia="宋体" w:cs="宋体"/>
          <w:color w:val="auto"/>
          <w:spacing w:val="-1"/>
          <w:sz w:val="24"/>
          <w:szCs w:val="24"/>
          <w:highlight w:val="none"/>
        </w:rPr>
        <w:t>程和单价措施项目清单与计价表》总金额小</w:t>
      </w:r>
      <w:r>
        <w:rPr>
          <w:rFonts w:hint="eastAsia" w:ascii="宋体" w:hAnsi="宋体" w:eastAsia="宋体" w:cs="宋体"/>
          <w:color w:val="auto"/>
          <w:spacing w:val="-2"/>
          <w:sz w:val="24"/>
          <w:szCs w:val="24"/>
          <w:highlight w:val="none"/>
        </w:rPr>
        <w:t>于原投标报价中的该部分总金额，则从投标</w:t>
      </w:r>
      <w:r>
        <w:rPr>
          <w:rFonts w:hint="eastAsia" w:ascii="宋体" w:hAnsi="宋体" w:eastAsia="宋体" w:cs="宋体"/>
          <w:color w:val="auto"/>
          <w:spacing w:val="-1"/>
          <w:sz w:val="24"/>
          <w:szCs w:val="24"/>
          <w:highlight w:val="none"/>
        </w:rPr>
        <w:t>报价需调低的综合单价中选择偏离最大的清</w:t>
      </w:r>
      <w:r>
        <w:rPr>
          <w:rFonts w:hint="eastAsia" w:ascii="宋体" w:hAnsi="宋体" w:eastAsia="宋体" w:cs="宋体"/>
          <w:color w:val="auto"/>
          <w:spacing w:val="-2"/>
          <w:sz w:val="24"/>
          <w:szCs w:val="24"/>
          <w:highlight w:val="none"/>
        </w:rPr>
        <w:t>单开始调整，调整幅度逐步减少，直至修正</w:t>
      </w:r>
      <w:r>
        <w:rPr>
          <w:rFonts w:hint="eastAsia" w:ascii="宋体" w:hAnsi="宋体" w:eastAsia="宋体" w:cs="宋体"/>
          <w:color w:val="auto"/>
          <w:spacing w:val="-1"/>
          <w:sz w:val="24"/>
          <w:szCs w:val="24"/>
          <w:highlight w:val="none"/>
        </w:rPr>
        <w:t>后的该部分《分部分项工程和单价措施项目</w:t>
      </w:r>
      <w:r>
        <w:rPr>
          <w:rFonts w:hint="eastAsia" w:ascii="宋体" w:hAnsi="宋体" w:eastAsia="宋体" w:cs="宋体"/>
          <w:color w:val="auto"/>
          <w:spacing w:val="-2"/>
          <w:sz w:val="24"/>
          <w:szCs w:val="24"/>
          <w:highlight w:val="none"/>
        </w:rPr>
        <w:t>清单与计价表》总金额与原投标报价中的该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2"/>
          <w:sz w:val="24"/>
          <w:szCs w:val="24"/>
          <w:highlight w:val="none"/>
        </w:rPr>
        <w:t>部分总金额一致。修正后的总造价应与总中标价保持一致，形成《不平衡报价修正报告》，</w:t>
      </w:r>
      <w:r>
        <w:rPr>
          <w:rFonts w:hint="eastAsia" w:ascii="宋体" w:hAnsi="宋体" w:eastAsia="宋体" w:cs="宋体"/>
          <w:color w:val="auto"/>
          <w:spacing w:val="-1"/>
          <w:sz w:val="24"/>
          <w:szCs w:val="24"/>
          <w:highlight w:val="none"/>
        </w:rPr>
        <w:t>并由招标人和中标人共同签章确认。</w:t>
      </w:r>
    </w:p>
    <w:p w14:paraId="2BD2CB57">
      <w:pPr>
        <w:spacing w:before="129" w:line="299" w:lineRule="auto"/>
        <w:ind w:left="12" w:right="179"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2.3.2.2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如果工程量出现本章第</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1"/>
          <w:sz w:val="24"/>
          <w:szCs w:val="24"/>
          <w:highlight w:val="none"/>
        </w:rPr>
        <w:t xml:space="preserve">2.3.2.1 </w:t>
      </w:r>
      <w:r>
        <w:rPr>
          <w:rFonts w:hint="eastAsia" w:ascii="宋体" w:hAnsi="宋体" w:eastAsia="宋体" w:cs="宋体"/>
          <w:color w:val="auto"/>
          <w:spacing w:val="1"/>
          <w:sz w:val="24"/>
          <w:szCs w:val="24"/>
          <w:highlight w:val="none"/>
        </w:rPr>
        <w:t>子目的变化，且该变化引起相关措施项目相</w:t>
      </w:r>
      <w:r>
        <w:rPr>
          <w:rFonts w:hint="eastAsia" w:ascii="宋体" w:hAnsi="宋体" w:eastAsia="宋体" w:cs="宋体"/>
          <w:color w:val="auto"/>
          <w:spacing w:val="-2"/>
          <w:sz w:val="24"/>
          <w:szCs w:val="24"/>
          <w:highlight w:val="none"/>
        </w:rPr>
        <w:t>应发生变化时，按系数或单一总价方式计价的，工程量增加的措施项目费调增，工程量</w:t>
      </w:r>
      <w:r>
        <w:rPr>
          <w:rFonts w:hint="eastAsia" w:ascii="宋体" w:hAnsi="宋体" w:eastAsia="宋体" w:cs="宋体"/>
          <w:color w:val="auto"/>
          <w:spacing w:val="-1"/>
          <w:sz w:val="24"/>
          <w:szCs w:val="24"/>
          <w:highlight w:val="none"/>
        </w:rPr>
        <w:t>减少的措施项目费调减。</w:t>
      </w:r>
    </w:p>
    <w:p w14:paraId="06C738C3">
      <w:pPr>
        <w:spacing w:before="154" w:line="221"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2.3.3  </w:t>
      </w:r>
      <w:r>
        <w:rPr>
          <w:rFonts w:hint="eastAsia" w:ascii="宋体" w:hAnsi="宋体" w:eastAsia="宋体" w:cs="宋体"/>
          <w:color w:val="auto"/>
          <w:spacing w:val="-1"/>
          <w:sz w:val="24"/>
          <w:szCs w:val="24"/>
          <w:highlight w:val="none"/>
        </w:rPr>
        <w:t>工程变更</w:t>
      </w:r>
    </w:p>
    <w:p w14:paraId="46C43F19">
      <w:pPr>
        <w:spacing w:before="153" w:line="279" w:lineRule="auto"/>
        <w:ind w:left="19" w:right="179" w:firstLine="468"/>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合同履行期间，因工程变更引起已标价工程量清单项目发生变化时，按照以下规定调整：</w:t>
      </w:r>
    </w:p>
    <w:p w14:paraId="02B699CB">
      <w:pPr>
        <w:numPr>
          <w:ilvl w:val="0"/>
          <w:numId w:val="3"/>
        </w:numPr>
        <w:spacing w:before="78" w:line="360" w:lineRule="auto"/>
        <w:ind w:firstLine="242" w:firstLineChars="100"/>
        <w:rPr>
          <w:rFonts w:hint="eastAsia" w:ascii="宋体" w:hAnsi="宋体" w:eastAsia="宋体" w:cs="宋体"/>
          <w:b/>
          <w:bCs/>
          <w:color w:val="auto"/>
          <w:spacing w:val="-2"/>
          <w:sz w:val="24"/>
          <w:szCs w:val="24"/>
          <w:highlight w:val="none"/>
        </w:rPr>
      </w:pPr>
      <w:r>
        <w:rPr>
          <w:rFonts w:hint="eastAsia" w:ascii="宋体" w:hAnsi="宋体" w:eastAsia="宋体" w:cs="宋体"/>
          <w:color w:val="auto"/>
          <w:spacing w:val="1"/>
          <w:sz w:val="24"/>
          <w:szCs w:val="24"/>
          <w:highlight w:val="none"/>
        </w:rPr>
        <w:t>已标价工程量清单中有适用于变更工程项目的，采用该项目的单价。</w:t>
      </w:r>
      <w:r>
        <w:rPr>
          <w:rFonts w:hint="eastAsia" w:ascii="宋体" w:hAnsi="宋体" w:eastAsia="宋体" w:cs="宋体"/>
          <w:b/>
          <w:bCs/>
          <w:color w:val="auto"/>
          <w:spacing w:val="1"/>
          <w:sz w:val="24"/>
          <w:szCs w:val="24"/>
          <w:highlight w:val="none"/>
        </w:rPr>
        <w:t>但如果</w:t>
      </w:r>
      <w:bookmarkStart w:id="175" w:name="bookmark143"/>
      <w:bookmarkEnd w:id="175"/>
      <w:r>
        <w:rPr>
          <w:rFonts w:hint="eastAsia" w:ascii="宋体" w:hAnsi="宋体" w:eastAsia="宋体" w:cs="宋体"/>
          <w:b/>
          <w:bCs/>
          <w:color w:val="auto"/>
          <w:spacing w:val="-7"/>
          <w:sz w:val="24"/>
          <w:szCs w:val="24"/>
          <w:highlight w:val="none"/>
        </w:rPr>
        <w:t>被采用的项目属于按照第二章“中标人须知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7"/>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8"/>
          <w:sz w:val="24"/>
          <w:szCs w:val="24"/>
          <w:highlight w:val="none"/>
        </w:rPr>
        <w:t>4.2 条被认定为不平衡报价的清单项目，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2"/>
          <w:sz w:val="24"/>
          <w:szCs w:val="24"/>
          <w:highlight w:val="none"/>
        </w:rPr>
        <w:t>变更工程项目的单价按照</w:t>
      </w:r>
      <w:r>
        <w:rPr>
          <w:rFonts w:hint="eastAsia" w:ascii="宋体" w:hAnsi="宋体" w:eastAsia="宋体" w:cs="宋体"/>
          <w:b/>
          <w:bCs/>
          <w:color w:val="auto"/>
          <w:spacing w:val="-7"/>
          <w:sz w:val="24"/>
          <w:szCs w:val="24"/>
          <w:highlight w:val="none"/>
        </w:rPr>
        <w:t>本章 2.3.2.1 的</w:t>
      </w:r>
      <w:r>
        <w:rPr>
          <w:rFonts w:hint="eastAsia" w:ascii="宋体" w:hAnsi="宋体" w:eastAsia="宋体" w:cs="宋体"/>
          <w:b/>
          <w:bCs/>
          <w:color w:val="auto"/>
          <w:spacing w:val="-2"/>
          <w:sz w:val="24"/>
          <w:szCs w:val="24"/>
          <w:highlight w:val="none"/>
        </w:rPr>
        <w:t>方法调整。】</w:t>
      </w:r>
    </w:p>
    <w:p w14:paraId="607212D6">
      <w:pPr>
        <w:numPr>
          <w:ilvl w:val="0"/>
          <w:numId w:val="0"/>
        </w:numPr>
        <w:spacing w:before="78" w:line="360" w:lineRule="auto"/>
        <w:ind w:firstLine="237" w:firstLineChars="1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b/>
          <w:bCs/>
          <w:color w:val="auto"/>
          <w:spacing w:val="-2"/>
          <w:sz w:val="24"/>
          <w:szCs w:val="24"/>
          <w:highlight w:val="none"/>
          <w:lang w:val="en-US" w:eastAsia="zh-CN"/>
        </w:rPr>
        <w:t>2</w:t>
      </w: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已标价工程量清单中没有适用但有类似于变更工程项目的，可在合理范围内</w:t>
      </w:r>
      <w:r>
        <w:rPr>
          <w:rFonts w:hint="eastAsia" w:ascii="宋体" w:hAnsi="宋体" w:eastAsia="宋体" w:cs="宋体"/>
          <w:color w:val="auto"/>
          <w:spacing w:val="-3"/>
          <w:sz w:val="24"/>
          <w:szCs w:val="24"/>
          <w:highlight w:val="none"/>
        </w:rPr>
        <w:t>参照类似项目的单价。</w:t>
      </w:r>
      <w:r>
        <w:rPr>
          <w:rFonts w:hint="eastAsia" w:ascii="宋体" w:hAnsi="宋体" w:eastAsia="宋体" w:cs="宋体"/>
          <w:b/>
          <w:bCs/>
          <w:color w:val="auto"/>
          <w:spacing w:val="-3"/>
          <w:sz w:val="24"/>
          <w:szCs w:val="24"/>
          <w:highlight w:val="none"/>
        </w:rPr>
        <w:t>但如果被参考的类似项目属于按照第二章“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5"/>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pacing w:val="-4"/>
          <w:sz w:val="24"/>
          <w:szCs w:val="24"/>
          <w:highlight w:val="none"/>
        </w:rPr>
        <w:t>条被认定为不平衡报价的清单项目，变更工程项目的单价按照本章2.3.2.1 的方法调整。</w:t>
      </w:r>
    </w:p>
    <w:p w14:paraId="614A34F7">
      <w:pPr>
        <w:numPr>
          <w:ilvl w:val="0"/>
          <w:numId w:val="0"/>
        </w:numPr>
        <w:spacing w:before="38" w:line="310" w:lineRule="auto"/>
        <w:ind w:right="81" w:rightChars="0" w:firstLine="242" w:firstLineChars="100"/>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3</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已标价工程量清单中没有适用也没有类似于变更工程项目的，由承包人根据</w:t>
      </w:r>
      <w:r>
        <w:rPr>
          <w:rFonts w:hint="eastAsia" w:ascii="宋体" w:hAnsi="宋体" w:eastAsia="宋体" w:cs="宋体"/>
          <w:color w:val="auto"/>
          <w:spacing w:val="-2"/>
          <w:sz w:val="24"/>
          <w:szCs w:val="24"/>
          <w:highlight w:val="none"/>
        </w:rPr>
        <w:t>变更工程资料、计量规则、计价办法、施工当月项目所在地工程造价管理机构发布的价格信息和中标下浮率提出变更工程项目的单价，报发包人确认后调整。中标下浮率的计算公式如下：</w:t>
      </w:r>
    </w:p>
    <w:p w14:paraId="5948F271">
      <w:pPr>
        <w:spacing w:before="126" w:line="314" w:lineRule="auto"/>
        <w:ind w:left="29" w:right="21" w:firstLine="50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中标下浮率=[1-（中标价-中标</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b/>
          <w:bCs/>
          <w:color w:val="auto"/>
          <w:spacing w:val="-2"/>
          <w:sz w:val="24"/>
          <w:szCs w:val="24"/>
          <w:highlight w:val="none"/>
        </w:rPr>
        <w:t>-暂列</w:t>
      </w:r>
      <w:r>
        <w:rPr>
          <w:rFonts w:hint="eastAsia" w:ascii="宋体" w:hAnsi="宋体" w:eastAsia="宋体" w:cs="宋体"/>
          <w:b/>
          <w:bCs/>
          <w:color w:val="auto"/>
          <w:spacing w:val="-3"/>
          <w:sz w:val="24"/>
          <w:szCs w:val="24"/>
          <w:highlight w:val="none"/>
        </w:rPr>
        <w:t>金额-</w:t>
      </w:r>
      <w:r>
        <w:rPr>
          <w:rFonts w:hint="eastAsia" w:ascii="宋体" w:hAnsi="宋体" w:eastAsia="宋体" w:cs="宋体"/>
          <w:b/>
          <w:bCs/>
          <w:color w:val="auto"/>
          <w:spacing w:val="-3"/>
          <w:sz w:val="24"/>
          <w:szCs w:val="24"/>
          <w:highlight w:val="none"/>
          <w:lang w:val="en-US" w:eastAsia="zh-CN"/>
        </w:rPr>
        <w:t>专业工程</w:t>
      </w:r>
      <w:r>
        <w:rPr>
          <w:rFonts w:hint="eastAsia" w:ascii="宋体" w:hAnsi="宋体" w:eastAsia="宋体" w:cs="宋体"/>
          <w:b/>
          <w:bCs/>
          <w:color w:val="auto"/>
          <w:spacing w:val="-3"/>
          <w:sz w:val="24"/>
          <w:szCs w:val="24"/>
          <w:highlight w:val="none"/>
        </w:rPr>
        <w:t>暂估价）/（</w:t>
      </w:r>
      <w:r>
        <w:rPr>
          <w:rFonts w:hint="eastAsia" w:ascii="宋体" w:hAnsi="宋体" w:eastAsia="宋体" w:cs="宋体"/>
          <w:b/>
          <w:bCs/>
          <w:color w:val="auto"/>
          <w:spacing w:val="-3"/>
          <w:sz w:val="24"/>
          <w:szCs w:val="24"/>
          <w:highlight w:val="none"/>
          <w:lang w:eastAsia="zh-CN"/>
        </w:rPr>
        <w:t>最高投标限价</w:t>
      </w:r>
      <w:r>
        <w:rPr>
          <w:rFonts w:hint="eastAsia" w:ascii="宋体" w:hAnsi="宋体" w:eastAsia="宋体" w:cs="宋体"/>
          <w:b/>
          <w:bCs/>
          <w:color w:val="auto"/>
          <w:spacing w:val="-3"/>
          <w:sz w:val="24"/>
          <w:szCs w:val="24"/>
          <w:highlight w:val="none"/>
        </w:rPr>
        <w:t>-控制价</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b/>
          <w:bCs/>
          <w:color w:val="auto"/>
          <w:spacing w:val="-3"/>
          <w:sz w:val="24"/>
          <w:szCs w:val="24"/>
          <w:highlight w:val="none"/>
        </w:rPr>
        <w:t>-暂列金额-</w:t>
      </w:r>
      <w:r>
        <w:rPr>
          <w:rFonts w:hint="eastAsia" w:ascii="宋体" w:hAnsi="宋体" w:eastAsia="宋体" w:cs="宋体"/>
          <w:b/>
          <w:bCs/>
          <w:color w:val="auto"/>
          <w:spacing w:val="-3"/>
          <w:sz w:val="24"/>
          <w:szCs w:val="24"/>
          <w:highlight w:val="none"/>
          <w:lang w:val="en-US" w:eastAsia="zh-CN"/>
        </w:rPr>
        <w:t>专业工程</w:t>
      </w:r>
      <w:r>
        <w:rPr>
          <w:rFonts w:hint="eastAsia" w:ascii="宋体" w:hAnsi="宋体" w:eastAsia="宋体" w:cs="宋体"/>
          <w:b/>
          <w:bCs/>
          <w:color w:val="auto"/>
          <w:spacing w:val="-3"/>
          <w:sz w:val="24"/>
          <w:szCs w:val="24"/>
          <w:highlight w:val="none"/>
        </w:rPr>
        <w:t>暂估价）]</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3"/>
          <w:sz w:val="24"/>
          <w:szCs w:val="24"/>
          <w:highlight w:val="none"/>
        </w:rPr>
        <w:t>×100%</w:t>
      </w:r>
    </w:p>
    <w:p w14:paraId="3F324216">
      <w:pPr>
        <w:spacing w:before="145" w:line="309" w:lineRule="auto"/>
        <w:ind w:right="81" w:firstLine="242" w:firstLineChars="1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4</w:t>
      </w:r>
      <w:r>
        <w:rPr>
          <w:rFonts w:hint="eastAsia" w:ascii="宋体" w:hAnsi="宋体" w:eastAsia="宋体" w:cs="宋体"/>
          <w:color w:val="auto"/>
          <w:spacing w:val="1"/>
          <w:sz w:val="24"/>
          <w:szCs w:val="24"/>
          <w:highlight w:val="none"/>
          <w:lang w:eastAsia="zh-CN"/>
        </w:rPr>
        <w:t>）</w:t>
      </w:r>
      <w:r>
        <w:rPr>
          <w:rFonts w:hint="eastAsia" w:ascii="宋体" w:hAnsi="宋体" w:eastAsia="宋体" w:cs="宋体"/>
          <w:snapToGrid w:val="0"/>
          <w:color w:val="auto"/>
          <w:kern w:val="0"/>
          <w:sz w:val="24"/>
          <w:szCs w:val="24"/>
          <w:highlight w:val="none"/>
          <w:lang w:eastAsia="zh-CN"/>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5B2F5D0A">
      <w:pPr>
        <w:spacing w:before="156" w:line="309" w:lineRule="auto"/>
        <w:ind w:left="7" w:right="81"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2.3.3.2</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工程变更引起施工方案改变并使措施项目发生变化时，承包人提出调整措施</w:t>
      </w:r>
      <w:r>
        <w:rPr>
          <w:rFonts w:hint="eastAsia" w:ascii="宋体" w:hAnsi="宋体" w:eastAsia="宋体" w:cs="宋体"/>
          <w:color w:val="auto"/>
          <w:spacing w:val="-2"/>
          <w:sz w:val="24"/>
          <w:szCs w:val="24"/>
          <w:highlight w:val="none"/>
        </w:rPr>
        <w:t>项目费的，应事先将拟实施的方案提交发包人确认，并应详细说明与原方案措施项目相比的变化情况。拟实施的方案经发、承包双方确认后执行，并按照本章下列规定调整措施项目费：</w:t>
      </w:r>
    </w:p>
    <w:p w14:paraId="2F8C611A">
      <w:pPr>
        <w:spacing w:before="152" w:line="220" w:lineRule="auto"/>
        <w:ind w:left="499"/>
        <w:rPr>
          <w:rFonts w:hint="eastAsia" w:ascii="宋体" w:hAnsi="宋体" w:eastAsia="宋体" w:cs="宋体"/>
          <w:b w:val="0"/>
          <w:bCs w:val="0"/>
          <w:color w:val="auto"/>
          <w:sz w:val="24"/>
          <w:szCs w:val="24"/>
          <w:highlight w:val="none"/>
        </w:rPr>
      </w:pPr>
      <w:r>
        <w:rPr>
          <w:rFonts w:hint="eastAsia" w:ascii="宋体" w:hAnsi="宋体" w:eastAsia="宋体" w:cs="宋体"/>
          <w:color w:val="auto"/>
          <w:spacing w:val="-1"/>
          <w:sz w:val="24"/>
          <w:szCs w:val="24"/>
          <w:highlight w:val="none"/>
        </w:rPr>
        <w:t>（1</w:t>
      </w:r>
      <w:r>
        <w:rPr>
          <w:rFonts w:hint="eastAsia" w:ascii="宋体" w:hAnsi="宋体" w:eastAsia="宋体" w:cs="宋体"/>
          <w:b/>
          <w:bCs/>
          <w:color w:val="auto"/>
          <w:spacing w:val="-1"/>
          <w:sz w:val="24"/>
          <w:szCs w:val="24"/>
          <w:highlight w:val="none"/>
        </w:rPr>
        <w:t>）</w:t>
      </w:r>
      <w:r>
        <w:rPr>
          <w:rFonts w:hint="eastAsia" w:ascii="宋体" w:hAnsi="宋体" w:eastAsia="宋体" w:cs="宋体"/>
          <w:b w:val="0"/>
          <w:bCs w:val="0"/>
          <w:color w:val="auto"/>
          <w:spacing w:val="-1"/>
          <w:sz w:val="24"/>
          <w:szCs w:val="24"/>
          <w:highlight w:val="none"/>
        </w:rPr>
        <w:t>安全生产措施费应按照实际发生变化的措施项目计算。</w:t>
      </w:r>
    </w:p>
    <w:p w14:paraId="333CD790">
      <w:pPr>
        <w:spacing w:before="156" w:line="309" w:lineRule="auto"/>
        <w:ind w:left="7" w:right="81" w:firstLine="477"/>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3"/>
          <w:sz w:val="24"/>
          <w:szCs w:val="24"/>
          <w:highlight w:val="none"/>
        </w:rPr>
        <w:t>采用单价计算的措施项目费，应按照实际发生变化的措施项目，按本章第 2.3.3.1 子目的规定确定单价。</w:t>
      </w:r>
    </w:p>
    <w:p w14:paraId="088DAF00">
      <w:pPr>
        <w:spacing w:before="154" w:line="360" w:lineRule="auto"/>
        <w:ind w:left="8"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（3）按总价或系数计算的措施项目费，应按照实际发生变化的措施项目费调整并</w:t>
      </w:r>
      <w:r>
        <w:rPr>
          <w:rFonts w:hint="eastAsia" w:ascii="宋体" w:hAnsi="宋体" w:eastAsia="宋体" w:cs="宋体"/>
          <w:color w:val="auto"/>
          <w:spacing w:val="-3"/>
          <w:sz w:val="24"/>
          <w:szCs w:val="24"/>
          <w:highlight w:val="none"/>
        </w:rPr>
        <w:t>考虑中标下浮率因素，即调整金额＝按照实际变化调整后的金额×（ 1-中标下浮率）。</w:t>
      </w:r>
    </w:p>
    <w:p w14:paraId="515109DD">
      <w:pPr>
        <w:spacing w:before="157" w:line="324" w:lineRule="auto"/>
        <w:ind w:left="21" w:right="81" w:firstLine="47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如果承包人未事先将拟实施的方案提交发包人确认，视为工程变更不引起措施项目费的调整或承包人放弃调整措施项目费的权利。</w:t>
      </w:r>
    </w:p>
    <w:p w14:paraId="0D1EB54E">
      <w:pPr>
        <w:spacing w:before="35" w:line="309" w:lineRule="auto"/>
        <w:ind w:right="81"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当因非承包人原因，发包人提出的工程变更删减了合同中的某项原定工作或</w:t>
      </w:r>
      <w:r>
        <w:rPr>
          <w:rFonts w:hint="eastAsia" w:ascii="宋体" w:hAnsi="宋体" w:eastAsia="宋体" w:cs="宋体"/>
          <w:color w:val="auto"/>
          <w:spacing w:val="-2"/>
          <w:sz w:val="24"/>
          <w:szCs w:val="24"/>
          <w:highlight w:val="none"/>
        </w:rPr>
        <w:t>工程，致使承包人发生的费用或（和）得到的收益不能被包括在其他已支付或应支付的项目中，也未被包含在任何替代的工作或工程中时，承包人有权提出并应得到合理的费用及利润补偿。</w:t>
      </w:r>
    </w:p>
    <w:p w14:paraId="047FB0FC">
      <w:pPr>
        <w:spacing w:before="155" w:line="220"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2.3.4  </w:t>
      </w:r>
      <w:r>
        <w:rPr>
          <w:rFonts w:hint="eastAsia" w:ascii="宋体" w:hAnsi="宋体" w:eastAsia="宋体" w:cs="宋体"/>
          <w:color w:val="auto"/>
          <w:spacing w:val="-1"/>
          <w:sz w:val="24"/>
          <w:szCs w:val="24"/>
          <w:highlight w:val="none"/>
        </w:rPr>
        <w:t>项目特征不符</w:t>
      </w:r>
    </w:p>
    <w:p w14:paraId="6D62B6B4">
      <w:pPr>
        <w:spacing w:before="78" w:line="331" w:lineRule="auto"/>
        <w:ind w:left="8" w:right="108" w:firstLine="480"/>
        <w:jc w:val="both"/>
        <w:rPr>
          <w:rFonts w:hint="eastAsia" w:ascii="宋体" w:hAnsi="宋体" w:eastAsia="宋体" w:cs="宋体"/>
          <w:color w:val="auto"/>
          <w:sz w:val="24"/>
          <w:szCs w:val="24"/>
          <w:highlight w:val="none"/>
        </w:rPr>
      </w:pPr>
      <w:bookmarkStart w:id="176" w:name="bookmark144"/>
      <w:bookmarkEnd w:id="176"/>
      <w:r>
        <w:rPr>
          <w:rFonts w:hint="eastAsia" w:ascii="宋体" w:hAnsi="宋体" w:eastAsia="宋体" w:cs="宋体"/>
          <w:color w:val="auto"/>
          <w:spacing w:val="-2"/>
          <w:sz w:val="24"/>
          <w:szCs w:val="24"/>
          <w:highlight w:val="none"/>
        </w:rPr>
        <w:t>承包人应按照发包人提供的设计图纸实施合同工程，若在合同履行期间出现设计图纸（含设计变更）与招标工程量清单任一项目的特征描述不符，且该变化引起该项目工</w:t>
      </w:r>
      <w:r>
        <w:rPr>
          <w:rFonts w:hint="eastAsia" w:ascii="宋体" w:hAnsi="宋体" w:eastAsia="宋体" w:cs="宋体"/>
          <w:color w:val="auto"/>
          <w:sz w:val="24"/>
          <w:szCs w:val="24"/>
          <w:highlight w:val="none"/>
        </w:rPr>
        <w:t>程造价增减变化的，应按照实际施工的项目特征，并按本章第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z w:val="24"/>
          <w:szCs w:val="24"/>
          <w:highlight w:val="none"/>
        </w:rPr>
        <w:t xml:space="preserve">2.3.3 </w:t>
      </w:r>
      <w:r>
        <w:rPr>
          <w:rFonts w:hint="eastAsia" w:ascii="宋体" w:hAnsi="宋体" w:eastAsia="宋体" w:cs="宋体"/>
          <w:color w:val="auto"/>
          <w:sz w:val="24"/>
          <w:szCs w:val="24"/>
          <w:highlight w:val="none"/>
        </w:rPr>
        <w:t>目相</w:t>
      </w:r>
      <w:r>
        <w:rPr>
          <w:rFonts w:hint="eastAsia" w:ascii="宋体" w:hAnsi="宋体" w:eastAsia="宋体" w:cs="宋体"/>
          <w:color w:val="auto"/>
          <w:spacing w:val="-1"/>
          <w:sz w:val="24"/>
          <w:szCs w:val="24"/>
          <w:highlight w:val="none"/>
        </w:rPr>
        <w:t>关条款的规定重新确定相应工程量清单项目的综合单价，并调整合同价款。</w:t>
      </w:r>
    </w:p>
    <w:p w14:paraId="5EC40401">
      <w:pPr>
        <w:spacing w:before="38" w:line="221"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2.3.5  </w:t>
      </w:r>
      <w:r>
        <w:rPr>
          <w:rFonts w:hint="eastAsia" w:ascii="宋体" w:hAnsi="宋体" w:eastAsia="宋体" w:cs="宋体"/>
          <w:color w:val="auto"/>
          <w:spacing w:val="-1"/>
          <w:sz w:val="24"/>
          <w:szCs w:val="24"/>
          <w:highlight w:val="none"/>
        </w:rPr>
        <w:t>招标工程量清单缺项</w:t>
      </w:r>
    </w:p>
    <w:p w14:paraId="0C2F665E">
      <w:pPr>
        <w:spacing w:before="152" w:line="278" w:lineRule="auto"/>
        <w:ind w:left="9" w:right="56"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2.3.5.1</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合同履行期间，由于招标</w:t>
      </w:r>
      <w:r>
        <w:rPr>
          <w:rFonts w:hint="eastAsia" w:ascii="宋体" w:hAnsi="宋体" w:eastAsia="宋体" w:cs="宋体"/>
          <w:color w:val="auto"/>
          <w:spacing w:val="-2"/>
          <w:sz w:val="24"/>
          <w:szCs w:val="24"/>
          <w:highlight w:val="none"/>
        </w:rPr>
        <w:t>工程量清单中缺项，新增分部分项工程清单项目，</w:t>
      </w:r>
      <w:r>
        <w:rPr>
          <w:rFonts w:hint="eastAsia" w:ascii="宋体" w:hAnsi="宋体" w:eastAsia="宋体" w:cs="宋体"/>
          <w:color w:val="auto"/>
          <w:spacing w:val="-1"/>
          <w:sz w:val="24"/>
          <w:szCs w:val="24"/>
          <w:highlight w:val="none"/>
        </w:rPr>
        <w:t>应按照本章第</w:t>
      </w:r>
      <w:r>
        <w:rPr>
          <w:rFonts w:hint="eastAsia" w:ascii="宋体" w:hAnsi="宋体" w:eastAsia="宋体" w:cs="宋体"/>
          <w:color w:val="auto"/>
          <w:spacing w:val="-39"/>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子目的规定确定单价，并调整合同价款。</w:t>
      </w:r>
    </w:p>
    <w:p w14:paraId="44C1D396">
      <w:pPr>
        <w:spacing w:before="157" w:line="219" w:lineRule="auto"/>
        <w:ind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新增分部分项工程清单项目后，引起</w:t>
      </w:r>
      <w:r>
        <w:rPr>
          <w:rFonts w:hint="eastAsia" w:ascii="宋体" w:hAnsi="宋体" w:eastAsia="宋体" w:cs="宋体"/>
          <w:color w:val="auto"/>
          <w:spacing w:val="-2"/>
          <w:sz w:val="24"/>
          <w:szCs w:val="24"/>
          <w:highlight w:val="none"/>
        </w:rPr>
        <w:t>措施项目发生变化的，应按照本章第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2"/>
          <w:sz w:val="24"/>
          <w:szCs w:val="24"/>
          <w:highlight w:val="none"/>
        </w:rPr>
        <w:t>2.</w:t>
      </w:r>
      <w:r>
        <w:rPr>
          <w:rFonts w:hint="eastAsia" w:ascii="宋体" w:hAnsi="宋体" w:eastAsia="宋体" w:cs="宋体"/>
          <w:b/>
          <w:bCs/>
          <w:color w:val="auto"/>
          <w:sz w:val="24"/>
          <w:szCs w:val="24"/>
          <w:highlight w:val="none"/>
        </w:rPr>
        <w:t xml:space="preserve">3.3.2 </w:t>
      </w:r>
      <w:r>
        <w:rPr>
          <w:rFonts w:hint="eastAsia" w:ascii="宋体" w:hAnsi="宋体" w:eastAsia="宋体" w:cs="宋体"/>
          <w:color w:val="auto"/>
          <w:sz w:val="24"/>
          <w:szCs w:val="24"/>
          <w:highlight w:val="none"/>
        </w:rPr>
        <w:t>子目的规定，在承包人提交的实施方案被发包人批准后调整</w:t>
      </w:r>
      <w:r>
        <w:rPr>
          <w:rFonts w:hint="eastAsia" w:ascii="宋体" w:hAnsi="宋体" w:eastAsia="宋体" w:cs="宋体"/>
          <w:color w:val="auto"/>
          <w:spacing w:val="-1"/>
          <w:sz w:val="24"/>
          <w:szCs w:val="24"/>
          <w:highlight w:val="none"/>
        </w:rPr>
        <w:t>合同价款。</w:t>
      </w:r>
    </w:p>
    <w:p w14:paraId="068505DF">
      <w:pPr>
        <w:spacing w:before="156" w:line="279" w:lineRule="auto"/>
        <w:ind w:left="13" w:right="108" w:firstLine="471"/>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4"/>
          <w:sz w:val="24"/>
          <w:szCs w:val="24"/>
          <w:highlight w:val="none"/>
        </w:rPr>
        <w:t>2.3.5.3</w:t>
      </w:r>
      <w:r>
        <w:rPr>
          <w:rFonts w:hint="eastAsia" w:ascii="宋体" w:hAnsi="宋体" w:eastAsia="宋体" w:cs="宋体"/>
          <w:b/>
          <w:bCs/>
          <w:color w:val="auto"/>
          <w:spacing w:val="-4"/>
          <w:sz w:val="24"/>
          <w:szCs w:val="24"/>
          <w:highlight w:val="none"/>
        </w:rPr>
        <w:fldChar w:fldCharType="end"/>
      </w:r>
      <w:r>
        <w:rPr>
          <w:rFonts w:hint="eastAsia" w:ascii="宋体" w:hAnsi="宋体" w:eastAsia="宋体" w:cs="宋体"/>
          <w:b/>
          <w:bCs/>
          <w:color w:val="auto"/>
          <w:spacing w:val="22"/>
          <w:w w:val="101"/>
          <w:sz w:val="24"/>
          <w:szCs w:val="24"/>
          <w:highlight w:val="none"/>
        </w:rPr>
        <w:t xml:space="preserve">  </w:t>
      </w:r>
      <w:r>
        <w:rPr>
          <w:rFonts w:hint="eastAsia" w:ascii="宋体" w:hAnsi="宋体" w:eastAsia="宋体" w:cs="宋体"/>
          <w:color w:val="auto"/>
          <w:spacing w:val="-4"/>
          <w:sz w:val="24"/>
          <w:szCs w:val="24"/>
          <w:highlight w:val="none"/>
        </w:rPr>
        <w:t>由于招标工程量清单中措施项目缺项，承包人应将新增措施项目实施方案提</w:t>
      </w:r>
      <w:r>
        <w:rPr>
          <w:rFonts w:hint="eastAsia" w:ascii="宋体" w:hAnsi="宋体" w:eastAsia="宋体" w:cs="宋体"/>
          <w:color w:val="auto"/>
          <w:spacing w:val="-1"/>
          <w:sz w:val="24"/>
          <w:szCs w:val="24"/>
          <w:highlight w:val="none"/>
        </w:rPr>
        <w:t>交发包人批准后，按照本章第</w:t>
      </w:r>
      <w:r>
        <w:rPr>
          <w:rFonts w:hint="eastAsia" w:ascii="宋体" w:hAnsi="宋体" w:eastAsia="宋体" w:cs="宋体"/>
          <w:color w:val="auto"/>
          <w:spacing w:val="-36"/>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 xml:space="preserve">2.3.3.2 </w:t>
      </w:r>
      <w:r>
        <w:rPr>
          <w:rFonts w:hint="eastAsia" w:ascii="宋体" w:hAnsi="宋体" w:eastAsia="宋体" w:cs="宋体"/>
          <w:color w:val="auto"/>
          <w:spacing w:val="-1"/>
          <w:sz w:val="24"/>
          <w:szCs w:val="24"/>
          <w:highlight w:val="none"/>
        </w:rPr>
        <w:t>子目的规定调整合同价款。</w:t>
      </w:r>
    </w:p>
    <w:p w14:paraId="13F65CBF">
      <w:pPr>
        <w:spacing w:before="154" w:line="219"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2.3.6  </w:t>
      </w:r>
      <w:r>
        <w:rPr>
          <w:rFonts w:hint="eastAsia" w:ascii="宋体" w:hAnsi="宋体" w:eastAsia="宋体" w:cs="宋体"/>
          <w:color w:val="auto"/>
          <w:spacing w:val="-1"/>
          <w:sz w:val="24"/>
          <w:szCs w:val="24"/>
          <w:highlight w:val="none"/>
        </w:rPr>
        <w:t>物价变化</w:t>
      </w:r>
    </w:p>
    <w:p w14:paraId="2033D4F9">
      <w:pPr>
        <w:spacing w:before="156" w:line="315" w:lineRule="auto"/>
        <w:ind w:left="8" w:right="108"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合同履行期间，项目所在地工程造价管理机构发布的动态人工调整系数发生变化时，如果承包人投标报价中人工费（以下简称“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中标人工费</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4"/>
          <w:sz w:val="24"/>
          <w:szCs w:val="24"/>
          <w:highlight w:val="none"/>
        </w:rPr>
        <w:t>等于或超过施工当</w:t>
      </w:r>
      <w:r>
        <w:rPr>
          <w:rFonts w:hint="eastAsia" w:ascii="宋体" w:hAnsi="宋体" w:eastAsia="宋体" w:cs="宋体"/>
          <w:color w:val="auto"/>
          <w:spacing w:val="-2"/>
          <w:sz w:val="24"/>
          <w:szCs w:val="24"/>
          <w:highlight w:val="none"/>
        </w:rPr>
        <w:t>月经动态调整后的定额人工费，该清单项目中标人工费不予调整；如果中标人工费低于施工当月经动态调整后的定额人工费，该清单项目中标人工费可以调整，相关费用按有</w:t>
      </w:r>
      <w:r>
        <w:rPr>
          <w:rFonts w:hint="eastAsia" w:ascii="宋体" w:hAnsi="宋体" w:eastAsia="宋体" w:cs="宋体"/>
          <w:color w:val="auto"/>
          <w:spacing w:val="-1"/>
          <w:sz w:val="24"/>
          <w:szCs w:val="24"/>
          <w:highlight w:val="none"/>
        </w:rPr>
        <w:t>关规定进行相应调整。结算人工费调整公式为：</w:t>
      </w:r>
    </w:p>
    <w:p w14:paraId="29AB0F6A">
      <w:pPr>
        <w:spacing w:before="153" w:line="220" w:lineRule="auto"/>
        <w:ind w:left="494"/>
        <w:rPr>
          <w:rFonts w:hint="eastAsia" w:ascii="宋体" w:hAnsi="宋体" w:eastAsia="宋体" w:cs="宋体"/>
          <w:color w:val="auto"/>
          <w:sz w:val="15"/>
          <w:szCs w:val="15"/>
          <w:highlight w:val="none"/>
        </w:rPr>
      </w:pPr>
      <w:r>
        <w:rPr>
          <w:rFonts w:hint="eastAsia" w:ascii="宋体" w:hAnsi="宋体" w:eastAsia="宋体" w:cs="宋体"/>
          <w:color w:val="auto"/>
          <w:spacing w:val="-1"/>
          <w:sz w:val="24"/>
          <w:szCs w:val="24"/>
          <w:highlight w:val="none"/>
        </w:rPr>
        <w:t>结算人工费＝中标人工费×F</w:t>
      </w:r>
      <w:r>
        <w:rPr>
          <w:rFonts w:hint="eastAsia" w:ascii="宋体" w:hAnsi="宋体" w:eastAsia="宋体" w:cs="宋体"/>
          <w:color w:val="auto"/>
          <w:spacing w:val="-1"/>
          <w:position w:val="-1"/>
          <w:sz w:val="15"/>
          <w:szCs w:val="15"/>
          <w:highlight w:val="none"/>
        </w:rPr>
        <w:t>1</w:t>
      </w:r>
    </w:p>
    <w:p w14:paraId="27F82D1B">
      <w:pPr>
        <w:spacing w:before="152"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式中，F</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23"/>
          <w:w w:val="101"/>
          <w:position w:val="-1"/>
          <w:sz w:val="15"/>
          <w:szCs w:val="15"/>
          <w:highlight w:val="none"/>
        </w:rPr>
        <w:t xml:space="preserve"> </w:t>
      </w:r>
      <w:r>
        <w:rPr>
          <w:rFonts w:hint="eastAsia" w:ascii="宋体" w:hAnsi="宋体" w:eastAsia="宋体" w:cs="宋体"/>
          <w:color w:val="auto"/>
          <w:spacing w:val="-1"/>
          <w:sz w:val="24"/>
          <w:szCs w:val="24"/>
          <w:highlight w:val="none"/>
        </w:rPr>
        <w:t>为施工当月项目所在地工程造价管理机构发布的动态人工调整系数。</w:t>
      </w:r>
    </w:p>
    <w:p w14:paraId="6301761F">
      <w:pPr>
        <w:spacing w:before="119" w:line="324" w:lineRule="auto"/>
        <w:ind w:left="1" w:right="108" w:firstLine="48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fldChar w:fldCharType="begin"/>
      </w:r>
      <w:r>
        <w:rPr>
          <w:rFonts w:hint="eastAsia" w:ascii="宋体" w:hAnsi="宋体" w:eastAsia="宋体" w:cs="宋体"/>
          <w:b/>
          <w:bCs/>
          <w:color w:val="auto"/>
          <w:spacing w:val="-1"/>
          <w:sz w:val="24"/>
          <w:szCs w:val="24"/>
          <w:highlight w:val="none"/>
        </w:rPr>
        <w:instrText xml:space="preserve"> HYPERLINK "2.3.6.2" </w:instrText>
      </w:r>
      <w:r>
        <w:rPr>
          <w:rFonts w:hint="eastAsia" w:ascii="宋体" w:hAnsi="宋体" w:eastAsia="宋体" w:cs="宋体"/>
          <w:b/>
          <w:bCs/>
          <w:color w:val="auto"/>
          <w:spacing w:val="-1"/>
          <w:sz w:val="24"/>
          <w:szCs w:val="24"/>
          <w:highlight w:val="none"/>
        </w:rPr>
        <w:fldChar w:fldCharType="separate"/>
      </w:r>
      <w:r>
        <w:rPr>
          <w:rFonts w:hint="eastAsia" w:ascii="宋体" w:hAnsi="宋体" w:eastAsia="宋体" w:cs="宋体"/>
          <w:b/>
          <w:bCs/>
          <w:color w:val="auto"/>
          <w:spacing w:val="-1"/>
          <w:sz w:val="24"/>
          <w:szCs w:val="24"/>
          <w:highlight w:val="none"/>
        </w:rPr>
        <w:t>2.3.6.2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本招标项目约定，材料、工程设备</w:t>
      </w:r>
      <w:r>
        <w:rPr>
          <w:rFonts w:hint="eastAsia" w:ascii="宋体" w:hAnsi="宋体" w:eastAsia="宋体" w:cs="宋体"/>
          <w:color w:val="auto"/>
          <w:spacing w:val="-2"/>
          <w:sz w:val="24"/>
          <w:szCs w:val="24"/>
          <w:highlight w:val="none"/>
        </w:rPr>
        <w:t>单价涨跌风险幅度值</w:t>
      </w:r>
      <w:r>
        <w:rPr>
          <w:rFonts w:hint="eastAsia" w:ascii="宋体" w:hAnsi="宋体" w:eastAsia="宋体" w:cs="宋体"/>
          <w:color w:val="auto"/>
          <w:spacing w:val="-59"/>
          <w:sz w:val="24"/>
          <w:szCs w:val="24"/>
          <w:highlight w:val="none"/>
        </w:rPr>
        <w:t xml:space="preserve"> </w:t>
      </w:r>
      <w:r>
        <w:rPr>
          <w:rFonts w:hint="eastAsia" w:ascii="宋体" w:hAnsi="宋体" w:eastAsia="宋体" w:cs="宋体"/>
          <w:color w:val="auto"/>
          <w:spacing w:val="-2"/>
          <w:sz w:val="24"/>
          <w:szCs w:val="24"/>
          <w:highlight w:val="none"/>
        </w:rPr>
        <w:t>A 为</w:t>
      </w:r>
      <w:r>
        <w:rPr>
          <w:rFonts w:hint="eastAsia" w:ascii="宋体" w:hAnsi="宋体" w:eastAsia="宋体" w:cs="宋体"/>
          <w:color w:val="auto"/>
          <w:spacing w:val="-2"/>
          <w:sz w:val="24"/>
          <w:szCs w:val="24"/>
          <w:highlight w:val="none"/>
          <w:u w:val="single"/>
        </w:rPr>
        <w:t xml:space="preserve">  5%   </w:t>
      </w:r>
      <w:r>
        <w:rPr>
          <w:rFonts w:hint="eastAsia" w:ascii="宋体" w:hAnsi="宋体" w:eastAsia="宋体" w:cs="宋体"/>
          <w:color w:val="auto"/>
          <w:spacing w:val="-2"/>
          <w:sz w:val="24"/>
          <w:szCs w:val="24"/>
          <w:highlight w:val="none"/>
        </w:rPr>
        <w:t>。合同履</w:t>
      </w:r>
      <w:r>
        <w:rPr>
          <w:rFonts w:hint="eastAsia" w:ascii="宋体" w:hAnsi="宋体" w:eastAsia="宋体" w:cs="宋体"/>
          <w:color w:val="auto"/>
          <w:spacing w:val="-1"/>
          <w:sz w:val="24"/>
          <w:szCs w:val="24"/>
          <w:highlight w:val="none"/>
        </w:rPr>
        <w:t>行期间，当《承包人提供主要材料和工程设备一览表》（</w:t>
      </w:r>
      <w:r>
        <w:rPr>
          <w:rFonts w:hint="eastAsia" w:ascii="宋体" w:hAnsi="宋体" w:eastAsia="宋体" w:cs="宋体"/>
          <w:color w:val="auto"/>
          <w:spacing w:val="-2"/>
          <w:sz w:val="24"/>
          <w:szCs w:val="24"/>
          <w:highlight w:val="none"/>
        </w:rPr>
        <w:t>详见招标工程量清单）中的材</w:t>
      </w:r>
      <w:r>
        <w:rPr>
          <w:rFonts w:hint="eastAsia" w:ascii="宋体" w:hAnsi="宋体" w:eastAsia="宋体" w:cs="宋体"/>
          <w:color w:val="auto"/>
          <w:spacing w:val="-3"/>
          <w:sz w:val="24"/>
          <w:szCs w:val="24"/>
          <w:highlight w:val="none"/>
        </w:rPr>
        <w:t>料、工程设备单价涨跌幅度等于或低于</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A 值时，该材料、工程设备单价不予调整；超过</w:t>
      </w:r>
      <w:r>
        <w:rPr>
          <w:rFonts w:hint="eastAsia" w:ascii="宋体" w:hAnsi="宋体" w:eastAsia="宋体" w:cs="宋体"/>
          <w:color w:val="auto"/>
          <w:sz w:val="24"/>
          <w:szCs w:val="24"/>
          <w:highlight w:val="none"/>
        </w:rPr>
        <w:t>A 值时，其超过部分可以调整。相关费用按有关规定进行相</w:t>
      </w:r>
      <w:r>
        <w:rPr>
          <w:rFonts w:hint="eastAsia" w:ascii="宋体" w:hAnsi="宋体" w:eastAsia="宋体" w:cs="宋体"/>
          <w:color w:val="auto"/>
          <w:spacing w:val="-1"/>
          <w:sz w:val="24"/>
          <w:szCs w:val="24"/>
          <w:highlight w:val="none"/>
        </w:rPr>
        <w:t>应调整。</w:t>
      </w:r>
    </w:p>
    <w:p w14:paraId="266AED0D">
      <w:pPr>
        <w:spacing w:before="126" w:line="295" w:lineRule="auto"/>
        <w:ind w:left="11" w:right="108" w:firstLine="477"/>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eastAsia="zh-CN"/>
        </w:rPr>
        <w:t>a ．如果承包人投标报价中材料、工程设备单价（以下简称“ 中标单价 ”）低于基准日当月项目所在地工程造价管理机构发布的对应材料、工程设备单价（以下简称“基准单价 ”），该材料、工程设备的结算单价调整公式为：</w:t>
      </w:r>
    </w:p>
    <w:p w14:paraId="17CE028D">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a．涨价时，</w:t>
      </w:r>
      <w:r>
        <w:rPr>
          <w:rFonts w:hint="eastAsia" w:ascii="宋体" w:hAnsi="宋体" w:eastAsia="宋体" w:cs="宋体"/>
          <w:snapToGrid w:val="0"/>
          <w:color w:val="auto"/>
          <w:kern w:val="0"/>
          <w:position w:val="-30"/>
          <w:sz w:val="24"/>
          <w:szCs w:val="24"/>
          <w:highlight w:val="none"/>
        </w:rPr>
        <w:object>
          <v:shape id="_x0000_i1025" o:spt="75" type="#_x0000_t75" style="height:33.95pt;width:200.95pt;" o:ole="t" filled="f" o:preferrelative="t" stroked="f" coordsize="21600,21600">
            <v:path/>
            <v:fill on="f" focussize="0,0"/>
            <v:stroke on="f"/>
            <v:imagedata r:id="rId30" embosscolor="#FFFFFF" o:title=""/>
            <o:lock v:ext="edit" grouping="f" rotation="f" text="f" aspectratio="t"/>
            <w10:wrap type="none"/>
            <w10:anchorlock/>
          </v:shape>
          <o:OLEObject Type="Embed" ProgID="Equation.KSEE3" ShapeID="_x0000_i1025" DrawAspect="Content" ObjectID="_1468075725" r:id="rId29">
            <o:LockedField>false</o:LockedField>
          </o:OLEObject>
        </w:object>
      </w:r>
    </w:p>
    <w:p w14:paraId="1DAEC11B">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6" o:spt="75" type="#_x0000_t75" style="height:33.95pt;width:198.95pt;" o:ole="t" filled="f" o:preferrelative="t" stroked="f" coordsize="21600,21600">
            <v:path/>
            <v:fill on="f" focussize="0,0"/>
            <v:stroke on="f"/>
            <v:imagedata r:id="rId32" embosscolor="#FFFFFF" o:title=""/>
            <o:lock v:ext="edit" grouping="f" rotation="f" text="f" aspectratio="t"/>
            <w10:wrap type="none"/>
            <w10:anchorlock/>
          </v:shape>
          <o:OLEObject Type="Embed" ProgID="Equation.KSEE3" ShapeID="_x0000_i1026" DrawAspect="Content" ObjectID="_1468075726" r:id="rId31">
            <o:LockedField>false</o:LockedField>
          </o:OLEObject>
        </w:object>
      </w:r>
    </w:p>
    <w:p w14:paraId="0F78345B">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b．涨价时，</w:t>
      </w:r>
      <w:r>
        <w:rPr>
          <w:rFonts w:hint="eastAsia" w:ascii="宋体" w:hAnsi="宋体" w:eastAsia="宋体" w:cs="宋体"/>
          <w:snapToGrid w:val="0"/>
          <w:color w:val="auto"/>
          <w:kern w:val="0"/>
          <w:position w:val="-30"/>
          <w:sz w:val="24"/>
          <w:szCs w:val="24"/>
          <w:highlight w:val="none"/>
        </w:rPr>
        <w:object>
          <v:shape id="_x0000_i1027" o:spt="75" type="#_x0000_t75" style="height:33.95pt;width:198.95pt;" o:ole="t" filled="f" o:preferrelative="t" stroked="f" coordsize="21600,21600">
            <v:path/>
            <v:fill on="f" focussize="0,0"/>
            <v:stroke on="f"/>
            <v:imagedata r:id="rId34" embosscolor="#FFFFFF" o:title=""/>
            <o:lock v:ext="edit" grouping="f" rotation="f" text="f" aspectratio="t"/>
            <w10:wrap type="none"/>
            <w10:anchorlock/>
          </v:shape>
          <o:OLEObject Type="Embed" ProgID="Equation.KSEE3" ShapeID="_x0000_i1027" DrawAspect="Content" ObjectID="_1468075727" r:id="rId33">
            <o:LockedField>false</o:LockedField>
          </o:OLEObject>
        </w:object>
      </w:r>
    </w:p>
    <w:p w14:paraId="27B2B575">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8" o:spt="75" type="#_x0000_t75" style="height:33.95pt;width:200.95pt;" o:ole="t" filled="f" o:preferrelative="t" stroked="f" coordsize="21600,21600">
            <v:path/>
            <v:fill on="f" focussize="0,0"/>
            <v:stroke on="f"/>
            <v:imagedata r:id="rId36" embosscolor="#FFFFFF" o:title=""/>
            <o:lock v:ext="edit" grouping="f" rotation="f" text="f" aspectratio="t"/>
            <w10:wrap type="none"/>
            <w10:anchorlock/>
          </v:shape>
          <o:OLEObject Type="Embed" ProgID="Equation.KSEE3" ShapeID="_x0000_i1028" DrawAspect="Content" ObjectID="_1468075728" r:id="rId35">
            <o:LockedField>false</o:LockedField>
          </o:OLEObject>
        </w:object>
      </w:r>
    </w:p>
    <w:p w14:paraId="14309D94">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c．涨价时，</w:t>
      </w:r>
      <w:r>
        <w:rPr>
          <w:rFonts w:hint="eastAsia" w:ascii="宋体" w:hAnsi="宋体" w:eastAsia="宋体" w:cs="宋体"/>
          <w:snapToGrid w:val="0"/>
          <w:color w:val="auto"/>
          <w:kern w:val="0"/>
          <w:position w:val="-30"/>
          <w:sz w:val="24"/>
          <w:szCs w:val="24"/>
          <w:highlight w:val="none"/>
        </w:rPr>
        <w:object>
          <v:shape id="_x0000_i1029" o:spt="75" type="#_x0000_t75" style="height:33.95pt;width:200.95pt;" o:ole="t" filled="f" o:preferrelative="t" stroked="f" coordsize="21600,21600">
            <v:path/>
            <v:fill on="f" focussize="0,0"/>
            <v:stroke on="f"/>
            <v:imagedata r:id="rId38" embosscolor="#FFFFFF" o:title=""/>
            <o:lock v:ext="edit" grouping="f" rotation="f" text="f" aspectratio="t"/>
            <w10:wrap type="none"/>
            <w10:anchorlock/>
          </v:shape>
          <o:OLEObject Type="Embed" ProgID="Equation.KSEE3" ShapeID="_x0000_i1029" DrawAspect="Content" ObjectID="_1468075729" r:id="rId37">
            <o:LockedField>false</o:LockedField>
          </o:OLEObject>
        </w:object>
      </w:r>
    </w:p>
    <w:p w14:paraId="55761B5C">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0" o:spt="75" type="#_x0000_t75" style="height:33.95pt;width:200.95pt;" o:ole="t" filled="f" o:preferrelative="t" stroked="f" coordsize="21600,21600">
            <v:path/>
            <v:fill on="f" focussize="0,0"/>
            <v:stroke on="f"/>
            <v:imagedata r:id="rId40" embosscolor="#FFFFFF" o:title=""/>
            <o:lock v:ext="edit" grouping="f" rotation="f" text="f" aspectratio="t"/>
            <w10:wrap type="none"/>
            <w10:anchorlock/>
          </v:shape>
          <o:OLEObject Type="Embed" ProgID="Equation.KSEE3" ShapeID="_x0000_i1030" DrawAspect="Content" ObjectID="_1468075730" r:id="rId39">
            <o:LockedField>false</o:LockedField>
          </o:OLEObject>
        </w:object>
      </w:r>
    </w:p>
    <w:p w14:paraId="4364D528">
      <w:pPr>
        <w:spacing w:before="78"/>
        <w:ind w:left="330"/>
        <w:rPr>
          <w:rFonts w:hint="eastAsia" w:ascii="宋体" w:hAnsi="宋体" w:eastAsia="宋体" w:cs="宋体"/>
          <w:color w:val="auto"/>
          <w:sz w:val="24"/>
          <w:szCs w:val="24"/>
          <w:highlight w:val="none"/>
        </w:rPr>
      </w:pPr>
    </w:p>
    <w:p w14:paraId="57864BBF">
      <w:pPr>
        <w:spacing w:before="140" w:line="196" w:lineRule="auto"/>
        <w:ind w:left="3758"/>
        <w:rPr>
          <w:rFonts w:hint="eastAsia" w:ascii="宋体" w:hAnsi="宋体" w:eastAsia="宋体" w:cs="宋体"/>
          <w:color w:val="auto"/>
          <w:sz w:val="13"/>
          <w:szCs w:val="13"/>
          <w:highlight w:val="none"/>
        </w:rPr>
      </w:pPr>
      <w:r>
        <w:rPr>
          <w:rFonts w:hint="eastAsia" w:ascii="宋体" w:hAnsi="宋体" w:eastAsia="宋体" w:cs="宋体"/>
          <w:color w:val="auto"/>
          <w:spacing w:val="-2"/>
          <w:position w:val="1"/>
          <w:sz w:val="24"/>
          <w:szCs w:val="24"/>
          <w:highlight w:val="none"/>
        </w:rPr>
        <w:t>F</w:t>
      </w:r>
      <w:r>
        <w:rPr>
          <w:rFonts w:hint="eastAsia" w:ascii="宋体" w:hAnsi="宋体" w:eastAsia="宋体" w:cs="宋体"/>
          <w:color w:val="auto"/>
          <w:spacing w:val="-2"/>
          <w:position w:val="-4"/>
          <w:sz w:val="13"/>
          <w:szCs w:val="13"/>
          <w:highlight w:val="none"/>
        </w:rPr>
        <w:t>0</w:t>
      </w:r>
    </w:p>
    <w:p w14:paraId="07ED61AB">
      <w:pPr>
        <w:spacing w:before="78" w:line="330" w:lineRule="auto"/>
        <w:ind w:right="59"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26"/>
          <w:position w:val="-1"/>
          <w:sz w:val="15"/>
          <w:szCs w:val="15"/>
          <w:highlight w:val="none"/>
        </w:rPr>
        <w:t xml:space="preserve"> </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14"/>
          <w:w w:val="101"/>
          <w:position w:val="-1"/>
          <w:sz w:val="15"/>
          <w:szCs w:val="15"/>
          <w:highlight w:val="none"/>
        </w:rPr>
        <w:t xml:space="preserve"> </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理机构发布的材料、工程设备单价；A 为合同约定的材料</w:t>
      </w:r>
      <w:r>
        <w:rPr>
          <w:rFonts w:hint="eastAsia" w:ascii="宋体" w:hAnsi="宋体" w:eastAsia="宋体" w:cs="宋体"/>
          <w:color w:val="auto"/>
          <w:spacing w:val="-2"/>
          <w:sz w:val="24"/>
          <w:szCs w:val="24"/>
          <w:highlight w:val="none"/>
        </w:rPr>
        <w:t>、工程设备单价涨跌风险幅度</w:t>
      </w:r>
      <w:r>
        <w:rPr>
          <w:rFonts w:hint="eastAsia" w:ascii="宋体" w:hAnsi="宋体" w:eastAsia="宋体" w:cs="宋体"/>
          <w:color w:val="auto"/>
          <w:spacing w:val="-5"/>
          <w:sz w:val="24"/>
          <w:szCs w:val="24"/>
          <w:highlight w:val="none"/>
        </w:rPr>
        <w:t>值。</w:t>
      </w:r>
    </w:p>
    <w:p w14:paraId="30753A35">
      <w:pPr>
        <w:spacing w:before="33" w:line="299" w:lineRule="auto"/>
        <w:ind w:right="59"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合同履行期间，当《发包人提供材料和工程设备一览表》（详见招标工程量</w:t>
      </w:r>
      <w:r>
        <w:rPr>
          <w:rFonts w:hint="eastAsia" w:ascii="宋体" w:hAnsi="宋体" w:eastAsia="宋体" w:cs="宋体"/>
          <w:color w:val="auto"/>
          <w:spacing w:val="-2"/>
          <w:sz w:val="24"/>
          <w:szCs w:val="24"/>
          <w:highlight w:val="none"/>
        </w:rPr>
        <w:t>清单）中的材料、工程设备单价发生变化时，由发包人按照实际变化调整，并列入合同</w:t>
      </w:r>
      <w:r>
        <w:rPr>
          <w:rFonts w:hint="eastAsia" w:ascii="宋体" w:hAnsi="宋体" w:eastAsia="宋体" w:cs="宋体"/>
          <w:color w:val="auto"/>
          <w:spacing w:val="-4"/>
          <w:sz w:val="24"/>
          <w:szCs w:val="24"/>
          <w:highlight w:val="none"/>
        </w:rPr>
        <w:t>价款。</w:t>
      </w:r>
    </w:p>
    <w:p w14:paraId="0E854E2A">
      <w:pPr>
        <w:spacing w:before="121" w:line="308" w:lineRule="auto"/>
        <w:ind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"2.3.6.4"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2.3.6.4</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本招标项目约定，施工机具台班单价涨跌风险幅度值</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3"/>
          <w:sz w:val="24"/>
          <w:szCs w:val="24"/>
          <w:highlight w:val="none"/>
        </w:rPr>
        <w:t>B</w:t>
      </w:r>
      <w:r>
        <w:rPr>
          <w:rFonts w:hint="eastAsia" w:ascii="宋体" w:hAnsi="宋体" w:eastAsia="宋体" w:cs="宋体"/>
          <w:color w:val="auto"/>
          <w:spacing w:val="-4"/>
          <w:sz w:val="24"/>
          <w:szCs w:val="24"/>
          <w:highlight w:val="none"/>
        </w:rPr>
        <w:t xml:space="preserve"> 为</w:t>
      </w:r>
      <w:r>
        <w:rPr>
          <w:rFonts w:hint="eastAsia" w:ascii="宋体" w:hAnsi="宋体" w:eastAsia="宋体" w:cs="宋体"/>
          <w:color w:val="auto"/>
          <w:spacing w:val="14"/>
          <w:sz w:val="24"/>
          <w:szCs w:val="24"/>
          <w:highlight w:val="none"/>
          <w:u w:val="single"/>
        </w:rPr>
        <w:t xml:space="preserve">  </w:t>
      </w:r>
      <w:r>
        <w:rPr>
          <w:rFonts w:hint="eastAsia" w:ascii="宋体" w:hAnsi="宋体" w:eastAsia="宋体" w:cs="宋体"/>
          <w:color w:val="auto"/>
          <w:spacing w:val="-4"/>
          <w:sz w:val="24"/>
          <w:szCs w:val="24"/>
          <w:highlight w:val="none"/>
          <w:u w:val="single"/>
        </w:rPr>
        <w:t xml:space="preserve">10%  </w:t>
      </w:r>
      <w:r>
        <w:rPr>
          <w:rFonts w:hint="eastAsia" w:ascii="宋体" w:hAnsi="宋体" w:eastAsia="宋体" w:cs="宋体"/>
          <w:color w:val="auto"/>
          <w:spacing w:val="-4"/>
          <w:sz w:val="24"/>
          <w:szCs w:val="24"/>
          <w:highlight w:val="none"/>
        </w:rPr>
        <w:t>。合同履行</w:t>
      </w:r>
      <w:r>
        <w:rPr>
          <w:rFonts w:hint="eastAsia" w:ascii="宋体" w:hAnsi="宋体" w:eastAsia="宋体" w:cs="宋体"/>
          <w:color w:val="auto"/>
          <w:spacing w:val="-7"/>
          <w:sz w:val="24"/>
          <w:szCs w:val="24"/>
          <w:highlight w:val="none"/>
        </w:rPr>
        <w:t>期间，当施工机具台班单价涨跌幅度等于或低于</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7"/>
          <w:sz w:val="24"/>
          <w:szCs w:val="24"/>
          <w:highlight w:val="none"/>
        </w:rPr>
        <w:t>B 值时，该施工机具台班单价不予调</w:t>
      </w:r>
      <w:r>
        <w:rPr>
          <w:rFonts w:hint="eastAsia" w:ascii="宋体" w:hAnsi="宋体" w:eastAsia="宋体" w:cs="宋体"/>
          <w:color w:val="auto"/>
          <w:spacing w:val="-8"/>
          <w:sz w:val="24"/>
          <w:szCs w:val="24"/>
          <w:highlight w:val="none"/>
        </w:rPr>
        <w:t>整；</w:t>
      </w:r>
      <w:r>
        <w:rPr>
          <w:rFonts w:hint="eastAsia" w:ascii="宋体" w:hAnsi="宋体" w:eastAsia="宋体" w:cs="宋体"/>
          <w:color w:val="auto"/>
          <w:sz w:val="24"/>
          <w:szCs w:val="24"/>
          <w:highlight w:val="none"/>
        </w:rPr>
        <w:t>超过</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z w:val="24"/>
          <w:szCs w:val="24"/>
          <w:highlight w:val="none"/>
        </w:rPr>
        <w:t>B 值时，其超过部分可以调整。相关费</w:t>
      </w:r>
      <w:r>
        <w:rPr>
          <w:rFonts w:hint="eastAsia" w:ascii="宋体" w:hAnsi="宋体" w:eastAsia="宋体" w:cs="宋体"/>
          <w:color w:val="auto"/>
          <w:spacing w:val="-1"/>
          <w:sz w:val="24"/>
          <w:szCs w:val="24"/>
          <w:highlight w:val="none"/>
        </w:rPr>
        <w:t>用按有关规定进行相应调整。</w:t>
      </w:r>
    </w:p>
    <w:p w14:paraId="56D691D2">
      <w:pPr>
        <w:spacing w:before="153" w:line="278" w:lineRule="auto"/>
        <w:ind w:left="42" w:right="59" w:firstLine="4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color w:val="auto"/>
          <w:spacing w:val="-1"/>
          <w:sz w:val="24"/>
          <w:szCs w:val="24"/>
          <w:highlight w:val="none"/>
        </w:rPr>
        <w:t>．如果承包人投标报价中施工机具台班单价（以下简称“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中标单价</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）低于基准</w:t>
      </w:r>
      <w:r>
        <w:rPr>
          <w:rFonts w:hint="eastAsia" w:ascii="宋体" w:hAnsi="宋体" w:eastAsia="宋体" w:cs="宋体"/>
          <w:color w:val="auto"/>
          <w:spacing w:val="-3"/>
          <w:sz w:val="24"/>
          <w:szCs w:val="24"/>
          <w:highlight w:val="none"/>
        </w:rPr>
        <w:t>日当月项目所在地工程造价管理机构发布的对应施工机具台班单价（以下简称“基准单</w:t>
      </w:r>
      <w:r>
        <w:rPr>
          <w:rFonts w:hint="eastAsia" w:ascii="宋体" w:hAnsi="宋体" w:eastAsia="宋体" w:cs="宋体"/>
          <w:color w:val="auto"/>
          <w:spacing w:val="-2"/>
          <w:sz w:val="24"/>
          <w:szCs w:val="24"/>
          <w:highlight w:val="none"/>
        </w:rPr>
        <w:t>价</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”），该施工机具台班的结算单价调整公式为：</w:t>
      </w:r>
    </w:p>
    <w:p w14:paraId="2EFEBCF0">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1" o:spt="75" type="#_x0000_t75" style="height:33.95pt;width:200.95pt;" o:ole="t" filled="f" o:preferrelative="t" stroked="f" coordsize="21600,21600">
            <v:path/>
            <v:fill on="f" focussize="0,0"/>
            <v:stroke on="f"/>
            <v:imagedata r:id="rId42" embosscolor="#FFFFFF" o:title=""/>
            <o:lock v:ext="edit" grouping="f" rotation="f" text="f" aspectratio="t"/>
            <w10:wrap type="none"/>
            <w10:anchorlock/>
          </v:shape>
          <o:OLEObject Type="Embed" ProgID="Equation.KSEE3" ShapeID="_x0000_i1031" DrawAspect="Content" ObjectID="_1468075731" r:id="rId41">
            <o:LockedField>false</o:LockedField>
          </o:OLEObject>
        </w:object>
      </w:r>
    </w:p>
    <w:p w14:paraId="05977695">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2" o:spt="75" type="#_x0000_t75" style="height:33.95pt;width:198pt;" o:ole="t" filled="f" o:preferrelative="t" stroked="f" coordsize="21600,21600">
            <v:path/>
            <v:fill on="f" focussize="0,0"/>
            <v:stroke on="f"/>
            <v:imagedata r:id="rId44" embosscolor="#FFFFFF" o:title=""/>
            <o:lock v:ext="edit" grouping="f" rotation="f" text="f" aspectratio="t"/>
            <w10:wrap type="none"/>
            <w10:anchorlock/>
          </v:shape>
          <o:OLEObject Type="Embed" ProgID="Equation.KSEE3" ShapeID="_x0000_i1032" DrawAspect="Content" ObjectID="_1468075732" r:id="rId43">
            <o:LockedField>false</o:LockedField>
          </o:OLEObject>
        </w:object>
      </w:r>
    </w:p>
    <w:p w14:paraId="60ECB2AB">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rPr>
        <w:t>．如果中标单价高于基准单价，该施工机具台班的结算单价调整公式为：</w:t>
      </w:r>
    </w:p>
    <w:p w14:paraId="1397C7BC">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3" o:spt="75" type="#_x0000_t75" style="height:33.95pt;width:198pt;" o:ole="t" filled="f" o:preferrelative="t" stroked="f" coordsize="21600,21600">
            <v:path/>
            <v:fill on="f" focussize="0,0"/>
            <v:stroke on="f"/>
            <v:imagedata r:id="rId46" embosscolor="#FFFFFF" o:title=""/>
            <o:lock v:ext="edit" grouping="f" rotation="f" text="f" aspectratio="t"/>
            <w10:wrap type="none"/>
            <w10:anchorlock/>
          </v:shape>
          <o:OLEObject Type="Embed" ProgID="Equation.KSEE3" ShapeID="_x0000_i1033" DrawAspect="Content" ObjectID="_1468075733" r:id="rId45">
            <o:LockedField>false</o:LockedField>
          </o:OLEObject>
        </w:object>
      </w:r>
    </w:p>
    <w:p w14:paraId="7EAE322B">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4" o:spt="75" type="#_x0000_t75" style="height:33.95pt;width:200.95pt;" o:ole="t" filled="f" o:preferrelative="t" stroked="f" coordsize="21600,21600">
            <v:path/>
            <v:fill on="f" focussize="0,0"/>
            <v:stroke on="f"/>
            <v:imagedata r:id="rId48" embosscolor="#FFFFFF" o:title=""/>
            <o:lock v:ext="edit" grouping="f" rotation="f" text="f" aspectratio="t"/>
            <w10:wrap type="none"/>
            <w10:anchorlock/>
          </v:shape>
          <o:OLEObject Type="Embed" ProgID="Equation.KSEE3" ShapeID="_x0000_i1034" DrawAspect="Content" ObjectID="_1468075734" r:id="rId47">
            <o:LockedField>false</o:LockedField>
          </o:OLEObject>
        </w:object>
      </w:r>
    </w:p>
    <w:p w14:paraId="601355E0">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c</w:t>
      </w:r>
      <w:r>
        <w:rPr>
          <w:rFonts w:hint="eastAsia" w:ascii="宋体" w:hAnsi="宋体" w:eastAsia="宋体" w:cs="宋体"/>
          <w:snapToGrid w:val="0"/>
          <w:color w:val="auto"/>
          <w:kern w:val="0"/>
          <w:sz w:val="24"/>
          <w:szCs w:val="24"/>
          <w:highlight w:val="none"/>
        </w:rPr>
        <w:t>．如果中标单价等于基准单价，该施工机具台班的结算单价调整公式为：</w:t>
      </w:r>
    </w:p>
    <w:p w14:paraId="78ED18B4">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5" o:spt="75" type="#_x0000_t75" style="height:33.95pt;width:200.95pt;" o:ole="t" filled="f" o:preferrelative="t" stroked="f" coordsize="21600,21600">
            <v:path/>
            <v:fill on="f" focussize="0,0"/>
            <v:stroke on="f"/>
            <v:imagedata r:id="rId50" embosscolor="#FFFFFF" o:title=""/>
            <o:lock v:ext="edit" grouping="f" rotation="f" text="f" aspectratio="t"/>
            <w10:wrap type="none"/>
            <w10:anchorlock/>
          </v:shape>
          <o:OLEObject Type="Embed" ProgID="Equation.KSEE3" ShapeID="_x0000_i1035" DrawAspect="Content" ObjectID="_1468075735" r:id="rId49">
            <o:LockedField>false</o:LockedField>
          </o:OLEObject>
        </w:object>
      </w:r>
    </w:p>
    <w:p w14:paraId="11B28D87">
      <w:pPr>
        <w:spacing w:before="79" w:line="324" w:lineRule="auto"/>
        <w:ind w:left="11" w:right="65" w:firstLine="504"/>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6" o:spt="75" type="#_x0000_t75" style="height:33.95pt;width:200.95pt;" o:ole="t" filled="f" o:preferrelative="t" stroked="f" coordsize="21600,21600">
            <v:path/>
            <v:fill on="f" focussize="0,0"/>
            <v:stroke on="f"/>
            <v:imagedata r:id="rId52" embosscolor="#FFFFFF" o:title=""/>
            <o:lock v:ext="edit" grouping="f" rotation="f" text="f" aspectratio="t"/>
            <w10:wrap type="none"/>
            <w10:anchorlock/>
          </v:shape>
          <o:OLEObject Type="Embed" ProgID="Equation.KSEE3" ShapeID="_x0000_i1036" DrawAspect="Content" ObjectID="_1468075736" r:id="rId51">
            <o:LockedField>false</o:LockedField>
          </o:OLEObject>
        </w:object>
      </w:r>
    </w:p>
    <w:p w14:paraId="419E4FE0">
      <w:pPr>
        <w:spacing w:before="79" w:line="324" w:lineRule="auto"/>
        <w:ind w:left="11" w:right="65" w:firstLine="50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26"/>
          <w:position w:val="-1"/>
          <w:sz w:val="15"/>
          <w:szCs w:val="15"/>
          <w:highlight w:val="none"/>
        </w:rPr>
        <w:t xml:space="preserve"> </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14"/>
          <w:w w:val="101"/>
          <w:position w:val="-1"/>
          <w:sz w:val="15"/>
          <w:szCs w:val="15"/>
          <w:highlight w:val="none"/>
        </w:rPr>
        <w:t xml:space="preserve"> </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理机构发布的施工机具台班单价；B 为合同约定的施工机具台班单价</w:t>
      </w:r>
      <w:r>
        <w:rPr>
          <w:rFonts w:hint="eastAsia" w:ascii="宋体" w:hAnsi="宋体" w:eastAsia="宋体" w:cs="宋体"/>
          <w:color w:val="auto"/>
          <w:spacing w:val="-2"/>
          <w:sz w:val="24"/>
          <w:szCs w:val="24"/>
          <w:highlight w:val="none"/>
        </w:rPr>
        <w:t>涨跌风险幅度值。</w:t>
      </w:r>
    </w:p>
    <w:p w14:paraId="2203A1B8">
      <w:pPr>
        <w:spacing w:before="39" w:line="219"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2.3.7  </w:t>
      </w:r>
      <w:r>
        <w:rPr>
          <w:rFonts w:hint="eastAsia" w:ascii="宋体" w:hAnsi="宋体" w:eastAsia="宋体" w:cs="宋体"/>
          <w:color w:val="auto"/>
          <w:spacing w:val="-1"/>
          <w:sz w:val="24"/>
          <w:szCs w:val="24"/>
          <w:highlight w:val="none"/>
        </w:rPr>
        <w:t>暂估价和暂列金额</w:t>
      </w:r>
    </w:p>
    <w:p w14:paraId="07450170">
      <w:pPr>
        <w:spacing w:before="154" w:line="299" w:lineRule="auto"/>
        <w:ind w:left="7" w:right="57" w:firstLine="477"/>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2.3.7.1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b w:val="0"/>
          <w:bCs w:val="0"/>
          <w:color w:val="auto"/>
          <w:spacing w:val="-2"/>
          <w:sz w:val="24"/>
          <w:szCs w:val="24"/>
          <w:highlight w:val="none"/>
          <w:lang w:val="en-US" w:eastAsia="zh-CN"/>
        </w:rPr>
        <w:t>专业工程</w:t>
      </w:r>
      <w:r>
        <w:rPr>
          <w:rFonts w:hint="eastAsia" w:ascii="宋体" w:hAnsi="宋体" w:eastAsia="宋体" w:cs="宋体"/>
          <w:b w:val="0"/>
          <w:bCs w:val="0"/>
          <w:snapToGrid w:val="0"/>
          <w:color w:val="auto"/>
          <w:kern w:val="0"/>
          <w:sz w:val="24"/>
          <w:szCs w:val="24"/>
          <w:highlight w:val="none"/>
          <w:lang w:eastAsia="zh-CN"/>
        </w:rPr>
        <w:t>暂</w:t>
      </w:r>
      <w:r>
        <w:rPr>
          <w:rFonts w:hint="eastAsia" w:ascii="宋体" w:hAnsi="宋体" w:eastAsia="宋体" w:cs="宋体"/>
          <w:snapToGrid w:val="0"/>
          <w:color w:val="auto"/>
          <w:kern w:val="0"/>
          <w:sz w:val="24"/>
          <w:szCs w:val="24"/>
          <w:highlight w:val="none"/>
          <w:lang w:eastAsia="zh-CN"/>
        </w:rPr>
        <w:t xml:space="preserve">估价项目按第一章第三节“投标人须知正文 ”第 </w:t>
      </w:r>
      <w:r>
        <w:rPr>
          <w:rFonts w:hint="eastAsia" w:ascii="宋体" w:hAnsi="宋体" w:eastAsia="宋体" w:cs="宋体"/>
          <w:b/>
          <w:bCs/>
          <w:snapToGrid w:val="0"/>
          <w:color w:val="auto"/>
          <w:kern w:val="0"/>
          <w:sz w:val="24"/>
          <w:szCs w:val="24"/>
          <w:highlight w:val="none"/>
          <w:lang w:eastAsia="zh-CN"/>
        </w:rPr>
        <w:t>8.5</w:t>
      </w:r>
      <w:r>
        <w:rPr>
          <w:rFonts w:hint="eastAsia" w:ascii="宋体" w:hAnsi="宋体" w:eastAsia="宋体" w:cs="宋体"/>
          <w:snapToGrid w:val="0"/>
          <w:color w:val="auto"/>
          <w:kern w:val="0"/>
          <w:sz w:val="24"/>
          <w:szCs w:val="24"/>
          <w:highlight w:val="none"/>
          <w:lang w:eastAsia="zh-CN"/>
        </w:rPr>
        <w:t xml:space="preserve"> 条的规定确定专业工程承包人后，将专业工程合同价款取代相应暂估价，并调整合同价款。</w:t>
      </w:r>
    </w:p>
    <w:p w14:paraId="73FF33E6">
      <w:pPr>
        <w:spacing w:before="153" w:line="315" w:lineRule="auto"/>
        <w:ind w:left="8" w:right="2" w:firstLine="476"/>
        <w:rPr>
          <w:rFonts w:hint="eastAsia" w:ascii="宋体" w:hAnsi="宋体" w:eastAsia="宋体" w:cs="宋体"/>
          <w:color w:val="auto"/>
          <w:spacing w:val="-3"/>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8"/>
          <w:sz w:val="24"/>
          <w:szCs w:val="24"/>
          <w:highlight w:val="none"/>
        </w:rPr>
        <w:t>2.3.7.2</w:t>
      </w:r>
      <w:r>
        <w:rPr>
          <w:rFonts w:hint="eastAsia" w:ascii="宋体" w:hAnsi="宋体" w:eastAsia="宋体" w:cs="宋体"/>
          <w:b/>
          <w:bCs/>
          <w:color w:val="auto"/>
          <w:spacing w:val="-8"/>
          <w:sz w:val="24"/>
          <w:szCs w:val="24"/>
          <w:highlight w:val="none"/>
        </w:rPr>
        <w:fldChar w:fldCharType="end"/>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暂列金额由发包人掌握和使用。暂列金额项目若有发</w:t>
      </w:r>
      <w:r>
        <w:rPr>
          <w:rFonts w:hint="eastAsia" w:ascii="宋体" w:hAnsi="宋体" w:eastAsia="宋体" w:cs="宋体"/>
          <w:color w:val="auto"/>
          <w:spacing w:val="-9"/>
          <w:sz w:val="24"/>
          <w:szCs w:val="24"/>
          <w:highlight w:val="none"/>
        </w:rPr>
        <w:t>生，按第一章第三节“投</w:t>
      </w:r>
      <w:r>
        <w:rPr>
          <w:rFonts w:hint="eastAsia" w:ascii="宋体" w:hAnsi="宋体" w:eastAsia="宋体" w:cs="宋体"/>
          <w:color w:val="auto"/>
          <w:spacing w:val="-5"/>
          <w:sz w:val="24"/>
          <w:szCs w:val="24"/>
          <w:highlight w:val="none"/>
        </w:rPr>
        <w:t>标人须知正文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5"/>
          <w:sz w:val="24"/>
          <w:szCs w:val="24"/>
          <w:highlight w:val="none"/>
        </w:rPr>
        <w:t xml:space="preserve">8.6 </w:t>
      </w:r>
      <w:r>
        <w:rPr>
          <w:rFonts w:hint="eastAsia" w:ascii="宋体" w:hAnsi="宋体" w:eastAsia="宋体" w:cs="宋体"/>
          <w:color w:val="auto"/>
          <w:spacing w:val="-5"/>
          <w:sz w:val="24"/>
          <w:szCs w:val="24"/>
          <w:highlight w:val="none"/>
        </w:rPr>
        <w:t>条的规定确定材料供应商（或工程设备供</w:t>
      </w:r>
      <w:r>
        <w:rPr>
          <w:rFonts w:hint="eastAsia" w:ascii="宋体" w:hAnsi="宋体" w:eastAsia="宋体" w:cs="宋体"/>
          <w:color w:val="auto"/>
          <w:spacing w:val="-6"/>
          <w:sz w:val="24"/>
          <w:szCs w:val="24"/>
          <w:highlight w:val="none"/>
        </w:rPr>
        <w:t>应商、服务供应商）后，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材料（或工程设备、服务）的合同价款从暂列金额中支付。暂列金额扣除已发生的暂列金额项目合同价款、已发生的合同约定调整因素出现时的调整价款、已发生的索赔以及</w:t>
      </w:r>
      <w:r>
        <w:rPr>
          <w:rFonts w:hint="eastAsia" w:ascii="宋体" w:hAnsi="宋体" w:eastAsia="宋体" w:cs="宋体"/>
          <w:color w:val="auto"/>
          <w:spacing w:val="-1"/>
          <w:sz w:val="24"/>
          <w:szCs w:val="24"/>
          <w:highlight w:val="none"/>
        </w:rPr>
        <w:t>现场签证确认等的费用后，余额（若有）归发包人所有。</w:t>
      </w:r>
    </w:p>
    <w:p w14:paraId="3313F8DF">
      <w:pPr>
        <w:spacing w:before="153" w:line="315" w:lineRule="auto"/>
        <w:ind w:left="8" w:right="2" w:firstLine="476"/>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2.3.8</w:t>
      </w:r>
      <w:r>
        <w:rPr>
          <w:rFonts w:hint="eastAsia" w:ascii="宋体" w:hAnsi="宋体" w:eastAsia="宋体" w:cs="宋体"/>
          <w:color w:val="auto"/>
          <w:spacing w:val="-8"/>
          <w:sz w:val="24"/>
          <w:szCs w:val="24"/>
          <w:highlight w:val="none"/>
        </w:rPr>
        <w:t xml:space="preserve"> 预算包干费：</w:t>
      </w:r>
      <w:r>
        <w:rPr>
          <w:rFonts w:hint="eastAsia" w:ascii="宋体" w:hAnsi="宋体" w:eastAsia="宋体" w:cs="宋体"/>
          <w:color w:val="auto"/>
          <w:spacing w:val="-8"/>
          <w:sz w:val="24"/>
          <w:szCs w:val="24"/>
          <w:highlight w:val="none"/>
          <w:lang w:val="en-US" w:eastAsia="en-US"/>
        </w:rPr>
        <w:t>根据《市政工程工程量计算标准》（GB/T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本工程的预算包干内容包括：按《广东省建设工程计价依据（2024）》相关规定。若发生工程签证变更，应按合同约定计取预算包干费</w:t>
      </w:r>
      <w:r>
        <w:rPr>
          <w:rFonts w:hint="eastAsia" w:ascii="宋体" w:hAnsi="宋体" w:eastAsia="宋体" w:cs="宋体"/>
          <w:color w:val="auto"/>
          <w:spacing w:val="-8"/>
          <w:sz w:val="24"/>
          <w:szCs w:val="24"/>
          <w:highlight w:val="none"/>
        </w:rPr>
        <w:t>。</w:t>
      </w:r>
    </w:p>
    <w:p w14:paraId="1A14D812">
      <w:pPr>
        <w:spacing w:before="153" w:line="315" w:lineRule="auto"/>
        <w:ind w:left="8" w:right="2" w:firstLine="476"/>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w:t>
      </w:r>
      <w:r>
        <w:rPr>
          <w:rFonts w:hint="eastAsia" w:ascii="宋体" w:hAnsi="宋体" w:eastAsia="宋体" w:cs="宋体"/>
          <w:b/>
          <w:bCs/>
          <w:color w:val="auto"/>
          <w:spacing w:val="-8"/>
          <w:sz w:val="24"/>
          <w:szCs w:val="24"/>
          <w:highlight w:val="none"/>
          <w:lang w:val="en-US" w:eastAsia="zh-CN"/>
        </w:rPr>
        <w:t>9</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其余事项（如不可抗力、索赔、现场签证等）的调整原则按照《建设工程工程量清单计价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8"/>
          <w:sz w:val="24"/>
          <w:szCs w:val="24"/>
          <w:highlight w:val="none"/>
        </w:rPr>
        <w:t>》（GB50500—20</w:t>
      </w:r>
      <w:r>
        <w:rPr>
          <w:rFonts w:hint="eastAsia" w:ascii="宋体" w:hAnsi="宋体" w:eastAsia="宋体" w:cs="宋体"/>
          <w:color w:val="auto"/>
          <w:spacing w:val="-8"/>
          <w:sz w:val="24"/>
          <w:szCs w:val="24"/>
          <w:highlight w:val="none"/>
          <w:lang w:val="en-US" w:eastAsia="zh-CN"/>
        </w:rPr>
        <w:t>24</w:t>
      </w:r>
      <w:r>
        <w:rPr>
          <w:rFonts w:hint="eastAsia" w:ascii="宋体" w:hAnsi="宋体" w:eastAsia="宋体" w:cs="宋体"/>
          <w:color w:val="auto"/>
          <w:spacing w:val="-8"/>
          <w:sz w:val="24"/>
          <w:szCs w:val="24"/>
          <w:highlight w:val="none"/>
        </w:rPr>
        <w:t>）有关规定执行。</w:t>
      </w:r>
    </w:p>
    <w:p w14:paraId="13236EE1">
      <w:pPr>
        <w:spacing w:before="156" w:line="299" w:lineRule="auto"/>
        <w:ind w:left="12" w:right="65" w:firstLine="55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2.4  </w:t>
      </w:r>
      <w:r>
        <w:rPr>
          <w:rFonts w:hint="eastAsia" w:ascii="宋体" w:hAnsi="宋体" w:eastAsia="宋体" w:cs="宋体"/>
          <w:color w:val="auto"/>
          <w:sz w:val="24"/>
          <w:szCs w:val="24"/>
          <w:highlight w:val="none"/>
        </w:rPr>
        <w:t>凡将引起合同价款调增的事项，承包人必须于拟实施</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z w:val="24"/>
          <w:szCs w:val="24"/>
          <w:highlight w:val="none"/>
        </w:rPr>
        <w:t>14</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z w:val="24"/>
          <w:szCs w:val="24"/>
          <w:highlight w:val="none"/>
        </w:rPr>
        <w:t>天前，将详细的</w:t>
      </w:r>
      <w:r>
        <w:rPr>
          <w:rFonts w:hint="eastAsia" w:ascii="宋体" w:hAnsi="宋体" w:eastAsia="宋体" w:cs="宋体"/>
          <w:color w:val="auto"/>
          <w:spacing w:val="-1"/>
          <w:sz w:val="24"/>
          <w:szCs w:val="24"/>
          <w:highlight w:val="none"/>
        </w:rPr>
        <w:t>报价</w:t>
      </w:r>
      <w:r>
        <w:rPr>
          <w:rFonts w:hint="eastAsia" w:ascii="宋体" w:hAnsi="宋体" w:eastAsia="宋体" w:cs="宋体"/>
          <w:color w:val="auto"/>
          <w:spacing w:val="-2"/>
          <w:sz w:val="24"/>
          <w:szCs w:val="24"/>
          <w:highlight w:val="none"/>
        </w:rPr>
        <w:t>书（含拟实施项目名称、变更部位、理由、预计造价等）报监理单位审核和发包人批准后方可实施。</w:t>
      </w:r>
    </w:p>
    <w:p w14:paraId="6D92B8A8">
      <w:pPr>
        <w:spacing w:before="153" w:line="279" w:lineRule="auto"/>
        <w:ind w:left="9" w:right="102"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承包人不得以不完全了解现场情况为理由，提出额外付</w:t>
      </w:r>
      <w:r>
        <w:rPr>
          <w:rFonts w:hint="eastAsia" w:ascii="宋体" w:hAnsi="宋体" w:eastAsia="宋体" w:cs="宋体"/>
          <w:color w:val="auto"/>
          <w:sz w:val="24"/>
          <w:szCs w:val="24"/>
          <w:highlight w:val="none"/>
        </w:rPr>
        <w:t>款或延长工期等要求。</w:t>
      </w:r>
      <w:r>
        <w:rPr>
          <w:rFonts w:hint="eastAsia" w:ascii="宋体" w:hAnsi="宋体" w:eastAsia="宋体" w:cs="宋体"/>
          <w:color w:val="auto"/>
          <w:spacing w:val="-1"/>
          <w:sz w:val="24"/>
          <w:szCs w:val="24"/>
          <w:highlight w:val="none"/>
        </w:rPr>
        <w:t>对此类要求，发包人不作任何考虑及答复。</w:t>
      </w:r>
    </w:p>
    <w:p w14:paraId="1C6774BB">
      <w:pPr>
        <w:spacing w:before="154" w:line="279" w:lineRule="auto"/>
        <w:ind w:left="10" w:right="63"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2.6 </w:t>
      </w:r>
      <w:r>
        <w:rPr>
          <w:rFonts w:hint="eastAsia" w:ascii="宋体" w:hAnsi="宋体" w:eastAsia="宋体" w:cs="宋体"/>
          <w:color w:val="auto"/>
          <w:spacing w:val="2"/>
          <w:sz w:val="24"/>
          <w:szCs w:val="24"/>
          <w:highlight w:val="none"/>
        </w:rPr>
        <w:t>承包人已标价工程量清单中漏报、错报或少报的清单项目</w:t>
      </w:r>
      <w:r>
        <w:rPr>
          <w:rFonts w:hint="eastAsia" w:ascii="宋体" w:hAnsi="宋体" w:eastAsia="宋体" w:cs="宋体"/>
          <w:color w:val="auto"/>
          <w:spacing w:val="1"/>
          <w:sz w:val="24"/>
          <w:szCs w:val="24"/>
          <w:highlight w:val="none"/>
        </w:rPr>
        <w:t>，其价格均视为已经</w:t>
      </w:r>
      <w:r>
        <w:rPr>
          <w:rFonts w:hint="eastAsia" w:ascii="宋体" w:hAnsi="宋体" w:eastAsia="宋体" w:cs="宋体"/>
          <w:color w:val="auto"/>
          <w:spacing w:val="-1"/>
          <w:sz w:val="24"/>
          <w:szCs w:val="24"/>
          <w:highlight w:val="none"/>
        </w:rPr>
        <w:t>包含在其它清单项目中，竣工结算时不得重新组价和调整。</w:t>
      </w:r>
    </w:p>
    <w:p w14:paraId="761E818F">
      <w:pPr>
        <w:spacing w:before="155" w:line="299" w:lineRule="auto"/>
        <w:ind w:left="12" w:right="65"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2.7  </w:t>
      </w:r>
      <w:r>
        <w:rPr>
          <w:rFonts w:hint="eastAsia" w:ascii="宋体" w:hAnsi="宋体" w:eastAsia="宋体" w:cs="宋体"/>
          <w:color w:val="auto"/>
          <w:sz w:val="24"/>
          <w:szCs w:val="24"/>
          <w:highlight w:val="none"/>
        </w:rPr>
        <w:t>项目完工后，发、承包双方和受其委托具备相应资质的工程造价咨询单位必须</w:t>
      </w:r>
      <w:r>
        <w:rPr>
          <w:rFonts w:hint="eastAsia" w:ascii="宋体" w:hAnsi="宋体" w:eastAsia="宋体" w:cs="宋体"/>
          <w:color w:val="auto"/>
          <w:spacing w:val="-1"/>
          <w:sz w:val="24"/>
          <w:szCs w:val="24"/>
          <w:highlight w:val="none"/>
        </w:rPr>
        <w:t>按照《建设工程工程量清单计价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1"/>
          <w:sz w:val="24"/>
          <w:szCs w:val="24"/>
          <w:highlight w:val="none"/>
        </w:rPr>
        <w:t>）和国家、省、市的有关规定</w:t>
      </w:r>
      <w:r>
        <w:rPr>
          <w:rFonts w:hint="eastAsia" w:ascii="宋体" w:hAnsi="宋体" w:eastAsia="宋体" w:cs="宋体"/>
          <w:color w:val="auto"/>
          <w:spacing w:val="-2"/>
          <w:sz w:val="24"/>
          <w:szCs w:val="24"/>
          <w:highlight w:val="none"/>
        </w:rPr>
        <w:t>办理竣工结算。</w:t>
      </w:r>
    </w:p>
    <w:p w14:paraId="6404574C">
      <w:pPr>
        <w:spacing w:before="152" w:line="319" w:lineRule="auto"/>
        <w:ind w:left="8" w:right="38" w:firstLine="55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2.8  </w:t>
      </w:r>
      <w:r>
        <w:rPr>
          <w:rFonts w:hint="eastAsia" w:ascii="宋体" w:hAnsi="宋体" w:eastAsia="宋体" w:cs="宋体"/>
          <w:color w:val="auto"/>
          <w:spacing w:val="-1"/>
          <w:sz w:val="24"/>
          <w:szCs w:val="24"/>
          <w:highlight w:val="none"/>
        </w:rPr>
        <w:t>承包人已标价工程量清单中没有的材料（或工程设备</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1"/>
          <w:sz w:val="24"/>
          <w:szCs w:val="24"/>
          <w:highlight w:val="none"/>
        </w:rPr>
        <w:t>承包人在使</w:t>
      </w:r>
      <w:r>
        <w:rPr>
          <w:rFonts w:hint="eastAsia" w:ascii="宋体" w:hAnsi="宋体" w:eastAsia="宋体" w:cs="宋体"/>
          <w:color w:val="auto"/>
          <w:spacing w:val="-2"/>
          <w:sz w:val="24"/>
          <w:szCs w:val="24"/>
          <w:highlight w:val="none"/>
        </w:rPr>
        <w:t>用前必须</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将材料（或工程设备）样板、材料合格证明（或产品合格证书）、材料（或工程设备）检验报告提交给监理单位和发包人审核。发</w:t>
      </w:r>
      <w:r>
        <w:rPr>
          <w:rFonts w:hint="eastAsia" w:ascii="宋体" w:hAnsi="宋体" w:eastAsia="宋体" w:cs="宋体"/>
          <w:color w:val="auto"/>
          <w:spacing w:val="-2"/>
          <w:sz w:val="24"/>
          <w:szCs w:val="24"/>
          <w:highlight w:val="none"/>
        </w:rPr>
        <w:t>包人审定并确定价格后，承包人方可采购和</w:t>
      </w:r>
      <w:r>
        <w:rPr>
          <w:rFonts w:hint="eastAsia" w:ascii="宋体" w:hAnsi="宋体" w:eastAsia="宋体" w:cs="宋体"/>
          <w:color w:val="auto"/>
          <w:spacing w:val="-1"/>
          <w:sz w:val="24"/>
          <w:szCs w:val="24"/>
          <w:highlight w:val="none"/>
        </w:rPr>
        <w:t>使用。如果在交货验收和使用过程中发现货</w:t>
      </w:r>
      <w:r>
        <w:rPr>
          <w:rFonts w:hint="eastAsia" w:ascii="宋体" w:hAnsi="宋体" w:eastAsia="宋体" w:cs="宋体"/>
          <w:color w:val="auto"/>
          <w:spacing w:val="-2"/>
          <w:sz w:val="24"/>
          <w:szCs w:val="24"/>
          <w:highlight w:val="none"/>
        </w:rPr>
        <w:t>不对板，监理单位和发包人有权拒用，并要</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求承包人立即进行更换。更换后的材料（或</w:t>
      </w:r>
      <w:r>
        <w:rPr>
          <w:rFonts w:hint="eastAsia" w:ascii="宋体" w:hAnsi="宋体" w:eastAsia="宋体" w:cs="宋体"/>
          <w:color w:val="auto"/>
          <w:spacing w:val="-2"/>
          <w:sz w:val="24"/>
          <w:szCs w:val="24"/>
          <w:highlight w:val="none"/>
        </w:rPr>
        <w:t>工程设备）应再次进行检查和检验。由此增</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加的费用和（或）工期延误由承包人承担。</w:t>
      </w:r>
    </w:p>
    <w:p w14:paraId="623BFEFE">
      <w:pPr>
        <w:spacing w:before="152" w:line="319" w:lineRule="auto"/>
        <w:ind w:left="8" w:right="38" w:firstLine="55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 xml:space="preserve">2.9 </w:t>
      </w:r>
      <w:r>
        <w:rPr>
          <w:rFonts w:hint="eastAsia" w:ascii="宋体" w:hAnsi="宋体" w:eastAsia="宋体" w:cs="宋体"/>
          <w:color w:val="auto"/>
          <w:spacing w:val="-1"/>
          <w:sz w:val="24"/>
          <w:szCs w:val="24"/>
          <w:highlight w:val="none"/>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w:t>
      </w:r>
      <w:r>
        <w:rPr>
          <w:rFonts w:hint="eastAsia" w:ascii="宋体" w:hAnsi="宋体" w:eastAsia="宋体" w:cs="宋体"/>
          <w:color w:val="auto"/>
          <w:spacing w:val="-1"/>
          <w:sz w:val="24"/>
          <w:szCs w:val="24"/>
          <w:highlight w:val="none"/>
          <w:lang w:val="en-US" w:eastAsia="zh-CN"/>
        </w:rPr>
        <w:t>造价通、</w:t>
      </w:r>
      <w:r>
        <w:rPr>
          <w:rFonts w:hint="eastAsia" w:ascii="宋体" w:hAnsi="宋体" w:eastAsia="宋体" w:cs="宋体"/>
          <w:color w:val="auto"/>
          <w:spacing w:val="-1"/>
          <w:sz w:val="24"/>
          <w:szCs w:val="24"/>
          <w:highlight w:val="none"/>
        </w:rPr>
        <w:t>电商平台价格（优先从京东、国美、苏宁等大型电商平台查询取其平均价）；若以上方式均无法确定材料价格 的，则采用厂商报价或市场询价等方式取得有合法依据的市场价格，报发包人确认。</w:t>
      </w:r>
    </w:p>
    <w:p w14:paraId="5DDA4611">
      <w:pPr>
        <w:pStyle w:val="30"/>
        <w:snapToGrid w:val="0"/>
        <w:spacing w:line="440" w:lineRule="exact"/>
        <w:ind w:firstLine="480"/>
        <w:jc w:val="both"/>
        <w:outlineLvl w:val="2"/>
        <w:rPr>
          <w:rStyle w:val="21"/>
          <w:rFonts w:hint="eastAsia" w:ascii="宋体" w:hAnsi="宋体" w:eastAsia="宋体" w:cs="宋体"/>
          <w:b/>
          <w:bCs/>
          <w:color w:val="auto"/>
          <w:sz w:val="24"/>
          <w:szCs w:val="24"/>
          <w:highlight w:val="none"/>
        </w:rPr>
      </w:pPr>
      <w:bookmarkStart w:id="177" w:name="_Toc5247"/>
      <w:bookmarkStart w:id="178" w:name="_Toc1816"/>
      <w:r>
        <w:rPr>
          <w:rStyle w:val="21"/>
          <w:rFonts w:hint="eastAsia" w:ascii="宋体" w:hAnsi="宋体" w:eastAsia="宋体" w:cs="宋体"/>
          <w:b/>
          <w:bCs/>
          <w:color w:val="auto"/>
          <w:sz w:val="24"/>
          <w:szCs w:val="24"/>
          <w:highlight w:val="none"/>
        </w:rPr>
        <w:t>3. 工程付款办法</w:t>
      </w:r>
      <w:bookmarkEnd w:id="177"/>
      <w:bookmarkEnd w:id="178"/>
    </w:p>
    <w:p w14:paraId="700B0E9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3.1</w:t>
      </w:r>
      <w:r>
        <w:rPr>
          <w:rFonts w:hint="eastAsia" w:ascii="宋体" w:hAnsi="宋体" w:eastAsia="宋体" w:cs="宋体"/>
          <w:snapToGrid w:val="0"/>
          <w:color w:val="auto"/>
          <w:kern w:val="0"/>
          <w:sz w:val="24"/>
          <w:szCs w:val="20"/>
          <w:highlight w:val="none"/>
          <w:lang w:eastAsia="zh-CN"/>
        </w:rPr>
        <w:t xml:space="preserve"> 本工程 </w:t>
      </w:r>
      <w:r>
        <w:rPr>
          <w:rFonts w:hint="eastAsia" w:ascii="宋体" w:hAnsi="宋体" w:eastAsia="宋体" w:cs="宋体"/>
          <w:snapToGrid w:val="0"/>
          <w:color w:val="auto"/>
          <w:kern w:val="0"/>
          <w:sz w:val="24"/>
          <w:szCs w:val="20"/>
          <w:highlight w:val="none"/>
          <w:u w:val="single"/>
          <w:lang w:eastAsia="zh-CN"/>
        </w:rPr>
        <w:t>支付</w:t>
      </w:r>
      <w:r>
        <w:rPr>
          <w:rFonts w:hint="eastAsia" w:ascii="宋体" w:hAnsi="宋体" w:eastAsia="宋体" w:cs="宋体"/>
          <w:snapToGrid w:val="0"/>
          <w:color w:val="auto"/>
          <w:kern w:val="0"/>
          <w:sz w:val="24"/>
          <w:szCs w:val="20"/>
          <w:highlight w:val="none"/>
          <w:lang w:eastAsia="zh-CN"/>
        </w:rPr>
        <w:t xml:space="preserve"> 施工预付款。</w:t>
      </w:r>
    </w:p>
    <w:p w14:paraId="48B832B0">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snapToGrid w:val="0"/>
          <w:color w:val="auto"/>
          <w:kern w:val="0"/>
          <w:sz w:val="24"/>
          <w:szCs w:val="20"/>
          <w:highlight w:val="none"/>
          <w:lang w:eastAsia="zh-CN"/>
        </w:rPr>
        <w:t xml:space="preserve"> 施工预付款必须专用于合同工程，并按以下原则支付和抵扣：</w:t>
      </w:r>
    </w:p>
    <w:p w14:paraId="207970D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3.2.1</w:t>
      </w:r>
      <w:r>
        <w:rPr>
          <w:rFonts w:hint="eastAsia" w:ascii="宋体" w:hAnsi="宋体" w:eastAsia="宋体" w:cs="宋体"/>
          <w:snapToGrid w:val="0"/>
          <w:color w:val="auto"/>
          <w:kern w:val="0"/>
          <w:sz w:val="24"/>
          <w:szCs w:val="20"/>
          <w:highlight w:val="none"/>
          <w:lang w:eastAsia="zh-CN"/>
        </w:rPr>
        <w:t xml:space="preserve"> 施工预付款支付比例为：按施工合同价扣除“暂列金额、专业工程暂估价、</w:t>
      </w:r>
      <w:r>
        <w:rPr>
          <w:rFonts w:hint="eastAsia" w:ascii="宋体" w:hAnsi="宋体" w:eastAsia="宋体" w:cs="宋体"/>
          <w:snapToGrid w:val="0"/>
          <w:color w:val="auto"/>
          <w:kern w:val="0"/>
          <w:sz w:val="24"/>
          <w:szCs w:val="20"/>
          <w:highlight w:val="none"/>
          <w:lang w:val="en-US" w:eastAsia="zh-CN"/>
        </w:rPr>
        <w:t>安全生产措施费</w:t>
      </w:r>
      <w:r>
        <w:rPr>
          <w:rFonts w:hint="eastAsia" w:ascii="宋体" w:hAnsi="宋体" w:eastAsia="宋体" w:cs="宋体"/>
          <w:snapToGrid w:val="0"/>
          <w:color w:val="auto"/>
          <w:kern w:val="0"/>
          <w:sz w:val="24"/>
          <w:szCs w:val="20"/>
          <w:highlight w:val="none"/>
          <w:lang w:eastAsia="zh-CN"/>
        </w:rPr>
        <w:t>”后</w:t>
      </w:r>
      <w:r>
        <w:rPr>
          <w:rFonts w:hint="eastAsia" w:ascii="宋体" w:hAnsi="宋体" w:eastAsia="宋体" w:cs="宋体"/>
          <w:snapToGrid w:val="0"/>
          <w:color w:val="auto"/>
          <w:kern w:val="0"/>
          <w:sz w:val="24"/>
          <w:szCs w:val="20"/>
          <w:highlight w:val="none"/>
          <w:u w:val="single"/>
          <w:lang w:eastAsia="zh-CN"/>
        </w:rPr>
        <w:t xml:space="preserve"> 30% </w:t>
      </w:r>
      <w:r>
        <w:rPr>
          <w:rFonts w:hint="eastAsia" w:ascii="宋体" w:hAnsi="宋体" w:eastAsia="宋体" w:cs="宋体"/>
          <w:snapToGrid w:val="0"/>
          <w:color w:val="auto"/>
          <w:kern w:val="0"/>
          <w:sz w:val="24"/>
          <w:szCs w:val="20"/>
          <w:highlight w:val="none"/>
          <w:lang w:eastAsia="zh-CN"/>
        </w:rPr>
        <w:t>支付，其中施工合同价(暂列金额、专业工程暂估价、</w:t>
      </w:r>
      <w:r>
        <w:rPr>
          <w:rFonts w:hint="eastAsia" w:ascii="宋体" w:hAnsi="宋体" w:eastAsia="宋体" w:cs="宋体"/>
          <w:snapToGrid w:val="0"/>
          <w:color w:val="auto"/>
          <w:kern w:val="0"/>
          <w:sz w:val="24"/>
          <w:szCs w:val="20"/>
          <w:highlight w:val="none"/>
          <w:lang w:val="en-US" w:eastAsia="zh-CN"/>
        </w:rPr>
        <w:t>安全生产措施费除外</w:t>
      </w:r>
      <w:r>
        <w:rPr>
          <w:rFonts w:hint="eastAsia" w:ascii="宋体" w:hAnsi="宋体" w:eastAsia="宋体" w:cs="宋体"/>
          <w:snapToGrid w:val="0"/>
          <w:color w:val="auto"/>
          <w:kern w:val="0"/>
          <w:sz w:val="24"/>
          <w:szCs w:val="20"/>
          <w:highlight w:val="none"/>
          <w:lang w:eastAsia="zh-CN"/>
        </w:rPr>
        <w:t>)5%直接拨付至农民工工资专用账户且</w:t>
      </w:r>
      <w:r>
        <w:rPr>
          <w:rFonts w:hint="eastAsia" w:ascii="宋体" w:hAnsi="宋体" w:eastAsia="宋体" w:cs="宋体"/>
          <w:snapToGrid w:val="0"/>
          <w:color w:val="auto"/>
          <w:kern w:val="0"/>
          <w:sz w:val="24"/>
          <w:szCs w:val="20"/>
          <w:highlight w:val="none"/>
          <w:lang w:val="en-US" w:eastAsia="zh-CN"/>
        </w:rPr>
        <w:t>应留存至最后一期支付进度款时全额扣回。</w:t>
      </w:r>
    </w:p>
    <w:p w14:paraId="751D5DD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3.2.2</w:t>
      </w:r>
      <w:r>
        <w:rPr>
          <w:rFonts w:hint="eastAsia" w:ascii="宋体" w:hAnsi="宋体" w:eastAsia="宋体" w:cs="宋体"/>
          <w:snapToGrid w:val="0"/>
          <w:color w:val="auto"/>
          <w:kern w:val="0"/>
          <w:sz w:val="24"/>
          <w:szCs w:val="20"/>
          <w:highlight w:val="none"/>
          <w:lang w:eastAsia="zh-CN"/>
        </w:rPr>
        <w:t xml:space="preserve"> 本招标项目</w:t>
      </w:r>
      <w:r>
        <w:rPr>
          <w:rFonts w:hint="eastAsia" w:ascii="宋体" w:hAnsi="宋体" w:eastAsia="宋体" w:cs="宋体"/>
          <w:b/>
          <w:bCs/>
          <w:snapToGrid w:val="0"/>
          <w:color w:val="auto"/>
          <w:kern w:val="0"/>
          <w:sz w:val="24"/>
          <w:szCs w:val="20"/>
          <w:highlight w:val="none"/>
          <w:u w:val="single"/>
          <w:lang w:eastAsia="zh-CN"/>
        </w:rPr>
        <w:t xml:space="preserve"> 要求 </w:t>
      </w:r>
      <w:r>
        <w:rPr>
          <w:rFonts w:hint="eastAsia" w:ascii="宋体" w:hAnsi="宋体" w:eastAsia="宋体" w:cs="宋体"/>
          <w:snapToGrid w:val="0"/>
          <w:color w:val="auto"/>
          <w:kern w:val="0"/>
          <w:sz w:val="24"/>
          <w:szCs w:val="20"/>
          <w:highlight w:val="none"/>
          <w:lang w:eastAsia="zh-CN"/>
        </w:rPr>
        <w:t>承包人提供与预付款等额的预付款保函。</w:t>
      </w:r>
    </w:p>
    <w:p w14:paraId="3205B6D0">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3.2.3</w:t>
      </w:r>
      <w:r>
        <w:rPr>
          <w:rFonts w:hint="eastAsia" w:ascii="宋体" w:hAnsi="宋体" w:eastAsia="宋体" w:cs="宋体"/>
          <w:snapToGrid w:val="0"/>
          <w:color w:val="auto"/>
          <w:kern w:val="0"/>
          <w:sz w:val="24"/>
          <w:szCs w:val="20"/>
          <w:highlight w:val="none"/>
          <w:lang w:eastAsia="zh-CN"/>
        </w:rPr>
        <w:t xml:space="preserve"> 承包人应在签订合同后，</w:t>
      </w:r>
      <w:r>
        <w:rPr>
          <w:rFonts w:hint="eastAsia" w:ascii="宋体" w:hAnsi="宋体" w:eastAsia="宋体" w:cs="宋体"/>
          <w:b/>
          <w:bCs/>
          <w:snapToGrid w:val="0"/>
          <w:color w:val="auto"/>
          <w:kern w:val="0"/>
          <w:sz w:val="24"/>
          <w:szCs w:val="20"/>
          <w:highlight w:val="none"/>
          <w:lang w:eastAsia="zh-CN"/>
        </w:rPr>
        <w:t>在提供符合要求的预付款保函或预付款保险</w:t>
      </w:r>
      <w:r>
        <w:rPr>
          <w:rFonts w:hint="eastAsia" w:ascii="宋体" w:hAnsi="宋体" w:eastAsia="宋体" w:cs="宋体"/>
          <w:snapToGrid w:val="0"/>
          <w:color w:val="auto"/>
          <w:kern w:val="0"/>
          <w:sz w:val="24"/>
          <w:szCs w:val="20"/>
          <w:highlight w:val="none"/>
          <w:lang w:eastAsia="zh-CN"/>
        </w:rPr>
        <w:t>及具备施工条件的前提下，向发包人提交预付款支付申请。发包人应对在收到支付申请的</w:t>
      </w:r>
      <w:r>
        <w:rPr>
          <w:rFonts w:hint="eastAsia" w:ascii="宋体" w:hAnsi="宋体" w:eastAsia="宋体" w:cs="宋体"/>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天内进行核实后向承包人发出预付款支付证书，并在签发支付证书后的</w:t>
      </w:r>
      <w:r>
        <w:rPr>
          <w:rFonts w:hint="eastAsia" w:ascii="宋体" w:hAnsi="宋体" w:eastAsia="宋体" w:cs="宋体"/>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天内向承包人支付预付款。凡未签订合同或不具备施工条件的工程，发包人不得预付工程款。</w:t>
      </w:r>
    </w:p>
    <w:p w14:paraId="4D18566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b/>
          <w:bCs/>
          <w:snapToGrid w:val="0"/>
          <w:color w:val="auto"/>
          <w:kern w:val="0"/>
          <w:sz w:val="24"/>
          <w:szCs w:val="20"/>
          <w:highlight w:val="none"/>
          <w:lang w:val="en-US" w:eastAsia="zh-CN"/>
        </w:rPr>
        <w:t>4</w:t>
      </w:r>
      <w:r>
        <w:rPr>
          <w:rFonts w:hint="eastAsia" w:ascii="宋体" w:hAnsi="宋体" w:eastAsia="宋体" w:cs="宋体"/>
          <w:snapToGrid w:val="0"/>
          <w:color w:val="auto"/>
          <w:kern w:val="0"/>
          <w:sz w:val="24"/>
          <w:szCs w:val="20"/>
          <w:highlight w:val="none"/>
          <w:lang w:eastAsia="zh-CN"/>
        </w:rPr>
        <w:t xml:space="preserve"> 发包人没有按时支付预付款的，承包人可催告发包人支付；发包人在付款期满后的 7 天内仍未支付的，承包人可在付款期满后的第 8 天起暂停施工。发包人应向承包人支付应付款的利息（从付款期满后之日起计算，利率按同期银行贷款利率计算），并承担违约责任。</w:t>
      </w:r>
    </w:p>
    <w:p w14:paraId="71A18493">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val="en-US" w:eastAsia="zh-CN"/>
        </w:rPr>
      </w:pPr>
      <w:r>
        <w:rPr>
          <w:rFonts w:hint="eastAsia" w:ascii="宋体" w:hAnsi="宋体" w:eastAsia="宋体" w:cs="宋体"/>
          <w:b/>
          <w:bCs/>
          <w:snapToGrid w:val="0"/>
          <w:color w:val="auto"/>
          <w:kern w:val="0"/>
          <w:sz w:val="24"/>
          <w:szCs w:val="20"/>
          <w:highlight w:val="none"/>
          <w:lang w:val="en-US" w:eastAsia="zh-CN"/>
        </w:rPr>
        <w:t>3.2.5</w:t>
      </w:r>
      <w:r>
        <w:rPr>
          <w:rFonts w:hint="eastAsia" w:ascii="宋体" w:hAnsi="宋体" w:eastAsia="宋体" w:cs="宋体"/>
          <w:snapToGrid w:val="0"/>
          <w:color w:val="auto"/>
          <w:kern w:val="0"/>
          <w:sz w:val="24"/>
          <w:szCs w:val="20"/>
          <w:highlight w:val="none"/>
          <w:lang w:val="en-US" w:eastAsia="zh-CN"/>
        </w:rPr>
        <w:t xml:space="preserve"> 预付款应从每支付期应支付给承包人的工程进度款中扣回，直到扣回的金额达到合同约定的预付款金额为止。</w:t>
      </w:r>
    </w:p>
    <w:p w14:paraId="070C0CBD">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3.3</w:t>
      </w:r>
      <w:r>
        <w:rPr>
          <w:rFonts w:hint="eastAsia" w:ascii="宋体" w:hAnsi="宋体" w:eastAsia="宋体" w:cs="宋体"/>
          <w:snapToGrid w:val="0"/>
          <w:color w:val="auto"/>
          <w:kern w:val="0"/>
          <w:sz w:val="24"/>
          <w:szCs w:val="20"/>
          <w:highlight w:val="none"/>
          <w:lang w:eastAsia="zh-CN"/>
        </w:rPr>
        <w:t xml:space="preserve"> 施工过程中按月支付工程进度款：承包人每月按工程实际完成工程量（含变更及增加工程）申报，承包人必须将《已完成工程量报表》和《工程付款申请书》于当月26 日前报监理单位核实。经监理单位审核、发包人审定后的工程进度款（指已经按照合同约定，扣除该支付期内因承包人违约而应扣除的管理费），于申报次月支付。</w:t>
      </w:r>
    </w:p>
    <w:p w14:paraId="75B9AF6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3.4</w:t>
      </w:r>
      <w:r>
        <w:rPr>
          <w:rFonts w:hint="eastAsia" w:ascii="宋体" w:hAnsi="宋体" w:eastAsia="宋体" w:cs="宋体"/>
          <w:snapToGrid w:val="0"/>
          <w:color w:val="auto"/>
          <w:kern w:val="0"/>
          <w:sz w:val="24"/>
          <w:szCs w:val="20"/>
          <w:highlight w:val="none"/>
          <w:lang w:eastAsia="zh-CN"/>
        </w:rPr>
        <w:t xml:space="preserve"> 每月的工程进度款按工程实际完成工程量的 80% 申请支付，工程进度款中的作业工人工资款项由发包人单独足额拨付到承包人的工资专户（施工单位严格按照实际工程量编制进度款申请，确保数据真实、完整，确保农民工工资每月足额拨付，并确保在项目结算前农民工工资不拖欠）。</w:t>
      </w:r>
    </w:p>
    <w:p w14:paraId="3A73F845">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5</w:t>
      </w:r>
      <w:r>
        <w:rPr>
          <w:rFonts w:hint="eastAsia" w:ascii="宋体" w:hAnsi="宋体" w:eastAsia="宋体" w:cs="宋体"/>
          <w:snapToGrid w:val="0"/>
          <w:color w:val="auto"/>
          <w:kern w:val="0"/>
          <w:sz w:val="24"/>
          <w:szCs w:val="20"/>
          <w:highlight w:val="none"/>
          <w:lang w:eastAsia="zh-CN"/>
        </w:rPr>
        <w:t xml:space="preserve"> 措施项目费中的“安全生产措施费拨付按照《建设工程工程量清单计价标准》（GB/T50500一2024）执行，参照《关于印发&lt;广东省建设厅建筑工程安全防护、文明施工措施费用管理办法&gt;的通知》支付。承包人应在签订合同后，在项目开工、开通建设工程安措费专用账户、购买安全生产责任保险的前提下向发包人提交安全生产措施费中请，项目预付安全生产措施费总额的50%，其余部分应按照提前安排的原则进行分解，并与工程进度款同期支付。发承包双方在计算应付工程进度款时，预付款</w:t>
      </w:r>
      <w:r>
        <w:rPr>
          <w:rFonts w:hint="eastAsia" w:ascii="宋体" w:hAnsi="宋体" w:eastAsia="宋体" w:cs="宋体"/>
          <w:snapToGrid w:val="0"/>
          <w:color w:val="auto"/>
          <w:kern w:val="0"/>
          <w:sz w:val="24"/>
          <w:szCs w:val="20"/>
          <w:highlight w:val="none"/>
          <w:lang w:val="en-US" w:eastAsia="zh-CN"/>
        </w:rPr>
        <w:t>中</w:t>
      </w:r>
      <w:r>
        <w:rPr>
          <w:rFonts w:hint="eastAsia" w:ascii="宋体" w:hAnsi="宋体" w:eastAsia="宋体" w:cs="宋体"/>
          <w:snapToGrid w:val="0"/>
          <w:color w:val="auto"/>
          <w:kern w:val="0"/>
          <w:sz w:val="24"/>
          <w:szCs w:val="20"/>
          <w:highlight w:val="none"/>
          <w:lang w:eastAsia="zh-CN"/>
        </w:rPr>
        <w:t>不扣回安全生产措施费。安全生产措施费必须专款专用，并由发包人单独拨付到承包人的建设工程安全生产措施费专用账户。</w:t>
      </w:r>
    </w:p>
    <w:p w14:paraId="738F555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6</w:t>
      </w:r>
      <w:r>
        <w:rPr>
          <w:rFonts w:hint="eastAsia" w:ascii="宋体" w:hAnsi="宋体" w:eastAsia="宋体" w:cs="宋体"/>
          <w:snapToGrid w:val="0"/>
          <w:color w:val="auto"/>
          <w:kern w:val="0"/>
          <w:sz w:val="24"/>
          <w:szCs w:val="20"/>
          <w:highlight w:val="none"/>
          <w:lang w:eastAsia="zh-CN"/>
        </w:rPr>
        <w:t xml:space="preserve"> 变更工程造价必须经监理单位核实，并经发包人核定后方可支付。</w:t>
      </w:r>
    </w:p>
    <w:p w14:paraId="29EEE166">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 xml:space="preserve"> 工程款（预付款+累计支付进度款）支付至合同价款的80%时停止支付，结算审核完成后，</w:t>
      </w:r>
      <w:r>
        <w:rPr>
          <w:rFonts w:hint="eastAsia" w:ascii="宋体" w:hAnsi="宋体" w:eastAsia="宋体" w:cs="宋体"/>
          <w:snapToGrid w:val="0"/>
          <w:color w:val="auto"/>
          <w:kern w:val="0"/>
          <w:sz w:val="24"/>
          <w:szCs w:val="20"/>
          <w:highlight w:val="none"/>
          <w:lang w:val="en-US" w:eastAsia="zh-CN"/>
        </w:rPr>
        <w:t>可</w:t>
      </w:r>
      <w:r>
        <w:rPr>
          <w:rFonts w:hint="eastAsia" w:ascii="宋体" w:hAnsi="宋体" w:eastAsia="宋体" w:cs="宋体"/>
          <w:snapToGrid w:val="0"/>
          <w:color w:val="auto"/>
          <w:kern w:val="0"/>
          <w:sz w:val="24"/>
          <w:szCs w:val="20"/>
          <w:highlight w:val="none"/>
          <w:lang w:eastAsia="zh-CN"/>
        </w:rPr>
        <w:t>支付至合同价格的97%，剩余3%转为质量保证金；承包人提交了等额质量保证担保或质量保证保险的，</w:t>
      </w:r>
      <w:r>
        <w:rPr>
          <w:rFonts w:hint="eastAsia" w:ascii="宋体" w:hAnsi="宋体" w:eastAsia="宋体" w:cs="宋体"/>
          <w:snapToGrid w:val="0"/>
          <w:color w:val="auto"/>
          <w:kern w:val="0"/>
          <w:sz w:val="24"/>
          <w:szCs w:val="20"/>
          <w:highlight w:val="none"/>
          <w:lang w:val="en-US" w:eastAsia="zh-CN"/>
        </w:rPr>
        <w:t>可</w:t>
      </w:r>
      <w:r>
        <w:rPr>
          <w:rFonts w:hint="eastAsia" w:ascii="宋体" w:hAnsi="宋体" w:eastAsia="宋体" w:cs="宋体"/>
          <w:snapToGrid w:val="0"/>
          <w:color w:val="auto"/>
          <w:kern w:val="0"/>
          <w:sz w:val="24"/>
          <w:szCs w:val="20"/>
          <w:highlight w:val="none"/>
          <w:lang w:eastAsia="zh-CN"/>
        </w:rPr>
        <w:t>一次性结清合同价格。</w:t>
      </w:r>
    </w:p>
    <w:p w14:paraId="35128F0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8</w:t>
      </w:r>
      <w:r>
        <w:rPr>
          <w:rFonts w:hint="eastAsia" w:ascii="宋体" w:hAnsi="宋体" w:eastAsia="宋体" w:cs="宋体"/>
          <w:snapToGrid w:val="0"/>
          <w:color w:val="auto"/>
          <w:kern w:val="0"/>
          <w:sz w:val="24"/>
          <w:szCs w:val="20"/>
          <w:highlight w:val="none"/>
          <w:lang w:eastAsia="zh-CN"/>
        </w:rPr>
        <w:t>本招标项目缺陷责任期为</w:t>
      </w:r>
      <w:r>
        <w:rPr>
          <w:rFonts w:hint="eastAsia" w:ascii="宋体" w:hAnsi="宋体" w:eastAsia="宋体" w:cs="宋体"/>
          <w:snapToGrid w:val="0"/>
          <w:color w:val="auto"/>
          <w:kern w:val="0"/>
          <w:sz w:val="24"/>
          <w:szCs w:val="20"/>
          <w:highlight w:val="none"/>
          <w:u w:val="single"/>
          <w:lang w:val="en-US" w:eastAsia="zh-CN"/>
        </w:rPr>
        <w:t>2</w:t>
      </w:r>
      <w:r>
        <w:rPr>
          <w:rFonts w:hint="eastAsia" w:ascii="宋体" w:hAnsi="宋体" w:eastAsia="宋体" w:cs="宋体"/>
          <w:snapToGrid w:val="0"/>
          <w:color w:val="auto"/>
          <w:kern w:val="0"/>
          <w:sz w:val="24"/>
          <w:szCs w:val="20"/>
          <w:highlight w:val="none"/>
          <w:lang w:eastAsia="zh-CN"/>
        </w:rPr>
        <w:t xml:space="preserve"> 年（自通过竣工验收之日起计）。缺陷责任期到期后，承包人向发包人申请退还质量保证。发包人收到退还申请后，于</w:t>
      </w:r>
      <w:r>
        <w:rPr>
          <w:rFonts w:hint="eastAsia" w:ascii="宋体" w:hAnsi="宋体" w:eastAsia="宋体" w:cs="宋体"/>
          <w:snapToGrid w:val="0"/>
          <w:color w:val="auto"/>
          <w:kern w:val="0"/>
          <w:sz w:val="24"/>
          <w:szCs w:val="20"/>
          <w:highlight w:val="none"/>
          <w:u w:val="single"/>
          <w:lang w:eastAsia="zh-CN"/>
        </w:rPr>
        <w:t>14</w:t>
      </w:r>
      <w:r>
        <w:rPr>
          <w:rFonts w:hint="eastAsia" w:ascii="宋体" w:hAnsi="宋体" w:eastAsia="宋体" w:cs="宋体"/>
          <w:snapToGrid w:val="0"/>
          <w:color w:val="auto"/>
          <w:kern w:val="0"/>
          <w:sz w:val="24"/>
          <w:szCs w:val="20"/>
          <w:highlight w:val="none"/>
          <w:lang w:eastAsia="zh-CN"/>
        </w:rPr>
        <w:t>天内会同承包人进行核实。经双方核实且均无异议后，发包人在核实之日起</w:t>
      </w:r>
      <w:r>
        <w:rPr>
          <w:rFonts w:hint="eastAsia" w:ascii="宋体" w:hAnsi="宋体" w:eastAsia="宋体" w:cs="宋体"/>
          <w:snapToGrid w:val="0"/>
          <w:color w:val="auto"/>
          <w:kern w:val="0"/>
          <w:sz w:val="24"/>
          <w:szCs w:val="20"/>
          <w:highlight w:val="none"/>
          <w:u w:val="single"/>
          <w:lang w:eastAsia="zh-CN"/>
        </w:rPr>
        <w:t xml:space="preserve"> 14 </w:t>
      </w:r>
      <w:r>
        <w:rPr>
          <w:rFonts w:hint="eastAsia" w:ascii="宋体" w:hAnsi="宋体" w:eastAsia="宋体" w:cs="宋体"/>
          <w:snapToGrid w:val="0"/>
          <w:color w:val="auto"/>
          <w:kern w:val="0"/>
          <w:sz w:val="24"/>
          <w:szCs w:val="20"/>
          <w:highlight w:val="none"/>
          <w:lang w:eastAsia="zh-CN"/>
        </w:rPr>
        <w:t>天内将应返保证金（或银行保函）退还承包人。</w:t>
      </w:r>
    </w:p>
    <w:p w14:paraId="7B410B9A">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3.9</w:t>
      </w:r>
      <w:r>
        <w:rPr>
          <w:rFonts w:hint="eastAsia" w:ascii="宋体" w:hAnsi="宋体" w:eastAsia="宋体" w:cs="宋体"/>
          <w:snapToGrid w:val="0"/>
          <w:color w:val="auto"/>
          <w:kern w:val="0"/>
          <w:sz w:val="24"/>
          <w:szCs w:val="20"/>
          <w:highlight w:val="none"/>
          <w:lang w:eastAsia="zh-CN"/>
        </w:rPr>
        <w:t xml:space="preserve"> </w:t>
      </w:r>
      <w:r>
        <w:rPr>
          <w:rFonts w:hint="eastAsia" w:ascii="宋体" w:hAnsi="宋体" w:eastAsia="宋体" w:cs="宋体"/>
          <w:b/>
          <w:bCs/>
          <w:snapToGrid w:val="0"/>
          <w:color w:val="auto"/>
          <w:kern w:val="0"/>
          <w:sz w:val="24"/>
          <w:szCs w:val="20"/>
          <w:highlight w:val="none"/>
          <w:lang w:eastAsia="zh-CN"/>
        </w:rPr>
        <w:t>发包人每次支付工程款前，承包人均应提供有效的增值税专用发票。如果承包人无法提供符合要求的发票，由此造成的相应损失由承包人承担。</w:t>
      </w:r>
    </w:p>
    <w:p w14:paraId="79D37AA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10</w:t>
      </w:r>
      <w:r>
        <w:rPr>
          <w:rFonts w:hint="eastAsia" w:ascii="宋体" w:hAnsi="宋体" w:eastAsia="宋体" w:cs="宋体"/>
          <w:snapToGrid w:val="0"/>
          <w:color w:val="auto"/>
          <w:kern w:val="0"/>
          <w:sz w:val="24"/>
          <w:szCs w:val="20"/>
          <w:highlight w:val="none"/>
          <w:lang w:eastAsia="zh-CN"/>
        </w:rPr>
        <w:t>暂列金额支付方式：</w:t>
      </w:r>
      <w:r>
        <w:rPr>
          <w:rFonts w:hint="eastAsia" w:ascii="宋体" w:hAnsi="宋体" w:eastAsia="宋体" w:cs="宋体"/>
          <w:snapToGrid w:val="0"/>
          <w:color w:val="auto"/>
          <w:kern w:val="0"/>
          <w:sz w:val="24"/>
          <w:szCs w:val="20"/>
          <w:highlight w:val="none"/>
          <w:u w:val="single"/>
          <w:lang w:val="en-US" w:eastAsia="zh-CN"/>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中的变更签证部分暂停拨付。在暂列金额的范围内，最终经发包人委托的全过程造价咨询公司审核、发包人确认后支付至该部分实际完成工程量的80％，其余部分待结算完成审核后支付至97%，剩余3%为工程质量保修金。</w:t>
      </w:r>
    </w:p>
    <w:p w14:paraId="184A088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u w:val="single"/>
          <w:lang w:eastAsia="zh-CN"/>
        </w:rPr>
      </w:pPr>
      <w:r>
        <w:rPr>
          <w:rFonts w:hint="eastAsia" w:ascii="宋体" w:hAnsi="宋体" w:eastAsia="宋体" w:cs="宋体"/>
          <w:b/>
          <w:bCs/>
          <w:snapToGrid w:val="0"/>
          <w:color w:val="auto"/>
          <w:kern w:val="0"/>
          <w:sz w:val="24"/>
          <w:szCs w:val="20"/>
          <w:highlight w:val="none"/>
          <w:lang w:eastAsia="zh-CN"/>
        </w:rPr>
        <w:t>3.11</w:t>
      </w:r>
      <w:r>
        <w:rPr>
          <w:rFonts w:hint="eastAsia" w:ascii="宋体" w:hAnsi="宋体" w:eastAsia="宋体" w:cs="宋体"/>
          <w:snapToGrid w:val="0"/>
          <w:color w:val="auto"/>
          <w:kern w:val="0"/>
          <w:sz w:val="24"/>
          <w:szCs w:val="20"/>
          <w:highlight w:val="none"/>
          <w:lang w:eastAsia="zh-CN"/>
        </w:rPr>
        <w:t xml:space="preserve"> </w:t>
      </w:r>
      <w:r>
        <w:rPr>
          <w:rFonts w:hint="eastAsia" w:ascii="宋体" w:hAnsi="宋体" w:eastAsia="宋体" w:cs="宋体"/>
          <w:snapToGrid w:val="0"/>
          <w:color w:val="auto"/>
          <w:kern w:val="0"/>
          <w:sz w:val="24"/>
          <w:szCs w:val="20"/>
          <w:highlight w:val="none"/>
          <w:lang w:val="en-US" w:eastAsia="zh-CN"/>
        </w:rPr>
        <w:t>专业</w:t>
      </w:r>
      <w:r>
        <w:rPr>
          <w:rFonts w:hint="eastAsia" w:ascii="宋体" w:hAnsi="宋体" w:eastAsia="宋体" w:cs="宋体"/>
          <w:snapToGrid w:val="0"/>
          <w:color w:val="auto"/>
          <w:kern w:val="0"/>
          <w:sz w:val="24"/>
          <w:szCs w:val="20"/>
          <w:highlight w:val="none"/>
          <w:lang w:eastAsia="zh-CN"/>
        </w:rPr>
        <w:t>暂估价支付方式：</w:t>
      </w:r>
      <w:r>
        <w:rPr>
          <w:rFonts w:hint="eastAsia" w:ascii="宋体" w:hAnsi="宋体" w:eastAsia="宋体" w:cs="宋体"/>
          <w:snapToGrid w:val="0"/>
          <w:color w:val="auto"/>
          <w:kern w:val="0"/>
          <w:sz w:val="24"/>
          <w:szCs w:val="20"/>
          <w:highlight w:val="none"/>
          <w:u w:val="single"/>
          <w:lang w:eastAsia="zh-CN"/>
        </w:rPr>
        <w:t>专业工程暂估价与每个月的工程进度款一并报送，但需要列明详细项目内容，该部分专业工程暂估价按该部分实际完成工程量的50%支付，工程竣工验收合格后支付至8</w:t>
      </w:r>
      <w:r>
        <w:rPr>
          <w:rFonts w:hint="eastAsia" w:ascii="宋体" w:hAnsi="宋体" w:eastAsia="宋体" w:cs="宋体"/>
          <w:snapToGrid w:val="0"/>
          <w:color w:val="auto"/>
          <w:kern w:val="0"/>
          <w:sz w:val="24"/>
          <w:szCs w:val="20"/>
          <w:highlight w:val="none"/>
          <w:u w:val="single"/>
          <w:lang w:val="en-US" w:eastAsia="zh-CN"/>
        </w:rPr>
        <w:t>0</w:t>
      </w:r>
      <w:r>
        <w:rPr>
          <w:rFonts w:hint="eastAsia" w:ascii="宋体" w:hAnsi="宋体" w:eastAsia="宋体" w:cs="宋体"/>
          <w:snapToGrid w:val="0"/>
          <w:color w:val="auto"/>
          <w:kern w:val="0"/>
          <w:sz w:val="24"/>
          <w:szCs w:val="20"/>
          <w:highlight w:val="none"/>
          <w:u w:val="single"/>
          <w:lang w:eastAsia="zh-CN"/>
        </w:rPr>
        <w:t>%，剩余部分结算完成后支付至审定造价的97%，剩余3%为工程质量保修金。</w:t>
      </w:r>
    </w:p>
    <w:p w14:paraId="0DB87552">
      <w:pPr>
        <w:spacing w:before="154" w:line="212" w:lineRule="auto"/>
        <w:ind w:left="486"/>
        <w:outlineLvl w:val="2"/>
        <w:rPr>
          <w:rFonts w:hint="eastAsia" w:ascii="宋体" w:hAnsi="宋体" w:eastAsia="宋体" w:cs="宋体"/>
          <w:b/>
          <w:bCs/>
          <w:color w:val="auto"/>
          <w:spacing w:val="-7"/>
          <w:sz w:val="24"/>
          <w:szCs w:val="24"/>
          <w:highlight w:val="none"/>
        </w:rPr>
      </w:pPr>
      <w:bookmarkStart w:id="179" w:name="_Toc29229"/>
      <w:r>
        <w:rPr>
          <w:rFonts w:hint="eastAsia" w:ascii="宋体" w:hAnsi="宋体" w:eastAsia="宋体" w:cs="宋体"/>
          <w:b/>
          <w:bCs/>
          <w:color w:val="auto"/>
          <w:spacing w:val="-7"/>
          <w:sz w:val="24"/>
          <w:szCs w:val="24"/>
          <w:highlight w:val="none"/>
        </w:rPr>
        <w:t>4</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7"/>
          <w:sz w:val="24"/>
          <w:szCs w:val="24"/>
          <w:highlight w:val="none"/>
        </w:rPr>
        <w:t>．其他专用合同条款</w:t>
      </w:r>
      <w:bookmarkEnd w:id="179"/>
    </w:p>
    <w:p w14:paraId="01EFC9A1">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 </w:t>
      </w:r>
      <w:r>
        <w:rPr>
          <w:rFonts w:hint="eastAsia" w:ascii="宋体" w:hAnsi="宋体" w:eastAsia="宋体" w:cs="宋体"/>
          <w:bCs/>
          <w:snapToGrid w:val="0"/>
          <w:color w:val="auto"/>
          <w:kern w:val="0"/>
          <w:sz w:val="24"/>
          <w:szCs w:val="24"/>
          <w:highlight w:val="none"/>
          <w:lang w:val="en-US" w:eastAsia="zh-CN"/>
        </w:rPr>
        <w:t xml:space="preserve">专业工程分包 </w:t>
      </w:r>
    </w:p>
    <w:p w14:paraId="26A1ED5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 </w:t>
      </w:r>
    </w:p>
    <w:p w14:paraId="17734C5A">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w:t>
      </w:r>
      <w:r>
        <w:rPr>
          <w:rFonts w:hint="eastAsia" w:ascii="宋体" w:hAnsi="宋体" w:eastAsia="宋体" w:cs="宋体"/>
          <w:bCs/>
          <w:snapToGrid w:val="0"/>
          <w:color w:val="auto"/>
          <w:kern w:val="0"/>
          <w:sz w:val="24"/>
          <w:szCs w:val="24"/>
          <w:highlight w:val="none"/>
          <w:lang w:val="en-US" w:eastAsia="zh-CN"/>
        </w:rPr>
        <w:t xml:space="preserve"> 工人工资支付专用账户 </w:t>
      </w:r>
    </w:p>
    <w:p w14:paraId="5F615FD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  </w:t>
      </w:r>
    </w:p>
    <w:p w14:paraId="310B41B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 </w:t>
      </w:r>
    </w:p>
    <w:p w14:paraId="4C837173">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按韶关市人力资源和社会保障局、韶关市住房和城乡建设管理局、韶关市交通运输局韶关市水务局、韶关市金融工作局、国家金融监督管理总局韶关监管分局关于印发《韶关市工程建设领域农民工工资保证金管理实施细则》的通知(韶人社规〔2023〕2 号) 及《韶关市工程建设领域农民工工资保证金管理实施细则》（韶法审〔2023〕19 号）规定执行。承包人在签订工程施工承包合同后一个月内必须办妥该事项，并将办妥回执交发包人。 </w:t>
      </w:r>
    </w:p>
    <w:p w14:paraId="20A96B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 2 倍向发包人支付违约金。 </w:t>
      </w:r>
    </w:p>
    <w:p w14:paraId="04932DD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4.2.3 承包人应在工资专户开立后 2 个工作日内，将开户银行及其账号、开户协议等资料提交给发包人。 </w:t>
      </w:r>
    </w:p>
    <w:p w14:paraId="2EDDE0EC">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（1）用人单位应当在建设项目动工前，在建设项目所在地商业银行设立工人工资支付专用账户。 </w:t>
      </w:r>
    </w:p>
    <w:p w14:paraId="393F8C3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（2）用人单位应当在用工之日起 15 日内为每一位工人办理个人银行账户。</w:t>
      </w:r>
    </w:p>
    <w:p w14:paraId="5DB0DF8B">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（3）用人单位应当指定专人负责建设项目施工现场台账管理，真实、准确记录工人名册、劳务合同、劳动合同、工程进度、工时台账、劳务承包款和工人工资支付等信息， 并保存两年以上备查。 </w:t>
      </w:r>
    </w:p>
    <w:p w14:paraId="6EBACBFE">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（4）用人单位应当按照“及时支付，按实结算”的原则，在规定日期前通过银行工人 工资支付专用账户将工人工资直接支付到工人的个人银行账户，并按月将工人工资支付 明细表报施工总承包单位和建设单位备案。</w:t>
      </w:r>
    </w:p>
    <w:p w14:paraId="29039645">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 用人单位未建立、保存用工管理台账，或者伪造相关台账的，按照《广东省劳动保障监察条例》第五十条的规定，由人力资源社会保障部门责令改正，并可处以二千元以上二万元以下的人民币罚款。</w:t>
      </w:r>
    </w:p>
    <w:p w14:paraId="49350724">
      <w:pPr>
        <w:pStyle w:val="3"/>
        <w:rPr>
          <w:rFonts w:hint="default"/>
          <w:color w:val="auto"/>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 </w:t>
      </w:r>
      <w:r>
        <w:rPr>
          <w:rFonts w:hint="eastAsia" w:ascii="宋体" w:hAnsi="宋体" w:eastAsia="宋体" w:cs="宋体"/>
          <w:b/>
          <w:bCs w:val="0"/>
          <w:snapToGrid w:val="0"/>
          <w:color w:val="auto"/>
          <w:kern w:val="0"/>
          <w:sz w:val="24"/>
          <w:szCs w:val="24"/>
          <w:highlight w:val="none"/>
          <w:lang w:val="en-US" w:eastAsia="zh-CN"/>
        </w:rPr>
        <w:t xml:space="preserve">  4.2.4 根据《广东省住房和城乡建设厅关于印发《广东省在建房屋市政工程项目落实用工实名制和工资支付有关制度标准化管理手册》的通知》(粤建市[2026〕63号)规定，承包人须对照《手册》要求，从合同签订、开工准备、施工建设到完工的整个工程建设阶段用工实名制和工资支付规范化管理，预防和减少因保障农民工工资支付有关制度落实不严不细引发的欠薪纠纷和隐患，切实维护建筑业企业和建筑工人的合法权益。</w:t>
      </w:r>
    </w:p>
    <w:p w14:paraId="7635F55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4.2.5</w:t>
      </w:r>
      <w:r>
        <w:rPr>
          <w:rFonts w:hint="eastAsia" w:ascii="宋体" w:hAnsi="宋体" w:eastAsia="宋体" w:cs="宋体"/>
          <w:bCs/>
          <w:snapToGrid w:val="0"/>
          <w:color w:val="auto"/>
          <w:kern w:val="0"/>
          <w:sz w:val="24"/>
          <w:szCs w:val="24"/>
          <w:highlight w:val="none"/>
          <w:lang w:val="en-US" w:eastAsia="zh-CN"/>
        </w:rPr>
        <w:t xml:space="preserve">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 </w:t>
      </w:r>
    </w:p>
    <w:p w14:paraId="38A9E3E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4.3</w:t>
      </w:r>
      <w:r>
        <w:rPr>
          <w:rFonts w:hint="eastAsia" w:ascii="宋体" w:hAnsi="宋体" w:eastAsia="宋体" w:cs="宋体"/>
          <w:bCs/>
          <w:snapToGrid w:val="0"/>
          <w:color w:val="auto"/>
          <w:kern w:val="0"/>
          <w:sz w:val="24"/>
          <w:szCs w:val="24"/>
          <w:highlight w:val="none"/>
          <w:lang w:val="en-US" w:eastAsia="zh-CN"/>
        </w:rPr>
        <w:t xml:space="preserve"> 诚信登记 </w:t>
      </w:r>
    </w:p>
    <w:p w14:paraId="3C7D81E4">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根据资质管理规定，许可机关应当建立、健全建筑业企业信用档案管理制度，包括企业基本信息、资质、业绩、工程质量和安全、合同履约、社会投诉和违法行为等情况。 </w:t>
      </w:r>
    </w:p>
    <w:p w14:paraId="591F44E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w:t>
      </w:r>
      <w:r>
        <w:rPr>
          <w:rFonts w:hint="eastAsia" w:ascii="宋体" w:hAnsi="宋体" w:eastAsia="宋体" w:cs="宋体"/>
          <w:bCs/>
          <w:snapToGrid w:val="0"/>
          <w:color w:val="auto"/>
          <w:kern w:val="0"/>
          <w:sz w:val="24"/>
          <w:szCs w:val="24"/>
          <w:highlight w:val="none"/>
          <w:lang w:val="en-US" w:eastAsia="zh-CN"/>
        </w:rPr>
        <w:t xml:space="preserve"> 工期进度 </w:t>
      </w:r>
    </w:p>
    <w:p w14:paraId="5A7E027A">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4.4.1</w:t>
      </w:r>
      <w:r>
        <w:rPr>
          <w:rFonts w:hint="eastAsia" w:ascii="宋体" w:hAnsi="宋体" w:eastAsia="宋体" w:cs="宋体"/>
          <w:bCs/>
          <w:snapToGrid w:val="0"/>
          <w:color w:val="auto"/>
          <w:kern w:val="0"/>
          <w:sz w:val="24"/>
          <w:szCs w:val="24"/>
          <w:highlight w:val="none"/>
          <w:lang w:val="en-US" w:eastAsia="zh-CN"/>
        </w:rPr>
        <w:t xml:space="preserve"> 本招标项目施工标准工期为</w:t>
      </w:r>
      <w:r>
        <w:rPr>
          <w:rFonts w:hint="eastAsia" w:ascii="宋体" w:hAnsi="宋体" w:eastAsia="宋体" w:cs="宋体"/>
          <w:bCs/>
          <w:snapToGrid w:val="0"/>
          <w:color w:val="auto"/>
          <w:kern w:val="0"/>
          <w:sz w:val="24"/>
          <w:szCs w:val="24"/>
          <w:highlight w:val="none"/>
          <w:u w:val="single"/>
          <w:lang w:val="en-US" w:eastAsia="zh-CN"/>
        </w:rPr>
        <w:t>120</w:t>
      </w:r>
      <w:r>
        <w:rPr>
          <w:rFonts w:hint="eastAsia" w:ascii="宋体" w:hAnsi="宋体" w:eastAsia="宋体" w:cs="宋体"/>
          <w:bCs/>
          <w:snapToGrid w:val="0"/>
          <w:color w:val="auto"/>
          <w:kern w:val="0"/>
          <w:sz w:val="24"/>
          <w:szCs w:val="24"/>
          <w:highlight w:val="none"/>
          <w:lang w:val="en-US" w:eastAsia="zh-CN"/>
        </w:rPr>
        <w:t>个日历天，招标工期为</w:t>
      </w:r>
      <w:r>
        <w:rPr>
          <w:rFonts w:hint="eastAsia" w:ascii="宋体" w:hAnsi="宋体" w:eastAsia="宋体" w:cs="宋体"/>
          <w:bCs/>
          <w:snapToGrid w:val="0"/>
          <w:color w:val="auto"/>
          <w:kern w:val="0"/>
          <w:sz w:val="24"/>
          <w:szCs w:val="24"/>
          <w:highlight w:val="none"/>
          <w:u w:val="single"/>
          <w:lang w:val="en-US" w:eastAsia="zh-CN"/>
        </w:rPr>
        <w:t>120</w:t>
      </w:r>
      <w:r>
        <w:rPr>
          <w:rFonts w:hint="eastAsia" w:ascii="宋体" w:hAnsi="宋体" w:eastAsia="宋体" w:cs="宋体"/>
          <w:bCs/>
          <w:snapToGrid w:val="0"/>
          <w:color w:val="auto"/>
          <w:kern w:val="0"/>
          <w:sz w:val="24"/>
          <w:szCs w:val="24"/>
          <w:highlight w:val="none"/>
          <w:lang w:val="en-US" w:eastAsia="zh-CN"/>
        </w:rPr>
        <w:t xml:space="preserve">个日历天，承包人必须在招标工期内完成招标范围内的全部内容。 </w:t>
      </w:r>
    </w:p>
    <w:p w14:paraId="3AD3FEC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4.4.2</w:t>
      </w:r>
      <w:r>
        <w:rPr>
          <w:rFonts w:hint="eastAsia" w:ascii="宋体" w:hAnsi="宋体" w:eastAsia="宋体" w:cs="宋体"/>
          <w:bCs/>
          <w:snapToGrid w:val="0"/>
          <w:color w:val="auto"/>
          <w:kern w:val="0"/>
          <w:sz w:val="24"/>
          <w:szCs w:val="24"/>
          <w:highlight w:val="none"/>
          <w:lang w:val="en-US" w:eastAsia="zh-CN"/>
        </w:rPr>
        <w:t xml:space="preserve"> 施工工期从承包人收到监理单位签发的开工令之日起计，至竣工验收合格之日止。 </w:t>
      </w:r>
    </w:p>
    <w:p w14:paraId="744114A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4.4.3</w:t>
      </w:r>
      <w:r>
        <w:rPr>
          <w:rFonts w:hint="eastAsia" w:ascii="宋体" w:hAnsi="宋体" w:eastAsia="宋体" w:cs="宋体"/>
          <w:bCs/>
          <w:snapToGrid w:val="0"/>
          <w:color w:val="auto"/>
          <w:kern w:val="0"/>
          <w:sz w:val="24"/>
          <w:szCs w:val="24"/>
          <w:highlight w:val="none"/>
          <w:lang w:val="en-US" w:eastAsia="zh-CN"/>
        </w:rPr>
        <w:t xml:space="preserve"> 工期奖罚 </w:t>
      </w:r>
    </w:p>
    <w:p w14:paraId="2645B83E">
      <w:pPr>
        <w:adjustRightInd w:val="0"/>
        <w:snapToGrid w:val="0"/>
        <w:spacing w:line="440" w:lineRule="exact"/>
        <w:ind w:firstLine="480" w:firstLineChars="200"/>
        <w:rPr>
          <w:rFonts w:hint="default" w:ascii="宋体" w:hAnsi="宋体" w:eastAsia="宋体" w:cs="宋体"/>
          <w:bCs/>
          <w:snapToGrid w:val="0"/>
          <w:color w:val="auto"/>
          <w:kern w:val="0"/>
          <w:sz w:val="24"/>
          <w:szCs w:val="24"/>
          <w:highlight w:val="none"/>
          <w:u w:val="single"/>
          <w:lang w:val="en-US"/>
        </w:rPr>
      </w:pPr>
      <w:r>
        <w:rPr>
          <w:rFonts w:hint="eastAsia" w:ascii="宋体" w:hAnsi="宋体" w:eastAsia="宋体" w:cs="宋体"/>
          <w:bCs/>
          <w:snapToGrid w:val="0"/>
          <w:color w:val="auto"/>
          <w:kern w:val="0"/>
          <w:sz w:val="24"/>
          <w:szCs w:val="24"/>
          <w:highlight w:val="none"/>
          <w:lang w:val="en-US" w:eastAsia="zh-CN"/>
        </w:rPr>
        <w:t>□竣工验收合格交付使用每提前</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天竣工；奖</w:t>
      </w:r>
      <w:r>
        <w:rPr>
          <w:rFonts w:hint="eastAsia" w:ascii="宋体" w:hAnsi="宋体" w:eastAsia="宋体" w:cs="宋体"/>
          <w:bCs/>
          <w:snapToGrid w:val="0"/>
          <w:color w:val="auto"/>
          <w:kern w:val="0"/>
          <w:sz w:val="24"/>
          <w:szCs w:val="24"/>
          <w:highlight w:val="none"/>
          <w:u w:val="single"/>
          <w:lang w:val="en-US" w:eastAsia="zh-CN"/>
        </w:rPr>
        <w:t>/</w:t>
      </w:r>
    </w:p>
    <w:p w14:paraId="0536562A">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元，奖励金额不超过合同价款的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5CDEF152">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29A1CCA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□按施工合同期约定,因承包人原因延误工期</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天内不处罚， 自第壹天起每延误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天竣工,罚元。处罚金额不超过合同价款的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2%～5%）且不超过万元，累计延误工期达到</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天，报请建设行政主管部门作不良行为记录，非承包方原因或不可抗力造成延误的除外。 </w:t>
      </w:r>
    </w:p>
    <w:p w14:paraId="18751D9C">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☑其它说明：（1）因承包人原因，工程没有按期竣工时，承包人须在逾期第壹天起每天按合同价的 1‰ 向发包人返纳逾期竣工违约金。逾期竣工违约金的最高限额为合同价款的3%。</w:t>
      </w:r>
    </w:p>
    <w:p w14:paraId="07428277">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200元缴纳违约金给发包人，在结算中一并扣除。</w:t>
      </w:r>
    </w:p>
    <w:p w14:paraId="533F00A0">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（3）承包人在进场后7天内提交施工进度计划，并注明主要施工节点时间，送监理单位及发包人审核后，作为工期考核的阶段性指标。</w:t>
      </w:r>
    </w:p>
    <w:p w14:paraId="2CC5BC6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w:t>
      </w:r>
      <w:r>
        <w:rPr>
          <w:rFonts w:hint="eastAsia" w:ascii="宋体" w:hAnsi="宋体" w:eastAsia="宋体" w:cs="宋体"/>
          <w:bCs/>
          <w:snapToGrid w:val="0"/>
          <w:color w:val="auto"/>
          <w:kern w:val="0"/>
          <w:sz w:val="24"/>
          <w:szCs w:val="24"/>
          <w:highlight w:val="none"/>
          <w:lang w:val="en-US" w:eastAsia="zh-CN"/>
        </w:rPr>
        <w:t xml:space="preserve"> 项目管理机构 </w:t>
      </w:r>
    </w:p>
    <w:p w14:paraId="6FD38FDF">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4.5.1</w:t>
      </w:r>
      <w:r>
        <w:rPr>
          <w:rFonts w:hint="eastAsia" w:ascii="宋体" w:hAnsi="宋体" w:eastAsia="宋体" w:cs="宋体"/>
          <w:bCs/>
          <w:snapToGrid w:val="0"/>
          <w:color w:val="auto"/>
          <w:kern w:val="0"/>
          <w:sz w:val="24"/>
          <w:szCs w:val="24"/>
          <w:highlight w:val="none"/>
          <w:lang w:val="en-US" w:eastAsia="zh-CN"/>
        </w:rPr>
        <w:t xml:space="preserve"> 承包人派驻的项目管理班子成员必须为其投标文件确定的人员，否则发包人有权终止合同。 </w:t>
      </w:r>
    </w:p>
    <w:p w14:paraId="1D0EAE8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4.5.2</w:t>
      </w:r>
      <w:r>
        <w:rPr>
          <w:rFonts w:hint="eastAsia" w:ascii="宋体" w:hAnsi="宋体" w:eastAsia="宋体" w:cs="宋体"/>
          <w:bCs/>
          <w:snapToGrid w:val="0"/>
          <w:color w:val="auto"/>
          <w:kern w:val="0"/>
          <w:sz w:val="24"/>
          <w:szCs w:val="24"/>
          <w:highlight w:val="none"/>
          <w:lang w:val="en-US" w:eastAsia="zh-CN"/>
        </w:rPr>
        <w:t xml:space="preserve"> 项目管理班子成员不得擅自变更。其中，项目经理若有《广东省住房和城乡建设厅关于建设工程项目招标中标后监督检查的办法》（粤建市〔2009〕8 号，以下简称“《办法》”）第九条所述除外情形之一确需变更的，承包人应填写《建设工程项目管理班子变更情况报告表》（《办法》附件 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 </w:t>
      </w:r>
    </w:p>
    <w:p w14:paraId="77D16F4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w:t>
      </w:r>
      <w:r>
        <w:rPr>
          <w:rFonts w:hint="eastAsia" w:ascii="宋体" w:hAnsi="宋体" w:eastAsia="宋体" w:cs="宋体"/>
          <w:bCs/>
          <w:snapToGrid w:val="0"/>
          <w:color w:val="auto"/>
          <w:kern w:val="0"/>
          <w:sz w:val="24"/>
          <w:szCs w:val="24"/>
          <w:highlight w:val="none"/>
          <w:lang w:val="en-US" w:eastAsia="zh-CN"/>
        </w:rPr>
        <w:t xml:space="preserve"> 现场管理 </w:t>
      </w:r>
    </w:p>
    <w:p w14:paraId="1AA74039">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4.6.1</w:t>
      </w:r>
      <w:r>
        <w:rPr>
          <w:rFonts w:hint="eastAsia" w:ascii="宋体" w:hAnsi="宋体" w:eastAsia="宋体" w:cs="宋体"/>
          <w:bCs/>
          <w:snapToGrid w:val="0"/>
          <w:color w:val="auto"/>
          <w:kern w:val="0"/>
          <w:sz w:val="24"/>
          <w:szCs w:val="24"/>
          <w:highlight w:val="none"/>
          <w:lang w:val="en-US" w:eastAsia="zh-CN"/>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 </w:t>
      </w:r>
    </w:p>
    <w:p w14:paraId="329F79D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4.6.2</w:t>
      </w:r>
      <w:r>
        <w:rPr>
          <w:rFonts w:hint="eastAsia" w:ascii="宋体" w:hAnsi="宋体" w:eastAsia="宋体" w:cs="宋体"/>
          <w:bCs/>
          <w:snapToGrid w:val="0"/>
          <w:color w:val="auto"/>
          <w:kern w:val="0"/>
          <w:sz w:val="24"/>
          <w:szCs w:val="24"/>
          <w:highlight w:val="none"/>
          <w:lang w:val="en-US" w:eastAsia="zh-CN"/>
        </w:rPr>
        <w:t xml:space="preserve"> 承包人应按安全施工有关规定，采取严格、科学的安全防护措施，确保施工和人员（包括第三者）的安全，承担由于自身安全防护措施不力所造成的安全事故责任和发生的费用。 </w:t>
      </w:r>
    </w:p>
    <w:p w14:paraId="7853C315">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4.6.3</w:t>
      </w:r>
      <w:r>
        <w:rPr>
          <w:rFonts w:hint="eastAsia" w:ascii="宋体" w:hAnsi="宋体" w:eastAsia="宋体" w:cs="宋体"/>
          <w:bCs/>
          <w:snapToGrid w:val="0"/>
          <w:color w:val="auto"/>
          <w:kern w:val="0"/>
          <w:sz w:val="24"/>
          <w:szCs w:val="24"/>
          <w:highlight w:val="none"/>
          <w:lang w:val="en-US" w:eastAsia="zh-CN"/>
        </w:rPr>
        <w:t xml:space="preserve"> 为保证施工现场的环境卫生，承包人在本招标项目施工过程中，所有的车辆必须按发包人规定的行车路线行驶。 </w:t>
      </w:r>
    </w:p>
    <w:p w14:paraId="6C30F2D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4.7</w:t>
      </w:r>
      <w:r>
        <w:rPr>
          <w:rFonts w:hint="eastAsia" w:ascii="宋体" w:hAnsi="宋体" w:eastAsia="宋体" w:cs="宋体"/>
          <w:bCs/>
          <w:snapToGrid w:val="0"/>
          <w:color w:val="auto"/>
          <w:kern w:val="0"/>
          <w:sz w:val="24"/>
          <w:szCs w:val="24"/>
          <w:highlight w:val="none"/>
          <w:lang w:val="en-US" w:eastAsia="zh-CN"/>
        </w:rPr>
        <w:t xml:space="preserve"> 监督实施 </w:t>
      </w:r>
    </w:p>
    <w:p w14:paraId="7234F127">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须服从发包人对工程质量、进度、成本的全方位监督，施工中的年度计划、季度计划、月度计划、施工方案等应报送监理单位审批和发包人备案。施工中的质量保措施等资料均应及时报送监理单位和发包人备案。 </w:t>
      </w:r>
    </w:p>
    <w:p w14:paraId="633EA71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4.8</w:t>
      </w:r>
      <w:r>
        <w:rPr>
          <w:rFonts w:hint="eastAsia" w:ascii="宋体" w:hAnsi="宋体" w:eastAsia="宋体" w:cs="宋体"/>
          <w:bCs/>
          <w:snapToGrid w:val="0"/>
          <w:color w:val="auto"/>
          <w:kern w:val="0"/>
          <w:sz w:val="24"/>
          <w:szCs w:val="24"/>
          <w:highlight w:val="none"/>
          <w:lang w:val="en-US" w:eastAsia="zh-CN"/>
        </w:rPr>
        <w:t xml:space="preserve"> 主材的采购和使用 </w:t>
      </w:r>
    </w:p>
    <w:p w14:paraId="5DD11F32">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 </w:t>
      </w:r>
    </w:p>
    <w:p w14:paraId="18A1E2A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4.9 </w:t>
      </w:r>
      <w:r>
        <w:rPr>
          <w:rFonts w:hint="eastAsia" w:ascii="宋体" w:hAnsi="宋体" w:eastAsia="宋体" w:cs="宋体"/>
          <w:bCs/>
          <w:snapToGrid w:val="0"/>
          <w:color w:val="auto"/>
          <w:kern w:val="0"/>
          <w:sz w:val="24"/>
          <w:szCs w:val="24"/>
          <w:highlight w:val="none"/>
          <w:lang w:val="en-US" w:eastAsia="zh-CN"/>
        </w:rPr>
        <w:t xml:space="preserve">竣工资料移交 </w:t>
      </w:r>
    </w:p>
    <w:p w14:paraId="26BD64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项目竣工验收时，承包人应向监理单位和发包人提供符合国家档案部门备案要求的，编制成册的竣工图及有关的技术档案资料（含声像档案）一式份。 </w:t>
      </w:r>
    </w:p>
    <w:p w14:paraId="6CD1FDD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w:t>
      </w:r>
      <w:r>
        <w:rPr>
          <w:rFonts w:hint="eastAsia" w:ascii="宋体" w:hAnsi="宋体" w:eastAsia="宋体" w:cs="宋体"/>
          <w:bCs/>
          <w:snapToGrid w:val="0"/>
          <w:color w:val="auto"/>
          <w:kern w:val="0"/>
          <w:sz w:val="24"/>
          <w:szCs w:val="24"/>
          <w:highlight w:val="none"/>
          <w:lang w:val="en-US" w:eastAsia="zh-CN"/>
        </w:rPr>
        <w:t xml:space="preserve"> 质量保证</w:t>
      </w:r>
    </w:p>
    <w:p w14:paraId="707A6EB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4.10.1</w:t>
      </w:r>
      <w:r>
        <w:rPr>
          <w:rFonts w:hint="eastAsia" w:ascii="宋体" w:hAnsi="宋体" w:eastAsia="宋体" w:cs="宋体"/>
          <w:bCs/>
          <w:snapToGrid w:val="0"/>
          <w:color w:val="auto"/>
          <w:kern w:val="0"/>
          <w:sz w:val="24"/>
          <w:szCs w:val="24"/>
          <w:highlight w:val="none"/>
          <w:lang w:val="en-US" w:eastAsia="zh-CN"/>
        </w:rPr>
        <w:t xml:space="preserve"> 本招标项目缺陷责任期为</w:t>
      </w:r>
      <w:r>
        <w:rPr>
          <w:rFonts w:hint="eastAsia" w:ascii="宋体" w:hAnsi="宋体" w:eastAsia="宋体" w:cs="宋体"/>
          <w:bCs/>
          <w:snapToGrid w:val="0"/>
          <w:color w:val="auto"/>
          <w:kern w:val="0"/>
          <w:sz w:val="24"/>
          <w:szCs w:val="24"/>
          <w:highlight w:val="none"/>
          <w:u w:val="single"/>
          <w:lang w:val="en-US" w:eastAsia="zh-CN"/>
        </w:rPr>
        <w:t>2</w:t>
      </w:r>
      <w:r>
        <w:rPr>
          <w:rFonts w:hint="eastAsia" w:ascii="宋体" w:hAnsi="宋体" w:eastAsia="宋体" w:cs="宋体"/>
          <w:bCs/>
          <w:snapToGrid w:val="0"/>
          <w:color w:val="auto"/>
          <w:kern w:val="0"/>
          <w:sz w:val="24"/>
          <w:szCs w:val="24"/>
          <w:highlight w:val="none"/>
          <w:lang w:val="en-US" w:eastAsia="zh-CN"/>
        </w:rPr>
        <w:t>年（自通过竣工验收之日起计），在此期间预留金额为结算价</w:t>
      </w:r>
      <w:r>
        <w:rPr>
          <w:rFonts w:hint="eastAsia" w:ascii="宋体" w:hAnsi="宋体" w:eastAsia="宋体" w:cs="宋体"/>
          <w:bCs/>
          <w:snapToGrid w:val="0"/>
          <w:color w:val="auto"/>
          <w:kern w:val="0"/>
          <w:sz w:val="24"/>
          <w:szCs w:val="24"/>
          <w:highlight w:val="none"/>
          <w:u w:val="single"/>
          <w:lang w:val="en-US" w:eastAsia="zh-CN"/>
        </w:rPr>
        <w:t>3%</w:t>
      </w:r>
      <w:r>
        <w:rPr>
          <w:rFonts w:hint="eastAsia" w:ascii="宋体" w:hAnsi="宋体" w:eastAsia="宋体" w:cs="宋体"/>
          <w:bCs/>
          <w:snapToGrid w:val="0"/>
          <w:color w:val="auto"/>
          <w:kern w:val="0"/>
          <w:sz w:val="24"/>
          <w:szCs w:val="24"/>
          <w:highlight w:val="none"/>
          <w:lang w:val="en-US" w:eastAsia="zh-CN"/>
        </w:rPr>
        <w:t xml:space="preserve">的质量保证。 </w:t>
      </w:r>
    </w:p>
    <w:p w14:paraId="2398B991">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4.10.2</w:t>
      </w:r>
      <w:r>
        <w:rPr>
          <w:rFonts w:hint="eastAsia" w:ascii="宋体" w:hAnsi="宋体" w:eastAsia="宋体" w:cs="宋体"/>
          <w:bCs/>
          <w:snapToGrid w:val="0"/>
          <w:color w:val="auto"/>
          <w:kern w:val="0"/>
          <w:sz w:val="24"/>
          <w:szCs w:val="24"/>
          <w:highlight w:val="none"/>
          <w:lang w:val="en-US" w:eastAsia="zh-CN"/>
        </w:rPr>
        <w:t xml:space="preserve"> 质量保证的形式包括质量保证金、质量保证担保、质量保证保险三种，由承包人自主选择。 </w:t>
      </w:r>
    </w:p>
    <w:p w14:paraId="5B411B16">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（1）采用质量保证金形式的，在结清审定总造价时一次性扣留相应金额作为质量保证金。 </w:t>
      </w:r>
    </w:p>
    <w:p w14:paraId="1181DE18">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2）采用质量保证担保或质量保证保险的，承包人应在竣工验收时向发包人提交有效的商业保函、银行保函或保险合同（或保险单）原件，商业保函、银行保函或保险合同（或保险单）的有效期不得短于缺陷责任期。 </w:t>
      </w:r>
    </w:p>
    <w:p w14:paraId="52ED9B7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4.10.3</w:t>
      </w:r>
      <w:r>
        <w:rPr>
          <w:rFonts w:hint="eastAsia" w:ascii="宋体" w:hAnsi="宋体" w:eastAsia="宋体" w:cs="宋体"/>
          <w:bCs/>
          <w:snapToGrid w:val="0"/>
          <w:color w:val="auto"/>
          <w:kern w:val="0"/>
          <w:sz w:val="24"/>
          <w:szCs w:val="24"/>
          <w:highlight w:val="none"/>
          <w:lang w:val="en-US" w:eastAsia="zh-CN"/>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 </w:t>
      </w:r>
    </w:p>
    <w:p w14:paraId="67B762C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由他人原因造成的缺陷，发包人负责组织维修，承包人不承担费用，且发包人不得从质量保证中扣除费用。 </w:t>
      </w:r>
    </w:p>
    <w:p w14:paraId="0DABCA9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4.10.4</w:t>
      </w:r>
      <w:r>
        <w:rPr>
          <w:rFonts w:hint="eastAsia" w:ascii="宋体" w:hAnsi="宋体" w:eastAsia="宋体" w:cs="宋体"/>
          <w:bCs/>
          <w:snapToGrid w:val="0"/>
          <w:color w:val="auto"/>
          <w:kern w:val="0"/>
          <w:sz w:val="24"/>
          <w:szCs w:val="24"/>
          <w:highlight w:val="none"/>
          <w:lang w:val="en-US" w:eastAsia="zh-CN"/>
        </w:rPr>
        <w:t xml:space="preserve"> 缺陷责任期内，承包人应认真履行合同约定的责任。缺陷责任期到期后，承包人向发包人申请退还质量保证，发包人应按照《建设工程质量保证金管理办法》有关规定将质量保证退还给承包人。  </w:t>
      </w:r>
    </w:p>
    <w:p w14:paraId="0D018C9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4.11</w:t>
      </w:r>
      <w:r>
        <w:rPr>
          <w:rFonts w:hint="eastAsia" w:ascii="宋体" w:hAnsi="宋体" w:eastAsia="宋体" w:cs="宋体"/>
          <w:bCs/>
          <w:snapToGrid w:val="0"/>
          <w:color w:val="auto"/>
          <w:kern w:val="0"/>
          <w:sz w:val="24"/>
          <w:szCs w:val="24"/>
          <w:highlight w:val="none"/>
          <w:lang w:val="en-US" w:eastAsia="zh-CN"/>
        </w:rPr>
        <w:t xml:space="preserve"> 不良行为处理 </w:t>
      </w:r>
    </w:p>
    <w:p w14:paraId="68DC32D9">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及其有关人员有下列行为之一的，发包人应及时向建设行政主管部门报告。除按照有关法律、法规进行处罚外，不良行为将计入企业及有关个人诚信档案，并在韶关市住房和城乡建设管理局网站（http://zgj.sg.gov.cn）公示。 </w:t>
      </w:r>
    </w:p>
    <w:p w14:paraId="33521F9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（1）转包、违法分包或违反投标承诺分包工程的； </w:t>
      </w:r>
    </w:p>
    <w:p w14:paraId="495C334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（2）非原参加投标中标的项目经理负责组织施工或在实施过程中擅自更换项目经理的、项目的其他主要管理人员与中标文件确定的人员不相符的；</w:t>
      </w:r>
    </w:p>
    <w:p w14:paraId="10849C0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（3）投标文件确定的大型机械设备没有进入施工现场的； </w:t>
      </w:r>
    </w:p>
    <w:p w14:paraId="48E4FF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（4）与建设单位、监理单位串通，签认虚假工程量或工程造价的； </w:t>
      </w:r>
    </w:p>
    <w:p w14:paraId="3BF9C0FE">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（5）项目经理施工现场管理不到位的； </w:t>
      </w:r>
    </w:p>
    <w:p w14:paraId="2ECD3434">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（6）项目经理在非本人资格证书注册单位从事工程项目施工管理的； </w:t>
      </w:r>
    </w:p>
    <w:p w14:paraId="39ABD25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（7）项目经理同时承担超过一项工程项目的； </w:t>
      </w:r>
    </w:p>
    <w:p w14:paraId="02E9687E">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（8）违反有关法律、法规、规章规定的其它行为。 </w:t>
      </w:r>
    </w:p>
    <w:p w14:paraId="10E7EB8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4.12 </w:t>
      </w:r>
      <w:r>
        <w:rPr>
          <w:rFonts w:hint="eastAsia" w:ascii="宋体" w:hAnsi="宋体" w:eastAsia="宋体" w:cs="宋体"/>
          <w:bCs/>
          <w:snapToGrid w:val="0"/>
          <w:color w:val="auto"/>
          <w:kern w:val="0"/>
          <w:sz w:val="24"/>
          <w:szCs w:val="24"/>
          <w:highlight w:val="none"/>
          <w:lang w:val="en-US" w:eastAsia="zh-CN"/>
        </w:rPr>
        <w:t xml:space="preserve">信用评价条款内容 </w:t>
      </w:r>
    </w:p>
    <w:p w14:paraId="2337A1F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由发包人决定是否对施工单位的履约情况进行信用评价。若进行信用评价，评价条款由发包人自拟，条款内容可参考人员到位情况、服务配合程度、服务成果质量、项目后期服务及信用评价结果的运用等。 </w:t>
      </w:r>
    </w:p>
    <w:p w14:paraId="5C8044C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4.13</w:t>
      </w:r>
      <w:r>
        <w:rPr>
          <w:rFonts w:hint="eastAsia" w:ascii="宋体" w:hAnsi="宋体" w:eastAsia="宋体" w:cs="宋体"/>
          <w:bCs/>
          <w:snapToGrid w:val="0"/>
          <w:color w:val="auto"/>
          <w:kern w:val="0"/>
          <w:sz w:val="24"/>
          <w:szCs w:val="24"/>
          <w:highlight w:val="none"/>
          <w:lang w:val="en-US" w:eastAsia="zh-CN"/>
        </w:rPr>
        <w:t xml:space="preserve"> 危险性较大的分部分项工程安全管理约定 。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 </w:t>
      </w:r>
    </w:p>
    <w:p w14:paraId="218A791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承包人应根据《危险性较大的分部分项工程安全管理规定》（住房城乡建设部令第 37 号）、《住房城乡建设部办公厅关于实施&lt;危险性较大的分部分项工程安全管理规定&gt;有关问题的通知》（建办质〔2018〕31 号）、《广东省住房和城乡建设厅关于房屋市政工程危险性较大的分部分项工程安全管理的实施细则的通知》(粤建规范〔2019〕2 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 </w:t>
      </w:r>
    </w:p>
    <w:p w14:paraId="57F2618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4.14</w:t>
      </w:r>
      <w:r>
        <w:rPr>
          <w:rFonts w:hint="eastAsia" w:ascii="宋体" w:hAnsi="宋体" w:eastAsia="宋体" w:cs="宋体"/>
          <w:bCs/>
          <w:snapToGrid w:val="0"/>
          <w:color w:val="auto"/>
          <w:kern w:val="0"/>
          <w:sz w:val="24"/>
          <w:szCs w:val="24"/>
          <w:highlight w:val="none"/>
          <w:lang w:val="en-US" w:eastAsia="zh-CN"/>
        </w:rPr>
        <w:t xml:space="preserve"> 承包人在工程实施过程中，按照国家、省、市的相关规定制定相关的专项安全施工方案（如高支模、基坑支护、沉井等），编制专项施工方案报监理人、发包人审批后方可开展专项工程的施工。 </w:t>
      </w:r>
    </w:p>
    <w:p w14:paraId="451FCAB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4.15</w:t>
      </w:r>
      <w:r>
        <w:rPr>
          <w:rFonts w:hint="eastAsia" w:ascii="宋体" w:hAnsi="宋体" w:eastAsia="宋体" w:cs="宋体"/>
          <w:bCs/>
          <w:snapToGrid w:val="0"/>
          <w:color w:val="auto"/>
          <w:kern w:val="0"/>
          <w:sz w:val="24"/>
          <w:szCs w:val="24"/>
          <w:highlight w:val="none"/>
          <w:lang w:val="en-US" w:eastAsia="zh-CN"/>
        </w:rPr>
        <w:t xml:space="preserve"> 承包人须按照《韶关市建筑垃圾管理条例》（2021 年 5 月 1 日起施行），将弃土运至发包人指定的场所，否则发包人有权要求承包人无条件将弃土从违约弃土点运至发包人指定的场所并扣除违约金人民币</w:t>
      </w:r>
      <w:r>
        <w:rPr>
          <w:rFonts w:hint="eastAsia" w:ascii="宋体" w:hAnsi="宋体" w:eastAsia="宋体" w:cs="宋体"/>
          <w:color w:val="auto"/>
          <w:kern w:val="2"/>
          <w:sz w:val="24"/>
          <w:szCs w:val="24"/>
          <w:highlight w:val="none"/>
          <w:u w:val="single"/>
          <w:shd w:val="clear" w:color="auto" w:fill="FFFFFF"/>
          <w:lang w:val="en-US" w:eastAsia="zh-CN" w:bidi="ar-SA"/>
        </w:rPr>
        <w:t xml:space="preserve"> 200</w:t>
      </w:r>
      <w:r>
        <w:rPr>
          <w:rFonts w:hint="eastAsia" w:ascii="宋体" w:hAnsi="宋体" w:eastAsia="宋体" w:cs="宋体"/>
          <w:bCs/>
          <w:snapToGrid w:val="0"/>
          <w:color w:val="auto"/>
          <w:kern w:val="0"/>
          <w:sz w:val="24"/>
          <w:szCs w:val="24"/>
          <w:highlight w:val="none"/>
          <w:lang w:val="en-US" w:eastAsia="zh-CN"/>
        </w:rPr>
        <w:t xml:space="preserve">元/次。承包人对建筑垃圾须按《韶关市建筑垃圾管理条例》（2021 年 5 月 1 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 </w:t>
      </w:r>
    </w:p>
    <w:p w14:paraId="6BC77ED9">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4.16 </w:t>
      </w:r>
      <w:r>
        <w:rPr>
          <w:rFonts w:hint="eastAsia" w:ascii="宋体" w:hAnsi="宋体" w:eastAsia="宋体" w:cs="宋体"/>
          <w:bCs/>
          <w:snapToGrid w:val="0"/>
          <w:color w:val="auto"/>
          <w:kern w:val="0"/>
          <w:sz w:val="24"/>
          <w:szCs w:val="24"/>
          <w:highlight w:val="none"/>
          <w:lang w:val="en-US" w:eastAsia="zh-CN"/>
        </w:rPr>
        <w:t xml:space="preserve">工程竣工验收后 15 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 </w:t>
      </w:r>
    </w:p>
    <w:p w14:paraId="2105B66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4.17</w:t>
      </w:r>
      <w:r>
        <w:rPr>
          <w:rFonts w:hint="eastAsia" w:ascii="宋体" w:hAnsi="宋体" w:eastAsia="宋体" w:cs="宋体"/>
          <w:bCs/>
          <w:snapToGrid w:val="0"/>
          <w:color w:val="auto"/>
          <w:kern w:val="0"/>
          <w:sz w:val="24"/>
          <w:szCs w:val="24"/>
          <w:highlight w:val="none"/>
          <w:lang w:val="en-US" w:eastAsia="zh-CN"/>
        </w:rPr>
        <w:t xml:space="preserve"> 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w:t>
      </w:r>
    </w:p>
    <w:p w14:paraId="56FD5FA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4.17.1 </w:t>
      </w:r>
      <w:r>
        <w:rPr>
          <w:rFonts w:hint="eastAsia" w:ascii="宋体" w:hAnsi="宋体" w:eastAsia="宋体" w:cs="宋体"/>
          <w:bCs/>
          <w:snapToGrid w:val="0"/>
          <w:color w:val="auto"/>
          <w:kern w:val="0"/>
          <w:sz w:val="24"/>
          <w:szCs w:val="24"/>
          <w:highlight w:val="none"/>
          <w:lang w:val="en-US" w:eastAsia="zh-CN"/>
        </w:rPr>
        <w:t>承包人在施工阶段应做好水土保持工作，相关费用承包人自行考虑在投标报价中。</w:t>
      </w:r>
    </w:p>
    <w:p w14:paraId="377C83C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4.18</w:t>
      </w:r>
      <w:r>
        <w:rPr>
          <w:rFonts w:hint="eastAsia" w:ascii="宋体" w:hAnsi="宋体" w:eastAsia="宋体" w:cs="宋体"/>
          <w:bCs/>
          <w:snapToGrid w:val="0"/>
          <w:color w:val="auto"/>
          <w:kern w:val="0"/>
          <w:sz w:val="24"/>
          <w:szCs w:val="24"/>
          <w:highlight w:val="none"/>
          <w:lang w:val="en-US" w:eastAsia="zh-CN"/>
        </w:rPr>
        <w:t xml:space="preserve"> 承包人中标后必须按规定及时缴交工人工资保证金、环保噪声排污费等。 </w:t>
      </w:r>
    </w:p>
    <w:p w14:paraId="0DCEA18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4.19</w:t>
      </w:r>
      <w:r>
        <w:rPr>
          <w:rFonts w:hint="eastAsia" w:ascii="宋体" w:hAnsi="宋体" w:eastAsia="宋体" w:cs="宋体"/>
          <w:bCs/>
          <w:snapToGrid w:val="0"/>
          <w:color w:val="auto"/>
          <w:kern w:val="0"/>
          <w:sz w:val="24"/>
          <w:szCs w:val="24"/>
          <w:highlight w:val="none"/>
          <w:lang w:val="en-US" w:eastAsia="zh-CN"/>
        </w:rPr>
        <w:t xml:space="preserve"> 工程质量保修期按《中华人民共和国建筑法》、《建设工程质量管理条例》等相关规定实施。 </w:t>
      </w:r>
    </w:p>
    <w:p w14:paraId="6C12C69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4.20</w:t>
      </w:r>
      <w:r>
        <w:rPr>
          <w:rFonts w:hint="eastAsia" w:ascii="宋体" w:hAnsi="宋体" w:eastAsia="宋体" w:cs="宋体"/>
          <w:bCs/>
          <w:snapToGrid w:val="0"/>
          <w:color w:val="auto"/>
          <w:kern w:val="0"/>
          <w:sz w:val="24"/>
          <w:szCs w:val="24"/>
          <w:highlight w:val="none"/>
          <w:lang w:val="en-US" w:eastAsia="zh-CN"/>
        </w:rPr>
        <w:t xml:space="preserve"> 如项目实施过程中发生了工程变更及工程签证，承包人需根据发包人发布的《工程变更管理办法》和《工程签证管理办法》完善工程变更签证相关程序。 </w:t>
      </w:r>
    </w:p>
    <w:p w14:paraId="7C2DFF9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承包人需按相关规定要求，设置本工程符合相关要求的永久性标牌及规划公示牌，投标人在投标报价时综合考虑在报价内，发包人不另行支付该部分费用。 </w:t>
      </w:r>
    </w:p>
    <w:p w14:paraId="5D272057">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承包人应在项目所在地住建管理部门办理诚信登记，发包人将严格按住建管理部门诚信登记管理办法对承包人履约情况进行考核。 </w:t>
      </w:r>
    </w:p>
    <w:p w14:paraId="091BEF8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4.23</w:t>
      </w:r>
      <w:r>
        <w:rPr>
          <w:rFonts w:hint="eastAsia" w:ascii="宋体" w:hAnsi="宋体" w:eastAsia="宋体" w:cs="宋体"/>
          <w:bCs/>
          <w:snapToGrid w:val="0"/>
          <w:color w:val="auto"/>
          <w:kern w:val="0"/>
          <w:sz w:val="24"/>
          <w:szCs w:val="24"/>
          <w:highlight w:val="none"/>
          <w:lang w:val="en-US" w:eastAsia="zh-CN"/>
        </w:rPr>
        <w:t xml:space="preserve"> 承包人应按韶关市住房和城乡建设管理局、韶关市人力资源和社会保障局等职能部门对用工实名制的相关规定,落实工人及相关软硬件设施要求。</w:t>
      </w:r>
    </w:p>
    <w:p w14:paraId="17EB941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w:t>
      </w:r>
      <w:r>
        <w:rPr>
          <w:rFonts w:hint="eastAsia" w:ascii="宋体" w:hAnsi="宋体" w:eastAsia="宋体" w:cs="宋体"/>
          <w:bCs/>
          <w:snapToGrid w:val="0"/>
          <w:color w:val="auto"/>
          <w:kern w:val="0"/>
          <w:sz w:val="24"/>
          <w:szCs w:val="24"/>
          <w:highlight w:val="none"/>
          <w:lang w:val="en-US" w:eastAsia="zh-CN"/>
        </w:rPr>
        <w:t xml:space="preserve"> 质量违约</w:t>
      </w:r>
    </w:p>
    <w:p w14:paraId="1242688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4.24.1</w:t>
      </w:r>
      <w:r>
        <w:rPr>
          <w:rFonts w:hint="eastAsia" w:ascii="宋体" w:hAnsi="宋体" w:eastAsia="宋体" w:cs="宋体"/>
          <w:bCs/>
          <w:snapToGrid w:val="0"/>
          <w:color w:val="auto"/>
          <w:kern w:val="0"/>
          <w:sz w:val="24"/>
          <w:szCs w:val="24"/>
          <w:highlight w:val="none"/>
          <w:lang w:val="en-US" w:eastAsia="zh-CN"/>
        </w:rPr>
        <w:t xml:space="preserve">材料违约处理：若发现材料不符合国家标准或发包人在技术规范中规定的标准， </w:t>
      </w:r>
    </w:p>
    <w:p w14:paraId="0ED3797B">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视为承包人违约，按现行《建设工程质量管理条例》处理。 </w:t>
      </w:r>
    </w:p>
    <w:p w14:paraId="25255EB5">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4.24.1.1</w:t>
      </w:r>
      <w:r>
        <w:rPr>
          <w:rFonts w:hint="eastAsia" w:ascii="宋体" w:hAnsi="宋体" w:eastAsia="宋体" w:cs="宋体"/>
          <w:bCs/>
          <w:snapToGrid w:val="0"/>
          <w:color w:val="auto"/>
          <w:kern w:val="0"/>
          <w:sz w:val="24"/>
          <w:szCs w:val="24"/>
          <w:highlight w:val="none"/>
          <w:lang w:val="en-US" w:eastAsia="zh-CN"/>
        </w:rPr>
        <w:t xml:space="preserve"> 成品采购项目在采购前，承包人必须先行书面征求监理人、发包人的同意并 </w:t>
      </w:r>
    </w:p>
    <w:p w14:paraId="42E52D8F">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一起看样定版后方能实施。未经监理人、发包人同意擅自先行采购和实施的，否则因不符 </w:t>
      </w:r>
    </w:p>
    <w:p w14:paraId="2F28E572">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合设计要求返工造成的费用由承包人承担。</w:t>
      </w:r>
    </w:p>
    <w:p w14:paraId="63226B74">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w:t>
      </w:r>
      <w:r>
        <w:rPr>
          <w:rFonts w:hint="eastAsia" w:ascii="宋体" w:hAnsi="宋体" w:eastAsia="宋体" w:cs="宋体"/>
          <w:b w:val="0"/>
          <w:bCs/>
          <w:snapToGrid w:val="0"/>
          <w:color w:val="auto"/>
          <w:kern w:val="0"/>
          <w:sz w:val="24"/>
          <w:szCs w:val="24"/>
          <w:highlight w:val="none"/>
          <w:lang w:val="en-US" w:eastAsia="zh-CN"/>
        </w:rPr>
        <w:t xml:space="preserve">工程质量违约： </w:t>
      </w:r>
    </w:p>
    <w:p w14:paraId="66F205BC">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4.24.2.1</w:t>
      </w:r>
      <w:r>
        <w:rPr>
          <w:rFonts w:hint="eastAsia" w:ascii="宋体" w:hAnsi="宋体" w:eastAsia="宋体" w:cs="宋体"/>
          <w:b w:val="0"/>
          <w:bCs/>
          <w:snapToGrid w:val="0"/>
          <w:color w:val="auto"/>
          <w:kern w:val="0"/>
          <w:sz w:val="24"/>
          <w:szCs w:val="24"/>
          <w:highlight w:val="none"/>
          <w:lang w:val="en-US" w:eastAsia="zh-CN"/>
        </w:rPr>
        <w:t xml:space="preserve"> 在施工过程中经监理单位日常巡查或抽检发现未达到合格标准，责令承包人进 </w:t>
      </w:r>
    </w:p>
    <w:p w14:paraId="7E5E1749">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行整改，如未按规定时间进行整改或整改不到位的，每次按1000元缴纳违约金给发包人，在进度款或结算款中一并扣除。 </w:t>
      </w:r>
    </w:p>
    <w:p w14:paraId="14F3C3FF">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4.24.2.2</w:t>
      </w:r>
      <w:r>
        <w:rPr>
          <w:rFonts w:hint="eastAsia" w:ascii="宋体" w:hAnsi="宋体" w:eastAsia="宋体" w:cs="宋体"/>
          <w:b w:val="0"/>
          <w:bCs/>
          <w:snapToGrid w:val="0"/>
          <w:color w:val="auto"/>
          <w:kern w:val="0"/>
          <w:sz w:val="24"/>
          <w:szCs w:val="24"/>
          <w:highlight w:val="none"/>
          <w:lang w:val="en-US" w:eastAsia="zh-CN"/>
        </w:rPr>
        <w:t xml:space="preserve"> 工程质量标准须达到国家验收合格标准。如未达到合格标准，除无偿返工至合 </w:t>
      </w:r>
    </w:p>
    <w:p w14:paraId="69E40686">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格外，还要按合同价款的 1%向招标人支付质量违约金，工期不予顺延。 </w:t>
      </w:r>
    </w:p>
    <w:p w14:paraId="4C313533">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w:t>
      </w:r>
      <w:r>
        <w:rPr>
          <w:rFonts w:hint="eastAsia" w:ascii="宋体" w:hAnsi="宋体" w:eastAsia="宋体" w:cs="宋体"/>
          <w:b w:val="0"/>
          <w:bCs/>
          <w:snapToGrid w:val="0"/>
          <w:color w:val="auto"/>
          <w:kern w:val="0"/>
          <w:sz w:val="24"/>
          <w:szCs w:val="24"/>
          <w:highlight w:val="none"/>
          <w:lang w:val="en-US" w:eastAsia="zh-CN"/>
        </w:rPr>
        <w:t xml:space="preserve"> 重大责任事故违约 </w:t>
      </w:r>
    </w:p>
    <w:p w14:paraId="34BBCA0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4.25.1</w:t>
      </w:r>
      <w:r>
        <w:rPr>
          <w:rFonts w:hint="eastAsia" w:ascii="宋体" w:hAnsi="宋体" w:eastAsia="宋体" w:cs="宋体"/>
          <w:b w:val="0"/>
          <w:bCs/>
          <w:snapToGrid w:val="0"/>
          <w:color w:val="auto"/>
          <w:kern w:val="0"/>
          <w:sz w:val="24"/>
          <w:szCs w:val="24"/>
          <w:highlight w:val="none"/>
          <w:lang w:val="en-US" w:eastAsia="zh-CN"/>
        </w:rPr>
        <w:t xml:space="preserve"> 承包人因违反国家安全质量法规及合同有关条款约定,出现火灾、坍塌、人员重 </w:t>
      </w:r>
    </w:p>
    <w:p w14:paraId="6CC212DE">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伤、死亡等重大责任事故,则承包人应承担全部损失,并按相关法规接受行政处罚；如造成发 </w:t>
      </w:r>
    </w:p>
    <w:p w14:paraId="02D16D14">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包人及对第三人利益的损害,该等损害赔偿责任均由承包人承担。 </w:t>
      </w:r>
    </w:p>
    <w:p w14:paraId="1554D55D">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w:t>
      </w:r>
      <w:r>
        <w:rPr>
          <w:rFonts w:hint="eastAsia" w:ascii="宋体" w:hAnsi="宋体" w:eastAsia="宋体" w:cs="宋体"/>
          <w:b w:val="0"/>
          <w:bCs/>
          <w:snapToGrid w:val="0"/>
          <w:color w:val="auto"/>
          <w:kern w:val="0"/>
          <w:sz w:val="24"/>
          <w:szCs w:val="24"/>
          <w:highlight w:val="none"/>
          <w:lang w:val="en-US" w:eastAsia="zh-CN"/>
        </w:rPr>
        <w:t xml:space="preserve"> 用工违约 </w:t>
      </w:r>
    </w:p>
    <w:p w14:paraId="3FBE233E">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4.26.1</w:t>
      </w:r>
      <w:r>
        <w:rPr>
          <w:rFonts w:hint="eastAsia" w:ascii="宋体" w:hAnsi="宋体" w:eastAsia="宋体" w:cs="宋体"/>
          <w:b w:val="0"/>
          <w:bCs/>
          <w:snapToGrid w:val="0"/>
          <w:color w:val="auto"/>
          <w:kern w:val="0"/>
          <w:sz w:val="24"/>
          <w:szCs w:val="24"/>
          <w:highlight w:val="none"/>
          <w:lang w:val="en-US" w:eastAsia="zh-CN"/>
        </w:rPr>
        <w:t xml:space="preserve"> 在合同履行期间，如经查实承包人拖欠或克扣农民工或劳务工工资，导致劳资纠纷或发生危及公共安全或正常社会秩序的事件的，按承包人违约处理，承包人应按拖欠或克 </w:t>
      </w:r>
    </w:p>
    <w:p w14:paraId="6458EA94">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扣农民工工资总金额 2 倍的标准向发包人缴纳惩罚性违约金。 </w:t>
      </w:r>
    </w:p>
    <w:p w14:paraId="17ADCC6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4.27</w:t>
      </w:r>
      <w:r>
        <w:rPr>
          <w:rFonts w:hint="eastAsia" w:ascii="宋体" w:hAnsi="宋体" w:eastAsia="宋体" w:cs="宋体"/>
          <w:b w:val="0"/>
          <w:bCs/>
          <w:snapToGrid w:val="0"/>
          <w:color w:val="auto"/>
          <w:kern w:val="0"/>
          <w:sz w:val="24"/>
          <w:szCs w:val="24"/>
          <w:highlight w:val="none"/>
          <w:lang w:val="en-US" w:eastAsia="zh-CN"/>
        </w:rPr>
        <w:t xml:space="preserve"> 安全文明施工违约 </w:t>
      </w:r>
    </w:p>
    <w:p w14:paraId="08A3B46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4.27.1</w:t>
      </w:r>
      <w:r>
        <w:rPr>
          <w:rFonts w:hint="eastAsia" w:ascii="宋体" w:hAnsi="宋体" w:eastAsia="宋体" w:cs="宋体"/>
          <w:b w:val="0"/>
          <w:bCs/>
          <w:snapToGrid w:val="0"/>
          <w:color w:val="auto"/>
          <w:kern w:val="0"/>
          <w:sz w:val="24"/>
          <w:szCs w:val="24"/>
          <w:highlight w:val="none"/>
          <w:lang w:val="en-US" w:eastAsia="zh-CN"/>
        </w:rPr>
        <w:t xml:space="preserve"> 如承包人违反国家、广东省、发包人及合同关于安全文明施工的规定，但尚未造 </w:t>
      </w:r>
    </w:p>
    <w:p w14:paraId="7E77E40D">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成安全责任事故，承包人应及时改正行为并赔偿相关方的损失，如未及时整改，针对每一违约 </w:t>
      </w:r>
    </w:p>
    <w:p w14:paraId="3DA27048">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行为应缴纳违约金1000元。</w:t>
      </w:r>
    </w:p>
    <w:p w14:paraId="0F875A79">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.2</w:t>
      </w:r>
      <w:r>
        <w:rPr>
          <w:rFonts w:hint="default" w:ascii="宋体" w:hAnsi="宋体" w:eastAsia="宋体" w:cs="宋体"/>
          <w:b w:val="0"/>
          <w:bCs/>
          <w:snapToGrid w:val="0"/>
          <w:color w:val="auto"/>
          <w:kern w:val="0"/>
          <w:sz w:val="24"/>
          <w:szCs w:val="24"/>
          <w:highlight w:val="none"/>
          <w:lang w:val="en-US" w:eastAsia="zh-CN"/>
        </w:rPr>
        <w:t xml:space="preserve"> 承包人必须接受发包人及监理单位组织的安全、文明施工的检查，检查中的不合 </w:t>
      </w:r>
    </w:p>
    <w:p w14:paraId="5D37AD04">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格项目、安全隐患必须在规定的时间内整改完成，否则每拖延一天处以200元人民币违约金，直至整改合格。</w:t>
      </w:r>
    </w:p>
    <w:p w14:paraId="4EF3DFAB">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 xml:space="preserve"> </w:t>
      </w:r>
      <w:r>
        <w:rPr>
          <w:rFonts w:hint="eastAsia" w:ascii="宋体" w:hAnsi="宋体" w:eastAsia="宋体" w:cs="宋体"/>
          <w:b w:val="0"/>
          <w:bCs/>
          <w:snapToGrid w:val="0"/>
          <w:color w:val="auto"/>
          <w:kern w:val="0"/>
          <w:sz w:val="24"/>
          <w:szCs w:val="24"/>
          <w:highlight w:val="none"/>
          <w:lang w:val="en-US" w:eastAsia="zh-CN"/>
        </w:rPr>
        <w:t xml:space="preserve">   </w:t>
      </w: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w:t>
      </w:r>
      <w:r>
        <w:rPr>
          <w:rFonts w:hint="eastAsia" w:ascii="宋体" w:hAnsi="宋体" w:eastAsia="宋体" w:cs="宋体"/>
          <w:b/>
          <w:bCs w:val="0"/>
          <w:snapToGrid w:val="0"/>
          <w:color w:val="auto"/>
          <w:kern w:val="0"/>
          <w:sz w:val="24"/>
          <w:szCs w:val="24"/>
          <w:highlight w:val="none"/>
          <w:lang w:val="en-US" w:eastAsia="zh-CN"/>
        </w:rPr>
        <w:t xml:space="preserve">3 </w:t>
      </w:r>
      <w:r>
        <w:rPr>
          <w:rFonts w:hint="eastAsia" w:ascii="宋体" w:hAnsi="宋体" w:eastAsia="宋体" w:cs="宋体"/>
          <w:b w:val="0"/>
          <w:bCs/>
          <w:snapToGrid w:val="0"/>
          <w:color w:val="auto"/>
          <w:kern w:val="0"/>
          <w:sz w:val="24"/>
          <w:szCs w:val="24"/>
          <w:highlight w:val="none"/>
          <w:lang w:val="en-US" w:eastAsia="zh-CN"/>
        </w:rPr>
        <w:t>承包人现场施工人员未按相关规定佩戴安全帽和反光衣进入施工区域的，经现场发包人（监理单位）管理人员确认后，承包人须按50元/人/次缴纳违约金。</w:t>
      </w:r>
    </w:p>
    <w:p w14:paraId="63CD755A">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val="0"/>
          <w:bCs/>
          <w:snapToGrid w:val="0"/>
          <w:color w:val="auto"/>
          <w:kern w:val="0"/>
          <w:sz w:val="24"/>
          <w:szCs w:val="24"/>
          <w:highlight w:val="none"/>
          <w:lang w:val="en-US" w:eastAsia="zh-CN"/>
        </w:rPr>
        <w:t xml:space="preserve"> 其他违约 </w:t>
      </w:r>
    </w:p>
    <w:p w14:paraId="6C6C1A33">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.1</w:t>
      </w:r>
      <w:r>
        <w:rPr>
          <w:rFonts w:hint="default" w:ascii="宋体" w:hAnsi="宋体" w:eastAsia="宋体" w:cs="宋体"/>
          <w:b w:val="0"/>
          <w:bCs/>
          <w:snapToGrid w:val="0"/>
          <w:color w:val="auto"/>
          <w:kern w:val="0"/>
          <w:sz w:val="24"/>
          <w:szCs w:val="24"/>
          <w:highlight w:val="none"/>
          <w:lang w:val="en-US" w:eastAsia="zh-CN"/>
        </w:rPr>
        <w:t xml:space="preserve"> 承包人安排在施工场地的主要管理人员（主要指项目经理、项目技术负责人和专 </w:t>
      </w:r>
    </w:p>
    <w:p w14:paraId="16EE1B0E">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职安全生产管理人员）应与承包人投标文件承诺的名单一致，并保持相对稳定。未经总监理工程师批准，上述人员不应无故不到位或被替换。若确实无法到位或需替换，需经总监理工程师审核并报发包人批准后，承包人可安排同等资历的人员替换；</w:t>
      </w:r>
      <w:r>
        <w:rPr>
          <w:rFonts w:hint="eastAsia" w:ascii="宋体" w:hAnsi="宋体" w:eastAsia="宋体" w:cs="宋体"/>
          <w:b w:val="0"/>
          <w:bCs/>
          <w:snapToGrid w:val="0"/>
          <w:color w:val="auto"/>
          <w:kern w:val="0"/>
          <w:sz w:val="24"/>
          <w:szCs w:val="24"/>
          <w:highlight w:val="none"/>
          <w:lang w:val="en-US" w:eastAsia="zh-CN"/>
        </w:rPr>
        <w:t>在日常检查及相关会议中主要管理人员不到岗，按 500元/人/次缴纳违约金给发包人。</w:t>
      </w:r>
    </w:p>
    <w:p w14:paraId="2646E737">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.2</w:t>
      </w:r>
      <w:r>
        <w:rPr>
          <w:rFonts w:hint="default" w:ascii="宋体" w:hAnsi="宋体" w:eastAsia="宋体" w:cs="宋体"/>
          <w:b w:val="0"/>
          <w:bCs/>
          <w:snapToGrid w:val="0"/>
          <w:color w:val="auto"/>
          <w:kern w:val="0"/>
          <w:sz w:val="24"/>
          <w:szCs w:val="24"/>
          <w:highlight w:val="none"/>
          <w:lang w:val="en-US" w:eastAsia="zh-CN"/>
        </w:rPr>
        <w:t xml:space="preserve"> 中标人施工资料必须与形象进度同步</w:t>
      </w:r>
      <w:r>
        <w:rPr>
          <w:rFonts w:hint="eastAsia" w:ascii="宋体" w:hAnsi="宋体" w:eastAsia="宋体" w:cs="宋体"/>
          <w:b w:val="0"/>
          <w:bCs/>
          <w:snapToGrid w:val="0"/>
          <w:color w:val="auto"/>
          <w:kern w:val="0"/>
          <w:sz w:val="24"/>
          <w:szCs w:val="24"/>
          <w:highlight w:val="none"/>
          <w:lang w:val="en-US" w:eastAsia="zh-CN"/>
        </w:rPr>
        <w:t>，如发包人在日常检查中发现不同步的现象的，视为违约并扣除违约金1000元/每次</w:t>
      </w:r>
      <w:r>
        <w:rPr>
          <w:rFonts w:hint="default" w:ascii="宋体" w:hAnsi="宋体" w:eastAsia="宋体" w:cs="宋体"/>
          <w:b w:val="0"/>
          <w:bCs/>
          <w:snapToGrid w:val="0"/>
          <w:color w:val="auto"/>
          <w:kern w:val="0"/>
          <w:sz w:val="24"/>
          <w:szCs w:val="24"/>
          <w:highlight w:val="none"/>
          <w:lang w:val="en-US" w:eastAsia="zh-CN"/>
        </w:rPr>
        <w:t xml:space="preserve">。 </w:t>
      </w:r>
    </w:p>
    <w:p w14:paraId="6316E14F">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.3</w:t>
      </w:r>
      <w:r>
        <w:rPr>
          <w:rFonts w:hint="default" w:ascii="宋体" w:hAnsi="宋体" w:eastAsia="宋体" w:cs="宋体"/>
          <w:b w:val="0"/>
          <w:bCs/>
          <w:snapToGrid w:val="0"/>
          <w:color w:val="auto"/>
          <w:kern w:val="0"/>
          <w:sz w:val="24"/>
          <w:szCs w:val="24"/>
          <w:highlight w:val="none"/>
          <w:lang w:val="en-US" w:eastAsia="zh-CN"/>
        </w:rPr>
        <w:t xml:space="preserve"> 承包人没有正当合理的理由中途退场，可扣除承包人已递交的所有履约风险保证 </w:t>
      </w:r>
    </w:p>
    <w:p w14:paraId="3AB81941">
      <w:pPr>
        <w:adjustRightInd w:val="0"/>
        <w:snapToGrid w:val="0"/>
        <w:spacing w:line="440" w:lineRule="exact"/>
        <w:rPr>
          <w:rFonts w:hint="default" w:ascii="宋体" w:hAnsi="宋体" w:eastAsia="宋体" w:cs="宋体"/>
          <w:bCs/>
          <w:snapToGrid w:val="0"/>
          <w:color w:val="auto"/>
          <w:kern w:val="0"/>
          <w:sz w:val="24"/>
          <w:szCs w:val="24"/>
          <w:highlight w:val="none"/>
          <w:lang w:val="en-US" w:eastAsia="zh-CN" w:bidi="ar-SA"/>
        </w:rPr>
      </w:pPr>
      <w:r>
        <w:rPr>
          <w:rFonts w:hint="default" w:ascii="宋体" w:hAnsi="宋体" w:eastAsia="宋体" w:cs="宋体"/>
          <w:b w:val="0"/>
          <w:bCs/>
          <w:snapToGrid w:val="0"/>
          <w:color w:val="auto"/>
          <w:kern w:val="0"/>
          <w:sz w:val="24"/>
          <w:szCs w:val="24"/>
          <w:highlight w:val="none"/>
          <w:lang w:val="en-US" w:eastAsia="zh-CN"/>
        </w:rPr>
        <w:t>金。承包人因上述违约行为而须缴纳的违约金在工程进度款中或结算时一并扣除。</w:t>
      </w:r>
    </w:p>
    <w:p w14:paraId="45319432">
      <w:pPr>
        <w:adjustRightInd w:val="0"/>
        <w:snapToGrid w:val="0"/>
        <w:spacing w:line="440" w:lineRule="exact"/>
        <w:ind w:firstLine="482" w:firstLineChars="200"/>
        <w:rPr>
          <w:rFonts w:hint="eastAsia" w:ascii="宋体" w:hAnsi="宋体" w:eastAsia="宋体" w:cs="宋体"/>
          <w:b/>
          <w:bCs w:val="0"/>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5.其他合同条款由招标人与中标人自行协商约定。</w:t>
      </w:r>
    </w:p>
    <w:p w14:paraId="4B17F356">
      <w:pPr>
        <w:pStyle w:val="13"/>
        <w:rPr>
          <w:rFonts w:hint="eastAsia" w:ascii="宋体" w:hAnsi="宋体" w:eastAsia="宋体" w:cs="宋体"/>
          <w:color w:val="auto"/>
          <w:sz w:val="24"/>
          <w:szCs w:val="24"/>
          <w:highlight w:val="none"/>
          <w:lang w:eastAsia="zh-CN"/>
        </w:rPr>
      </w:pPr>
    </w:p>
    <w:p w14:paraId="00E29B87">
      <w:pPr>
        <w:pStyle w:val="13"/>
        <w:rPr>
          <w:rFonts w:hint="eastAsia" w:ascii="宋体" w:hAnsi="宋体" w:eastAsia="宋体" w:cs="宋体"/>
          <w:color w:val="auto"/>
          <w:sz w:val="24"/>
          <w:szCs w:val="24"/>
          <w:highlight w:val="none"/>
          <w:lang w:eastAsia="zh-CN"/>
        </w:rPr>
      </w:pPr>
    </w:p>
    <w:p w14:paraId="6EE2E99C">
      <w:pPr>
        <w:pStyle w:val="13"/>
        <w:rPr>
          <w:rFonts w:hint="eastAsia" w:ascii="宋体" w:hAnsi="宋体" w:eastAsia="宋体" w:cs="宋体"/>
          <w:color w:val="auto"/>
          <w:sz w:val="24"/>
          <w:szCs w:val="24"/>
          <w:highlight w:val="none"/>
          <w:lang w:eastAsia="zh-CN"/>
        </w:rPr>
      </w:pPr>
    </w:p>
    <w:p w14:paraId="4BDA0E56">
      <w:pPr>
        <w:pStyle w:val="13"/>
        <w:rPr>
          <w:rFonts w:hint="eastAsia" w:ascii="宋体" w:hAnsi="宋体" w:eastAsia="宋体" w:cs="宋体"/>
          <w:color w:val="auto"/>
          <w:sz w:val="24"/>
          <w:szCs w:val="24"/>
          <w:highlight w:val="none"/>
          <w:lang w:eastAsia="zh-CN"/>
        </w:rPr>
      </w:pPr>
    </w:p>
    <w:p w14:paraId="673329EB">
      <w:pPr>
        <w:pStyle w:val="13"/>
        <w:rPr>
          <w:rFonts w:hint="eastAsia" w:ascii="宋体" w:hAnsi="宋体" w:eastAsia="宋体" w:cs="宋体"/>
          <w:color w:val="auto"/>
          <w:sz w:val="24"/>
          <w:szCs w:val="24"/>
          <w:highlight w:val="none"/>
          <w:lang w:eastAsia="zh-CN"/>
        </w:rPr>
      </w:pPr>
    </w:p>
    <w:p w14:paraId="42CDD58A">
      <w:pPr>
        <w:spacing w:before="78" w:line="219" w:lineRule="auto"/>
        <w:outlineLvl w:val="9"/>
        <w:rPr>
          <w:rFonts w:hint="eastAsia" w:ascii="宋体" w:hAnsi="宋体" w:eastAsia="宋体" w:cs="宋体"/>
          <w:b/>
          <w:bCs/>
          <w:color w:val="auto"/>
          <w:spacing w:val="-3"/>
          <w:sz w:val="24"/>
          <w:szCs w:val="24"/>
          <w:highlight w:val="none"/>
        </w:rPr>
      </w:pPr>
      <w:bookmarkStart w:id="180" w:name="bookmark96"/>
      <w:bookmarkEnd w:id="180"/>
    </w:p>
    <w:p w14:paraId="2BDC7F7A">
      <w:pPr>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br w:type="page"/>
      </w:r>
    </w:p>
    <w:p w14:paraId="2B87CA60">
      <w:pPr>
        <w:spacing w:before="78" w:line="219" w:lineRule="auto"/>
        <w:ind w:left="3273"/>
        <w:outlineLvl w:val="0"/>
        <w:rPr>
          <w:rFonts w:hint="eastAsia" w:ascii="宋体" w:hAnsi="宋体" w:eastAsia="宋体" w:cs="宋体"/>
          <w:color w:val="auto"/>
          <w:highlight w:val="none"/>
        </w:rPr>
      </w:pPr>
      <w:bookmarkStart w:id="181" w:name="_Toc30225"/>
      <w:r>
        <w:rPr>
          <w:rFonts w:hint="eastAsia" w:ascii="宋体" w:hAnsi="宋体" w:eastAsia="宋体" w:cs="宋体"/>
          <w:b/>
          <w:bCs/>
          <w:color w:val="auto"/>
          <w:spacing w:val="-3"/>
          <w:sz w:val="24"/>
          <w:szCs w:val="24"/>
          <w:highlight w:val="none"/>
        </w:rPr>
        <w:t>第四章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技术要求</w:t>
      </w:r>
      <w:bookmarkEnd w:id="181"/>
    </w:p>
    <w:p w14:paraId="379571EE">
      <w:pPr>
        <w:pStyle w:val="5"/>
        <w:spacing w:line="257" w:lineRule="auto"/>
        <w:rPr>
          <w:rFonts w:hint="eastAsia" w:ascii="宋体" w:hAnsi="宋体" w:eastAsia="宋体" w:cs="宋体"/>
          <w:color w:val="auto"/>
          <w:highlight w:val="none"/>
        </w:rPr>
      </w:pPr>
    </w:p>
    <w:p w14:paraId="5BE30722">
      <w:pPr>
        <w:spacing w:before="78" w:line="221" w:lineRule="auto"/>
        <w:ind w:left="125"/>
        <w:outlineLvl w:val="2"/>
        <w:rPr>
          <w:rFonts w:hint="eastAsia" w:ascii="宋体" w:hAnsi="宋体" w:eastAsia="宋体" w:cs="宋体"/>
          <w:color w:val="auto"/>
          <w:sz w:val="24"/>
          <w:szCs w:val="24"/>
          <w:highlight w:val="none"/>
        </w:rPr>
      </w:pPr>
      <w:bookmarkStart w:id="182" w:name="_Toc10155"/>
      <w:bookmarkStart w:id="183" w:name="_Toc19340"/>
      <w:r>
        <w:rPr>
          <w:rFonts w:hint="eastAsia" w:ascii="宋体" w:hAnsi="宋体" w:eastAsia="宋体" w:cs="宋体"/>
          <w:b/>
          <w:bCs/>
          <w:color w:val="auto"/>
          <w:spacing w:val="-6"/>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6"/>
          <w:sz w:val="24"/>
          <w:szCs w:val="24"/>
          <w:highlight w:val="none"/>
        </w:rPr>
        <w:t>．</w:t>
      </w:r>
      <w:r>
        <w:rPr>
          <w:rFonts w:hint="eastAsia" w:ascii="宋体" w:hAnsi="宋体" w:eastAsia="宋体" w:cs="宋体"/>
          <w:b/>
          <w:bCs/>
          <w:color w:val="auto"/>
          <w:spacing w:val="-1"/>
          <w:sz w:val="24"/>
          <w:szCs w:val="24"/>
          <w:highlight w:val="none"/>
        </w:rPr>
        <w:t>房屋建筑工程建设项目</w:t>
      </w:r>
      <w:bookmarkEnd w:id="182"/>
      <w:bookmarkEnd w:id="183"/>
    </w:p>
    <w:p w14:paraId="3989A8B1">
      <w:pPr>
        <w:spacing w:before="152"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房屋建筑工程建设项目必须执行的现行技术规范，包括且不限于：</w:t>
      </w:r>
    </w:p>
    <w:p w14:paraId="75FB82B5">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（1）《建筑工程施工质量验收统一标准》；</w:t>
      </w:r>
    </w:p>
    <w:p w14:paraId="0F8F10F4">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（2）《建筑地基基础工程施工质量验收规范》；</w:t>
      </w:r>
    </w:p>
    <w:p w14:paraId="12F6D15F">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（3）《砌体工程施工质量验收规范》；</w:t>
      </w:r>
    </w:p>
    <w:p w14:paraId="6755EFEB">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（4）《混凝土结构工程施工质量验收规范》；</w:t>
      </w:r>
    </w:p>
    <w:p w14:paraId="3F9C2AD6">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（5）《屋面工程质量验收规范》；</w:t>
      </w:r>
    </w:p>
    <w:p w14:paraId="35E6FD8D">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（6）《地下防水工程质量验收规范》；</w:t>
      </w:r>
    </w:p>
    <w:p w14:paraId="152B7914">
      <w:pPr>
        <w:spacing w:before="156"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（7）《建筑地面工程施工质量验收规范》；</w:t>
      </w:r>
    </w:p>
    <w:p w14:paraId="63C9A67F">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（8）《建筑装饰装修工程施工质量验收规范》；</w:t>
      </w:r>
    </w:p>
    <w:p w14:paraId="2579DEFA">
      <w:pPr>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（9）《建筑给排水及采暖工程施工质量验收规范》；</w:t>
      </w:r>
    </w:p>
    <w:p w14:paraId="76EE1100">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（10）《建筑电气工程施工质量验收规范》；</w:t>
      </w:r>
    </w:p>
    <w:p w14:paraId="2680FFFD">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（11）《住建部绿色建筑评价标准》；</w:t>
      </w:r>
    </w:p>
    <w:p w14:paraId="6AD1C11B">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（12）《建筑节能与可再生能源利用通用规范》（GB55015-2021）；</w:t>
      </w:r>
    </w:p>
    <w:p w14:paraId="439755B9">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（13）《建筑环境通用规范》；</w:t>
      </w:r>
    </w:p>
    <w:p w14:paraId="2B333EA3">
      <w:pPr>
        <w:spacing w:before="153" w:line="219" w:lineRule="auto"/>
        <w:ind w:left="130"/>
        <w:rPr>
          <w:rFonts w:hint="eastAsia" w:ascii="宋体" w:hAnsi="宋体" w:eastAsia="宋体" w:cs="宋体"/>
          <w:color w:val="auto"/>
          <w:spacing w:val="-1"/>
          <w:sz w:val="24"/>
          <w:szCs w:val="24"/>
          <w:highlight w:val="none"/>
        </w:rPr>
      </w:pPr>
      <w:bookmarkStart w:id="184" w:name="_Toc12084"/>
      <w:bookmarkStart w:id="185" w:name="_Toc16294"/>
      <w:r>
        <w:rPr>
          <w:rFonts w:hint="eastAsia" w:ascii="宋体" w:hAnsi="宋体" w:eastAsia="宋体" w:cs="宋体"/>
          <w:color w:val="auto"/>
          <w:spacing w:val="-1"/>
          <w:sz w:val="24"/>
          <w:szCs w:val="24"/>
          <w:highlight w:val="none"/>
        </w:rPr>
        <w:t>（14）《建筑与市政工程无障碍通用规范》 GB 55019-2021；</w:t>
      </w:r>
      <w:bookmarkEnd w:id="184"/>
      <w:bookmarkEnd w:id="185"/>
    </w:p>
    <w:p w14:paraId="7B3C5264">
      <w:pPr>
        <w:spacing w:before="153" w:line="219" w:lineRule="auto"/>
        <w:ind w:left="130"/>
        <w:rPr>
          <w:rFonts w:hint="eastAsia" w:ascii="宋体" w:hAnsi="宋体" w:eastAsia="宋体" w:cs="宋体"/>
          <w:color w:val="auto"/>
          <w:spacing w:val="-1"/>
          <w:sz w:val="24"/>
          <w:szCs w:val="24"/>
          <w:highlight w:val="none"/>
        </w:rPr>
      </w:pPr>
      <w:bookmarkStart w:id="186" w:name="_Toc15158"/>
      <w:bookmarkStart w:id="187" w:name="_Toc1177"/>
      <w:r>
        <w:rPr>
          <w:rFonts w:hint="eastAsia" w:ascii="宋体" w:hAnsi="宋体" w:eastAsia="宋体" w:cs="宋体"/>
          <w:color w:val="auto"/>
          <w:spacing w:val="-1"/>
          <w:sz w:val="24"/>
          <w:szCs w:val="24"/>
          <w:highlight w:val="none"/>
        </w:rPr>
        <w:t>（15）《建筑防火通用规范》GB 55037-2022;</w:t>
      </w:r>
      <w:bookmarkEnd w:id="186"/>
      <w:bookmarkEnd w:id="187"/>
    </w:p>
    <w:p w14:paraId="61F141A9">
      <w:pPr>
        <w:spacing w:before="153" w:line="219" w:lineRule="auto"/>
        <w:ind w:left="130"/>
        <w:rPr>
          <w:rFonts w:hint="eastAsia" w:ascii="宋体" w:hAnsi="宋体" w:eastAsia="宋体" w:cs="宋体"/>
          <w:color w:val="auto"/>
          <w:spacing w:val="-1"/>
          <w:sz w:val="24"/>
          <w:szCs w:val="24"/>
          <w:highlight w:val="none"/>
        </w:rPr>
      </w:pPr>
      <w:bookmarkStart w:id="188" w:name="_Toc24233"/>
      <w:bookmarkStart w:id="189" w:name="_Toc2461"/>
      <w:r>
        <w:rPr>
          <w:rFonts w:hint="eastAsia" w:ascii="宋体" w:hAnsi="宋体" w:eastAsia="宋体" w:cs="宋体"/>
          <w:color w:val="auto"/>
          <w:spacing w:val="-1"/>
          <w:sz w:val="24"/>
          <w:szCs w:val="24"/>
          <w:highlight w:val="none"/>
        </w:rPr>
        <w:t>（16）《建筑与市政工程抗震通用规范》GB55002-2001;</w:t>
      </w:r>
      <w:bookmarkEnd w:id="188"/>
      <w:bookmarkEnd w:id="189"/>
    </w:p>
    <w:p w14:paraId="3BC258D5">
      <w:pPr>
        <w:spacing w:before="153" w:line="219" w:lineRule="auto"/>
        <w:ind w:left="130"/>
        <w:rPr>
          <w:rFonts w:hint="eastAsia" w:ascii="宋体" w:hAnsi="宋体" w:eastAsia="宋体" w:cs="宋体"/>
          <w:color w:val="auto"/>
          <w:spacing w:val="-1"/>
          <w:sz w:val="24"/>
          <w:szCs w:val="24"/>
          <w:highlight w:val="none"/>
        </w:rPr>
      </w:pPr>
      <w:bookmarkStart w:id="190" w:name="_Toc5777"/>
      <w:bookmarkStart w:id="191" w:name="_Toc8109"/>
      <w:r>
        <w:rPr>
          <w:rFonts w:hint="eastAsia" w:ascii="宋体" w:hAnsi="宋体" w:eastAsia="宋体" w:cs="宋体"/>
          <w:color w:val="auto"/>
          <w:spacing w:val="-1"/>
          <w:sz w:val="24"/>
          <w:szCs w:val="24"/>
          <w:highlight w:val="none"/>
        </w:rPr>
        <w:t>（17）《建筑与市政地基基础通用规范》GB55003-2001;</w:t>
      </w:r>
      <w:bookmarkEnd w:id="190"/>
      <w:bookmarkEnd w:id="191"/>
    </w:p>
    <w:p w14:paraId="7EABE99D">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（18）《广东省住房和城乡建设厅绿色施工导则》；</w:t>
      </w:r>
    </w:p>
    <w:p w14:paraId="22C6EA0E">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（19）《广东省建筑工程绿色施工评价标准》；</w:t>
      </w:r>
    </w:p>
    <w:p w14:paraId="2E498EA8">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（20）《广东省建筑节能与绿色建筑工程施工质量验收规范》</w:t>
      </w:r>
    </w:p>
    <w:p w14:paraId="08F26131">
      <w:pPr>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（21）其他现行国家、广东省关于房建工程的施工及验收规范、定额</w:t>
      </w:r>
      <w:r>
        <w:rPr>
          <w:rFonts w:hint="eastAsia" w:ascii="宋体" w:hAnsi="宋体" w:eastAsia="宋体" w:cs="宋体"/>
          <w:color w:val="auto"/>
          <w:spacing w:val="-6"/>
          <w:sz w:val="24"/>
          <w:szCs w:val="24"/>
          <w:highlight w:val="none"/>
        </w:rPr>
        <w:t>、规程、标准。</w:t>
      </w:r>
    </w:p>
    <w:p w14:paraId="7BB3D7FB">
      <w:pPr>
        <w:pStyle w:val="5"/>
        <w:spacing w:line="257" w:lineRule="auto"/>
        <w:rPr>
          <w:rFonts w:hint="eastAsia" w:ascii="宋体" w:hAnsi="宋体" w:eastAsia="宋体" w:cs="宋体"/>
          <w:color w:val="auto"/>
          <w:highlight w:val="none"/>
        </w:rPr>
      </w:pPr>
    </w:p>
    <w:p w14:paraId="5D97A8A7">
      <w:pPr>
        <w:spacing w:before="78" w:line="220" w:lineRule="auto"/>
        <w:ind w:left="115"/>
        <w:outlineLvl w:val="2"/>
        <w:rPr>
          <w:rFonts w:hint="eastAsia" w:ascii="宋体" w:hAnsi="宋体" w:eastAsia="宋体" w:cs="宋体"/>
          <w:color w:val="auto"/>
          <w:sz w:val="24"/>
          <w:szCs w:val="24"/>
          <w:highlight w:val="none"/>
        </w:rPr>
      </w:pPr>
      <w:bookmarkStart w:id="192" w:name="_Toc16340"/>
      <w:bookmarkStart w:id="193" w:name="_Toc15652"/>
      <w:r>
        <w:rPr>
          <w:rFonts w:hint="eastAsia" w:ascii="宋体" w:hAnsi="宋体" w:eastAsia="宋体" w:cs="宋体"/>
          <w:b/>
          <w:bCs/>
          <w:color w:val="auto"/>
          <w:spacing w:val="-5"/>
          <w:sz w:val="24"/>
          <w:szCs w:val="24"/>
          <w:highlight w:val="none"/>
        </w:rPr>
        <w:t>2</w:t>
      </w:r>
      <w:r>
        <w:rPr>
          <w:rFonts w:hint="eastAsia" w:ascii="宋体" w:hAnsi="宋体" w:eastAsia="宋体" w:cs="宋体"/>
          <w:b/>
          <w:bCs/>
          <w:color w:val="auto"/>
          <w:spacing w:val="-18"/>
          <w:sz w:val="24"/>
          <w:szCs w:val="24"/>
          <w:highlight w:val="none"/>
        </w:rPr>
        <w:t xml:space="preserve"> </w:t>
      </w:r>
      <w:r>
        <w:rPr>
          <w:rFonts w:hint="eastAsia" w:ascii="宋体" w:hAnsi="宋体" w:eastAsia="宋体" w:cs="宋体"/>
          <w:b/>
          <w:bCs/>
          <w:color w:val="auto"/>
          <w:spacing w:val="-5"/>
          <w:sz w:val="24"/>
          <w:szCs w:val="24"/>
          <w:highlight w:val="none"/>
        </w:rPr>
        <w:t>．市政基础设施工程建设项目</w:t>
      </w:r>
      <w:bookmarkEnd w:id="192"/>
      <w:bookmarkEnd w:id="193"/>
    </w:p>
    <w:p w14:paraId="3D883B18">
      <w:pPr>
        <w:spacing w:before="154" w:line="220" w:lineRule="auto"/>
        <w:ind w:left="12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市政基础设施工程建设项目必须执行的现行技术规范，包括且不限于：</w:t>
      </w:r>
    </w:p>
    <w:p w14:paraId="6C693652">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（1）《公路路基施工技术规范》；</w:t>
      </w:r>
    </w:p>
    <w:p w14:paraId="6D80DEC4">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（2）《市政道路工程质量检验评定标准》；</w:t>
      </w:r>
    </w:p>
    <w:p w14:paraId="0237C6F7">
      <w:pPr>
        <w:spacing w:before="154"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（3）《市政排水管渠工程质量检验评定标准》；</w:t>
      </w:r>
    </w:p>
    <w:p w14:paraId="5A0A8A2B">
      <w:pPr>
        <w:keepNext w:val="0"/>
        <w:keepLines w:val="0"/>
        <w:pageBreakBefore w:val="0"/>
        <w:widowControl w:val="0"/>
        <w:kinsoku w:val="0"/>
        <w:wordWrap/>
        <w:overflowPunct/>
        <w:topLinePunct w:val="0"/>
        <w:autoSpaceDE w:val="0"/>
        <w:autoSpaceDN w:val="0"/>
        <w:bidi w:val="0"/>
        <w:adjustRightInd w:val="0"/>
        <w:snapToGrid w:val="0"/>
        <w:spacing w:before="155" w:line="220" w:lineRule="auto"/>
        <w:ind w:left="13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（4）《给水排水管道工程施工及验收规范》；</w:t>
      </w:r>
    </w:p>
    <w:p w14:paraId="3F18BF51">
      <w:pPr>
        <w:keepNext w:val="0"/>
        <w:keepLines w:val="0"/>
        <w:pageBreakBefore w:val="0"/>
        <w:widowControl w:val="0"/>
        <w:kinsoku w:val="0"/>
        <w:wordWrap/>
        <w:overflowPunct/>
        <w:topLinePunct w:val="0"/>
        <w:autoSpaceDE w:val="0"/>
        <w:autoSpaceDN w:val="0"/>
        <w:bidi w:val="0"/>
        <w:adjustRightInd w:val="0"/>
        <w:snapToGrid w:val="0"/>
        <w:spacing w:before="78"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（5）《城市道路路基工程施工及验收规范》；</w:t>
      </w:r>
    </w:p>
    <w:p w14:paraId="4DD7CD7E">
      <w:pPr>
        <w:keepNext w:val="0"/>
        <w:keepLines w:val="0"/>
        <w:pageBreakBefore w:val="0"/>
        <w:widowControl w:val="0"/>
        <w:kinsoku w:val="0"/>
        <w:wordWrap/>
        <w:overflowPunct/>
        <w:topLinePunct w:val="0"/>
        <w:autoSpaceDE w:val="0"/>
        <w:autoSpaceDN w:val="0"/>
        <w:bidi w:val="0"/>
        <w:adjustRightInd w:val="0"/>
        <w:snapToGrid w:val="0"/>
        <w:spacing w:before="155"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（6）《水泥砼路面施工及验收规范》；</w:t>
      </w:r>
    </w:p>
    <w:p w14:paraId="2A6E8F89">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（7）《公路水泥砼路面施工技术规范》；</w:t>
      </w:r>
    </w:p>
    <w:p w14:paraId="71A4541D">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（8）《埋地硬聚氯乙烯排水管道工程技术规程》；</w:t>
      </w:r>
    </w:p>
    <w:p w14:paraId="11417329">
      <w:pPr>
        <w:keepNext w:val="0"/>
        <w:keepLines w:val="0"/>
        <w:pageBreakBefore w:val="0"/>
        <w:widowControl w:val="0"/>
        <w:kinsoku w:val="0"/>
        <w:wordWrap/>
        <w:overflowPunct/>
        <w:topLinePunct w:val="0"/>
        <w:autoSpaceDE w:val="0"/>
        <w:autoSpaceDN w:val="0"/>
        <w:bidi w:val="0"/>
        <w:adjustRightInd w:val="0"/>
        <w:snapToGrid w:val="0"/>
        <w:spacing w:before="122" w:line="219"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（9）《沥青路面施工及验收规范》；</w:t>
      </w:r>
    </w:p>
    <w:p w14:paraId="4D5A8059">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（10）《广东省市政工程施工质量技术资料统一用表》。</w:t>
      </w:r>
    </w:p>
    <w:p w14:paraId="387D73AC">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4" w:name="_Toc8494"/>
      <w:bookmarkStart w:id="195" w:name="_Toc30781"/>
      <w:r>
        <w:rPr>
          <w:rFonts w:hint="eastAsia" w:ascii="宋体" w:hAnsi="宋体" w:eastAsia="宋体" w:cs="宋体"/>
          <w:color w:val="auto"/>
          <w:spacing w:val="-2"/>
          <w:sz w:val="24"/>
          <w:szCs w:val="24"/>
          <w:highlight w:val="none"/>
        </w:rPr>
        <w:t>（11）《建筑与市政工程无障碍通用规范》 GB 55019-2021；</w:t>
      </w:r>
      <w:bookmarkEnd w:id="194"/>
      <w:bookmarkEnd w:id="195"/>
    </w:p>
    <w:p w14:paraId="0DCC9771">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6" w:name="_Toc31143"/>
      <w:bookmarkStart w:id="197" w:name="_Toc17383"/>
      <w:r>
        <w:rPr>
          <w:rFonts w:hint="eastAsia" w:ascii="宋体" w:hAnsi="宋体" w:eastAsia="宋体" w:cs="宋体"/>
          <w:color w:val="auto"/>
          <w:spacing w:val="-2"/>
          <w:sz w:val="24"/>
          <w:szCs w:val="24"/>
          <w:highlight w:val="none"/>
        </w:rPr>
        <w:t>（12）《建筑防火通用规范》GB 55037-2022;</w:t>
      </w:r>
      <w:bookmarkEnd w:id="196"/>
      <w:bookmarkEnd w:id="197"/>
    </w:p>
    <w:p w14:paraId="1007A637">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8" w:name="_Toc32476"/>
      <w:bookmarkStart w:id="199" w:name="_Toc954"/>
      <w:r>
        <w:rPr>
          <w:rFonts w:hint="eastAsia" w:ascii="宋体" w:hAnsi="宋体" w:eastAsia="宋体" w:cs="宋体"/>
          <w:color w:val="auto"/>
          <w:spacing w:val="-2"/>
          <w:sz w:val="24"/>
          <w:szCs w:val="24"/>
          <w:highlight w:val="none"/>
        </w:rPr>
        <w:t>（13）《建筑与市政工程抗震通用规范》GB55002-2001;</w:t>
      </w:r>
      <w:bookmarkEnd w:id="198"/>
      <w:bookmarkEnd w:id="199"/>
    </w:p>
    <w:p w14:paraId="605E1A8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0" w:name="_Toc27898"/>
      <w:bookmarkStart w:id="201" w:name="_Toc7185"/>
      <w:r>
        <w:rPr>
          <w:rFonts w:hint="eastAsia" w:ascii="宋体" w:hAnsi="宋体" w:eastAsia="宋体" w:cs="宋体"/>
          <w:color w:val="auto"/>
          <w:spacing w:val="-2"/>
          <w:sz w:val="24"/>
          <w:szCs w:val="24"/>
          <w:highlight w:val="none"/>
        </w:rPr>
        <w:t>（14）《建筑与市政地基基础通用规范》GB55003-2001;</w:t>
      </w:r>
      <w:bookmarkEnd w:id="200"/>
      <w:bookmarkEnd w:id="201"/>
    </w:p>
    <w:p w14:paraId="6DD04A48">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2" w:name="_Toc29669"/>
      <w:bookmarkStart w:id="203" w:name="_Toc17281"/>
      <w:r>
        <w:rPr>
          <w:rFonts w:hint="eastAsia" w:ascii="宋体" w:hAnsi="宋体" w:eastAsia="宋体" w:cs="宋体"/>
          <w:color w:val="auto"/>
          <w:spacing w:val="-2"/>
          <w:sz w:val="24"/>
          <w:szCs w:val="24"/>
          <w:highlight w:val="none"/>
        </w:rPr>
        <w:t>（15）《城市道路照明设计标准》（CJJ45-2015）；</w:t>
      </w:r>
      <w:bookmarkEnd w:id="202"/>
      <w:bookmarkEnd w:id="203"/>
    </w:p>
    <w:p w14:paraId="6E232C70">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4" w:name="_Toc9161"/>
      <w:bookmarkStart w:id="205" w:name="_Toc31812"/>
      <w:r>
        <w:rPr>
          <w:rFonts w:hint="eastAsia" w:ascii="宋体" w:hAnsi="宋体" w:eastAsia="宋体" w:cs="宋体"/>
          <w:color w:val="auto"/>
          <w:spacing w:val="-2"/>
          <w:sz w:val="24"/>
          <w:szCs w:val="24"/>
          <w:highlight w:val="none"/>
        </w:rPr>
        <w:t>（16）《低压配电设计规范》（GB50054-2011）；</w:t>
      </w:r>
      <w:bookmarkEnd w:id="204"/>
      <w:bookmarkEnd w:id="205"/>
    </w:p>
    <w:p w14:paraId="4BA22D2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6" w:name="_Toc18255"/>
      <w:bookmarkStart w:id="207" w:name="_Toc6405"/>
      <w:r>
        <w:rPr>
          <w:rFonts w:hint="eastAsia" w:ascii="宋体" w:hAnsi="宋体" w:eastAsia="宋体" w:cs="宋体"/>
          <w:color w:val="auto"/>
          <w:spacing w:val="-2"/>
          <w:sz w:val="24"/>
          <w:szCs w:val="24"/>
          <w:highlight w:val="none"/>
        </w:rPr>
        <w:t>（17）《城市道路照明工程施工及验收规程》（CJJ89-2012）；</w:t>
      </w:r>
      <w:bookmarkEnd w:id="206"/>
      <w:bookmarkEnd w:id="207"/>
    </w:p>
    <w:p w14:paraId="2778203A">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（18）《LED 道路照明工程技术规范》（DB44/T 1898-2016）；</w:t>
      </w:r>
    </w:p>
    <w:p w14:paraId="05CEC0C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（19）《灯具第 1 部分：一般要求与试验》（GB7000.1-2015）；</w:t>
      </w:r>
    </w:p>
    <w:p w14:paraId="020E2463">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（20）《电缆工程电缆设计标准》（GB50217-2018）；</w:t>
      </w:r>
    </w:p>
    <w:p w14:paraId="5EA03498">
      <w:pPr>
        <w:keepNext w:val="0"/>
        <w:keepLines w:val="0"/>
        <w:pageBreakBefore w:val="0"/>
        <w:widowControl w:val="0"/>
        <w:kinsoku w:val="0"/>
        <w:wordWrap/>
        <w:overflowPunct/>
        <w:topLinePunct w:val="0"/>
        <w:autoSpaceDE w:val="0"/>
        <w:autoSpaceDN w:val="0"/>
        <w:bidi w:val="0"/>
        <w:adjustRightInd w:val="0"/>
        <w:snapToGrid w:val="0"/>
        <w:spacing w:before="146" w:line="220" w:lineRule="auto"/>
        <w:ind w:left="216" w:leftChars="103" w:firstLine="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（21）其他现行国家、广东省关于市政工程的技术及验收规范、定额、规程、标准。</w:t>
      </w:r>
    </w:p>
    <w:p w14:paraId="4FB1DDF1">
      <w:pPr>
        <w:pStyle w:val="5"/>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highlight w:val="none"/>
        </w:rPr>
      </w:pPr>
    </w:p>
    <w:p w14:paraId="4A164D7E">
      <w:pPr>
        <w:pStyle w:val="5"/>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highlight w:val="none"/>
        </w:rPr>
      </w:pPr>
    </w:p>
    <w:p w14:paraId="4AD096E9">
      <w:pPr>
        <w:keepNext w:val="0"/>
        <w:keepLines w:val="0"/>
        <w:pageBreakBefore w:val="0"/>
        <w:widowControl w:val="0"/>
        <w:kinsoku w:val="0"/>
        <w:wordWrap/>
        <w:overflowPunct/>
        <w:topLinePunct w:val="0"/>
        <w:autoSpaceDE w:val="0"/>
        <w:autoSpaceDN w:val="0"/>
        <w:bidi w:val="0"/>
        <w:adjustRightInd w:val="0"/>
        <w:snapToGrid w:val="0"/>
        <w:spacing w:before="78" w:line="222" w:lineRule="auto"/>
        <w:ind w:left="556"/>
        <w:textAlignment w:val="baseline"/>
        <w:outlineLvl w:val="2"/>
        <w:rPr>
          <w:rFonts w:hint="eastAsia" w:ascii="宋体" w:hAnsi="宋体" w:eastAsia="宋体" w:cs="宋体"/>
          <w:color w:val="auto"/>
          <w:sz w:val="24"/>
          <w:szCs w:val="24"/>
          <w:highlight w:val="none"/>
        </w:rPr>
      </w:pPr>
      <w:bookmarkStart w:id="208" w:name="_Toc31813"/>
      <w:bookmarkStart w:id="209" w:name="_Toc9200"/>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．备查要求</w:t>
      </w:r>
      <w:bookmarkEnd w:id="208"/>
      <w:bookmarkEnd w:id="209"/>
    </w:p>
    <w:p w14:paraId="54FC245A">
      <w:pPr>
        <w:keepNext w:val="0"/>
        <w:keepLines w:val="0"/>
        <w:pageBreakBefore w:val="0"/>
        <w:widowControl w:val="0"/>
        <w:kinsoku w:val="0"/>
        <w:wordWrap/>
        <w:overflowPunct/>
        <w:topLinePunct w:val="0"/>
        <w:autoSpaceDE w:val="0"/>
        <w:autoSpaceDN w:val="0"/>
        <w:bidi w:val="0"/>
        <w:adjustRightInd w:val="0"/>
        <w:snapToGrid w:val="0"/>
        <w:spacing w:before="155" w:line="324" w:lineRule="auto"/>
        <w:ind w:right="81" w:firstLine="561"/>
        <w:jc w:val="both"/>
        <w:textAlignment w:val="baseline"/>
        <w:rPr>
          <w:rFonts w:hint="eastAsia"/>
          <w:color w:val="auto"/>
          <w:highlight w:val="none"/>
        </w:rPr>
        <w:sectPr>
          <w:footerReference r:id="rId1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spacing w:val="3"/>
          <w:sz w:val="24"/>
          <w:szCs w:val="24"/>
          <w:highlight w:val="none"/>
        </w:rPr>
        <w:t>承包人必须在施工现场准备至少一套上述规范，发包人和监理单位可</w:t>
      </w:r>
      <w:r>
        <w:rPr>
          <w:rFonts w:hint="eastAsia" w:ascii="宋体" w:hAnsi="宋体" w:eastAsia="宋体" w:cs="宋体"/>
          <w:color w:val="auto"/>
          <w:spacing w:val="2"/>
          <w:sz w:val="24"/>
          <w:szCs w:val="24"/>
          <w:highlight w:val="none"/>
        </w:rPr>
        <w:t>随时检查承</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包人的上述规范，并监督承包人按规范要求执行。</w:t>
      </w:r>
    </w:p>
    <w:p w14:paraId="41B0234B">
      <w:pPr>
        <w:spacing w:before="78" w:line="219" w:lineRule="auto"/>
        <w:jc w:val="center"/>
        <w:outlineLvl w:val="0"/>
        <w:rPr>
          <w:rFonts w:hint="eastAsia" w:ascii="宋体" w:hAnsi="宋体" w:eastAsia="宋体" w:cs="宋体"/>
          <w:color w:val="auto"/>
          <w:sz w:val="24"/>
          <w:szCs w:val="24"/>
          <w:highlight w:val="none"/>
        </w:rPr>
      </w:pPr>
      <w:bookmarkStart w:id="210" w:name="bookmark100"/>
      <w:bookmarkEnd w:id="210"/>
      <w:bookmarkStart w:id="211" w:name="bookmark146"/>
      <w:bookmarkEnd w:id="211"/>
      <w:bookmarkStart w:id="212" w:name="_Toc21699"/>
      <w:r>
        <w:rPr>
          <w:rFonts w:hint="eastAsia" w:ascii="宋体" w:hAnsi="宋体" w:eastAsia="宋体" w:cs="宋体"/>
          <w:b/>
          <w:bCs/>
          <w:color w:val="auto"/>
          <w:spacing w:val="-5"/>
          <w:sz w:val="24"/>
          <w:szCs w:val="24"/>
          <w:highlight w:val="none"/>
        </w:rPr>
        <w:t>第五章</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5"/>
          <w:sz w:val="24"/>
          <w:szCs w:val="24"/>
          <w:highlight w:val="none"/>
        </w:rPr>
        <w:t>图纸和招标工程量清单</w:t>
      </w:r>
      <w:bookmarkEnd w:id="212"/>
    </w:p>
    <w:p w14:paraId="7C6C80E2">
      <w:pPr>
        <w:pStyle w:val="5"/>
        <w:spacing w:line="283" w:lineRule="auto"/>
        <w:rPr>
          <w:rFonts w:hint="eastAsia" w:ascii="宋体" w:hAnsi="宋体" w:eastAsia="宋体" w:cs="宋体"/>
          <w:color w:val="auto"/>
          <w:highlight w:val="none"/>
        </w:rPr>
      </w:pPr>
    </w:p>
    <w:p w14:paraId="58148A80">
      <w:pPr>
        <w:pStyle w:val="5"/>
        <w:spacing w:line="284" w:lineRule="auto"/>
        <w:rPr>
          <w:rFonts w:hint="eastAsia" w:ascii="宋体" w:hAnsi="宋体" w:eastAsia="宋体" w:cs="宋体"/>
          <w:color w:val="auto"/>
          <w:highlight w:val="none"/>
        </w:rPr>
      </w:pPr>
    </w:p>
    <w:p w14:paraId="116B6A3B">
      <w:pPr>
        <w:spacing w:before="78" w:line="219" w:lineRule="auto"/>
        <w:ind w:left="106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 xml:space="preserve">□有，另附复印件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rPr>
        <w:t>有，自行网上下载(浏览)           □无</w:t>
      </w:r>
    </w:p>
    <w:p w14:paraId="48F75832">
      <w:pPr>
        <w:pStyle w:val="5"/>
        <w:spacing w:line="265" w:lineRule="auto"/>
        <w:rPr>
          <w:rFonts w:hint="eastAsia" w:ascii="宋体" w:hAnsi="宋体" w:eastAsia="宋体" w:cs="宋体"/>
          <w:color w:val="auto"/>
          <w:highlight w:val="none"/>
        </w:rPr>
      </w:pPr>
    </w:p>
    <w:p w14:paraId="45CC48D5">
      <w:pPr>
        <w:spacing w:before="151" w:line="222" w:lineRule="auto"/>
        <w:ind w:left="715"/>
        <w:outlineLvl w:val="2"/>
        <w:rPr>
          <w:rFonts w:hint="eastAsia" w:ascii="宋体" w:hAnsi="宋体" w:eastAsia="宋体" w:cs="宋体"/>
          <w:color w:val="auto"/>
          <w:sz w:val="24"/>
          <w:szCs w:val="24"/>
          <w:highlight w:val="none"/>
        </w:rPr>
      </w:pPr>
      <w:bookmarkStart w:id="213" w:name="_Toc24446"/>
      <w:bookmarkStart w:id="214" w:name="_Toc21706"/>
      <w:r>
        <w:rPr>
          <w:rFonts w:hint="eastAsia" w:ascii="宋体" w:hAnsi="宋体" w:eastAsia="宋体" w:cs="宋体"/>
          <w:b/>
          <w:bCs/>
          <w:color w:val="auto"/>
          <w:spacing w:val="-14"/>
          <w:sz w:val="24"/>
          <w:szCs w:val="24"/>
          <w:highlight w:val="none"/>
        </w:rPr>
        <w:t>1</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14"/>
          <w:sz w:val="24"/>
          <w:szCs w:val="24"/>
          <w:highlight w:val="none"/>
        </w:rPr>
        <w:t>．图纸</w:t>
      </w:r>
      <w:bookmarkEnd w:id="213"/>
      <w:bookmarkEnd w:id="214"/>
    </w:p>
    <w:p w14:paraId="022ED3AB">
      <w:pPr>
        <w:spacing w:before="150" w:line="330" w:lineRule="auto"/>
        <w:ind w:left="230" w:firstLine="48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本招标文件随文另附施工图（电子文件）一套。</w:t>
      </w:r>
    </w:p>
    <w:p w14:paraId="19E440D0">
      <w:pPr>
        <w:spacing w:before="150" w:line="330" w:lineRule="auto"/>
        <w:ind w:left="230" w:firstLine="480"/>
        <w:jc w:val="both"/>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□本工程</w:t>
      </w:r>
      <w:r>
        <w:rPr>
          <w:rFonts w:hint="eastAsia" w:ascii="宋体" w:hAnsi="宋体" w:eastAsia="宋体" w:cs="宋体"/>
          <w:color w:val="auto"/>
          <w:spacing w:val="1"/>
          <w:sz w:val="24"/>
          <w:szCs w:val="24"/>
          <w:highlight w:val="none"/>
          <w:lang w:val="en-US" w:eastAsia="zh-CN"/>
        </w:rPr>
        <w:t>图纸</w:t>
      </w:r>
      <w:r>
        <w:rPr>
          <w:rFonts w:hint="eastAsia" w:ascii="宋体" w:hAnsi="宋体" w:eastAsia="宋体" w:cs="宋体"/>
          <w:color w:val="auto"/>
          <w:spacing w:val="1"/>
          <w:sz w:val="24"/>
          <w:szCs w:val="24"/>
          <w:highlight w:val="none"/>
        </w:rPr>
        <w:t>在</w:t>
      </w:r>
      <w:r>
        <w:rPr>
          <w:rFonts w:hint="eastAsia" w:ascii="宋体" w:hAnsi="宋体" w:eastAsia="宋体" w:cs="宋体"/>
          <w:color w:val="auto"/>
          <w:spacing w:val="1"/>
          <w:sz w:val="24"/>
          <w:szCs w:val="24"/>
          <w:highlight w:val="none"/>
          <w:lang w:val="en-US" w:eastAsia="zh-CN"/>
        </w:rPr>
        <w:t>投标截止时间</w:t>
      </w:r>
      <w:r>
        <w:rPr>
          <w:rFonts w:hint="eastAsia" w:ascii="宋体" w:hAnsi="宋体" w:eastAsia="宋体" w:cs="宋体"/>
          <w:color w:val="auto"/>
          <w:spacing w:val="1"/>
          <w:sz w:val="24"/>
          <w:szCs w:val="24"/>
          <w:highlight w:val="none"/>
        </w:rPr>
        <w:t>前15天</w:t>
      </w:r>
      <w:r>
        <w:rPr>
          <w:rFonts w:hint="eastAsia" w:ascii="宋体" w:hAnsi="宋体" w:eastAsia="宋体" w:cs="宋体"/>
          <w:color w:val="auto"/>
          <w:spacing w:val="1"/>
          <w:sz w:val="24"/>
          <w:szCs w:val="24"/>
          <w:highlight w:val="none"/>
          <w:lang w:val="en-US" w:eastAsia="zh-CN"/>
        </w:rPr>
        <w:t>以补充公告的形式在广东省招标投标监管网（http://zbtb.gd.gov.cn）、全国公共资源交易平台 （广东省 · 韶关市）（https://ygp.gdzwfw.gov.cn/ggzy-portal/#/440200/index）网站公布，各投标人可在上述网站上自行下载</w:t>
      </w:r>
    </w:p>
    <w:p w14:paraId="05E465DE">
      <w:pPr>
        <w:spacing w:before="79" w:line="221" w:lineRule="auto"/>
        <w:ind w:left="705"/>
        <w:outlineLvl w:val="2"/>
        <w:rPr>
          <w:rFonts w:hint="eastAsia" w:ascii="宋体" w:hAnsi="宋体" w:eastAsia="宋体" w:cs="宋体"/>
          <w:color w:val="auto"/>
          <w:sz w:val="24"/>
          <w:szCs w:val="24"/>
          <w:highlight w:val="none"/>
        </w:rPr>
      </w:pPr>
      <w:bookmarkStart w:id="215" w:name="_Toc24419"/>
      <w:bookmarkStart w:id="216" w:name="_Toc9064"/>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6"/>
          <w:sz w:val="24"/>
          <w:szCs w:val="24"/>
          <w:highlight w:val="none"/>
        </w:rPr>
        <w:t>．招标工程量清单</w:t>
      </w:r>
      <w:bookmarkEnd w:id="215"/>
      <w:bookmarkEnd w:id="216"/>
    </w:p>
    <w:p w14:paraId="04C18481">
      <w:pPr>
        <w:widowControl w:val="0"/>
        <w:numPr>
          <w:ilvl w:val="0"/>
          <w:numId w:val="0"/>
        </w:numPr>
        <w:shd w:val="clear" w:color="auto" w:fill="auto"/>
        <w:kinsoku/>
        <w:autoSpaceDE/>
        <w:autoSpaceDN/>
        <w:adjustRightInd/>
        <w:snapToGrid/>
        <w:spacing w:before="117" w:line="312" w:lineRule="auto"/>
        <w:ind w:left="705" w:leftChars="0"/>
        <w:jc w:val="both"/>
        <w:textAlignment w:val="auto"/>
        <w:rPr>
          <w:rFonts w:hint="eastAsia" w:ascii="宋体" w:hAnsi="宋体" w:eastAsia="宋体" w:cs="宋体"/>
          <w:b w:val="0"/>
          <w:bCs w:val="0"/>
          <w:snapToGrid/>
          <w:color w:val="auto"/>
          <w:spacing w:val="-3"/>
          <w:kern w:val="2"/>
          <w:sz w:val="24"/>
          <w:szCs w:val="24"/>
          <w:highlight w:val="none"/>
          <w:lang w:eastAsia="zh-CN"/>
        </w:rPr>
      </w:pPr>
      <w:r>
        <w:rPr>
          <w:rFonts w:hint="eastAsia" w:ascii="宋体" w:hAnsi="宋体" w:eastAsia="宋体" w:cs="宋体"/>
          <w:b w:val="0"/>
          <w:bCs w:val="0"/>
          <w:snapToGrid/>
          <w:color w:val="auto"/>
          <w:spacing w:val="-3"/>
          <w:kern w:val="2"/>
          <w:sz w:val="24"/>
          <w:szCs w:val="24"/>
          <w:highlight w:val="none"/>
          <w:lang w:eastAsia="zh-CN"/>
        </w:rPr>
        <w:t>☑本招标文件随文另附招标工程量清单一份。</w:t>
      </w:r>
    </w:p>
    <w:p w14:paraId="44D595E6">
      <w:pPr>
        <w:widowControl w:val="0"/>
        <w:numPr>
          <w:ilvl w:val="0"/>
          <w:numId w:val="0"/>
        </w:numPr>
        <w:shd w:val="clear" w:color="auto" w:fill="auto"/>
        <w:kinsoku/>
        <w:autoSpaceDE/>
        <w:autoSpaceDN/>
        <w:adjustRightInd/>
        <w:snapToGrid/>
        <w:spacing w:before="117" w:line="312" w:lineRule="auto"/>
        <w:ind w:left="705" w:leftChars="0"/>
        <w:jc w:val="both"/>
        <w:textAlignment w:val="auto"/>
        <w:rPr>
          <w:rFonts w:ascii="宋体" w:hAnsi="宋体" w:eastAsia="宋体" w:cs="宋体"/>
          <w:b w:val="0"/>
          <w:bCs w:val="0"/>
          <w:snapToGrid/>
          <w:color w:val="auto"/>
          <w:spacing w:val="-3"/>
          <w:kern w:val="2"/>
          <w:sz w:val="24"/>
          <w:szCs w:val="24"/>
          <w:highlight w:val="none"/>
          <w:lang w:eastAsia="zh-CN"/>
        </w:rPr>
      </w:pPr>
      <w:r>
        <w:rPr>
          <w:rFonts w:hint="eastAsia" w:ascii="宋体" w:hAnsi="宋体" w:eastAsia="宋体" w:cs="宋体"/>
          <w:b w:val="0"/>
          <w:bCs w:val="0"/>
          <w:snapToGrid/>
          <w:color w:val="auto"/>
          <w:spacing w:val="-3"/>
          <w:kern w:val="2"/>
          <w:sz w:val="24"/>
          <w:szCs w:val="24"/>
          <w:highlight w:val="none"/>
          <w:lang w:eastAsia="zh-CN"/>
        </w:rPr>
        <w:t>□本工程招标工程量清单在</w:t>
      </w:r>
      <w:r>
        <w:rPr>
          <w:rFonts w:hint="eastAsia" w:ascii="宋体" w:hAnsi="宋体" w:eastAsia="宋体" w:cs="宋体"/>
          <w:b w:val="0"/>
          <w:bCs w:val="0"/>
          <w:snapToGrid/>
          <w:color w:val="auto"/>
          <w:spacing w:val="-3"/>
          <w:kern w:val="2"/>
          <w:sz w:val="24"/>
          <w:szCs w:val="24"/>
          <w:highlight w:val="none"/>
          <w:lang w:val="en-US" w:eastAsia="zh-CN"/>
        </w:rPr>
        <w:t>投标截止时间</w:t>
      </w:r>
      <w:r>
        <w:rPr>
          <w:rFonts w:hint="eastAsia" w:ascii="宋体" w:hAnsi="宋体" w:eastAsia="宋体" w:cs="宋体"/>
          <w:b w:val="0"/>
          <w:bCs w:val="0"/>
          <w:snapToGrid/>
          <w:color w:val="auto"/>
          <w:spacing w:val="-3"/>
          <w:kern w:val="2"/>
          <w:sz w:val="24"/>
          <w:szCs w:val="24"/>
          <w:highlight w:val="none"/>
          <w:lang w:eastAsia="zh-CN"/>
        </w:rPr>
        <w:t>前15天</w:t>
      </w:r>
      <w:r>
        <w:rPr>
          <w:rFonts w:hint="eastAsia" w:ascii="宋体" w:hAnsi="宋体" w:eastAsia="宋体" w:cs="宋体"/>
          <w:b w:val="0"/>
          <w:bCs w:val="0"/>
          <w:snapToGrid/>
          <w:color w:val="auto"/>
          <w:spacing w:val="-3"/>
          <w:kern w:val="2"/>
          <w:sz w:val="24"/>
          <w:szCs w:val="24"/>
          <w:highlight w:val="none"/>
          <w:lang w:val="en-US" w:eastAsia="zh-CN"/>
        </w:rPr>
        <w:t>以补充公告的形式在广东省招标投标监管网（http://zbtb.gd.gov.cn）、全国公共资源交易平台 （广东省 · 韶关市）（https://ygp.gdzwfw.gov.cn/ggzy-portal/#/440200/index）网站公布，各投标人可在上述网站上自行下载</w:t>
      </w:r>
    </w:p>
    <w:p w14:paraId="7B802B52">
      <w:pPr>
        <w:spacing w:before="78" w:line="219" w:lineRule="auto"/>
        <w:ind w:left="478" w:firstLine="238" w:firstLineChars="100"/>
        <w:rPr>
          <w:rFonts w:hint="eastAsia" w:ascii="宋体" w:hAnsi="宋体" w:eastAsia="宋体" w:cs="宋体"/>
          <w:color w:val="auto"/>
          <w:sz w:val="24"/>
          <w:szCs w:val="24"/>
          <w:highlight w:val="none"/>
        </w:rPr>
      </w:pPr>
      <w:r>
        <w:rPr>
          <w:rFonts w:ascii="Times New Roman" w:hAnsi="Times New Roman" w:eastAsia="Times New Roman" w:cs="Times New Roman"/>
          <w:b/>
          <w:bCs/>
          <w:snapToGrid/>
          <w:color w:val="auto"/>
          <w:spacing w:val="-1"/>
          <w:kern w:val="2"/>
          <w:sz w:val="24"/>
          <w:szCs w:val="24"/>
          <w:highlight w:val="none"/>
          <w:lang w:eastAsia="zh-CN"/>
        </w:rPr>
        <w:t xml:space="preserve">2.2  </w:t>
      </w:r>
      <w:r>
        <w:rPr>
          <w:rFonts w:ascii="宋体" w:hAnsi="宋体" w:eastAsia="宋体" w:cs="宋体"/>
          <w:snapToGrid/>
          <w:color w:val="auto"/>
          <w:spacing w:val="-1"/>
          <w:kern w:val="2"/>
          <w:sz w:val="24"/>
          <w:szCs w:val="24"/>
          <w:highlight w:val="none"/>
          <w:lang w:eastAsia="zh-CN"/>
        </w:rPr>
        <w:t>本工程按照以下依据编制</w:t>
      </w:r>
      <w:r>
        <w:rPr>
          <w:rFonts w:ascii="宋体" w:hAnsi="宋体" w:eastAsia="宋体" w:cs="宋体"/>
          <w:snapToGrid/>
          <w:color w:val="auto"/>
          <w:spacing w:val="-1"/>
          <w:kern w:val="2"/>
          <w:sz w:val="24"/>
          <w:szCs w:val="24"/>
          <w:highlight w:val="none"/>
          <w:u w:val="single" w:color="auto"/>
          <w:lang w:eastAsia="zh-CN"/>
        </w:rPr>
        <w:t>招标工程量清单</w:t>
      </w:r>
      <w:r>
        <w:rPr>
          <w:rFonts w:ascii="宋体" w:hAnsi="宋体" w:eastAsia="宋体" w:cs="宋体"/>
          <w:snapToGrid/>
          <w:color w:val="auto"/>
          <w:spacing w:val="-1"/>
          <w:kern w:val="2"/>
          <w:sz w:val="24"/>
          <w:szCs w:val="24"/>
          <w:highlight w:val="none"/>
          <w:lang w:eastAsia="zh-CN"/>
        </w:rPr>
        <w:t>、</w:t>
      </w:r>
      <w:r>
        <w:rPr>
          <w:rFonts w:hint="eastAsia" w:ascii="宋体" w:hAnsi="宋体" w:eastAsia="宋体" w:cs="宋体"/>
          <w:snapToGrid/>
          <w:color w:val="auto"/>
          <w:spacing w:val="1"/>
          <w:kern w:val="2"/>
          <w:sz w:val="24"/>
          <w:szCs w:val="24"/>
          <w:highlight w:val="none"/>
          <w:lang w:eastAsia="zh-CN"/>
        </w:rPr>
        <w:t>最高投标限价</w:t>
      </w:r>
      <w:r>
        <w:rPr>
          <w:rFonts w:hint="eastAsia" w:ascii="宋体" w:hAnsi="宋体" w:eastAsia="宋体" w:cs="宋体"/>
          <w:color w:val="auto"/>
          <w:spacing w:val="-1"/>
          <w:sz w:val="24"/>
          <w:szCs w:val="24"/>
          <w:highlight w:val="none"/>
        </w:rPr>
        <w:t>：</w:t>
      </w:r>
    </w:p>
    <w:p w14:paraId="02362135">
      <w:pPr>
        <w:spacing w:before="123"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4"/>
          <w:sz w:val="24"/>
          <w:szCs w:val="24"/>
          <w:highlight w:val="none"/>
        </w:rPr>
        <w:t>）；</w:t>
      </w:r>
    </w:p>
    <w:p w14:paraId="61B98E77">
      <w:pPr>
        <w:spacing w:before="115" w:line="299" w:lineRule="auto"/>
        <w:ind w:firstLine="49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（2）投标人应对招标人提供的工程量清单进行认真细致的复核。这种复核包括对</w:t>
      </w:r>
      <w:r>
        <w:rPr>
          <w:rFonts w:hint="eastAsia" w:ascii="宋体" w:hAnsi="宋体" w:eastAsia="宋体" w:cs="宋体"/>
          <w:color w:val="auto"/>
          <w:spacing w:val="-1"/>
          <w:sz w:val="24"/>
          <w:szCs w:val="24"/>
          <w:highlight w:val="none"/>
        </w:rPr>
        <w:t>招标人提供的工程量清单中的子目编码、子目名称、子</w:t>
      </w:r>
      <w:r>
        <w:rPr>
          <w:rFonts w:hint="eastAsia" w:ascii="宋体" w:hAnsi="宋体" w:eastAsia="宋体" w:cs="宋体"/>
          <w:color w:val="auto"/>
          <w:spacing w:val="-2"/>
          <w:sz w:val="24"/>
          <w:szCs w:val="24"/>
          <w:highlight w:val="none"/>
        </w:rPr>
        <w:t>目特征描述、计量单位、工程量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的准确性以及可能存在的任何书写、打印错误进行检查</w:t>
      </w:r>
      <w:r>
        <w:rPr>
          <w:rFonts w:hint="eastAsia" w:ascii="宋体" w:hAnsi="宋体" w:eastAsia="宋体" w:cs="宋体"/>
          <w:color w:val="auto"/>
          <w:spacing w:val="-2"/>
          <w:sz w:val="24"/>
          <w:szCs w:val="24"/>
          <w:highlight w:val="none"/>
        </w:rPr>
        <w:t>和复核，特别是对“分部分项工</w:t>
      </w:r>
      <w:r>
        <w:rPr>
          <w:rFonts w:hint="eastAsia" w:ascii="宋体" w:hAnsi="宋体" w:eastAsia="宋体" w:cs="宋体"/>
          <w:color w:val="auto"/>
          <w:spacing w:val="-1"/>
          <w:sz w:val="24"/>
          <w:szCs w:val="24"/>
          <w:highlight w:val="none"/>
        </w:rPr>
        <w:t>程量清单与计价表”中每个工作子目的工程量进</w:t>
      </w:r>
      <w:r>
        <w:rPr>
          <w:rFonts w:hint="eastAsia" w:ascii="宋体" w:hAnsi="宋体" w:eastAsia="宋体" w:cs="宋体"/>
          <w:color w:val="auto"/>
          <w:spacing w:val="-2"/>
          <w:sz w:val="24"/>
          <w:szCs w:val="24"/>
          <w:highlight w:val="none"/>
        </w:rPr>
        <w:t>行重新计算和校核。如果投标人经过检</w:t>
      </w:r>
      <w:r>
        <w:rPr>
          <w:rFonts w:hint="eastAsia" w:ascii="宋体" w:hAnsi="宋体" w:eastAsia="宋体" w:cs="宋体"/>
          <w:color w:val="auto"/>
          <w:spacing w:val="-1"/>
          <w:sz w:val="24"/>
          <w:szCs w:val="24"/>
          <w:highlight w:val="none"/>
        </w:rPr>
        <w:t>查和复核以后认为招标人提供的工程量清单存在</w:t>
      </w:r>
      <w:r>
        <w:rPr>
          <w:rFonts w:hint="eastAsia" w:ascii="宋体" w:hAnsi="宋体" w:eastAsia="宋体" w:cs="宋体"/>
          <w:color w:val="auto"/>
          <w:spacing w:val="-2"/>
          <w:sz w:val="24"/>
          <w:szCs w:val="24"/>
          <w:highlight w:val="none"/>
        </w:rPr>
        <w:t>差异，则投标人应将此类差异的详细情</w:t>
      </w:r>
      <w:r>
        <w:rPr>
          <w:rFonts w:hint="eastAsia" w:ascii="宋体" w:hAnsi="宋体" w:eastAsia="宋体" w:cs="宋体"/>
          <w:color w:val="auto"/>
          <w:spacing w:val="-8"/>
          <w:sz w:val="24"/>
          <w:szCs w:val="24"/>
          <w:highlight w:val="none"/>
        </w:rPr>
        <w:t>况连同按“投标须知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8"/>
          <w:sz w:val="24"/>
          <w:szCs w:val="24"/>
          <w:highlight w:val="none"/>
        </w:rPr>
        <w:t>”规定提交的要求招标人澄清的其他</w:t>
      </w:r>
      <w:r>
        <w:rPr>
          <w:rFonts w:hint="eastAsia" w:ascii="宋体" w:hAnsi="宋体" w:eastAsia="宋体" w:cs="宋体"/>
          <w:color w:val="auto"/>
          <w:spacing w:val="-9"/>
          <w:sz w:val="24"/>
          <w:szCs w:val="24"/>
          <w:highlight w:val="none"/>
        </w:rPr>
        <w:t>问题一起提交给招标人，招标人</w:t>
      </w:r>
      <w:r>
        <w:rPr>
          <w:rFonts w:hint="eastAsia" w:ascii="宋体" w:hAnsi="宋体" w:eastAsia="宋体" w:cs="宋体"/>
          <w:color w:val="auto"/>
          <w:spacing w:val="-2"/>
          <w:sz w:val="24"/>
          <w:szCs w:val="24"/>
          <w:highlight w:val="none"/>
        </w:rPr>
        <w:t>将根据实际情况决定是否颁发</w:t>
      </w:r>
      <w:r>
        <w:rPr>
          <w:rFonts w:hint="eastAsia" w:ascii="宋体" w:hAnsi="宋体" w:eastAsia="宋体" w:cs="宋体"/>
          <w:color w:val="auto"/>
          <w:spacing w:val="-2"/>
          <w:sz w:val="24"/>
          <w:szCs w:val="24"/>
          <w:highlight w:val="none"/>
          <w:u w:val="single"/>
        </w:rPr>
        <w:t>工程量清单</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8"/>
          <w:sz w:val="24"/>
          <w:szCs w:val="24"/>
          <w:highlight w:val="none"/>
          <w:lang w:eastAsia="zh-CN"/>
        </w:rPr>
        <w:t>最高投标限价</w:t>
      </w:r>
      <w:r>
        <w:rPr>
          <w:rFonts w:hint="eastAsia" w:ascii="宋体" w:hAnsi="宋体" w:eastAsia="宋体" w:cs="宋体"/>
          <w:color w:val="auto"/>
          <w:spacing w:val="-8"/>
          <w:sz w:val="24"/>
          <w:szCs w:val="24"/>
          <w:highlight w:val="none"/>
        </w:rPr>
        <w:t>的</w:t>
      </w:r>
      <w:r>
        <w:rPr>
          <w:rFonts w:hint="eastAsia" w:ascii="宋体" w:hAnsi="宋体" w:eastAsia="宋体" w:cs="宋体"/>
          <w:color w:val="auto"/>
          <w:spacing w:val="-2"/>
          <w:sz w:val="24"/>
          <w:szCs w:val="24"/>
          <w:highlight w:val="none"/>
        </w:rPr>
        <w:t>补充和(或)修改文件。</w:t>
      </w:r>
    </w:p>
    <w:p w14:paraId="3FCA4C7D">
      <w:pPr>
        <w:spacing w:before="79" w:line="263" w:lineRule="auto"/>
        <w:ind w:left="2" w:right="2"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（3）本招标工程量清单措施项目中的</w:t>
      </w:r>
      <w:r>
        <w:rPr>
          <w:rFonts w:hint="eastAsia" w:ascii="宋体" w:hAnsi="宋体" w:eastAsia="宋体" w:cs="宋体"/>
          <w:b/>
          <w:bCs/>
          <w:color w:val="auto"/>
          <w:spacing w:val="-6"/>
          <w:sz w:val="24"/>
          <w:szCs w:val="24"/>
          <w:highlight w:val="none"/>
          <w:u w:val="single"/>
        </w:rPr>
        <w:t>暂列金额、</w:t>
      </w:r>
      <w:r>
        <w:rPr>
          <w:rFonts w:hint="eastAsia" w:ascii="宋体" w:hAnsi="宋体" w:eastAsia="宋体" w:cs="宋体"/>
          <w:b/>
          <w:bCs/>
          <w:color w:val="auto"/>
          <w:spacing w:val="-6"/>
          <w:sz w:val="24"/>
          <w:szCs w:val="24"/>
          <w:highlight w:val="none"/>
          <w:u w:val="single"/>
          <w:lang w:val="en-US" w:eastAsia="zh-CN"/>
        </w:rPr>
        <w:t>专业工程</w:t>
      </w:r>
      <w:r>
        <w:rPr>
          <w:rFonts w:hint="eastAsia" w:ascii="宋体" w:hAnsi="宋体" w:eastAsia="宋体" w:cs="宋体"/>
          <w:b/>
          <w:bCs/>
          <w:color w:val="auto"/>
          <w:spacing w:val="-6"/>
          <w:sz w:val="24"/>
          <w:szCs w:val="24"/>
          <w:highlight w:val="none"/>
          <w:u w:val="single"/>
        </w:rPr>
        <w:t>暂估价</w:t>
      </w:r>
      <w:r>
        <w:rPr>
          <w:rFonts w:hint="eastAsia" w:ascii="宋体" w:hAnsi="宋体" w:eastAsia="宋体" w:cs="宋体"/>
          <w:color w:val="auto"/>
          <w:spacing w:val="-2"/>
          <w:sz w:val="24"/>
          <w:szCs w:val="24"/>
          <w:highlight w:val="none"/>
        </w:rPr>
        <w:t>不得作为竞争性费用，投标报价必须按本招标工程量清</w:t>
      </w:r>
      <w:r>
        <w:rPr>
          <w:rFonts w:hint="eastAsia" w:ascii="宋体" w:hAnsi="宋体" w:eastAsia="宋体" w:cs="宋体"/>
          <w:color w:val="auto"/>
          <w:spacing w:val="-3"/>
          <w:sz w:val="24"/>
          <w:szCs w:val="24"/>
          <w:highlight w:val="none"/>
        </w:rPr>
        <w:t>单规定</w:t>
      </w:r>
      <w:r>
        <w:rPr>
          <w:rFonts w:hint="eastAsia" w:ascii="宋体" w:hAnsi="宋体" w:eastAsia="宋体" w:cs="宋体"/>
          <w:color w:val="auto"/>
          <w:spacing w:val="-2"/>
          <w:sz w:val="24"/>
          <w:szCs w:val="24"/>
          <w:highlight w:val="none"/>
        </w:rPr>
        <w:t>的金额填</w:t>
      </w:r>
      <w:r>
        <w:rPr>
          <w:rFonts w:hint="eastAsia" w:ascii="宋体" w:hAnsi="宋体" w:eastAsia="宋体" w:cs="宋体"/>
          <w:color w:val="auto"/>
          <w:spacing w:val="-3"/>
          <w:sz w:val="24"/>
          <w:szCs w:val="24"/>
          <w:highlight w:val="none"/>
        </w:rPr>
        <w:t>报。</w:t>
      </w:r>
    </w:p>
    <w:p w14:paraId="771762E6">
      <w:pPr>
        <w:spacing w:before="118" w:line="265" w:lineRule="auto"/>
        <w:ind w:left="7" w:right="4" w:firstLine="48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（4）投标报价使用的表格格式须按照 GB50500-20</w:t>
      </w:r>
      <w:r>
        <w:rPr>
          <w:rFonts w:hint="eastAsia" w:ascii="宋体" w:hAnsi="宋体" w:eastAsia="宋体" w:cs="宋体"/>
          <w:color w:val="auto"/>
          <w:spacing w:val="-2"/>
          <w:sz w:val="24"/>
          <w:szCs w:val="24"/>
          <w:highlight w:val="none"/>
          <w:lang w:val="en-US" w:eastAsia="zh-CN"/>
        </w:rPr>
        <w:t>24</w:t>
      </w:r>
      <w:r>
        <w:rPr>
          <w:rFonts w:hint="eastAsia" w:ascii="宋体" w:hAnsi="宋体" w:eastAsia="宋体" w:cs="宋体"/>
          <w:color w:val="auto"/>
          <w:spacing w:val="-2"/>
          <w:sz w:val="24"/>
          <w:szCs w:val="24"/>
          <w:highlight w:val="none"/>
        </w:rPr>
        <w:t>《建设工程工程量清单计价</w:t>
      </w:r>
      <w:r>
        <w:rPr>
          <w:rFonts w:hint="eastAsia" w:ascii="宋体" w:hAnsi="宋体" w:eastAsia="宋体" w:cs="宋体"/>
          <w:color w:val="auto"/>
          <w:spacing w:val="-2"/>
          <w:sz w:val="24"/>
          <w:szCs w:val="24"/>
          <w:highlight w:val="none"/>
          <w:lang w:val="en-US" w:eastAsia="zh-CN"/>
        </w:rPr>
        <w:t>标准</w:t>
      </w:r>
      <w:r>
        <w:rPr>
          <w:rFonts w:hint="eastAsia" w:ascii="宋体" w:hAnsi="宋体" w:eastAsia="宋体" w:cs="宋体"/>
          <w:color w:val="auto"/>
          <w:spacing w:val="-6"/>
          <w:sz w:val="24"/>
          <w:szCs w:val="24"/>
          <w:highlight w:val="none"/>
        </w:rPr>
        <w:t>》。</w:t>
      </w:r>
    </w:p>
    <w:p w14:paraId="12F193A0">
      <w:pPr>
        <w:spacing w:before="107" w:line="286" w:lineRule="auto"/>
        <w:ind w:right="4" w:firstLine="492"/>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5）《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18E085EB">
      <w:pPr>
        <w:spacing w:before="146" w:line="221"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（6）施工图及相关资料；</w:t>
      </w:r>
    </w:p>
    <w:p w14:paraId="75A26699">
      <w:pPr>
        <w:spacing w:before="153" w:line="220"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（7）招标文件；</w:t>
      </w:r>
    </w:p>
    <w:p w14:paraId="37B4AFD5">
      <w:pPr>
        <w:spacing w:before="155" w:line="220"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（8）施工现场情况、地勘水文资料、工程特点及常规施工方案；</w:t>
      </w:r>
    </w:p>
    <w:p w14:paraId="106392C6">
      <w:pPr>
        <w:spacing w:before="153"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（9）与建设工程有关的标准、规范、技术资料、材料设备信息价或市场价格等</w:t>
      </w:r>
      <w:r>
        <w:rPr>
          <w:rFonts w:hint="eastAsia" w:ascii="宋体" w:hAnsi="宋体" w:eastAsia="宋体" w:cs="宋体"/>
          <w:color w:val="auto"/>
          <w:spacing w:val="-2"/>
          <w:sz w:val="24"/>
          <w:szCs w:val="24"/>
          <w:highlight w:val="none"/>
        </w:rPr>
        <w:t>。</w:t>
      </w:r>
    </w:p>
    <w:p w14:paraId="429B0728">
      <w:pPr>
        <w:spacing w:line="219" w:lineRule="auto"/>
        <w:rPr>
          <w:rFonts w:hint="eastAsia" w:ascii="宋体" w:hAnsi="宋体" w:eastAsia="宋体" w:cs="宋体"/>
          <w:color w:val="auto"/>
          <w:sz w:val="24"/>
          <w:szCs w:val="24"/>
          <w:highlight w:val="none"/>
        </w:rPr>
        <w:sectPr>
          <w:footerReference r:id="rId1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0104BD93">
      <w:pPr>
        <w:pStyle w:val="5"/>
        <w:spacing w:line="304" w:lineRule="auto"/>
        <w:rPr>
          <w:rFonts w:hint="eastAsia" w:ascii="宋体" w:hAnsi="宋体" w:eastAsia="宋体" w:cs="宋体"/>
          <w:color w:val="auto"/>
          <w:highlight w:val="none"/>
        </w:rPr>
      </w:pPr>
    </w:p>
    <w:p w14:paraId="36743CF6">
      <w:pPr>
        <w:spacing w:before="78" w:line="219" w:lineRule="auto"/>
        <w:ind w:left="3357"/>
        <w:outlineLvl w:val="0"/>
        <w:rPr>
          <w:rFonts w:hint="eastAsia" w:ascii="宋体" w:hAnsi="宋体" w:eastAsia="宋体" w:cs="宋体"/>
          <w:color w:val="auto"/>
          <w:sz w:val="24"/>
          <w:szCs w:val="24"/>
          <w:highlight w:val="none"/>
        </w:rPr>
      </w:pPr>
      <w:bookmarkStart w:id="217" w:name="_Toc27130"/>
      <w:r>
        <w:rPr>
          <w:rFonts w:hint="eastAsia" w:ascii="宋体" w:hAnsi="宋体" w:eastAsia="宋体" w:cs="宋体"/>
          <w:b/>
          <w:bCs/>
          <w:color w:val="auto"/>
          <w:spacing w:val="-3"/>
          <w:sz w:val="24"/>
          <w:szCs w:val="24"/>
          <w:highlight w:val="none"/>
        </w:rPr>
        <w:t>第六章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投标文件格式</w:t>
      </w:r>
      <w:bookmarkEnd w:id="217"/>
    </w:p>
    <w:p w14:paraId="0D0857B6">
      <w:pPr>
        <w:pStyle w:val="5"/>
        <w:spacing w:line="302" w:lineRule="auto"/>
        <w:jc w:val="right"/>
        <w:rPr>
          <w:rFonts w:hint="eastAsia" w:ascii="宋体" w:hAnsi="宋体" w:eastAsia="宋体" w:cs="宋体"/>
          <w:color w:val="auto"/>
          <w:highlight w:val="none"/>
        </w:rPr>
      </w:pPr>
    </w:p>
    <w:p w14:paraId="401E31D5">
      <w:pPr>
        <w:spacing w:before="78" w:line="220" w:lineRule="auto"/>
        <w:outlineLvl w:val="2"/>
        <w:rPr>
          <w:rFonts w:hint="eastAsia" w:ascii="宋体" w:hAnsi="宋体" w:eastAsia="宋体" w:cs="宋体"/>
          <w:color w:val="auto"/>
          <w:sz w:val="24"/>
          <w:szCs w:val="24"/>
          <w:highlight w:val="none"/>
        </w:rPr>
      </w:pPr>
      <w:bookmarkStart w:id="218" w:name="_Toc11203"/>
      <w:r>
        <w:rPr>
          <w:rFonts w:hint="eastAsia" w:ascii="宋体" w:hAnsi="宋体" w:eastAsia="宋体" w:cs="宋体"/>
          <w:b/>
          <w:bCs/>
          <w:color w:val="auto"/>
          <w:spacing w:val="-4"/>
          <w:sz w:val="24"/>
          <w:szCs w:val="24"/>
          <w:highlight w:val="none"/>
        </w:rPr>
        <w:t>格式一</w:t>
      </w:r>
      <w:r>
        <w:rPr>
          <w:rFonts w:hint="eastAsia" w:ascii="宋体" w:hAnsi="宋体" w:eastAsia="宋体" w:cs="宋体"/>
          <w:color w:val="auto"/>
          <w:spacing w:val="-4"/>
          <w:sz w:val="24"/>
          <w:szCs w:val="24"/>
          <w:highlight w:val="none"/>
        </w:rPr>
        <w:t xml:space="preserve"> </w:t>
      </w:r>
      <w:r>
        <w:rPr>
          <w:rFonts w:hint="eastAsia" w:ascii="宋体" w:hAnsi="宋体" w:eastAsia="宋体" w:cs="宋体"/>
          <w:b/>
          <w:bCs/>
          <w:color w:val="auto"/>
          <w:spacing w:val="-4"/>
          <w:sz w:val="24"/>
          <w:szCs w:val="24"/>
          <w:highlight w:val="none"/>
        </w:rPr>
        <w:t>封面</w:t>
      </w:r>
      <w:bookmarkEnd w:id="218"/>
    </w:p>
    <w:p w14:paraId="7F1D5484">
      <w:pPr>
        <w:pStyle w:val="5"/>
        <w:spacing w:line="258" w:lineRule="auto"/>
        <w:rPr>
          <w:rFonts w:hint="eastAsia" w:ascii="宋体" w:hAnsi="宋体" w:eastAsia="宋体" w:cs="宋体"/>
          <w:color w:val="auto"/>
          <w:highlight w:val="none"/>
        </w:rPr>
      </w:pPr>
    </w:p>
    <w:p w14:paraId="2CD8482C">
      <w:pPr>
        <w:pStyle w:val="5"/>
        <w:spacing w:line="259" w:lineRule="auto"/>
        <w:rPr>
          <w:rFonts w:hint="eastAsia" w:ascii="宋体" w:hAnsi="宋体" w:eastAsia="宋体" w:cs="宋体"/>
          <w:color w:val="auto"/>
          <w:highlight w:val="none"/>
        </w:rPr>
      </w:pPr>
    </w:p>
    <w:p w14:paraId="102EDF3E">
      <w:pPr>
        <w:pStyle w:val="5"/>
        <w:spacing w:line="259" w:lineRule="auto"/>
        <w:rPr>
          <w:rFonts w:hint="eastAsia" w:ascii="宋体" w:hAnsi="宋体" w:eastAsia="宋体" w:cs="宋体"/>
          <w:color w:val="auto"/>
          <w:highlight w:val="none"/>
        </w:rPr>
      </w:pPr>
    </w:p>
    <w:p w14:paraId="2A72B20C">
      <w:pPr>
        <w:spacing w:before="153" w:line="225" w:lineRule="auto"/>
        <w:ind w:left="-1" w:leftChars="0" w:firstLine="0" w:firstLineChars="0"/>
        <w:jc w:val="center"/>
        <w:rPr>
          <w:rFonts w:hint="eastAsia" w:ascii="宋体" w:hAnsi="宋体" w:eastAsia="宋体" w:cs="宋体"/>
          <w:color w:val="auto"/>
          <w:sz w:val="47"/>
          <w:szCs w:val="47"/>
          <w:highlight w:val="none"/>
        </w:rPr>
      </w:pPr>
      <w:r>
        <w:rPr>
          <w:rFonts w:hint="eastAsia" w:ascii="宋体" w:hAnsi="宋体" w:eastAsia="宋体" w:cs="宋体"/>
          <w:b/>
          <w:bCs/>
          <w:color w:val="auto"/>
          <w:spacing w:val="8"/>
          <w:sz w:val="47"/>
          <w:szCs w:val="47"/>
          <w:highlight w:val="none"/>
          <w:u w:val="single"/>
          <w:lang w:val="en-US" w:eastAsia="zh-CN"/>
        </w:rPr>
        <w:t xml:space="preserve">       </w:t>
      </w:r>
      <w:r>
        <w:rPr>
          <w:rFonts w:hint="eastAsia" w:ascii="宋体" w:hAnsi="宋体" w:eastAsia="宋体" w:cs="宋体"/>
          <w:b/>
          <w:bCs/>
          <w:color w:val="auto"/>
          <w:spacing w:val="8"/>
          <w:sz w:val="47"/>
          <w:szCs w:val="47"/>
          <w:highlight w:val="none"/>
          <w:u w:val="single"/>
        </w:rPr>
        <w:t>（项目名称</w:t>
      </w:r>
      <w:r>
        <w:rPr>
          <w:rFonts w:hint="eastAsia" w:ascii="宋体" w:hAnsi="宋体" w:eastAsia="宋体" w:cs="宋体"/>
          <w:b/>
          <w:bCs/>
          <w:color w:val="auto"/>
          <w:spacing w:val="-32"/>
          <w:sz w:val="47"/>
          <w:szCs w:val="47"/>
          <w:highlight w:val="none"/>
          <w:u w:val="single"/>
        </w:rPr>
        <w:t>）</w:t>
      </w:r>
      <w:r>
        <w:rPr>
          <w:rFonts w:hint="eastAsia" w:ascii="宋体" w:hAnsi="宋体" w:eastAsia="宋体" w:cs="宋体"/>
          <w:b/>
          <w:bCs/>
          <w:color w:val="auto"/>
          <w:spacing w:val="8"/>
          <w:sz w:val="47"/>
          <w:szCs w:val="47"/>
          <w:highlight w:val="none"/>
        </w:rPr>
        <w:t>招标</w:t>
      </w:r>
    </w:p>
    <w:p w14:paraId="5ECD6A12">
      <w:pPr>
        <w:pStyle w:val="5"/>
        <w:spacing w:line="247" w:lineRule="auto"/>
        <w:rPr>
          <w:rFonts w:hint="eastAsia" w:ascii="宋体" w:hAnsi="宋体" w:eastAsia="宋体" w:cs="宋体"/>
          <w:color w:val="auto"/>
          <w:highlight w:val="none"/>
        </w:rPr>
      </w:pPr>
    </w:p>
    <w:p w14:paraId="54606FEC">
      <w:pPr>
        <w:pStyle w:val="5"/>
        <w:spacing w:line="247" w:lineRule="auto"/>
        <w:rPr>
          <w:rFonts w:hint="eastAsia" w:ascii="宋体" w:hAnsi="宋体" w:eastAsia="宋体" w:cs="宋体"/>
          <w:color w:val="auto"/>
          <w:highlight w:val="none"/>
        </w:rPr>
      </w:pPr>
    </w:p>
    <w:p w14:paraId="5399F95B">
      <w:pPr>
        <w:pStyle w:val="5"/>
        <w:spacing w:line="247" w:lineRule="auto"/>
        <w:rPr>
          <w:rFonts w:hint="eastAsia" w:ascii="宋体" w:hAnsi="宋体" w:eastAsia="宋体" w:cs="宋体"/>
          <w:color w:val="auto"/>
          <w:highlight w:val="none"/>
        </w:rPr>
      </w:pPr>
    </w:p>
    <w:p w14:paraId="290C2C2C">
      <w:pPr>
        <w:pStyle w:val="5"/>
        <w:spacing w:line="247" w:lineRule="auto"/>
        <w:rPr>
          <w:rFonts w:hint="eastAsia" w:ascii="宋体" w:hAnsi="宋体" w:eastAsia="宋体" w:cs="宋体"/>
          <w:color w:val="auto"/>
          <w:highlight w:val="none"/>
        </w:rPr>
      </w:pPr>
    </w:p>
    <w:p w14:paraId="59ACBFD9">
      <w:pPr>
        <w:pStyle w:val="5"/>
        <w:spacing w:line="248" w:lineRule="auto"/>
        <w:rPr>
          <w:rFonts w:hint="eastAsia" w:ascii="宋体" w:hAnsi="宋体" w:eastAsia="宋体" w:cs="宋体"/>
          <w:color w:val="auto"/>
          <w:highlight w:val="none"/>
        </w:rPr>
      </w:pPr>
    </w:p>
    <w:p w14:paraId="659F2C43">
      <w:pPr>
        <w:spacing w:before="231" w:line="223" w:lineRule="auto"/>
        <w:jc w:val="center"/>
        <w:rPr>
          <w:rFonts w:hint="eastAsia" w:ascii="宋体" w:hAnsi="宋体" w:eastAsia="宋体" w:cs="宋体"/>
          <w:color w:val="auto"/>
          <w:sz w:val="71"/>
          <w:szCs w:val="71"/>
          <w:highlight w:val="none"/>
        </w:rPr>
      </w:pPr>
      <w:r>
        <w:rPr>
          <w:rFonts w:hint="eastAsia" w:ascii="宋体" w:hAnsi="宋体" w:eastAsia="宋体" w:cs="宋体"/>
          <w:b/>
          <w:bCs/>
          <w:color w:val="auto"/>
          <w:spacing w:val="-26"/>
          <w:sz w:val="71"/>
          <w:szCs w:val="71"/>
          <w:highlight w:val="none"/>
        </w:rPr>
        <w:t>投</w:t>
      </w:r>
      <w:r>
        <w:rPr>
          <w:rFonts w:hint="eastAsia" w:ascii="宋体" w:hAnsi="宋体" w:eastAsia="宋体" w:cs="宋体"/>
          <w:color w:val="auto"/>
          <w:spacing w:val="22"/>
          <w:sz w:val="71"/>
          <w:szCs w:val="71"/>
          <w:highlight w:val="none"/>
        </w:rPr>
        <w:t xml:space="preserve">  </w:t>
      </w:r>
      <w:r>
        <w:rPr>
          <w:rFonts w:hint="eastAsia" w:ascii="宋体" w:hAnsi="宋体" w:eastAsia="宋体" w:cs="宋体"/>
          <w:b/>
          <w:bCs/>
          <w:color w:val="auto"/>
          <w:spacing w:val="-26"/>
          <w:sz w:val="71"/>
          <w:szCs w:val="71"/>
          <w:highlight w:val="none"/>
        </w:rPr>
        <w:t>标</w:t>
      </w:r>
      <w:r>
        <w:rPr>
          <w:rFonts w:hint="eastAsia" w:ascii="宋体" w:hAnsi="宋体" w:eastAsia="宋体" w:cs="宋体"/>
          <w:color w:val="auto"/>
          <w:spacing w:val="23"/>
          <w:sz w:val="71"/>
          <w:szCs w:val="71"/>
          <w:highlight w:val="none"/>
        </w:rPr>
        <w:t xml:space="preserve">  </w:t>
      </w:r>
      <w:r>
        <w:rPr>
          <w:rFonts w:hint="eastAsia" w:ascii="宋体" w:hAnsi="宋体" w:eastAsia="宋体" w:cs="宋体"/>
          <w:b/>
          <w:bCs/>
          <w:color w:val="auto"/>
          <w:spacing w:val="-26"/>
          <w:sz w:val="71"/>
          <w:szCs w:val="71"/>
          <w:highlight w:val="none"/>
        </w:rPr>
        <w:t>文</w:t>
      </w:r>
      <w:r>
        <w:rPr>
          <w:rFonts w:hint="eastAsia" w:ascii="宋体" w:hAnsi="宋体" w:eastAsia="宋体" w:cs="宋体"/>
          <w:color w:val="auto"/>
          <w:spacing w:val="19"/>
          <w:sz w:val="71"/>
          <w:szCs w:val="71"/>
          <w:highlight w:val="none"/>
        </w:rPr>
        <w:t xml:space="preserve">  </w:t>
      </w:r>
      <w:r>
        <w:rPr>
          <w:rFonts w:hint="eastAsia" w:ascii="宋体" w:hAnsi="宋体" w:eastAsia="宋体" w:cs="宋体"/>
          <w:b/>
          <w:bCs/>
          <w:color w:val="auto"/>
          <w:spacing w:val="-26"/>
          <w:sz w:val="71"/>
          <w:szCs w:val="71"/>
          <w:highlight w:val="none"/>
        </w:rPr>
        <w:t>件</w:t>
      </w:r>
    </w:p>
    <w:p w14:paraId="0B131F8C">
      <w:pPr>
        <w:pStyle w:val="5"/>
        <w:spacing w:line="293" w:lineRule="auto"/>
        <w:rPr>
          <w:rFonts w:hint="eastAsia" w:ascii="宋体" w:hAnsi="宋体" w:eastAsia="宋体" w:cs="宋体"/>
          <w:color w:val="auto"/>
          <w:highlight w:val="none"/>
        </w:rPr>
      </w:pPr>
    </w:p>
    <w:p w14:paraId="324C9182">
      <w:pPr>
        <w:pStyle w:val="5"/>
        <w:spacing w:line="293" w:lineRule="auto"/>
        <w:rPr>
          <w:rFonts w:hint="eastAsia" w:ascii="宋体" w:hAnsi="宋体" w:eastAsia="宋体" w:cs="宋体"/>
          <w:color w:val="auto"/>
          <w:highlight w:val="none"/>
        </w:rPr>
      </w:pPr>
    </w:p>
    <w:p w14:paraId="7C0F118B">
      <w:pPr>
        <w:spacing w:before="152" w:line="223" w:lineRule="auto"/>
        <w:jc w:val="center"/>
        <w:rPr>
          <w:rFonts w:hint="eastAsia" w:ascii="宋体" w:hAnsi="宋体" w:eastAsia="宋体" w:cs="宋体"/>
          <w:b/>
          <w:bCs/>
          <w:color w:val="auto"/>
          <w:spacing w:val="2"/>
          <w:sz w:val="40"/>
          <w:szCs w:val="40"/>
          <w:highlight w:val="none"/>
        </w:rPr>
      </w:pPr>
      <w:bookmarkStart w:id="219" w:name="bookmark105"/>
      <w:bookmarkEnd w:id="219"/>
      <w:r>
        <w:rPr>
          <w:rFonts w:hint="eastAsia" w:ascii="宋体" w:hAnsi="宋体" w:eastAsia="宋体" w:cs="宋体"/>
          <w:b/>
          <w:bCs/>
          <w:color w:val="auto"/>
          <w:spacing w:val="2"/>
          <w:sz w:val="40"/>
          <w:szCs w:val="40"/>
          <w:highlight w:val="none"/>
        </w:rPr>
        <w:t>（商务标书／经济标书／施工组织设计</w:t>
      </w:r>
      <w:r>
        <w:rPr>
          <w:rFonts w:hint="eastAsia" w:ascii="宋体" w:hAnsi="宋体" w:eastAsia="宋体" w:cs="宋体"/>
          <w:b/>
          <w:bCs/>
          <w:color w:val="auto"/>
          <w:spacing w:val="2"/>
          <w:sz w:val="40"/>
          <w:szCs w:val="40"/>
          <w:highlight w:val="none"/>
          <w:lang w:val="en-US" w:eastAsia="zh-CN"/>
        </w:rPr>
        <w:t>/定标文件</w:t>
      </w:r>
      <w:r>
        <w:rPr>
          <w:rFonts w:hint="eastAsia" w:ascii="宋体" w:hAnsi="宋体" w:eastAsia="宋体" w:cs="宋体"/>
          <w:b/>
          <w:bCs/>
          <w:color w:val="auto"/>
          <w:spacing w:val="2"/>
          <w:sz w:val="40"/>
          <w:szCs w:val="40"/>
          <w:highlight w:val="none"/>
        </w:rPr>
        <w:t>）</w:t>
      </w:r>
    </w:p>
    <w:p w14:paraId="507FE0F9">
      <w:pPr>
        <w:bidi w:val="0"/>
        <w:rPr>
          <w:rFonts w:hint="eastAsia"/>
          <w:color w:val="auto"/>
          <w:highlight w:val="none"/>
        </w:rPr>
      </w:pPr>
    </w:p>
    <w:p w14:paraId="1258CA34">
      <w:pPr>
        <w:bidi w:val="0"/>
        <w:rPr>
          <w:rFonts w:hint="eastAsia"/>
          <w:color w:val="auto"/>
          <w:highlight w:val="none"/>
        </w:rPr>
      </w:pPr>
    </w:p>
    <w:p w14:paraId="6011C3D8">
      <w:pPr>
        <w:bidi w:val="0"/>
        <w:rPr>
          <w:rFonts w:hint="eastAsia"/>
          <w:color w:val="auto"/>
          <w:highlight w:val="none"/>
        </w:rPr>
      </w:pPr>
    </w:p>
    <w:p w14:paraId="37F301A3">
      <w:pPr>
        <w:bidi w:val="0"/>
        <w:rPr>
          <w:rFonts w:hint="eastAsia"/>
          <w:color w:val="auto"/>
          <w:highlight w:val="none"/>
        </w:rPr>
      </w:pPr>
    </w:p>
    <w:p w14:paraId="176B82A5">
      <w:pPr>
        <w:bidi w:val="0"/>
        <w:rPr>
          <w:rFonts w:hint="eastAsia"/>
          <w:color w:val="auto"/>
          <w:highlight w:val="none"/>
        </w:rPr>
      </w:pPr>
    </w:p>
    <w:p w14:paraId="082387D7">
      <w:pPr>
        <w:bidi w:val="0"/>
        <w:rPr>
          <w:rFonts w:hint="eastAsia"/>
          <w:color w:val="auto"/>
          <w:highlight w:val="none"/>
        </w:rPr>
      </w:pPr>
    </w:p>
    <w:p w14:paraId="4555BC89">
      <w:pPr>
        <w:bidi w:val="0"/>
        <w:rPr>
          <w:rFonts w:hint="eastAsia"/>
          <w:color w:val="auto"/>
          <w:highlight w:val="none"/>
        </w:rPr>
      </w:pPr>
    </w:p>
    <w:p w14:paraId="5C158398">
      <w:pPr>
        <w:bidi w:val="0"/>
        <w:rPr>
          <w:rFonts w:hint="eastAsia"/>
          <w:color w:val="auto"/>
          <w:highlight w:val="none"/>
        </w:rPr>
      </w:pPr>
    </w:p>
    <w:p w14:paraId="7B5A9BA0">
      <w:pPr>
        <w:pStyle w:val="4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p>
    <w:p w14:paraId="215929E0">
      <w:pPr>
        <w:pStyle w:val="4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233B75EF">
      <w:pPr>
        <w:pStyle w:val="4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33AB8C63">
      <w:pPr>
        <w:pStyle w:val="4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p>
    <w:p w14:paraId="0E4534D8">
      <w:pPr>
        <w:pStyle w:val="4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37293E27">
      <w:pPr>
        <w:pStyle w:val="4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u w:val="single"/>
        </w:rPr>
      </w:pPr>
    </w:p>
    <w:p w14:paraId="2496E2BB">
      <w:pPr>
        <w:pStyle w:val="40"/>
        <w:widowControl w:val="0"/>
        <w:wordWrap w:val="0"/>
        <w:adjustRightInd w:val="0"/>
        <w:snapToGrid w:val="0"/>
        <w:spacing w:line="360" w:lineRule="auto"/>
        <w:ind w:firstLine="0"/>
        <w:jc w:val="center"/>
        <w:rPr>
          <w:rFonts w:hint="eastAsia" w:ascii="宋体" w:hAnsi="宋体" w:eastAsia="宋体" w:cs="宋体"/>
          <w:b/>
          <w:snapToGrid w:val="0"/>
          <w:color w:val="auto"/>
          <w:highlight w:val="none"/>
        </w:rPr>
      </w:pP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p>
    <w:p w14:paraId="5A1606D9">
      <w:pPr>
        <w:bidi w:val="0"/>
        <w:rPr>
          <w:rFonts w:hint="eastAsia"/>
          <w:color w:val="auto"/>
          <w:highlight w:val="none"/>
        </w:rPr>
      </w:pPr>
    </w:p>
    <w:p w14:paraId="23E6A84C">
      <w:pPr>
        <w:outlineLvl w:val="9"/>
        <w:rPr>
          <w:rFonts w:hint="eastAsia"/>
          <w:color w:val="auto"/>
          <w:highlight w:val="none"/>
        </w:rPr>
      </w:pPr>
    </w:p>
    <w:p w14:paraId="5B28AB72">
      <w:pPr>
        <w:spacing w:line="223" w:lineRule="auto"/>
        <w:rPr>
          <w:rFonts w:hint="eastAsia" w:ascii="宋体" w:hAnsi="宋体" w:eastAsia="宋体" w:cs="宋体"/>
          <w:color w:val="auto"/>
          <w:sz w:val="47"/>
          <w:szCs w:val="47"/>
          <w:highlight w:val="none"/>
        </w:rPr>
        <w:sectPr>
          <w:footerReference r:id="rId1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4A3B6A7">
      <w:pPr>
        <w:spacing w:before="78" w:line="220" w:lineRule="auto"/>
        <w:outlineLvl w:val="2"/>
        <w:rPr>
          <w:rFonts w:hint="eastAsia" w:ascii="宋体" w:hAnsi="宋体" w:eastAsia="宋体" w:cs="宋体"/>
          <w:b/>
          <w:bCs/>
          <w:color w:val="auto"/>
          <w:spacing w:val="-4"/>
          <w:sz w:val="24"/>
          <w:szCs w:val="24"/>
          <w:highlight w:val="none"/>
        </w:rPr>
      </w:pPr>
      <w:bookmarkStart w:id="220" w:name="_Toc24492"/>
      <w:r>
        <w:rPr>
          <w:rFonts w:hint="eastAsia" w:ascii="宋体" w:hAnsi="宋体" w:eastAsia="宋体" w:cs="宋体"/>
          <w:b/>
          <w:bCs/>
          <w:color w:val="auto"/>
          <w:spacing w:val="-4"/>
          <w:sz w:val="24"/>
          <w:szCs w:val="24"/>
          <w:highlight w:val="none"/>
        </w:rPr>
        <w:t>格式二 投标函</w:t>
      </w:r>
      <w:bookmarkEnd w:id="220"/>
    </w:p>
    <w:p w14:paraId="3A37F6C7">
      <w:pPr>
        <w:pStyle w:val="5"/>
        <w:spacing w:line="261" w:lineRule="auto"/>
        <w:rPr>
          <w:rFonts w:hint="eastAsia" w:ascii="宋体" w:hAnsi="宋体" w:eastAsia="宋体" w:cs="宋体"/>
          <w:color w:val="auto"/>
          <w:highlight w:val="none"/>
        </w:rPr>
      </w:pPr>
    </w:p>
    <w:p w14:paraId="45A81B1F">
      <w:pPr>
        <w:spacing w:before="97" w:line="221" w:lineRule="auto"/>
        <w:ind w:left="3799"/>
        <w:outlineLvl w:val="9"/>
        <w:rPr>
          <w:rFonts w:hint="eastAsia" w:ascii="宋体" w:hAnsi="宋体" w:eastAsia="宋体" w:cs="宋体"/>
          <w:color w:val="auto"/>
          <w:sz w:val="30"/>
          <w:szCs w:val="30"/>
          <w:highlight w:val="none"/>
        </w:rPr>
      </w:pPr>
      <w:bookmarkStart w:id="221" w:name="bookmark148"/>
      <w:bookmarkEnd w:id="221"/>
      <w:bookmarkStart w:id="222" w:name="_Toc317"/>
      <w:bookmarkStart w:id="223" w:name="_Toc27397"/>
      <w:bookmarkStart w:id="224" w:name="_Toc297"/>
      <w:r>
        <w:rPr>
          <w:rFonts w:hint="eastAsia" w:ascii="宋体" w:hAnsi="宋体" w:eastAsia="宋体" w:cs="宋体"/>
          <w:b/>
          <w:bCs/>
          <w:color w:val="auto"/>
          <w:spacing w:val="-13"/>
          <w:sz w:val="30"/>
          <w:szCs w:val="30"/>
          <w:highlight w:val="none"/>
        </w:rPr>
        <w:t>投</w:t>
      </w:r>
      <w:r>
        <w:rPr>
          <w:rFonts w:hint="eastAsia" w:ascii="宋体" w:hAnsi="宋体" w:eastAsia="宋体" w:cs="宋体"/>
          <w:color w:val="auto"/>
          <w:spacing w:val="6"/>
          <w:sz w:val="30"/>
          <w:szCs w:val="30"/>
          <w:highlight w:val="none"/>
        </w:rPr>
        <w:t xml:space="preserve">  </w:t>
      </w:r>
      <w:r>
        <w:rPr>
          <w:rFonts w:hint="eastAsia" w:ascii="宋体" w:hAnsi="宋体" w:eastAsia="宋体" w:cs="宋体"/>
          <w:b/>
          <w:bCs/>
          <w:color w:val="auto"/>
          <w:spacing w:val="-13"/>
          <w:sz w:val="30"/>
          <w:szCs w:val="30"/>
          <w:highlight w:val="none"/>
        </w:rPr>
        <w:t>标</w:t>
      </w:r>
      <w:r>
        <w:rPr>
          <w:rFonts w:hint="eastAsia" w:ascii="宋体" w:hAnsi="宋体" w:eastAsia="宋体" w:cs="宋体"/>
          <w:color w:val="auto"/>
          <w:spacing w:val="17"/>
          <w:sz w:val="30"/>
          <w:szCs w:val="30"/>
          <w:highlight w:val="none"/>
        </w:rPr>
        <w:t xml:space="preserve">  </w:t>
      </w:r>
      <w:r>
        <w:rPr>
          <w:rFonts w:hint="eastAsia" w:ascii="宋体" w:hAnsi="宋体" w:eastAsia="宋体" w:cs="宋体"/>
          <w:b/>
          <w:bCs/>
          <w:color w:val="auto"/>
          <w:spacing w:val="-13"/>
          <w:sz w:val="30"/>
          <w:szCs w:val="30"/>
          <w:highlight w:val="none"/>
        </w:rPr>
        <w:t>函</w:t>
      </w:r>
      <w:bookmarkEnd w:id="222"/>
      <w:bookmarkEnd w:id="223"/>
      <w:bookmarkEnd w:id="224"/>
    </w:p>
    <w:p w14:paraId="7874E16E">
      <w:pPr>
        <w:pStyle w:val="5"/>
        <w:spacing w:line="249" w:lineRule="auto"/>
        <w:rPr>
          <w:rFonts w:hint="eastAsia" w:ascii="宋体" w:hAnsi="宋体" w:eastAsia="宋体" w:cs="宋体"/>
          <w:color w:val="auto"/>
          <w:highlight w:val="none"/>
        </w:rPr>
      </w:pPr>
    </w:p>
    <w:p w14:paraId="75D83E64">
      <w:pPr>
        <w:pStyle w:val="5"/>
        <w:spacing w:line="250" w:lineRule="auto"/>
        <w:rPr>
          <w:rFonts w:hint="eastAsia" w:ascii="宋体" w:hAnsi="宋体" w:eastAsia="宋体" w:cs="宋体"/>
          <w:color w:val="auto"/>
          <w:highlight w:val="none"/>
        </w:rPr>
      </w:pPr>
    </w:p>
    <w:p w14:paraId="5FC5B2DC">
      <w:pPr>
        <w:pStyle w:val="5"/>
        <w:spacing w:line="250" w:lineRule="auto"/>
        <w:rPr>
          <w:rFonts w:hint="eastAsia" w:ascii="宋体" w:hAnsi="宋体" w:eastAsia="宋体" w:cs="宋体"/>
          <w:color w:val="auto"/>
          <w:highlight w:val="none"/>
        </w:rPr>
      </w:pPr>
    </w:p>
    <w:p w14:paraId="64EA3138">
      <w:pPr>
        <w:spacing w:before="78" w:line="221" w:lineRule="auto"/>
        <w:ind w:left="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致</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30"/>
          <w:sz w:val="24"/>
          <w:szCs w:val="24"/>
          <w:highlight w:val="none"/>
          <w:u w:val="single"/>
          <w:lang w:val="en-US" w:eastAsia="zh-CN"/>
        </w:rPr>
        <w:t xml:space="preserve">                    </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7"/>
          <w:sz w:val="24"/>
          <w:szCs w:val="24"/>
          <w:highlight w:val="none"/>
        </w:rPr>
        <w:t>招标人名称）</w:t>
      </w:r>
    </w:p>
    <w:p w14:paraId="0506ED9A">
      <w:pPr>
        <w:pStyle w:val="5"/>
        <w:spacing w:before="156" w:line="328" w:lineRule="auto"/>
        <w:ind w:left="9" w:right="142" w:firstLine="589"/>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我方考察现场并充分研究</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（项目名称</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以下简称“本项目</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z w:val="24"/>
          <w:szCs w:val="24"/>
          <w:highlight w:val="none"/>
        </w:rPr>
        <w:t>”）招标文件</w:t>
      </w:r>
      <w:r>
        <w:rPr>
          <w:rFonts w:hint="eastAsia" w:ascii="宋体" w:hAnsi="宋体" w:eastAsia="宋体" w:cs="宋体"/>
          <w:color w:val="auto"/>
          <w:spacing w:val="-2"/>
          <w:sz w:val="24"/>
          <w:szCs w:val="24"/>
          <w:highlight w:val="none"/>
        </w:rPr>
        <w:t>所有内容后，结合自身资质、能力和特点，愿意接受招标文件的全部内容和条件，兹以</w:t>
      </w:r>
      <w:r>
        <w:rPr>
          <w:rFonts w:hint="eastAsia" w:ascii="宋体" w:hAnsi="宋体" w:eastAsia="宋体" w:cs="宋体"/>
          <w:color w:val="auto"/>
          <w:spacing w:val="-5"/>
          <w:sz w:val="24"/>
          <w:szCs w:val="24"/>
          <w:highlight w:val="none"/>
        </w:rPr>
        <w:t>人民币（大写</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2"/>
          <w:sz w:val="24"/>
          <w:szCs w:val="24"/>
          <w:highlight w:val="none"/>
          <w:u w:val="single"/>
        </w:rPr>
        <w:t xml:space="preserve">       </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的投标总价竞投本项目施工。</w:t>
      </w:r>
    </w:p>
    <w:p w14:paraId="42232FD7">
      <w:pPr>
        <w:spacing w:before="39" w:line="323" w:lineRule="auto"/>
        <w:ind w:right="142" w:firstLine="57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在我方的上述投标总价中，包括：</w:t>
      </w:r>
      <w:r>
        <w:rPr>
          <w:rFonts w:hint="eastAsia" w:ascii="宋体" w:hAnsi="宋体" w:eastAsia="宋体" w:cs="宋体"/>
          <w:color w:val="auto"/>
          <w:spacing w:val="-2"/>
          <w:sz w:val="24"/>
          <w:szCs w:val="24"/>
          <w:highlight w:val="none"/>
          <w:lang w:val="en-US" w:eastAsia="zh-CN"/>
        </w:rPr>
        <w:t>安全生产措施费</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；暂列金额</w:t>
      </w:r>
      <w:r>
        <w:rPr>
          <w:rFonts w:hint="eastAsia" w:ascii="宋体" w:hAnsi="宋体" w:eastAsia="宋体" w:cs="宋体"/>
          <w:color w:val="auto"/>
          <w:spacing w:val="-2"/>
          <w:sz w:val="24"/>
          <w:szCs w:val="24"/>
          <w:highlight w:val="none"/>
          <w:u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w:t>
      </w:r>
      <w:r>
        <w:rPr>
          <w:rFonts w:hint="eastAsia" w:ascii="宋体" w:hAnsi="宋体" w:eastAsia="宋体" w:cs="宋体"/>
          <w:color w:val="auto"/>
          <w:spacing w:val="-3"/>
          <w:sz w:val="24"/>
          <w:szCs w:val="24"/>
          <w:highlight w:val="none"/>
          <w:u w:val="none"/>
          <w:lang w:val="en-US" w:eastAsia="zh-CN"/>
        </w:rPr>
        <w:t>专业工程暂估价</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8"/>
          <w:sz w:val="24"/>
          <w:szCs w:val="24"/>
          <w:highlight w:val="none"/>
        </w:rPr>
        <w:t>。</w:t>
      </w:r>
    </w:p>
    <w:p w14:paraId="50640A5A">
      <w:pPr>
        <w:spacing w:before="38" w:line="280" w:lineRule="auto"/>
        <w:ind w:left="13" w:right="142" w:firstLine="56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  如果我方中标，我方保证按照合同约定的开工日期开始本项目的施工</w:t>
      </w:r>
      <w:r>
        <w:rPr>
          <w:rFonts w:hint="eastAsia" w:ascii="宋体" w:hAnsi="宋体" w:eastAsia="宋体" w:cs="宋体"/>
          <w:color w:val="auto"/>
          <w:sz w:val="24"/>
          <w:szCs w:val="24"/>
          <w:highlight w:val="none"/>
        </w:rPr>
        <w:t>，</w:t>
      </w:r>
      <w:bookmarkStart w:id="225" w:name="OLE_LINK34"/>
      <w:r>
        <w:rPr>
          <w:rFonts w:hint="eastAsia" w:ascii="宋体" w:hAnsi="宋体" w:eastAsia="宋体" w:cs="宋体"/>
          <w:color w:val="auto"/>
          <w:sz w:val="24"/>
          <w:szCs w:val="24"/>
          <w:highlight w:val="none"/>
          <w:u w:val="single"/>
          <w:lang w:val="en-US" w:eastAsia="zh-CN"/>
        </w:rPr>
        <w:t xml:space="preserve">     </w:t>
      </w:r>
      <w:bookmarkEnd w:id="225"/>
      <w:r>
        <w:rPr>
          <w:rFonts w:hint="eastAsia" w:ascii="宋体" w:hAnsi="宋体" w:eastAsia="宋体" w:cs="宋体"/>
          <w:color w:val="auto"/>
          <w:sz w:val="24"/>
          <w:szCs w:val="24"/>
          <w:highlight w:val="none"/>
        </w:rPr>
        <w:t>个日历</w:t>
      </w:r>
      <w:r>
        <w:rPr>
          <w:rFonts w:hint="eastAsia" w:ascii="宋体" w:hAnsi="宋体" w:eastAsia="宋体" w:cs="宋体"/>
          <w:color w:val="auto"/>
          <w:spacing w:val="-1"/>
          <w:sz w:val="24"/>
          <w:szCs w:val="24"/>
          <w:highlight w:val="none"/>
        </w:rPr>
        <w:t>天内竣工，并确保工程质量达到</w:t>
      </w:r>
      <w:r>
        <w:rPr>
          <w:rFonts w:hint="eastAsia" w:ascii="宋体" w:hAnsi="宋体" w:eastAsia="宋体" w:cs="宋体"/>
          <w:color w:val="auto"/>
          <w:spacing w:val="-1"/>
          <w:sz w:val="24"/>
          <w:szCs w:val="24"/>
          <w:highlight w:val="none"/>
          <w:u w:val="single"/>
          <w:lang w:val="en-US" w:eastAsia="zh-CN"/>
        </w:rPr>
        <w:t xml:space="preserve">     </w:t>
      </w:r>
      <w:r>
        <w:rPr>
          <w:rFonts w:hint="eastAsia" w:ascii="宋体" w:hAnsi="宋体" w:eastAsia="宋体" w:cs="宋体"/>
          <w:color w:val="auto"/>
          <w:spacing w:val="-1"/>
          <w:sz w:val="24"/>
          <w:szCs w:val="24"/>
          <w:highlight w:val="none"/>
        </w:rPr>
        <w:t>标准和维修其中的任何缺陷。</w:t>
      </w:r>
    </w:p>
    <w:p w14:paraId="63DC731F">
      <w:pPr>
        <w:spacing w:before="152" w:line="279" w:lineRule="auto"/>
        <w:ind w:left="11" w:right="142" w:firstLine="5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  本投标函在你方接收我方递交的投标文件之日起、到招标</w:t>
      </w:r>
      <w:r>
        <w:rPr>
          <w:rFonts w:hint="eastAsia" w:ascii="宋体" w:hAnsi="宋体" w:eastAsia="宋体" w:cs="宋体"/>
          <w:color w:val="auto"/>
          <w:sz w:val="24"/>
          <w:szCs w:val="24"/>
          <w:highlight w:val="none"/>
        </w:rPr>
        <w:t>文件规定的投标有效</w:t>
      </w:r>
      <w:r>
        <w:rPr>
          <w:rFonts w:hint="eastAsia" w:ascii="宋体" w:hAnsi="宋体" w:eastAsia="宋体" w:cs="宋体"/>
          <w:color w:val="auto"/>
          <w:spacing w:val="-1"/>
          <w:sz w:val="24"/>
          <w:szCs w:val="24"/>
          <w:highlight w:val="none"/>
        </w:rPr>
        <w:t>期期满前对我方具有约束力。我方随时准备接受你方发出的中标通知书。</w:t>
      </w:r>
    </w:p>
    <w:p w14:paraId="12CDD9D6">
      <w:pPr>
        <w:spacing w:before="156" w:line="279" w:lineRule="auto"/>
        <w:ind w:left="11" w:right="61" w:firstLine="5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z w:val="24"/>
          <w:szCs w:val="24"/>
          <w:highlight w:val="none"/>
        </w:rPr>
        <w:t>．我方在此声明，我方不存在本项目招标</w:t>
      </w:r>
      <w:r>
        <w:rPr>
          <w:rFonts w:hint="eastAsia" w:ascii="宋体" w:hAnsi="宋体" w:eastAsia="宋体" w:cs="宋体"/>
          <w:color w:val="auto"/>
          <w:spacing w:val="-1"/>
          <w:sz w:val="24"/>
          <w:szCs w:val="24"/>
          <w:highlight w:val="none"/>
        </w:rPr>
        <w:t>文件第一章第三节第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2.4</w:t>
      </w:r>
      <w:r>
        <w:rPr>
          <w:rFonts w:hint="eastAsia" w:ascii="宋体" w:hAnsi="宋体" w:eastAsia="宋体" w:cs="宋体"/>
          <w:b/>
          <w:bCs/>
          <w:color w:val="auto"/>
          <w:spacing w:val="16"/>
          <w:w w:val="101"/>
          <w:sz w:val="24"/>
          <w:szCs w:val="24"/>
          <w:highlight w:val="none"/>
        </w:rPr>
        <w:t xml:space="preserve"> </w:t>
      </w:r>
      <w:r>
        <w:rPr>
          <w:rFonts w:hint="eastAsia" w:ascii="宋体" w:hAnsi="宋体" w:eastAsia="宋体" w:cs="宋体"/>
          <w:color w:val="auto"/>
          <w:spacing w:val="-1"/>
          <w:sz w:val="24"/>
          <w:szCs w:val="24"/>
          <w:highlight w:val="none"/>
        </w:rPr>
        <w:t>条“禁止投标</w:t>
      </w:r>
      <w:r>
        <w:rPr>
          <w:rFonts w:hint="eastAsia" w:ascii="宋体" w:hAnsi="宋体" w:eastAsia="宋体" w:cs="宋体"/>
          <w:color w:val="auto"/>
          <w:spacing w:val="-6"/>
          <w:sz w:val="24"/>
          <w:szCs w:val="24"/>
          <w:highlight w:val="none"/>
        </w:rPr>
        <w:t>条款</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6"/>
          <w:sz w:val="24"/>
          <w:szCs w:val="24"/>
          <w:highlight w:val="none"/>
        </w:rPr>
        <w:t>”所列出的任何一种情形，并愿意承担因我</w:t>
      </w:r>
      <w:r>
        <w:rPr>
          <w:rFonts w:hint="eastAsia" w:ascii="宋体" w:hAnsi="宋体" w:eastAsia="宋体" w:cs="宋体"/>
          <w:color w:val="auto"/>
          <w:spacing w:val="-7"/>
          <w:sz w:val="24"/>
          <w:szCs w:val="24"/>
          <w:highlight w:val="none"/>
        </w:rPr>
        <w:t>方就此弄虚作假所引起的一切法律后果。</w:t>
      </w:r>
    </w:p>
    <w:p w14:paraId="69028085">
      <w:pPr>
        <w:spacing w:before="153" w:line="280" w:lineRule="auto"/>
        <w:ind w:left="9" w:right="142" w:firstLine="57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2"/>
          <w:sz w:val="24"/>
          <w:szCs w:val="24"/>
          <w:highlight w:val="none"/>
        </w:rPr>
        <w:t>．我方在此承诺，所递交投标文件的全部内容均为真实、有效、准确的，并愿意承担因我方就此弄虚作假所引起的一切法律后果，同时理解和同意有可能被要求提供更</w:t>
      </w:r>
    </w:p>
    <w:p w14:paraId="4D86EAF2">
      <w:pPr>
        <w:spacing w:before="153" w:line="221"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多的资料。</w:t>
      </w:r>
    </w:p>
    <w:p w14:paraId="47668C44">
      <w:pPr>
        <w:spacing w:before="153" w:line="326" w:lineRule="auto"/>
        <w:ind w:left="13" w:firstLine="56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  我方理解你方不一定要接纳收到的最低投标总价或任何投标总价的投标人中标，</w:t>
      </w:r>
      <w:r>
        <w:rPr>
          <w:rFonts w:hint="eastAsia" w:ascii="宋体" w:hAnsi="宋体" w:eastAsia="宋体" w:cs="宋体"/>
          <w:color w:val="auto"/>
          <w:spacing w:val="-1"/>
          <w:sz w:val="24"/>
          <w:szCs w:val="24"/>
          <w:highlight w:val="none"/>
        </w:rPr>
        <w:t>也不要求你方解释我方是否中标的原因。</w:t>
      </w:r>
    </w:p>
    <w:p w14:paraId="13B4F1F2">
      <w:pPr>
        <w:pStyle w:val="5"/>
        <w:spacing w:line="276" w:lineRule="auto"/>
        <w:rPr>
          <w:rFonts w:hint="eastAsia" w:ascii="宋体" w:hAnsi="宋体" w:eastAsia="宋体" w:cs="宋体"/>
          <w:color w:val="auto"/>
          <w:highlight w:val="none"/>
        </w:rPr>
      </w:pPr>
    </w:p>
    <w:p w14:paraId="1831F436">
      <w:pPr>
        <w:pStyle w:val="5"/>
        <w:spacing w:line="277" w:lineRule="auto"/>
        <w:rPr>
          <w:rFonts w:hint="eastAsia" w:ascii="宋体" w:hAnsi="宋体" w:eastAsia="宋体" w:cs="宋体"/>
          <w:color w:val="auto"/>
          <w:highlight w:val="none"/>
        </w:rPr>
      </w:pPr>
    </w:p>
    <w:p w14:paraId="3AC7C5A8">
      <w:pPr>
        <w:pStyle w:val="5"/>
        <w:spacing w:line="277" w:lineRule="auto"/>
        <w:rPr>
          <w:rFonts w:hint="eastAsia" w:ascii="宋体" w:hAnsi="宋体" w:eastAsia="宋体" w:cs="宋体"/>
          <w:color w:val="auto"/>
          <w:highlight w:val="none"/>
        </w:rPr>
      </w:pPr>
    </w:p>
    <w:p w14:paraId="21D36DDF">
      <w:pPr>
        <w:spacing w:before="79" w:line="219" w:lineRule="auto"/>
        <w:ind w:firstLine="5856" w:firstLineChars="240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78B3688F">
      <w:pPr>
        <w:pStyle w:val="5"/>
        <w:spacing w:line="256" w:lineRule="auto"/>
        <w:jc w:val="right"/>
        <w:rPr>
          <w:rFonts w:hint="eastAsia" w:ascii="宋体" w:hAnsi="宋体" w:eastAsia="宋体" w:cs="宋体"/>
          <w:color w:val="auto"/>
          <w:highlight w:val="none"/>
        </w:rPr>
      </w:pPr>
    </w:p>
    <w:p w14:paraId="357977FD">
      <w:pPr>
        <w:pStyle w:val="5"/>
        <w:spacing w:line="256" w:lineRule="auto"/>
        <w:jc w:val="right"/>
        <w:rPr>
          <w:rFonts w:hint="eastAsia" w:ascii="宋体" w:hAnsi="宋体" w:eastAsia="宋体" w:cs="宋体"/>
          <w:color w:val="auto"/>
          <w:highlight w:val="none"/>
        </w:rPr>
      </w:pPr>
    </w:p>
    <w:p w14:paraId="053292DD">
      <w:pPr>
        <w:spacing w:before="78" w:line="219" w:lineRule="auto"/>
        <w:ind w:left="3922"/>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6662D32F">
      <w:pPr>
        <w:pStyle w:val="5"/>
        <w:spacing w:line="257" w:lineRule="auto"/>
        <w:rPr>
          <w:rFonts w:hint="eastAsia" w:ascii="宋体" w:hAnsi="宋体" w:eastAsia="宋体" w:cs="宋体"/>
          <w:color w:val="auto"/>
          <w:highlight w:val="none"/>
        </w:rPr>
      </w:pPr>
    </w:p>
    <w:p w14:paraId="070C60B1">
      <w:pPr>
        <w:pStyle w:val="5"/>
        <w:spacing w:line="257" w:lineRule="auto"/>
        <w:rPr>
          <w:rFonts w:hint="eastAsia" w:ascii="宋体" w:hAnsi="宋体" w:eastAsia="宋体" w:cs="宋体"/>
          <w:color w:val="auto"/>
          <w:highlight w:val="none"/>
        </w:rPr>
      </w:pPr>
    </w:p>
    <w:p w14:paraId="34941473">
      <w:pPr>
        <w:spacing w:before="79" w:line="220" w:lineRule="auto"/>
        <w:ind w:left="697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日</w:t>
      </w:r>
    </w:p>
    <w:p w14:paraId="533951B9">
      <w:pPr>
        <w:spacing w:line="220" w:lineRule="auto"/>
        <w:rPr>
          <w:rFonts w:hint="eastAsia" w:ascii="宋体" w:hAnsi="宋体" w:eastAsia="宋体" w:cs="宋体"/>
          <w:color w:val="auto"/>
          <w:sz w:val="24"/>
          <w:szCs w:val="24"/>
          <w:highlight w:val="none"/>
        </w:rPr>
        <w:sectPr>
          <w:footerReference r:id="rId1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445A9343">
      <w:pPr>
        <w:spacing w:before="78" w:line="220" w:lineRule="auto"/>
        <w:outlineLvl w:val="2"/>
        <w:rPr>
          <w:rFonts w:hint="eastAsia" w:ascii="宋体" w:hAnsi="宋体" w:eastAsia="宋体" w:cs="宋体"/>
          <w:b/>
          <w:bCs/>
          <w:color w:val="auto"/>
          <w:spacing w:val="-4"/>
          <w:sz w:val="24"/>
          <w:szCs w:val="24"/>
          <w:highlight w:val="none"/>
        </w:rPr>
      </w:pPr>
      <w:bookmarkStart w:id="226" w:name="_Toc15958"/>
      <w:r>
        <w:rPr>
          <w:rFonts w:hint="eastAsia" w:ascii="宋体" w:hAnsi="宋体" w:eastAsia="宋体" w:cs="宋体"/>
          <w:b/>
          <w:bCs/>
          <w:color w:val="auto"/>
          <w:spacing w:val="-4"/>
          <w:sz w:val="24"/>
          <w:szCs w:val="24"/>
          <w:highlight w:val="none"/>
        </w:rPr>
        <w:t>格式三 各项承诺一览表</w:t>
      </w:r>
      <w:bookmarkEnd w:id="226"/>
    </w:p>
    <w:p w14:paraId="0D7CCACD">
      <w:pPr>
        <w:pStyle w:val="5"/>
        <w:spacing w:line="254" w:lineRule="auto"/>
        <w:rPr>
          <w:rFonts w:hint="eastAsia" w:ascii="宋体" w:hAnsi="宋体" w:eastAsia="宋体" w:cs="宋体"/>
          <w:color w:val="auto"/>
          <w:highlight w:val="none"/>
        </w:rPr>
      </w:pPr>
    </w:p>
    <w:p w14:paraId="4A57AF5C">
      <w:pPr>
        <w:spacing w:before="98" w:line="220" w:lineRule="auto"/>
        <w:ind w:left="3581"/>
        <w:outlineLvl w:val="9"/>
        <w:rPr>
          <w:rFonts w:hint="eastAsia" w:ascii="宋体" w:hAnsi="宋体" w:eastAsia="宋体" w:cs="宋体"/>
          <w:color w:val="auto"/>
          <w:sz w:val="30"/>
          <w:szCs w:val="30"/>
          <w:highlight w:val="none"/>
        </w:rPr>
      </w:pPr>
      <w:bookmarkStart w:id="227" w:name="bookmark149"/>
      <w:bookmarkEnd w:id="227"/>
      <w:bookmarkStart w:id="228" w:name="_Toc10326"/>
      <w:bookmarkStart w:id="229" w:name="_Toc2936"/>
      <w:bookmarkStart w:id="230" w:name="_Toc4767"/>
      <w:r>
        <w:rPr>
          <w:rFonts w:hint="eastAsia" w:ascii="宋体" w:hAnsi="宋体" w:eastAsia="宋体" w:cs="宋体"/>
          <w:b/>
          <w:bCs/>
          <w:color w:val="auto"/>
          <w:spacing w:val="-5"/>
          <w:sz w:val="30"/>
          <w:szCs w:val="30"/>
          <w:highlight w:val="none"/>
        </w:rPr>
        <w:t>各项承诺一览表</w:t>
      </w:r>
      <w:bookmarkEnd w:id="228"/>
      <w:bookmarkEnd w:id="229"/>
      <w:bookmarkEnd w:id="230"/>
    </w:p>
    <w:p w14:paraId="1040ACDB">
      <w:pPr>
        <w:spacing w:before="6"/>
        <w:rPr>
          <w:rFonts w:hint="eastAsia" w:ascii="宋体" w:hAnsi="宋体" w:eastAsia="宋体" w:cs="宋体"/>
          <w:color w:val="auto"/>
          <w:highlight w:val="none"/>
        </w:rPr>
      </w:pPr>
    </w:p>
    <w:tbl>
      <w:tblPr>
        <w:tblStyle w:val="14"/>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284FB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43AFBAA6">
            <w:pPr>
              <w:keepNext w:val="0"/>
              <w:keepLines w:val="0"/>
              <w:pageBreakBefore w:val="0"/>
              <w:widowControl/>
              <w:kinsoku w:val="0"/>
              <w:wordWrap/>
              <w:overflowPunct/>
              <w:topLinePunct w:val="0"/>
              <w:autoSpaceDE w:val="0"/>
              <w:autoSpaceDN w:val="0"/>
              <w:bidi w:val="0"/>
              <w:adjustRightInd w:val="0"/>
              <w:snapToGrid w:val="0"/>
              <w:spacing w:before="209" w:line="288" w:lineRule="auto"/>
              <w:ind w:left="1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75" w:type="dxa"/>
            <w:vAlign w:val="top"/>
          </w:tcPr>
          <w:p w14:paraId="3932ED98">
            <w:pPr>
              <w:keepNext w:val="0"/>
              <w:keepLines w:val="0"/>
              <w:pageBreakBefore w:val="0"/>
              <w:widowControl/>
              <w:kinsoku w:val="0"/>
              <w:wordWrap/>
              <w:overflowPunct/>
              <w:topLinePunct w:val="0"/>
              <w:autoSpaceDE w:val="0"/>
              <w:autoSpaceDN w:val="0"/>
              <w:bidi w:val="0"/>
              <w:adjustRightInd w:val="0"/>
              <w:snapToGrid w:val="0"/>
              <w:spacing w:before="208" w:line="288" w:lineRule="auto"/>
              <w:ind w:left="31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承诺事项</w:t>
            </w:r>
          </w:p>
        </w:tc>
        <w:tc>
          <w:tcPr>
            <w:tcW w:w="3107" w:type="dxa"/>
            <w:vAlign w:val="top"/>
          </w:tcPr>
          <w:p w14:paraId="6926247B">
            <w:pPr>
              <w:keepNext w:val="0"/>
              <w:keepLines w:val="0"/>
              <w:pageBreakBefore w:val="0"/>
              <w:widowControl/>
              <w:kinsoku w:val="0"/>
              <w:wordWrap/>
              <w:overflowPunct/>
              <w:topLinePunct w:val="0"/>
              <w:autoSpaceDE w:val="0"/>
              <w:autoSpaceDN w:val="0"/>
              <w:bidi w:val="0"/>
              <w:adjustRightInd w:val="0"/>
              <w:snapToGrid w:val="0"/>
              <w:spacing w:before="209" w:line="288" w:lineRule="auto"/>
              <w:ind w:left="98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承诺内容</w:t>
            </w:r>
          </w:p>
        </w:tc>
        <w:tc>
          <w:tcPr>
            <w:tcW w:w="4272" w:type="dxa"/>
            <w:vAlign w:val="top"/>
          </w:tcPr>
          <w:p w14:paraId="19484B26">
            <w:pPr>
              <w:keepNext w:val="0"/>
              <w:keepLines w:val="0"/>
              <w:pageBreakBefore w:val="0"/>
              <w:widowControl/>
              <w:kinsoku w:val="0"/>
              <w:wordWrap/>
              <w:overflowPunct/>
              <w:topLinePunct w:val="0"/>
              <w:autoSpaceDE w:val="0"/>
              <w:autoSpaceDN w:val="0"/>
              <w:bidi w:val="0"/>
              <w:adjustRightInd w:val="0"/>
              <w:snapToGrid w:val="0"/>
              <w:spacing w:before="209" w:line="288" w:lineRule="auto"/>
              <w:ind w:left="15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违约承诺</w:t>
            </w:r>
          </w:p>
        </w:tc>
      </w:tr>
      <w:tr w14:paraId="56FAD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0E6E63E4">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968E03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F6DB51F">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0368CE1">
            <w:pPr>
              <w:keepNext w:val="0"/>
              <w:keepLines w:val="0"/>
              <w:pageBreakBefore w:val="0"/>
              <w:widowControl/>
              <w:kinsoku w:val="0"/>
              <w:wordWrap/>
              <w:overflowPunct/>
              <w:topLinePunct w:val="0"/>
              <w:autoSpaceDE w:val="0"/>
              <w:autoSpaceDN w:val="0"/>
              <w:bidi w:val="0"/>
              <w:adjustRightInd w:val="0"/>
              <w:snapToGrid w:val="0"/>
              <w:spacing w:before="58" w:line="288" w:lineRule="auto"/>
              <w:ind w:left="32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75" w:type="dxa"/>
            <w:vAlign w:val="top"/>
          </w:tcPr>
          <w:p w14:paraId="1A6424C5">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9254A2E">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93C2F8C">
            <w:pPr>
              <w:keepNext w:val="0"/>
              <w:keepLines w:val="0"/>
              <w:pageBreakBefore w:val="0"/>
              <w:widowControl/>
              <w:kinsoku w:val="0"/>
              <w:wordWrap/>
              <w:overflowPunct/>
              <w:topLinePunct w:val="0"/>
              <w:autoSpaceDE w:val="0"/>
              <w:autoSpaceDN w:val="0"/>
              <w:bidi w:val="0"/>
              <w:adjustRightInd w:val="0"/>
              <w:snapToGrid w:val="0"/>
              <w:spacing w:before="65" w:line="288" w:lineRule="auto"/>
              <w:ind w:left="57" w:right="50" w:firstLine="1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自愿接受招标</w:t>
            </w:r>
            <w:r>
              <w:rPr>
                <w:rFonts w:hint="eastAsia" w:ascii="宋体" w:hAnsi="宋体" w:eastAsia="宋体" w:cs="宋体"/>
                <w:color w:val="auto"/>
                <w:spacing w:val="8"/>
                <w:sz w:val="24"/>
                <w:szCs w:val="24"/>
                <w:highlight w:val="none"/>
              </w:rPr>
              <w:t>文件条款的承诺</w:t>
            </w:r>
          </w:p>
        </w:tc>
        <w:tc>
          <w:tcPr>
            <w:tcW w:w="3107" w:type="dxa"/>
            <w:vAlign w:val="top"/>
          </w:tcPr>
          <w:p w14:paraId="17F8556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08CCBC6">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我方自愿接受招标文件的</w:t>
            </w:r>
            <w:r>
              <w:rPr>
                <w:rFonts w:hint="eastAsia" w:ascii="宋体" w:hAnsi="宋体" w:eastAsia="宋体" w:cs="宋体"/>
                <w:color w:val="auto"/>
                <w:spacing w:val="7"/>
                <w:sz w:val="24"/>
                <w:szCs w:val="24"/>
                <w:highlight w:val="none"/>
              </w:rPr>
              <w:t>所有条款，所递交的投标文件已</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23"/>
                <w:sz w:val="24"/>
                <w:szCs w:val="24"/>
                <w:highlight w:val="none"/>
              </w:rPr>
              <w:t>经充分响应招标文件的实质性</w:t>
            </w:r>
            <w:r>
              <w:rPr>
                <w:rFonts w:hint="eastAsia" w:ascii="宋体" w:hAnsi="宋体" w:eastAsia="宋体" w:cs="宋体"/>
                <w:color w:val="auto"/>
                <w:spacing w:val="3"/>
                <w:sz w:val="24"/>
                <w:szCs w:val="24"/>
                <w:highlight w:val="none"/>
              </w:rPr>
              <w:t>要求。</w:t>
            </w:r>
          </w:p>
        </w:tc>
        <w:tc>
          <w:tcPr>
            <w:tcW w:w="4272" w:type="dxa"/>
            <w:vAlign w:val="top"/>
          </w:tcPr>
          <w:p w14:paraId="3F01A048">
            <w:pPr>
              <w:keepNext w:val="0"/>
              <w:keepLines w:val="0"/>
              <w:pageBreakBefore w:val="0"/>
              <w:widowControl/>
              <w:kinsoku w:val="0"/>
              <w:wordWrap/>
              <w:overflowPunct/>
              <w:topLinePunct w:val="0"/>
              <w:autoSpaceDE w:val="0"/>
              <w:autoSpaceDN w:val="0"/>
              <w:bidi w:val="0"/>
              <w:adjustRightInd w:val="0"/>
              <w:snapToGrid w:val="0"/>
              <w:spacing w:before="122" w:line="288" w:lineRule="auto"/>
              <w:ind w:left="14" w:right="4"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如果我方的投标文件未响应、违反、偏</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0"/>
                <w:sz w:val="24"/>
                <w:szCs w:val="24"/>
                <w:highlight w:val="none"/>
              </w:rPr>
              <w:t>离招标文件的实质性要求，我方接受招标人或其授权的招标代理机构或其组建的评标委员会依据招标文件作出的相应处理，包括否</w:t>
            </w:r>
            <w:r>
              <w:rPr>
                <w:rFonts w:hint="eastAsia" w:ascii="宋体" w:hAnsi="宋体" w:eastAsia="宋体" w:cs="宋体"/>
                <w:color w:val="auto"/>
                <w:spacing w:val="4"/>
                <w:sz w:val="24"/>
                <w:szCs w:val="24"/>
                <w:highlight w:val="none"/>
              </w:rPr>
              <w:t>决投标。</w:t>
            </w:r>
          </w:p>
        </w:tc>
      </w:tr>
      <w:tr w14:paraId="5B2BB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59167F8E">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B11ADA9">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46CB1A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D78AF5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05C670F">
            <w:pPr>
              <w:keepNext w:val="0"/>
              <w:keepLines w:val="0"/>
              <w:pageBreakBefore w:val="0"/>
              <w:widowControl/>
              <w:kinsoku w:val="0"/>
              <w:wordWrap/>
              <w:overflowPunct/>
              <w:topLinePunct w:val="0"/>
              <w:autoSpaceDE w:val="0"/>
              <w:autoSpaceDN w:val="0"/>
              <w:bidi w:val="0"/>
              <w:adjustRightInd w:val="0"/>
              <w:snapToGrid w:val="0"/>
              <w:spacing w:before="58" w:line="288" w:lineRule="auto"/>
              <w:ind w:left="30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75" w:type="dxa"/>
            <w:vAlign w:val="top"/>
          </w:tcPr>
          <w:p w14:paraId="05B3009D">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BE0188E">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65F625A">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DAEEEEA">
            <w:pPr>
              <w:keepNext w:val="0"/>
              <w:keepLines w:val="0"/>
              <w:pageBreakBefore w:val="0"/>
              <w:widowControl/>
              <w:kinsoku w:val="0"/>
              <w:wordWrap/>
              <w:overflowPunct/>
              <w:topLinePunct w:val="0"/>
              <w:autoSpaceDE w:val="0"/>
              <w:autoSpaceDN w:val="0"/>
              <w:bidi w:val="0"/>
              <w:adjustRightInd w:val="0"/>
              <w:snapToGrid w:val="0"/>
              <w:spacing w:before="65" w:line="288" w:lineRule="auto"/>
              <w:ind w:left="262" w:right="261" w:firstLine="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无禁止投标</w:t>
            </w:r>
            <w:r>
              <w:rPr>
                <w:rFonts w:hint="eastAsia" w:ascii="宋体" w:hAnsi="宋体" w:eastAsia="宋体" w:cs="宋体"/>
                <w:color w:val="auto"/>
                <w:spacing w:val="8"/>
                <w:sz w:val="24"/>
                <w:szCs w:val="24"/>
                <w:highlight w:val="none"/>
              </w:rPr>
              <w:t>情形的承诺</w:t>
            </w:r>
          </w:p>
        </w:tc>
        <w:tc>
          <w:tcPr>
            <w:tcW w:w="3107" w:type="dxa"/>
            <w:vAlign w:val="top"/>
          </w:tcPr>
          <w:p w14:paraId="43B9FDAD">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1E22312">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368A58B">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我方不存在招标文件第一</w:t>
            </w:r>
            <w:r>
              <w:rPr>
                <w:rFonts w:hint="eastAsia" w:ascii="宋体" w:hAnsi="宋体" w:eastAsia="宋体" w:cs="宋体"/>
                <w:color w:val="auto"/>
                <w:spacing w:val="8"/>
                <w:sz w:val="24"/>
                <w:szCs w:val="24"/>
                <w:highlight w:val="none"/>
              </w:rPr>
              <w:t>章第三节第</w:t>
            </w:r>
            <w:r>
              <w:rPr>
                <w:rFonts w:hint="eastAsia" w:ascii="宋体" w:hAnsi="宋体" w:eastAsia="宋体" w:cs="宋体"/>
                <w:color w:val="auto"/>
                <w:spacing w:val="-35"/>
                <w:sz w:val="24"/>
                <w:szCs w:val="24"/>
                <w:highlight w:val="none"/>
              </w:rPr>
              <w:t xml:space="preserve"> </w:t>
            </w:r>
            <w:r>
              <w:rPr>
                <w:rFonts w:hint="eastAsia" w:ascii="宋体" w:hAnsi="宋体" w:eastAsia="宋体" w:cs="宋体"/>
                <w:b/>
                <w:bCs/>
                <w:color w:val="auto"/>
                <w:spacing w:val="8"/>
                <w:sz w:val="24"/>
                <w:szCs w:val="24"/>
                <w:highlight w:val="none"/>
              </w:rPr>
              <w:t>2.4</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8"/>
                <w:sz w:val="24"/>
                <w:szCs w:val="24"/>
                <w:highlight w:val="none"/>
              </w:rPr>
              <w:t>条“禁止投标条</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款</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6"/>
                <w:sz w:val="24"/>
                <w:szCs w:val="24"/>
                <w:highlight w:val="none"/>
              </w:rPr>
              <w:t>”规定的任何一种情形。</w:t>
            </w:r>
          </w:p>
        </w:tc>
        <w:tc>
          <w:tcPr>
            <w:tcW w:w="4272" w:type="dxa"/>
            <w:vAlign w:val="top"/>
          </w:tcPr>
          <w:p w14:paraId="367FAD05">
            <w:pPr>
              <w:keepNext w:val="0"/>
              <w:keepLines w:val="0"/>
              <w:pageBreakBefore w:val="0"/>
              <w:widowControl/>
              <w:kinsoku w:val="0"/>
              <w:wordWrap/>
              <w:overflowPunct/>
              <w:topLinePunct w:val="0"/>
              <w:autoSpaceDE w:val="0"/>
              <w:autoSpaceDN w:val="0"/>
              <w:bidi w:val="0"/>
              <w:adjustRightInd w:val="0"/>
              <w:snapToGrid w:val="0"/>
              <w:spacing w:before="122" w:line="288" w:lineRule="auto"/>
              <w:ind w:left="9" w:firstLine="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如果我方有招标文件第一章第三节第</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1"/>
                <w:sz w:val="24"/>
                <w:szCs w:val="24"/>
                <w:highlight w:val="none"/>
              </w:rPr>
              <w:t xml:space="preserve">4 </w:t>
            </w:r>
            <w:r>
              <w:rPr>
                <w:rFonts w:hint="eastAsia" w:ascii="宋体" w:hAnsi="宋体" w:eastAsia="宋体" w:cs="宋体"/>
                <w:color w:val="auto"/>
                <w:spacing w:val="1"/>
                <w:sz w:val="24"/>
                <w:szCs w:val="24"/>
                <w:highlight w:val="none"/>
              </w:rPr>
              <w:t>条“禁止投标条款</w:t>
            </w:r>
            <w:r>
              <w:rPr>
                <w:rFonts w:hint="eastAsia" w:ascii="宋体" w:hAnsi="宋体" w:eastAsia="宋体" w:cs="宋体"/>
                <w:color w:val="auto"/>
                <w:spacing w:val="-65"/>
                <w:sz w:val="24"/>
                <w:szCs w:val="24"/>
                <w:highlight w:val="none"/>
              </w:rPr>
              <w:t xml:space="preserve"> </w:t>
            </w:r>
            <w:r>
              <w:rPr>
                <w:rFonts w:hint="eastAsia" w:ascii="宋体" w:hAnsi="宋体" w:eastAsia="宋体" w:cs="宋体"/>
                <w:color w:val="auto"/>
                <w:spacing w:val="1"/>
                <w:sz w:val="24"/>
                <w:szCs w:val="24"/>
                <w:highlight w:val="none"/>
              </w:rPr>
              <w:t>”规定的任何一种情形，</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我方接受招标人或其授权的招标代理机构或</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其组建的评标委员会依据招标文件作出的相</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应处理以及有关监督部门作出的行政处罚，</w:t>
            </w:r>
            <w:r>
              <w:rPr>
                <w:rFonts w:hint="eastAsia" w:ascii="宋体" w:hAnsi="宋体" w:eastAsia="宋体" w:cs="宋体"/>
                <w:color w:val="auto"/>
                <w:spacing w:val="6"/>
                <w:sz w:val="24"/>
                <w:szCs w:val="24"/>
                <w:highlight w:val="none"/>
              </w:rPr>
              <w:t>并承担由此引起的一切法律后果。</w:t>
            </w:r>
          </w:p>
        </w:tc>
      </w:tr>
      <w:tr w14:paraId="18C1C7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AAD0204">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BFA5DE0">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60ED34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EF741A1">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9E73C69">
            <w:pPr>
              <w:keepNext w:val="0"/>
              <w:keepLines w:val="0"/>
              <w:pageBreakBefore w:val="0"/>
              <w:widowControl/>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75" w:type="dxa"/>
            <w:vAlign w:val="top"/>
          </w:tcPr>
          <w:p w14:paraId="438AD487">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92BBB59">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2454EE3">
            <w:pPr>
              <w:keepNext w:val="0"/>
              <w:keepLines w:val="0"/>
              <w:pageBreakBefore w:val="0"/>
              <w:widowControl/>
              <w:kinsoku w:val="0"/>
              <w:wordWrap/>
              <w:overflowPunct/>
              <w:topLinePunct w:val="0"/>
              <w:autoSpaceDE w:val="0"/>
              <w:autoSpaceDN w:val="0"/>
              <w:bidi w:val="0"/>
              <w:adjustRightInd w:val="0"/>
              <w:snapToGrid w:val="0"/>
              <w:spacing w:before="65" w:line="288" w:lineRule="auto"/>
              <w:ind w:left="1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自觉抵制围标</w:t>
            </w:r>
          </w:p>
          <w:p w14:paraId="07205FD8">
            <w:pPr>
              <w:keepNext w:val="0"/>
              <w:keepLines w:val="0"/>
              <w:pageBreakBefore w:val="0"/>
              <w:widowControl/>
              <w:kinsoku w:val="0"/>
              <w:wordWrap/>
              <w:overflowPunct/>
              <w:topLinePunct w:val="0"/>
              <w:autoSpaceDE w:val="0"/>
              <w:autoSpaceDN w:val="0"/>
              <w:bidi w:val="0"/>
              <w:adjustRightInd w:val="0"/>
              <w:snapToGrid w:val="0"/>
              <w:spacing w:before="131" w:line="288" w:lineRule="auto"/>
              <w:ind w:left="2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串标和弄虚</w:t>
            </w:r>
          </w:p>
          <w:p w14:paraId="7DFCC592">
            <w:pPr>
              <w:keepNext w:val="0"/>
              <w:keepLines w:val="0"/>
              <w:pageBreakBefore w:val="0"/>
              <w:widowControl/>
              <w:kinsoku w:val="0"/>
              <w:wordWrap/>
              <w:overflowPunct/>
              <w:topLinePunct w:val="0"/>
              <w:autoSpaceDE w:val="0"/>
              <w:autoSpaceDN w:val="0"/>
              <w:bidi w:val="0"/>
              <w:adjustRightInd w:val="0"/>
              <w:snapToGrid w:val="0"/>
              <w:spacing w:before="133" w:line="288" w:lineRule="auto"/>
              <w:ind w:left="5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作假行为的承诺</w:t>
            </w:r>
          </w:p>
        </w:tc>
        <w:tc>
          <w:tcPr>
            <w:tcW w:w="3107" w:type="dxa"/>
            <w:vAlign w:val="top"/>
          </w:tcPr>
          <w:p w14:paraId="0DE69FD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D8D72D4">
            <w:pPr>
              <w:keepNext w:val="0"/>
              <w:keepLines w:val="0"/>
              <w:pageBreakBefore w:val="0"/>
              <w:widowControl/>
              <w:kinsoku w:val="0"/>
              <w:wordWrap/>
              <w:overflowPunct/>
              <w:topLinePunct w:val="0"/>
              <w:autoSpaceDE w:val="0"/>
              <w:autoSpaceDN w:val="0"/>
              <w:bidi w:val="0"/>
              <w:adjustRightInd w:val="0"/>
              <w:snapToGrid w:val="0"/>
              <w:spacing w:before="65" w:line="288" w:lineRule="auto"/>
              <w:ind w:left="11"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我方合法正当、诚实守信地</w:t>
            </w:r>
            <w:r>
              <w:rPr>
                <w:rFonts w:hint="eastAsia" w:ascii="宋体" w:hAnsi="宋体" w:eastAsia="宋体" w:cs="宋体"/>
                <w:color w:val="auto"/>
                <w:spacing w:val="7"/>
                <w:sz w:val="24"/>
                <w:szCs w:val="24"/>
                <w:highlight w:val="none"/>
              </w:rPr>
              <w:t>参与投标，不组织、不参加围标串标违法行为，不通过弄虚作假</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6"/>
                <w:sz w:val="24"/>
                <w:szCs w:val="24"/>
                <w:highlight w:val="none"/>
              </w:rPr>
              <w:t>行为骗取中标。</w:t>
            </w:r>
          </w:p>
        </w:tc>
        <w:tc>
          <w:tcPr>
            <w:tcW w:w="4272" w:type="dxa"/>
            <w:vAlign w:val="top"/>
          </w:tcPr>
          <w:p w14:paraId="4589066B">
            <w:pPr>
              <w:keepNext w:val="0"/>
              <w:keepLines w:val="0"/>
              <w:pageBreakBefore w:val="0"/>
              <w:widowControl/>
              <w:kinsoku w:val="0"/>
              <w:wordWrap/>
              <w:overflowPunct/>
              <w:topLinePunct w:val="0"/>
              <w:autoSpaceDE w:val="0"/>
              <w:autoSpaceDN w:val="0"/>
              <w:bidi w:val="0"/>
              <w:adjustRightInd w:val="0"/>
              <w:snapToGrid w:val="0"/>
              <w:spacing w:before="129" w:line="288" w:lineRule="auto"/>
              <w:ind w:left="13" w:right="4"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w:t>
            </w:r>
            <w:r>
              <w:rPr>
                <w:rFonts w:hint="eastAsia" w:ascii="宋体" w:hAnsi="宋体" w:eastAsia="宋体" w:cs="宋体"/>
                <w:color w:val="auto"/>
                <w:spacing w:val="7"/>
                <w:sz w:val="24"/>
                <w:szCs w:val="24"/>
                <w:highlight w:val="none"/>
              </w:rPr>
              <w:t>引起的一切法律后果。</w:t>
            </w:r>
          </w:p>
        </w:tc>
      </w:tr>
      <w:tr w14:paraId="312D6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38715187">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7D55ACF">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6165398">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F45AC13">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089FA48">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C43D837">
            <w:pPr>
              <w:keepNext w:val="0"/>
              <w:keepLines w:val="0"/>
              <w:pageBreakBefore w:val="0"/>
              <w:widowControl/>
              <w:kinsoku w:val="0"/>
              <w:wordWrap/>
              <w:overflowPunct/>
              <w:topLinePunct w:val="0"/>
              <w:autoSpaceDE w:val="0"/>
              <w:autoSpaceDN w:val="0"/>
              <w:bidi w:val="0"/>
              <w:adjustRightInd w:val="0"/>
              <w:snapToGrid w:val="0"/>
              <w:spacing w:before="58" w:line="288" w:lineRule="auto"/>
              <w:ind w:left="30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675" w:type="dxa"/>
            <w:vAlign w:val="top"/>
          </w:tcPr>
          <w:p w14:paraId="6278EE0E">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6255881">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9D7BD82">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1D658BD">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C7A4BF8">
            <w:pPr>
              <w:keepNext w:val="0"/>
              <w:keepLines w:val="0"/>
              <w:pageBreakBefore w:val="0"/>
              <w:widowControl/>
              <w:kinsoku w:val="0"/>
              <w:wordWrap/>
              <w:overflowPunct/>
              <w:topLinePunct w:val="0"/>
              <w:autoSpaceDE w:val="0"/>
              <w:autoSpaceDN w:val="0"/>
              <w:bidi w:val="0"/>
              <w:adjustRightInd w:val="0"/>
              <w:snapToGrid w:val="0"/>
              <w:spacing w:before="65" w:line="288" w:lineRule="auto"/>
              <w:ind w:left="369" w:right="367" w:firstLine="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r>
              <w:rPr>
                <w:rFonts w:hint="eastAsia" w:ascii="宋体" w:hAnsi="宋体" w:eastAsia="宋体" w:cs="宋体"/>
                <w:color w:val="auto"/>
                <w:spacing w:val="7"/>
                <w:sz w:val="24"/>
                <w:szCs w:val="24"/>
                <w:highlight w:val="none"/>
              </w:rPr>
              <w:t>任职承诺</w:t>
            </w:r>
          </w:p>
        </w:tc>
        <w:tc>
          <w:tcPr>
            <w:tcW w:w="3107" w:type="dxa"/>
            <w:vAlign w:val="top"/>
          </w:tcPr>
          <w:p w14:paraId="012273A7">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0115F3C">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5A6B417">
            <w:pPr>
              <w:keepNext w:val="0"/>
              <w:keepLines w:val="0"/>
              <w:pageBreakBefore w:val="0"/>
              <w:widowControl/>
              <w:kinsoku w:val="0"/>
              <w:wordWrap/>
              <w:overflowPunct/>
              <w:topLinePunct w:val="0"/>
              <w:autoSpaceDE w:val="0"/>
              <w:autoSpaceDN w:val="0"/>
              <w:bidi w:val="0"/>
              <w:adjustRightInd w:val="0"/>
              <w:snapToGrid w:val="0"/>
              <w:spacing w:before="65" w:line="288" w:lineRule="auto"/>
              <w:ind w:left="9" w:right="2"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我方拟派项目经理现阶段</w:t>
            </w:r>
            <w:r>
              <w:rPr>
                <w:rFonts w:hint="eastAsia" w:ascii="宋体" w:hAnsi="宋体" w:eastAsia="宋体" w:cs="宋体"/>
                <w:color w:val="auto"/>
                <w:spacing w:val="7"/>
                <w:sz w:val="24"/>
                <w:szCs w:val="24"/>
                <w:highlight w:val="none"/>
              </w:rPr>
              <w:t>没有担任任何在施（包括已中标</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7"/>
                <w:sz w:val="24"/>
                <w:szCs w:val="24"/>
                <w:highlight w:val="none"/>
              </w:rPr>
              <w:t>未开工、已开工未竣工）建设工</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7"/>
                <w:sz w:val="24"/>
                <w:szCs w:val="24"/>
                <w:highlight w:val="none"/>
              </w:rPr>
              <w:t>程项目的项目经理。</w:t>
            </w:r>
          </w:p>
        </w:tc>
        <w:tc>
          <w:tcPr>
            <w:tcW w:w="4272" w:type="dxa"/>
            <w:vAlign w:val="top"/>
          </w:tcPr>
          <w:p w14:paraId="39F4F1E7">
            <w:pPr>
              <w:keepNext w:val="0"/>
              <w:keepLines w:val="0"/>
              <w:pageBreakBefore w:val="0"/>
              <w:widowControl/>
              <w:kinsoku w:val="0"/>
              <w:wordWrap/>
              <w:overflowPunct/>
              <w:topLinePunct w:val="0"/>
              <w:autoSpaceDE w:val="0"/>
              <w:autoSpaceDN w:val="0"/>
              <w:bidi w:val="0"/>
              <w:adjustRightInd w:val="0"/>
              <w:snapToGrid w:val="0"/>
              <w:spacing w:before="128" w:line="288" w:lineRule="auto"/>
              <w:ind w:left="11"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如果我方拟派项目经理在本项目招标投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标活动期间有担任其他任何在施（包括已中标未开工、已开工未竣工）建设工程项目的</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项目经理，我方接受招标人或其授权的招标</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代理机构或其组建的评标委员会依据招标文件作出的相应处理以及有关监督部门作出的</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z w:val="24"/>
                <w:szCs w:val="24"/>
                <w:highlight w:val="none"/>
              </w:rPr>
              <w:t>行政处罚，并承担由此引起的一切法律后果。</w:t>
            </w:r>
          </w:p>
        </w:tc>
      </w:tr>
      <w:tr w14:paraId="6CEEE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A0D4B7A">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C74BABD">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2E61580">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4"/>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675" w:type="dxa"/>
            <w:vAlign w:val="top"/>
          </w:tcPr>
          <w:p w14:paraId="349DADD9">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0BB8079">
            <w:pPr>
              <w:keepNext w:val="0"/>
              <w:keepLines w:val="0"/>
              <w:pageBreakBefore w:val="0"/>
              <w:widowControl/>
              <w:kinsoku w:val="0"/>
              <w:wordWrap/>
              <w:overflowPunct/>
              <w:topLinePunct w:val="0"/>
              <w:autoSpaceDE w:val="0"/>
              <w:autoSpaceDN w:val="0"/>
              <w:bidi w:val="0"/>
              <w:adjustRightInd w:val="0"/>
              <w:snapToGrid w:val="0"/>
              <w:spacing w:before="65" w:line="288" w:lineRule="auto"/>
              <w:ind w:left="267" w:right="261" w:firstLine="10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真实性承诺</w:t>
            </w:r>
          </w:p>
        </w:tc>
        <w:tc>
          <w:tcPr>
            <w:tcW w:w="3107" w:type="dxa"/>
            <w:vAlign w:val="top"/>
          </w:tcPr>
          <w:p w14:paraId="48826E6A">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0163C62">
            <w:pPr>
              <w:keepNext w:val="0"/>
              <w:keepLines w:val="0"/>
              <w:pageBreakBefore w:val="0"/>
              <w:widowControl/>
              <w:kinsoku w:val="0"/>
              <w:wordWrap/>
              <w:overflowPunct/>
              <w:topLinePunct w:val="0"/>
              <w:autoSpaceDE w:val="0"/>
              <w:autoSpaceDN w:val="0"/>
              <w:bidi w:val="0"/>
              <w:adjustRightInd w:val="0"/>
              <w:snapToGrid w:val="0"/>
              <w:spacing w:before="65" w:line="288" w:lineRule="auto"/>
              <w:ind w:left="12" w:firstLine="40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0"/>
                <w:sz w:val="24"/>
                <w:szCs w:val="24"/>
                <w:highlight w:val="none"/>
              </w:rPr>
              <w:t>我方所递交投标文件的全</w:t>
            </w:r>
            <w:r>
              <w:rPr>
                <w:rFonts w:hint="eastAsia" w:ascii="宋体" w:hAnsi="宋体" w:eastAsia="宋体" w:cs="宋体"/>
                <w:color w:val="auto"/>
                <w:spacing w:val="-7"/>
                <w:sz w:val="24"/>
                <w:szCs w:val="24"/>
                <w:highlight w:val="none"/>
              </w:rPr>
              <w:t>部内容均为真实、有效、准确的。</w:t>
            </w:r>
          </w:p>
        </w:tc>
        <w:tc>
          <w:tcPr>
            <w:tcW w:w="4272" w:type="dxa"/>
            <w:vAlign w:val="top"/>
          </w:tcPr>
          <w:p w14:paraId="1583D5E0">
            <w:pPr>
              <w:keepNext w:val="0"/>
              <w:keepLines w:val="0"/>
              <w:pageBreakBefore w:val="0"/>
              <w:widowControl/>
              <w:kinsoku w:val="0"/>
              <w:wordWrap/>
              <w:overflowPunct/>
              <w:topLinePunct w:val="0"/>
              <w:autoSpaceDE w:val="0"/>
              <w:autoSpaceDN w:val="0"/>
              <w:bidi w:val="0"/>
              <w:adjustRightInd w:val="0"/>
              <w:snapToGrid w:val="0"/>
              <w:spacing w:before="127" w:line="288" w:lineRule="auto"/>
              <w:ind w:left="11"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如果我方递交的投标文件任何内容不真实或无效或不准确，我方接受招标人或其授权的招标代理机构或其组建的评标委员会依</w:t>
            </w:r>
            <w:r>
              <w:rPr>
                <w:rFonts w:hint="eastAsia" w:ascii="宋体" w:hAnsi="宋体" w:eastAsia="宋体" w:cs="宋体"/>
                <w:color w:val="auto"/>
                <w:sz w:val="24"/>
                <w:szCs w:val="24"/>
                <w:highlight w:val="none"/>
              </w:rPr>
              <w:t>据招标文件作出的相应处理，包括否决投标。</w:t>
            </w:r>
          </w:p>
        </w:tc>
      </w:tr>
      <w:tr w14:paraId="5859D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vAlign w:val="top"/>
          </w:tcPr>
          <w:p w14:paraId="2E9A7FD4">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19FAAF4">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E319FF4">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3"/>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p w14:paraId="6D236227">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drawing>
                <wp:anchor distT="0" distB="0" distL="114300" distR="114300" simplePos="0" relativeHeight="251661312"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53"/>
                          <a:stretch>
                            <a:fillRect/>
                          </a:stretch>
                        </pic:blipFill>
                        <pic:spPr>
                          <a:xfrm>
                            <a:off x="0" y="0"/>
                            <a:ext cx="6350" cy="241300"/>
                          </a:xfrm>
                          <a:prstGeom prst="rect">
                            <a:avLst/>
                          </a:prstGeom>
                          <a:noFill/>
                          <a:ln>
                            <a:noFill/>
                          </a:ln>
                        </pic:spPr>
                      </pic:pic>
                    </a:graphicData>
                  </a:graphic>
                </wp:anchor>
              </w:drawing>
            </w:r>
          </w:p>
        </w:tc>
        <w:tc>
          <w:tcPr>
            <w:tcW w:w="1675" w:type="dxa"/>
            <w:vAlign w:val="top"/>
          </w:tcPr>
          <w:p w14:paraId="29EF0155">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7937757">
            <w:pPr>
              <w:keepNext w:val="0"/>
              <w:keepLines w:val="0"/>
              <w:pageBreakBefore w:val="0"/>
              <w:widowControl/>
              <w:kinsoku w:val="0"/>
              <w:wordWrap/>
              <w:overflowPunct/>
              <w:topLinePunct w:val="0"/>
              <w:autoSpaceDE w:val="0"/>
              <w:autoSpaceDN w:val="0"/>
              <w:bidi w:val="0"/>
              <w:adjustRightInd w:val="0"/>
              <w:snapToGrid w:val="0"/>
              <w:spacing w:line="288" w:lineRule="auto"/>
              <w:ind w:lef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p>
          <w:p w14:paraId="20B01D17">
            <w:pPr>
              <w:keepNext w:val="0"/>
              <w:keepLines w:val="0"/>
              <w:pageBreakBefore w:val="0"/>
              <w:widowControl/>
              <w:kinsoku w:val="0"/>
              <w:wordWrap/>
              <w:overflowPunct/>
              <w:topLinePunct w:val="0"/>
              <w:autoSpaceDE w:val="0"/>
              <w:autoSpaceDN w:val="0"/>
              <w:bidi w:val="0"/>
              <w:adjustRightInd w:val="0"/>
              <w:snapToGrid w:val="0"/>
              <w:spacing w:line="288" w:lineRule="auto"/>
              <w:ind w:lef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信息公开承诺</w:t>
            </w:r>
          </w:p>
        </w:tc>
        <w:tc>
          <w:tcPr>
            <w:tcW w:w="3107" w:type="dxa"/>
            <w:vAlign w:val="top"/>
          </w:tcPr>
          <w:p w14:paraId="6794C05C">
            <w:pPr>
              <w:keepNext w:val="0"/>
              <w:keepLines w:val="0"/>
              <w:pageBreakBefore w:val="0"/>
              <w:widowControl/>
              <w:kinsoku w:val="0"/>
              <w:wordWrap/>
              <w:overflowPunct/>
              <w:topLinePunct w:val="0"/>
              <w:autoSpaceDE w:val="0"/>
              <w:autoSpaceDN w:val="0"/>
              <w:bidi w:val="0"/>
              <w:adjustRightInd w:val="0"/>
              <w:snapToGrid w:val="0"/>
              <w:spacing w:before="130" w:line="288" w:lineRule="auto"/>
              <w:ind w:left="10"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我方提供完整的文件。如果</w:t>
            </w:r>
            <w:r>
              <w:rPr>
                <w:rFonts w:hint="eastAsia" w:ascii="宋体" w:hAnsi="宋体" w:eastAsia="宋体" w:cs="宋体"/>
                <w:color w:val="auto"/>
                <w:spacing w:val="7"/>
                <w:sz w:val="24"/>
                <w:szCs w:val="24"/>
                <w:highlight w:val="none"/>
              </w:rPr>
              <w:t>我方成为本项目中标候选人，我</w:t>
            </w:r>
            <w:r>
              <w:rPr>
                <w:rFonts w:hint="eastAsia" w:ascii="宋体" w:hAnsi="宋体" w:eastAsia="宋体" w:cs="宋体"/>
                <w:color w:val="auto"/>
                <w:spacing w:val="23"/>
                <w:sz w:val="24"/>
                <w:szCs w:val="24"/>
                <w:highlight w:val="none"/>
              </w:rPr>
              <w:t>方同意并授权招标人在评标结果公示期内公开我方商务标书</w:t>
            </w:r>
            <w:r>
              <w:rPr>
                <w:rFonts w:hint="eastAsia" w:ascii="宋体" w:hAnsi="宋体" w:eastAsia="宋体" w:cs="宋体"/>
                <w:color w:val="auto"/>
                <w:spacing w:val="3"/>
                <w:sz w:val="24"/>
                <w:szCs w:val="24"/>
                <w:highlight w:val="none"/>
              </w:rPr>
              <w:t>的全部内容。</w:t>
            </w:r>
          </w:p>
        </w:tc>
        <w:tc>
          <w:tcPr>
            <w:tcW w:w="4272" w:type="dxa"/>
            <w:vAlign w:val="top"/>
          </w:tcPr>
          <w:p w14:paraId="2FBE142D">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3473CF0">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2D77463">
            <w:pPr>
              <w:keepNext w:val="0"/>
              <w:keepLines w:val="0"/>
              <w:pageBreakBefore w:val="0"/>
              <w:widowControl/>
              <w:kinsoku w:val="0"/>
              <w:wordWrap/>
              <w:overflowPunct/>
              <w:topLinePunct w:val="0"/>
              <w:autoSpaceDE w:val="0"/>
              <w:autoSpaceDN w:val="0"/>
              <w:bidi w:val="0"/>
              <w:adjustRightInd w:val="0"/>
              <w:snapToGrid w:val="0"/>
              <w:spacing w:before="58" w:line="288" w:lineRule="auto"/>
              <w:ind w:left="1979"/>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r>
      <w:tr w14:paraId="7EA8D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vAlign w:val="top"/>
          </w:tcPr>
          <w:p w14:paraId="443BB7FA">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F58368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890160C">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EC89A79">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F010AA9">
            <w:pPr>
              <w:keepNext w:val="0"/>
              <w:keepLines w:val="0"/>
              <w:pageBreakBefore w:val="0"/>
              <w:widowControl/>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675" w:type="dxa"/>
            <w:vAlign w:val="top"/>
          </w:tcPr>
          <w:p w14:paraId="10987C8F">
            <w:pPr>
              <w:pStyle w:val="22"/>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49332366">
            <w:pPr>
              <w:pStyle w:val="22"/>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32B67BD4">
            <w:pPr>
              <w:pStyle w:val="22"/>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06743F6A">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对不正常报价</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4"/>
                <w:sz w:val="24"/>
                <w:szCs w:val="24"/>
                <w:highlight w:val="none"/>
              </w:rPr>
              <w:t>的确认承诺</w:t>
            </w:r>
          </w:p>
        </w:tc>
        <w:tc>
          <w:tcPr>
            <w:tcW w:w="3107" w:type="dxa"/>
            <w:vAlign w:val="top"/>
          </w:tcPr>
          <w:p w14:paraId="6339079D">
            <w:pPr>
              <w:keepNext w:val="0"/>
              <w:keepLines w:val="0"/>
              <w:pageBreakBefore w:val="0"/>
              <w:widowControl/>
              <w:kinsoku w:val="0"/>
              <w:wordWrap/>
              <w:overflowPunct/>
              <w:topLinePunct w:val="0"/>
              <w:autoSpaceDE w:val="0"/>
              <w:autoSpaceDN w:val="0"/>
              <w:bidi w:val="0"/>
              <w:adjustRightInd w:val="0"/>
              <w:snapToGrid w:val="0"/>
              <w:spacing w:before="121" w:line="288" w:lineRule="auto"/>
              <w:ind w:left="10" w:right="2"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如果我方中标，我方接受招</w:t>
            </w:r>
            <w:r>
              <w:rPr>
                <w:rFonts w:hint="eastAsia" w:ascii="宋体" w:hAnsi="宋体" w:eastAsia="宋体" w:cs="宋体"/>
                <w:color w:val="auto"/>
                <w:spacing w:val="23"/>
                <w:sz w:val="24"/>
                <w:szCs w:val="24"/>
                <w:highlight w:val="none"/>
              </w:rPr>
              <w:t>标人在合同订立期间依据招标文件有关条款约定对我方已标价工程量清单中不正常报价的</w:t>
            </w:r>
            <w:r>
              <w:rPr>
                <w:rFonts w:hint="eastAsia" w:ascii="宋体" w:hAnsi="宋体" w:eastAsia="宋体" w:cs="宋体"/>
                <w:color w:val="auto"/>
                <w:spacing w:val="7"/>
                <w:sz w:val="24"/>
                <w:szCs w:val="24"/>
                <w:highlight w:val="none"/>
              </w:rPr>
              <w:t>修正或认定，并按要求签署《不</w:t>
            </w:r>
            <w:r>
              <w:rPr>
                <w:rFonts w:hint="eastAsia" w:ascii="宋体" w:hAnsi="宋体" w:eastAsia="宋体" w:cs="宋体"/>
                <w:color w:val="auto"/>
                <w:spacing w:val="8"/>
                <w:sz w:val="24"/>
                <w:szCs w:val="24"/>
                <w:highlight w:val="none"/>
              </w:rPr>
              <w:t>正常报价清单》加以确认。</w:t>
            </w:r>
          </w:p>
        </w:tc>
        <w:tc>
          <w:tcPr>
            <w:tcW w:w="4272" w:type="dxa"/>
            <w:vAlign w:val="top"/>
          </w:tcPr>
          <w:p w14:paraId="2AC2D7AD">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C9BB7EC">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1A5536F">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E45103F">
            <w:pPr>
              <w:keepNext w:val="0"/>
              <w:keepLines w:val="0"/>
              <w:pageBreakBefore w:val="0"/>
              <w:widowControl/>
              <w:kinsoku w:val="0"/>
              <w:wordWrap/>
              <w:overflowPunct/>
              <w:topLinePunct w:val="0"/>
              <w:autoSpaceDE w:val="0"/>
              <w:autoSpaceDN w:val="0"/>
              <w:bidi w:val="0"/>
              <w:adjustRightInd w:val="0"/>
              <w:snapToGrid w:val="0"/>
              <w:spacing w:before="57" w:line="288" w:lineRule="auto"/>
              <w:ind w:left="1979"/>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r>
      <w:tr w14:paraId="181CB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2565A70D">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474C16A">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705BF3F">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D5C170A">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7"/>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675" w:type="dxa"/>
            <w:vAlign w:val="top"/>
          </w:tcPr>
          <w:p w14:paraId="4EE17AC8">
            <w:pPr>
              <w:pStyle w:val="22"/>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3BB363F9">
            <w:pPr>
              <w:pStyle w:val="22"/>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4D741FFC">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按时提交履约</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7"/>
                <w:sz w:val="24"/>
                <w:szCs w:val="24"/>
                <w:highlight w:val="none"/>
              </w:rPr>
              <w:t>保证的承诺</w:t>
            </w:r>
          </w:p>
        </w:tc>
        <w:tc>
          <w:tcPr>
            <w:tcW w:w="3107" w:type="dxa"/>
            <w:vAlign w:val="top"/>
          </w:tcPr>
          <w:p w14:paraId="2F2EF5F6">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DF103BD">
            <w:pPr>
              <w:keepNext w:val="0"/>
              <w:keepLines w:val="0"/>
              <w:pageBreakBefore w:val="0"/>
              <w:widowControl/>
              <w:kinsoku w:val="0"/>
              <w:wordWrap/>
              <w:overflowPunct/>
              <w:topLinePunct w:val="0"/>
              <w:autoSpaceDE w:val="0"/>
              <w:autoSpaceDN w:val="0"/>
              <w:bidi w:val="0"/>
              <w:adjustRightInd w:val="0"/>
              <w:snapToGrid w:val="0"/>
              <w:spacing w:line="288" w:lineRule="auto"/>
              <w:ind w:left="11" w:right="0" w:firstLine="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招标文件规定的时限内全额提</w:t>
            </w:r>
            <w:r>
              <w:rPr>
                <w:rFonts w:hint="eastAsia" w:ascii="宋体" w:hAnsi="宋体" w:eastAsia="宋体" w:cs="宋体"/>
                <w:color w:val="auto"/>
                <w:spacing w:val="6"/>
                <w:sz w:val="24"/>
                <w:szCs w:val="24"/>
                <w:highlight w:val="none"/>
              </w:rPr>
              <w:t>交履约保证。</w:t>
            </w:r>
          </w:p>
        </w:tc>
        <w:tc>
          <w:tcPr>
            <w:tcW w:w="4272" w:type="dxa"/>
            <w:vAlign w:val="top"/>
          </w:tcPr>
          <w:p w14:paraId="20F3BAEB">
            <w:pPr>
              <w:keepNext w:val="0"/>
              <w:keepLines w:val="0"/>
              <w:pageBreakBefore w:val="0"/>
              <w:widowControl/>
              <w:kinsoku w:val="0"/>
              <w:wordWrap/>
              <w:overflowPunct/>
              <w:topLinePunct w:val="0"/>
              <w:autoSpaceDE w:val="0"/>
              <w:autoSpaceDN w:val="0"/>
              <w:bidi w:val="0"/>
              <w:adjustRightInd w:val="0"/>
              <w:snapToGrid w:val="0"/>
              <w:spacing w:before="128" w:line="288" w:lineRule="auto"/>
              <w:ind w:left="12" w:right="23"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如果我方未在招标文件规定的时限内全</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9"/>
                <w:sz w:val="24"/>
                <w:szCs w:val="24"/>
                <w:highlight w:val="none"/>
              </w:rPr>
              <w:t>额提交履约保证，我方接受招标人依据招标文件作出的相应处理以及有关监督部门作出的行政处罚，并承担由此引起的一切法律后</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果。</w:t>
            </w:r>
          </w:p>
        </w:tc>
      </w:tr>
      <w:tr w14:paraId="6E5D5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104B7305">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C02A7C0">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B620D0E">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4F4C3A4">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E8D2FFB">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675" w:type="dxa"/>
            <w:vAlign w:val="top"/>
          </w:tcPr>
          <w:p w14:paraId="3984E433">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D7846E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00D32F0">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9127F03">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按时签订合同</w:t>
            </w:r>
            <w:r>
              <w:rPr>
                <w:rFonts w:hint="eastAsia" w:ascii="宋体" w:hAnsi="宋体" w:eastAsia="宋体" w:cs="宋体"/>
                <w:color w:val="auto"/>
                <w:spacing w:val="1"/>
                <w:sz w:val="24"/>
                <w:szCs w:val="24"/>
                <w:highlight w:val="none"/>
              </w:rPr>
              <w:t>的承诺</w:t>
            </w:r>
          </w:p>
        </w:tc>
        <w:tc>
          <w:tcPr>
            <w:tcW w:w="3107" w:type="dxa"/>
            <w:vAlign w:val="top"/>
          </w:tcPr>
          <w:p w14:paraId="45DF0271">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0E5BA5A">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招标文件规定的时限内与招标</w:t>
            </w:r>
            <w:r>
              <w:rPr>
                <w:rFonts w:hint="eastAsia" w:ascii="宋体" w:hAnsi="宋体" w:eastAsia="宋体" w:cs="宋体"/>
                <w:color w:val="auto"/>
                <w:spacing w:val="7"/>
                <w:sz w:val="24"/>
                <w:szCs w:val="24"/>
                <w:highlight w:val="none"/>
              </w:rPr>
              <w:t>人签订合同，不提出违背或超出</w:t>
            </w:r>
            <w:r>
              <w:rPr>
                <w:rFonts w:hint="eastAsia" w:ascii="宋体" w:hAnsi="宋体" w:eastAsia="宋体" w:cs="宋体"/>
                <w:color w:val="auto"/>
                <w:spacing w:val="8"/>
                <w:sz w:val="24"/>
                <w:szCs w:val="24"/>
                <w:highlight w:val="none"/>
              </w:rPr>
              <w:t>招标文件、中标文件的要求。</w:t>
            </w:r>
          </w:p>
        </w:tc>
        <w:tc>
          <w:tcPr>
            <w:tcW w:w="4272" w:type="dxa"/>
            <w:vAlign w:val="top"/>
          </w:tcPr>
          <w:p w14:paraId="193F81D5">
            <w:pPr>
              <w:keepNext w:val="0"/>
              <w:keepLines w:val="0"/>
              <w:pageBreakBefore w:val="0"/>
              <w:widowControl/>
              <w:kinsoku w:val="0"/>
              <w:wordWrap/>
              <w:overflowPunct/>
              <w:topLinePunct w:val="0"/>
              <w:autoSpaceDE w:val="0"/>
              <w:autoSpaceDN w:val="0"/>
              <w:bidi w:val="0"/>
              <w:adjustRightInd w:val="0"/>
              <w:snapToGrid w:val="0"/>
              <w:spacing w:before="126" w:line="288" w:lineRule="auto"/>
              <w:ind w:left="13" w:firstLine="415"/>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如果我方未在招标文件规定的时限内与招标人签订合同，或我方在签订合同过程中</w:t>
            </w:r>
            <w:r>
              <w:rPr>
                <w:rFonts w:hint="eastAsia" w:ascii="宋体" w:hAnsi="宋体" w:eastAsia="宋体" w:cs="宋体"/>
                <w:color w:val="auto"/>
                <w:sz w:val="24"/>
                <w:szCs w:val="24"/>
                <w:highlight w:val="none"/>
              </w:rPr>
              <w:t>提出违背或超出招标文件、中标文件的要求。</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7"/>
                <w:sz w:val="24"/>
                <w:szCs w:val="24"/>
                <w:highlight w:val="none"/>
              </w:rPr>
              <w:t>我方接受招标人依据招标文件作出的相应处</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理以及有关监督部门作出的行政处罚，并承</w:t>
            </w:r>
            <w:r>
              <w:rPr>
                <w:rFonts w:hint="eastAsia" w:ascii="宋体" w:hAnsi="宋体" w:eastAsia="宋体" w:cs="宋体"/>
                <w:color w:val="auto"/>
                <w:spacing w:val="5"/>
                <w:sz w:val="24"/>
                <w:szCs w:val="24"/>
                <w:highlight w:val="none"/>
              </w:rPr>
              <w:t>担由此引起的一切法律后果。</w:t>
            </w:r>
          </w:p>
        </w:tc>
      </w:tr>
    </w:tbl>
    <w:p w14:paraId="74877834">
      <w:pPr>
        <w:spacing w:before="78" w:line="219" w:lineRule="auto"/>
        <w:ind w:firstLine="6832" w:firstLineChars="2800"/>
        <w:jc w:val="both"/>
        <w:rPr>
          <w:rFonts w:hint="eastAsia" w:ascii="宋体" w:hAnsi="宋体" w:eastAsia="宋体" w:cs="宋体"/>
          <w:color w:val="auto"/>
          <w:spacing w:val="2"/>
          <w:sz w:val="24"/>
          <w:szCs w:val="24"/>
          <w:highlight w:val="none"/>
        </w:rPr>
      </w:pPr>
    </w:p>
    <w:p w14:paraId="749799CD">
      <w:pPr>
        <w:spacing w:before="78" w:line="219" w:lineRule="auto"/>
        <w:ind w:firstLine="6832" w:firstLineChars="280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689D990C">
      <w:pPr>
        <w:pStyle w:val="5"/>
        <w:spacing w:line="297" w:lineRule="auto"/>
        <w:jc w:val="right"/>
        <w:rPr>
          <w:rFonts w:hint="eastAsia" w:ascii="宋体" w:hAnsi="宋体" w:eastAsia="宋体" w:cs="宋体"/>
          <w:color w:val="auto"/>
          <w:highlight w:val="none"/>
        </w:rPr>
      </w:pPr>
    </w:p>
    <w:p w14:paraId="17340BD8">
      <w:pPr>
        <w:spacing w:before="78" w:line="219" w:lineRule="auto"/>
        <w:ind w:left="4366"/>
        <w:jc w:val="right"/>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59B90550">
      <w:pPr>
        <w:outlineLvl w:val="9"/>
        <w:rPr>
          <w:rFonts w:hint="eastAsia"/>
          <w:color w:val="auto"/>
          <w:highlight w:val="none"/>
        </w:rPr>
      </w:pPr>
    </w:p>
    <w:p w14:paraId="07DB3461">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1A1F64DF">
      <w:pPr>
        <w:spacing w:line="220" w:lineRule="auto"/>
        <w:jc w:val="right"/>
        <w:rPr>
          <w:rFonts w:hint="eastAsia" w:ascii="宋体" w:hAnsi="宋体" w:eastAsia="宋体" w:cs="宋体"/>
          <w:color w:val="auto"/>
          <w:sz w:val="24"/>
          <w:szCs w:val="24"/>
          <w:highlight w:val="none"/>
        </w:rPr>
        <w:sectPr>
          <w:footerReference r:id="rId16"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4BDCB018">
      <w:pPr>
        <w:spacing w:before="78" w:line="220" w:lineRule="auto"/>
        <w:outlineLvl w:val="2"/>
        <w:rPr>
          <w:rFonts w:hint="eastAsia" w:ascii="宋体" w:hAnsi="宋体" w:eastAsia="宋体" w:cs="宋体"/>
          <w:b/>
          <w:bCs/>
          <w:color w:val="auto"/>
          <w:spacing w:val="-4"/>
          <w:sz w:val="24"/>
          <w:szCs w:val="24"/>
          <w:highlight w:val="none"/>
        </w:rPr>
      </w:pPr>
      <w:bookmarkStart w:id="231" w:name="_Toc16537"/>
      <w:r>
        <w:rPr>
          <w:rFonts w:hint="eastAsia" w:ascii="宋体" w:hAnsi="宋体" w:eastAsia="宋体" w:cs="宋体"/>
          <w:b/>
          <w:bCs/>
          <w:color w:val="auto"/>
          <w:spacing w:val="-4"/>
          <w:sz w:val="24"/>
          <w:szCs w:val="24"/>
          <w:highlight w:val="none"/>
        </w:rPr>
        <w:t>格式四 授权委托书</w:t>
      </w:r>
      <w:bookmarkEnd w:id="231"/>
    </w:p>
    <w:p w14:paraId="6CD0F9BB">
      <w:pPr>
        <w:pStyle w:val="5"/>
        <w:spacing w:line="351" w:lineRule="auto"/>
        <w:rPr>
          <w:rFonts w:hint="eastAsia" w:ascii="宋体" w:hAnsi="宋体" w:eastAsia="宋体" w:cs="宋体"/>
          <w:color w:val="auto"/>
          <w:highlight w:val="none"/>
        </w:rPr>
      </w:pPr>
    </w:p>
    <w:p w14:paraId="18A875F0">
      <w:pPr>
        <w:pStyle w:val="5"/>
        <w:spacing w:line="351" w:lineRule="auto"/>
        <w:rPr>
          <w:rFonts w:hint="eastAsia" w:ascii="宋体" w:hAnsi="宋体" w:eastAsia="宋体" w:cs="宋体"/>
          <w:color w:val="auto"/>
          <w:highlight w:val="none"/>
        </w:rPr>
      </w:pPr>
    </w:p>
    <w:p w14:paraId="7EF079A3">
      <w:pPr>
        <w:spacing w:before="97" w:line="219" w:lineRule="auto"/>
        <w:ind w:left="3786"/>
        <w:rPr>
          <w:rFonts w:hint="eastAsia" w:ascii="宋体" w:hAnsi="宋体" w:eastAsia="宋体" w:cs="宋体"/>
          <w:color w:val="auto"/>
          <w:sz w:val="30"/>
          <w:szCs w:val="30"/>
          <w:highlight w:val="none"/>
        </w:rPr>
      </w:pPr>
      <w:bookmarkStart w:id="232" w:name="bookmark151"/>
      <w:bookmarkEnd w:id="232"/>
      <w:r>
        <w:rPr>
          <w:rFonts w:hint="eastAsia" w:ascii="宋体" w:hAnsi="宋体" w:eastAsia="宋体" w:cs="宋体"/>
          <w:b/>
          <w:bCs/>
          <w:color w:val="auto"/>
          <w:spacing w:val="-5"/>
          <w:sz w:val="30"/>
          <w:szCs w:val="30"/>
          <w:highlight w:val="none"/>
        </w:rPr>
        <w:t>授权委托书</w:t>
      </w:r>
    </w:p>
    <w:p w14:paraId="473B7E5C">
      <w:pPr>
        <w:pStyle w:val="5"/>
        <w:spacing w:line="250" w:lineRule="auto"/>
        <w:rPr>
          <w:rFonts w:hint="eastAsia" w:ascii="宋体" w:hAnsi="宋体" w:eastAsia="宋体" w:cs="宋体"/>
          <w:color w:val="auto"/>
          <w:highlight w:val="none"/>
        </w:rPr>
      </w:pPr>
    </w:p>
    <w:p w14:paraId="72DA4D73">
      <w:pPr>
        <w:pStyle w:val="5"/>
        <w:spacing w:line="250" w:lineRule="auto"/>
        <w:rPr>
          <w:rFonts w:hint="eastAsia" w:ascii="宋体" w:hAnsi="宋体" w:eastAsia="宋体" w:cs="宋体"/>
          <w:color w:val="auto"/>
          <w:highlight w:val="none"/>
        </w:rPr>
      </w:pPr>
    </w:p>
    <w:p w14:paraId="18BC7C34">
      <w:pPr>
        <w:pStyle w:val="5"/>
        <w:spacing w:line="251" w:lineRule="auto"/>
        <w:rPr>
          <w:rFonts w:hint="eastAsia" w:ascii="宋体" w:hAnsi="宋体" w:eastAsia="宋体" w:cs="宋体"/>
          <w:color w:val="auto"/>
          <w:highlight w:val="none"/>
        </w:rPr>
      </w:pPr>
    </w:p>
    <w:p w14:paraId="09C2E563">
      <w:pPr>
        <w:spacing w:before="78" w:line="330" w:lineRule="auto"/>
        <w:ind w:firstLine="481"/>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8"/>
          <w:highlight w:val="none"/>
          <w:lang w:eastAsia="zh-CN"/>
        </w:rPr>
        <w:t>本人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（姓名）系</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（投标人名称）的法定代表人，现委托</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（姓名）为我方代理人。代理人根据授权，以我方名义签署、澄清、说明、补正、递交、撤回、修改</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 w:val="24"/>
          <w:szCs w:val="28"/>
          <w:highlight w:val="none"/>
          <w:u w:val="single"/>
          <w:lang w:eastAsia="zh-CN"/>
        </w:rPr>
        <w:t>（项目名称）</w:t>
      </w:r>
      <w:r>
        <w:rPr>
          <w:rFonts w:hint="eastAsia" w:ascii="宋体" w:hAnsi="宋体" w:eastAsia="宋体" w:cs="宋体"/>
          <w:snapToGrid w:val="0"/>
          <w:color w:val="auto"/>
          <w:kern w:val="0"/>
          <w:sz w:val="24"/>
          <w:szCs w:val="28"/>
          <w:highlight w:val="none"/>
          <w:lang w:eastAsia="zh-CN"/>
        </w:rPr>
        <w:t xml:space="preserve"> 投标文件、签订合同和处理有关事宜，其法律后果由我方承担。</w:t>
      </w:r>
    </w:p>
    <w:p w14:paraId="2CE40362">
      <w:pPr>
        <w:spacing w:before="32" w:line="320" w:lineRule="auto"/>
        <w:ind w:left="480" w:right="497"/>
        <w:rPr>
          <w:rFonts w:hint="eastAsia" w:ascii="宋体" w:hAnsi="宋体" w:eastAsia="宋体" w:cs="宋体"/>
          <w:color w:val="auto"/>
          <w:spacing w:val="15"/>
          <w:sz w:val="24"/>
          <w:szCs w:val="24"/>
          <w:highlight w:val="none"/>
        </w:rPr>
      </w:pPr>
      <w:r>
        <w:rPr>
          <w:rFonts w:hint="eastAsia" w:ascii="宋体" w:hAnsi="宋体" w:eastAsia="宋体" w:cs="宋体"/>
          <w:color w:val="auto"/>
          <w:spacing w:val="-9"/>
          <w:sz w:val="24"/>
          <w:szCs w:val="24"/>
          <w:highlight w:val="none"/>
        </w:rPr>
        <w:t>委托期限：至</w:t>
      </w:r>
      <w:r>
        <w:rPr>
          <w:rFonts w:hint="eastAsia" w:ascii="宋体" w:hAnsi="宋体" w:eastAsia="宋体" w:cs="宋体"/>
          <w:color w:val="auto"/>
          <w:spacing w:val="-9"/>
          <w:sz w:val="24"/>
          <w:szCs w:val="24"/>
          <w:highlight w:val="none"/>
          <w:u w:val="single"/>
        </w:rPr>
        <w:t xml:space="preserve">     年   月    日</w:t>
      </w:r>
      <w:r>
        <w:rPr>
          <w:rFonts w:hint="eastAsia" w:ascii="宋体" w:hAnsi="宋体" w:eastAsia="宋体" w:cs="宋体"/>
          <w:i/>
          <w:iCs/>
          <w:color w:val="auto"/>
          <w:spacing w:val="-9"/>
          <w:sz w:val="25"/>
          <w:szCs w:val="25"/>
          <w:highlight w:val="none"/>
          <w:u w:val="single"/>
        </w:rPr>
        <w:t>（不得短于招标文件规定的投标有效期）</w:t>
      </w:r>
      <w:r>
        <w:rPr>
          <w:rFonts w:hint="eastAsia" w:ascii="宋体" w:hAnsi="宋体" w:eastAsia="宋体" w:cs="宋体"/>
          <w:color w:val="auto"/>
          <w:spacing w:val="-9"/>
          <w:sz w:val="25"/>
          <w:szCs w:val="25"/>
          <w:highlight w:val="none"/>
        </w:rPr>
        <w:t xml:space="preserve"> </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15"/>
          <w:sz w:val="24"/>
          <w:szCs w:val="24"/>
          <w:highlight w:val="none"/>
        </w:rPr>
        <w:t xml:space="preserve"> </w:t>
      </w:r>
    </w:p>
    <w:p w14:paraId="2D61A797">
      <w:pPr>
        <w:spacing w:before="32" w:line="320" w:lineRule="auto"/>
        <w:ind w:left="480" w:right="49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代理人无转委托权。</w:t>
      </w:r>
    </w:p>
    <w:p w14:paraId="1E74F1A2">
      <w:pPr>
        <w:pStyle w:val="5"/>
        <w:spacing w:line="276" w:lineRule="auto"/>
        <w:rPr>
          <w:rFonts w:hint="eastAsia" w:ascii="宋体" w:hAnsi="宋体" w:eastAsia="宋体" w:cs="宋体"/>
          <w:color w:val="auto"/>
          <w:highlight w:val="none"/>
        </w:rPr>
      </w:pPr>
    </w:p>
    <w:p w14:paraId="2A536516">
      <w:pPr>
        <w:pStyle w:val="5"/>
        <w:spacing w:line="277" w:lineRule="auto"/>
        <w:rPr>
          <w:rFonts w:hint="eastAsia" w:ascii="宋体" w:hAnsi="宋体" w:eastAsia="宋体" w:cs="宋体"/>
          <w:color w:val="auto"/>
          <w:highlight w:val="none"/>
        </w:rPr>
      </w:pPr>
    </w:p>
    <w:p w14:paraId="1CDFB82E">
      <w:pPr>
        <w:pStyle w:val="5"/>
        <w:spacing w:line="277" w:lineRule="auto"/>
        <w:rPr>
          <w:rFonts w:hint="eastAsia" w:ascii="宋体" w:hAnsi="宋体" w:eastAsia="宋体" w:cs="宋体"/>
          <w:color w:val="auto"/>
          <w:highlight w:val="none"/>
        </w:rPr>
      </w:pPr>
    </w:p>
    <w:p w14:paraId="6D45D633">
      <w:pPr>
        <w:spacing w:before="78" w:line="219" w:lineRule="auto"/>
        <w:ind w:left="3123"/>
        <w:jc w:val="righ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投  标  人</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4"/>
          <w:sz w:val="24"/>
          <w:szCs w:val="24"/>
          <w:highlight w:val="none"/>
        </w:rPr>
        <w:t>盖单位章）</w:t>
      </w:r>
    </w:p>
    <w:p w14:paraId="63BD962A">
      <w:pPr>
        <w:pStyle w:val="5"/>
        <w:spacing w:line="317" w:lineRule="auto"/>
        <w:jc w:val="right"/>
        <w:rPr>
          <w:rFonts w:hint="eastAsia" w:ascii="宋体" w:hAnsi="宋体" w:eastAsia="宋体" w:cs="宋体"/>
          <w:color w:val="auto"/>
          <w:highlight w:val="none"/>
        </w:rPr>
      </w:pPr>
    </w:p>
    <w:p w14:paraId="57132AE9">
      <w:pPr>
        <w:pStyle w:val="5"/>
        <w:spacing w:line="317" w:lineRule="auto"/>
        <w:jc w:val="right"/>
        <w:rPr>
          <w:rFonts w:hint="eastAsia" w:ascii="宋体" w:hAnsi="宋体" w:eastAsia="宋体" w:cs="宋体"/>
          <w:color w:val="auto"/>
          <w:highlight w:val="none"/>
        </w:rPr>
      </w:pPr>
    </w:p>
    <w:p w14:paraId="32FCF699">
      <w:pPr>
        <w:pStyle w:val="5"/>
        <w:spacing w:line="317" w:lineRule="auto"/>
        <w:jc w:val="right"/>
        <w:rPr>
          <w:rFonts w:hint="eastAsia" w:ascii="宋体" w:hAnsi="宋体" w:eastAsia="宋体" w:cs="宋体"/>
          <w:color w:val="auto"/>
          <w:highlight w:val="none"/>
        </w:rPr>
      </w:pPr>
    </w:p>
    <w:p w14:paraId="0C20E36F">
      <w:pPr>
        <w:spacing w:before="79" w:line="219" w:lineRule="auto"/>
        <w:ind w:left="3121"/>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2"/>
          <w:sz w:val="24"/>
          <w:szCs w:val="24"/>
          <w:highlight w:val="none"/>
        </w:rPr>
        <w:t>签字或盖章）</w:t>
      </w:r>
    </w:p>
    <w:p w14:paraId="2807F6C8">
      <w:pPr>
        <w:pStyle w:val="5"/>
        <w:spacing w:line="317" w:lineRule="auto"/>
        <w:jc w:val="right"/>
        <w:rPr>
          <w:rFonts w:hint="eastAsia" w:ascii="宋体" w:hAnsi="宋体" w:eastAsia="宋体" w:cs="宋体"/>
          <w:color w:val="auto"/>
          <w:highlight w:val="none"/>
        </w:rPr>
      </w:pPr>
    </w:p>
    <w:p w14:paraId="6B89A96E">
      <w:pPr>
        <w:pStyle w:val="5"/>
        <w:spacing w:line="317" w:lineRule="auto"/>
        <w:jc w:val="right"/>
        <w:rPr>
          <w:rFonts w:hint="eastAsia" w:ascii="宋体" w:hAnsi="宋体" w:eastAsia="宋体" w:cs="宋体"/>
          <w:color w:val="auto"/>
          <w:highlight w:val="none"/>
        </w:rPr>
      </w:pPr>
    </w:p>
    <w:p w14:paraId="52524FDC">
      <w:pPr>
        <w:pStyle w:val="5"/>
        <w:spacing w:line="317" w:lineRule="auto"/>
        <w:jc w:val="right"/>
        <w:rPr>
          <w:rFonts w:hint="eastAsia" w:ascii="宋体" w:hAnsi="宋体" w:eastAsia="宋体" w:cs="宋体"/>
          <w:color w:val="auto"/>
          <w:highlight w:val="none"/>
        </w:rPr>
      </w:pPr>
    </w:p>
    <w:p w14:paraId="414B89CB">
      <w:pPr>
        <w:spacing w:before="78" w:line="219" w:lineRule="auto"/>
        <w:ind w:left="288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委托代理人</w:t>
      </w:r>
      <w:r>
        <w:rPr>
          <w:rFonts w:hint="eastAsia" w:ascii="宋体" w:hAnsi="宋体" w:eastAsia="宋体" w:cs="宋体"/>
          <w:color w:val="auto"/>
          <w:spacing w:val="-16"/>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2"/>
          <w:sz w:val="24"/>
          <w:szCs w:val="24"/>
          <w:highlight w:val="none"/>
        </w:rPr>
        <w:t>签字或盖章）</w:t>
      </w:r>
    </w:p>
    <w:p w14:paraId="085218DE">
      <w:pPr>
        <w:pStyle w:val="5"/>
        <w:spacing w:line="256" w:lineRule="auto"/>
        <w:jc w:val="right"/>
        <w:rPr>
          <w:rFonts w:hint="eastAsia" w:ascii="宋体" w:hAnsi="宋体" w:eastAsia="宋体" w:cs="宋体"/>
          <w:color w:val="auto"/>
          <w:highlight w:val="none"/>
        </w:rPr>
      </w:pPr>
    </w:p>
    <w:p w14:paraId="635562C0">
      <w:pPr>
        <w:pStyle w:val="5"/>
        <w:spacing w:line="256" w:lineRule="auto"/>
        <w:jc w:val="right"/>
        <w:rPr>
          <w:rFonts w:hint="eastAsia" w:ascii="宋体" w:hAnsi="宋体" w:eastAsia="宋体" w:cs="宋体"/>
          <w:color w:val="auto"/>
          <w:highlight w:val="none"/>
        </w:rPr>
      </w:pPr>
    </w:p>
    <w:p w14:paraId="27218817">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1F294533">
      <w:pPr>
        <w:spacing w:before="78" w:line="220" w:lineRule="auto"/>
        <w:ind w:left="4201"/>
        <w:jc w:val="right"/>
        <w:rPr>
          <w:rFonts w:hint="eastAsia" w:ascii="宋体" w:hAnsi="宋体" w:eastAsia="宋体" w:cs="宋体"/>
          <w:color w:val="auto"/>
          <w:sz w:val="24"/>
          <w:szCs w:val="24"/>
          <w:highlight w:val="none"/>
        </w:rPr>
      </w:pPr>
    </w:p>
    <w:p w14:paraId="3A4AD89C">
      <w:pPr>
        <w:spacing w:before="69"/>
        <w:rPr>
          <w:rFonts w:hint="eastAsia" w:ascii="宋体" w:hAnsi="宋体" w:eastAsia="宋体" w:cs="宋体"/>
          <w:color w:val="auto"/>
          <w:highlight w:val="none"/>
        </w:rPr>
      </w:pPr>
    </w:p>
    <w:p w14:paraId="363508E1">
      <w:pPr>
        <w:spacing w:before="69"/>
        <w:rPr>
          <w:rFonts w:hint="eastAsia" w:ascii="宋体" w:hAnsi="宋体" w:eastAsia="宋体" w:cs="宋体"/>
          <w:color w:val="auto"/>
          <w:highlight w:val="none"/>
        </w:rPr>
      </w:pPr>
    </w:p>
    <w:tbl>
      <w:tblPr>
        <w:tblStyle w:val="14"/>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727B0D3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570" w:hRule="atLeast"/>
        </w:trPr>
        <w:tc>
          <w:tcPr>
            <w:tcW w:w="5600" w:type="dxa"/>
            <w:vAlign w:val="top"/>
          </w:tcPr>
          <w:p w14:paraId="49F11E44">
            <w:pPr>
              <w:pStyle w:val="22"/>
              <w:spacing w:line="245" w:lineRule="auto"/>
              <w:rPr>
                <w:rFonts w:hint="eastAsia" w:ascii="宋体" w:hAnsi="宋体" w:eastAsia="宋体" w:cs="宋体"/>
                <w:color w:val="auto"/>
                <w:highlight w:val="none"/>
              </w:rPr>
            </w:pPr>
          </w:p>
          <w:p w14:paraId="3EAC8CC5">
            <w:pPr>
              <w:pStyle w:val="22"/>
              <w:spacing w:line="245" w:lineRule="auto"/>
              <w:rPr>
                <w:rFonts w:hint="eastAsia" w:ascii="宋体" w:hAnsi="宋体" w:eastAsia="宋体" w:cs="宋体"/>
                <w:color w:val="auto"/>
                <w:highlight w:val="none"/>
              </w:rPr>
            </w:pPr>
          </w:p>
          <w:p w14:paraId="19684FD2">
            <w:pPr>
              <w:pStyle w:val="22"/>
              <w:spacing w:line="245" w:lineRule="auto"/>
              <w:rPr>
                <w:rFonts w:hint="eastAsia" w:ascii="宋体" w:hAnsi="宋体" w:eastAsia="宋体" w:cs="宋体"/>
                <w:color w:val="auto"/>
                <w:highlight w:val="none"/>
              </w:rPr>
            </w:pPr>
          </w:p>
          <w:p w14:paraId="7DA52306">
            <w:pPr>
              <w:pStyle w:val="22"/>
              <w:spacing w:line="245" w:lineRule="auto"/>
              <w:rPr>
                <w:rFonts w:hint="eastAsia" w:ascii="宋体" w:hAnsi="宋体" w:eastAsia="宋体" w:cs="宋体"/>
                <w:color w:val="auto"/>
                <w:highlight w:val="none"/>
              </w:rPr>
            </w:pPr>
          </w:p>
          <w:p w14:paraId="2B4D522A">
            <w:pPr>
              <w:pStyle w:val="22"/>
              <w:spacing w:line="245" w:lineRule="auto"/>
              <w:rPr>
                <w:rFonts w:hint="eastAsia" w:ascii="宋体" w:hAnsi="宋体" w:eastAsia="宋体" w:cs="宋体"/>
                <w:color w:val="auto"/>
                <w:highlight w:val="none"/>
              </w:rPr>
            </w:pPr>
          </w:p>
          <w:p w14:paraId="6375CF52">
            <w:pPr>
              <w:pStyle w:val="22"/>
              <w:spacing w:line="245" w:lineRule="auto"/>
              <w:rPr>
                <w:rFonts w:hint="eastAsia" w:ascii="宋体" w:hAnsi="宋体" w:eastAsia="宋体" w:cs="宋体"/>
                <w:color w:val="auto"/>
                <w:highlight w:val="none"/>
              </w:rPr>
            </w:pPr>
          </w:p>
          <w:p w14:paraId="761F0736">
            <w:pPr>
              <w:pStyle w:val="22"/>
              <w:spacing w:line="246" w:lineRule="auto"/>
              <w:rPr>
                <w:rFonts w:hint="eastAsia" w:ascii="宋体" w:hAnsi="宋体" w:eastAsia="宋体" w:cs="宋体"/>
                <w:color w:val="auto"/>
                <w:highlight w:val="none"/>
              </w:rPr>
            </w:pPr>
          </w:p>
          <w:p w14:paraId="14498540">
            <w:pPr>
              <w:spacing w:before="78" w:line="220" w:lineRule="auto"/>
              <w:ind w:left="71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委托代理人身份证</w:t>
            </w:r>
            <w:r>
              <w:rPr>
                <w:rFonts w:hint="eastAsia" w:ascii="宋体" w:hAnsi="宋体" w:eastAsia="宋体" w:cs="宋体"/>
                <w:color w:val="auto"/>
                <w:spacing w:val="-1"/>
                <w:sz w:val="24"/>
                <w:szCs w:val="24"/>
                <w:highlight w:val="none"/>
                <w:lang w:val="en-US" w:eastAsia="zh-CN"/>
              </w:rPr>
              <w:t>彩色扫描件</w:t>
            </w:r>
            <w:r>
              <w:rPr>
                <w:rFonts w:hint="eastAsia" w:ascii="宋体" w:hAnsi="宋体" w:eastAsia="宋体" w:cs="宋体"/>
                <w:color w:val="auto"/>
                <w:spacing w:val="-1"/>
                <w:sz w:val="24"/>
                <w:szCs w:val="24"/>
                <w:highlight w:val="none"/>
              </w:rPr>
              <w:t>正、反面</w:t>
            </w:r>
          </w:p>
        </w:tc>
      </w:tr>
    </w:tbl>
    <w:p w14:paraId="382D26B2">
      <w:pPr>
        <w:pStyle w:val="5"/>
        <w:rPr>
          <w:rFonts w:hint="eastAsia" w:ascii="宋体" w:hAnsi="宋体" w:eastAsia="宋体" w:cs="宋体"/>
          <w:color w:val="auto"/>
          <w:highlight w:val="none"/>
        </w:rPr>
      </w:pPr>
    </w:p>
    <w:p w14:paraId="2F0066E9">
      <w:pPr>
        <w:rPr>
          <w:rFonts w:hint="eastAsia" w:ascii="宋体" w:hAnsi="宋体" w:eastAsia="宋体" w:cs="宋体"/>
          <w:color w:val="auto"/>
          <w:highlight w:val="none"/>
        </w:rPr>
        <w:sectPr>
          <w:footerReference r:id="rId17"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DAC3638">
      <w:pPr>
        <w:spacing w:before="78" w:line="220" w:lineRule="auto"/>
        <w:outlineLvl w:val="2"/>
        <w:rPr>
          <w:rFonts w:hint="eastAsia" w:ascii="宋体" w:hAnsi="宋体" w:eastAsia="宋体" w:cs="宋体"/>
          <w:b/>
          <w:bCs/>
          <w:color w:val="auto"/>
          <w:spacing w:val="-4"/>
          <w:sz w:val="24"/>
          <w:szCs w:val="24"/>
          <w:highlight w:val="none"/>
        </w:rPr>
      </w:pPr>
      <w:bookmarkStart w:id="233" w:name="_Toc30394"/>
      <w:r>
        <w:rPr>
          <w:rFonts w:hint="eastAsia" w:ascii="宋体" w:hAnsi="宋体" w:eastAsia="宋体" w:cs="宋体"/>
          <w:b/>
          <w:bCs/>
          <w:color w:val="auto"/>
          <w:spacing w:val="-4"/>
          <w:sz w:val="24"/>
          <w:szCs w:val="24"/>
          <w:highlight w:val="none"/>
        </w:rPr>
        <w:t>格式五 法定代表人身份证明</w:t>
      </w:r>
      <w:bookmarkEnd w:id="233"/>
    </w:p>
    <w:p w14:paraId="2DA7024D">
      <w:pPr>
        <w:pStyle w:val="5"/>
        <w:spacing w:line="350" w:lineRule="auto"/>
        <w:rPr>
          <w:rFonts w:hint="eastAsia" w:ascii="宋体" w:hAnsi="宋体" w:eastAsia="宋体" w:cs="宋体"/>
          <w:color w:val="auto"/>
          <w:highlight w:val="none"/>
        </w:rPr>
      </w:pPr>
    </w:p>
    <w:p w14:paraId="0868334D">
      <w:pPr>
        <w:pStyle w:val="5"/>
        <w:spacing w:line="350" w:lineRule="auto"/>
        <w:rPr>
          <w:rFonts w:hint="eastAsia" w:ascii="宋体" w:hAnsi="宋体" w:eastAsia="宋体" w:cs="宋体"/>
          <w:color w:val="auto"/>
          <w:highlight w:val="none"/>
        </w:rPr>
      </w:pPr>
    </w:p>
    <w:p w14:paraId="5209C7D3">
      <w:pPr>
        <w:spacing w:before="98" w:line="220" w:lineRule="auto"/>
        <w:ind w:left="3183"/>
        <w:rPr>
          <w:rFonts w:hint="eastAsia" w:ascii="宋体" w:hAnsi="宋体" w:eastAsia="宋体" w:cs="宋体"/>
          <w:color w:val="auto"/>
          <w:sz w:val="30"/>
          <w:szCs w:val="30"/>
          <w:highlight w:val="none"/>
        </w:rPr>
      </w:pPr>
      <w:bookmarkStart w:id="234" w:name="bookmark152"/>
      <w:bookmarkEnd w:id="234"/>
      <w:r>
        <w:rPr>
          <w:rFonts w:hint="eastAsia" w:ascii="宋体" w:hAnsi="宋体" w:eastAsia="宋体" w:cs="宋体"/>
          <w:b/>
          <w:bCs/>
          <w:color w:val="auto"/>
          <w:spacing w:val="-4"/>
          <w:sz w:val="30"/>
          <w:szCs w:val="30"/>
          <w:highlight w:val="none"/>
        </w:rPr>
        <w:t>法定代表人身份证明</w:t>
      </w:r>
    </w:p>
    <w:p w14:paraId="136F935F">
      <w:pPr>
        <w:pStyle w:val="5"/>
        <w:spacing w:line="250" w:lineRule="auto"/>
        <w:rPr>
          <w:rFonts w:hint="eastAsia" w:ascii="宋体" w:hAnsi="宋体" w:eastAsia="宋体" w:cs="宋体"/>
          <w:color w:val="auto"/>
          <w:highlight w:val="none"/>
        </w:rPr>
      </w:pPr>
    </w:p>
    <w:p w14:paraId="2E1E9E2A">
      <w:pPr>
        <w:pStyle w:val="5"/>
        <w:spacing w:line="250" w:lineRule="auto"/>
        <w:rPr>
          <w:rFonts w:hint="eastAsia" w:ascii="宋体" w:hAnsi="宋体" w:eastAsia="宋体" w:cs="宋体"/>
          <w:color w:val="auto"/>
          <w:highlight w:val="none"/>
        </w:rPr>
      </w:pPr>
    </w:p>
    <w:p w14:paraId="6ABEAEB7">
      <w:pPr>
        <w:pStyle w:val="5"/>
        <w:spacing w:line="251" w:lineRule="auto"/>
        <w:rPr>
          <w:rFonts w:hint="eastAsia" w:ascii="宋体" w:hAnsi="宋体" w:eastAsia="宋体" w:cs="宋体"/>
          <w:color w:val="auto"/>
          <w:highlight w:val="none"/>
        </w:rPr>
      </w:pPr>
    </w:p>
    <w:p w14:paraId="766EA4CD">
      <w:pPr>
        <w:wordWrap w:val="0"/>
        <w:adjustRightInd w:val="0"/>
        <w:snapToGrid w:val="0"/>
        <w:spacing w:line="44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投标人名称：</w:t>
      </w:r>
      <w:r>
        <w:rPr>
          <w:rFonts w:hint="eastAsia" w:ascii="宋体" w:hAnsi="宋体" w:eastAsia="宋体" w:cs="宋体"/>
          <w:snapToGrid w:val="0"/>
          <w:color w:val="auto"/>
          <w:kern w:val="0"/>
          <w:sz w:val="24"/>
          <w:szCs w:val="24"/>
          <w:highlight w:val="none"/>
          <w:u w:val="single"/>
        </w:rPr>
        <w:t xml:space="preserve">                  </w:t>
      </w:r>
    </w:p>
    <w:p w14:paraId="2A539E30">
      <w:pPr>
        <w:wordWrap w:val="0"/>
        <w:adjustRightInd w:val="0"/>
        <w:snapToGrid w:val="0"/>
        <w:spacing w:line="44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姓名：</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性别：</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年龄：</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职务：</w:t>
      </w:r>
      <w:r>
        <w:rPr>
          <w:rFonts w:hint="eastAsia" w:ascii="宋体" w:hAnsi="宋体" w:eastAsia="宋体" w:cs="宋体"/>
          <w:snapToGrid w:val="0"/>
          <w:color w:val="auto"/>
          <w:kern w:val="0"/>
          <w:sz w:val="24"/>
          <w:szCs w:val="24"/>
          <w:highlight w:val="none"/>
          <w:u w:val="single"/>
        </w:rPr>
        <w:t xml:space="preserve">           </w:t>
      </w:r>
    </w:p>
    <w:p w14:paraId="431001FF">
      <w:pPr>
        <w:wordWrap w:val="0"/>
        <w:adjustRightInd w:val="0"/>
        <w:snapToGrid w:val="0"/>
        <w:spacing w:line="44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系</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（投标人名称）的法定代表人。</w:t>
      </w:r>
    </w:p>
    <w:p w14:paraId="3FB51469">
      <w:pPr>
        <w:wordWrap w:val="0"/>
        <w:adjustRightInd w:val="0"/>
        <w:snapToGrid w:val="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 w:val="24"/>
          <w:szCs w:val="24"/>
          <w:highlight w:val="none"/>
        </w:rPr>
        <w:t xml:space="preserve">    特此证明。</w:t>
      </w:r>
    </w:p>
    <w:p w14:paraId="3B4AAF0B">
      <w:pPr>
        <w:pStyle w:val="5"/>
        <w:spacing w:line="277" w:lineRule="auto"/>
        <w:rPr>
          <w:rFonts w:hint="eastAsia" w:ascii="宋体" w:hAnsi="宋体" w:eastAsia="宋体" w:cs="宋体"/>
          <w:color w:val="auto"/>
          <w:highlight w:val="none"/>
        </w:rPr>
      </w:pPr>
    </w:p>
    <w:p w14:paraId="6D7B4DE3">
      <w:pPr>
        <w:pStyle w:val="5"/>
        <w:spacing w:line="277" w:lineRule="auto"/>
        <w:rPr>
          <w:rFonts w:hint="eastAsia" w:ascii="宋体" w:hAnsi="宋体" w:eastAsia="宋体" w:cs="宋体"/>
          <w:color w:val="auto"/>
          <w:highlight w:val="none"/>
        </w:rPr>
      </w:pPr>
    </w:p>
    <w:p w14:paraId="2D9D6E99">
      <w:pPr>
        <w:pStyle w:val="5"/>
        <w:spacing w:line="278" w:lineRule="auto"/>
        <w:rPr>
          <w:rFonts w:hint="eastAsia" w:ascii="宋体" w:hAnsi="宋体" w:eastAsia="宋体" w:cs="宋体"/>
          <w:color w:val="auto"/>
          <w:highlight w:val="none"/>
        </w:rPr>
      </w:pPr>
    </w:p>
    <w:p w14:paraId="125D92B0">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盖单位章）</w:t>
      </w:r>
    </w:p>
    <w:p w14:paraId="027B6A92">
      <w:pPr>
        <w:pStyle w:val="5"/>
        <w:spacing w:line="317" w:lineRule="auto"/>
        <w:jc w:val="right"/>
        <w:rPr>
          <w:rFonts w:hint="eastAsia" w:ascii="宋体" w:hAnsi="宋体" w:eastAsia="宋体" w:cs="宋体"/>
          <w:color w:val="auto"/>
          <w:highlight w:val="none"/>
        </w:rPr>
      </w:pPr>
    </w:p>
    <w:p w14:paraId="6F4B4B3A">
      <w:pPr>
        <w:pStyle w:val="5"/>
        <w:spacing w:line="317" w:lineRule="auto"/>
        <w:jc w:val="right"/>
        <w:rPr>
          <w:rFonts w:hint="eastAsia" w:ascii="宋体" w:hAnsi="宋体" w:eastAsia="宋体" w:cs="宋体"/>
          <w:color w:val="auto"/>
          <w:highlight w:val="none"/>
        </w:rPr>
      </w:pPr>
    </w:p>
    <w:p w14:paraId="1110A429">
      <w:pPr>
        <w:pStyle w:val="5"/>
        <w:spacing w:line="317" w:lineRule="auto"/>
        <w:jc w:val="right"/>
        <w:rPr>
          <w:rFonts w:hint="eastAsia" w:ascii="宋体" w:hAnsi="宋体" w:eastAsia="宋体" w:cs="宋体"/>
          <w:color w:val="auto"/>
          <w:highlight w:val="none"/>
        </w:rPr>
      </w:pPr>
    </w:p>
    <w:p w14:paraId="0997B4DF">
      <w:pPr>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72F193EB">
      <w:pPr>
        <w:pStyle w:val="5"/>
        <w:spacing w:line="257" w:lineRule="auto"/>
        <w:jc w:val="right"/>
        <w:rPr>
          <w:rFonts w:hint="eastAsia" w:ascii="宋体" w:hAnsi="宋体" w:eastAsia="宋体" w:cs="宋体"/>
          <w:color w:val="auto"/>
          <w:highlight w:val="none"/>
        </w:rPr>
      </w:pPr>
    </w:p>
    <w:p w14:paraId="407142E8">
      <w:pPr>
        <w:pStyle w:val="5"/>
        <w:spacing w:line="257" w:lineRule="auto"/>
        <w:jc w:val="right"/>
        <w:rPr>
          <w:rFonts w:hint="eastAsia" w:ascii="宋体" w:hAnsi="宋体" w:eastAsia="宋体" w:cs="宋体"/>
          <w:color w:val="auto"/>
          <w:highlight w:val="none"/>
        </w:rPr>
      </w:pPr>
    </w:p>
    <w:p w14:paraId="0A27F30D">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BF375B2">
      <w:pPr>
        <w:pStyle w:val="5"/>
        <w:spacing w:line="254" w:lineRule="auto"/>
        <w:rPr>
          <w:rFonts w:hint="eastAsia" w:ascii="宋体" w:hAnsi="宋体" w:eastAsia="宋体" w:cs="宋体"/>
          <w:color w:val="auto"/>
          <w:highlight w:val="none"/>
        </w:rPr>
      </w:pPr>
    </w:p>
    <w:p w14:paraId="03AC5067">
      <w:pPr>
        <w:pStyle w:val="5"/>
        <w:spacing w:line="254" w:lineRule="auto"/>
        <w:rPr>
          <w:rFonts w:hint="eastAsia" w:ascii="宋体" w:hAnsi="宋体" w:eastAsia="宋体" w:cs="宋体"/>
          <w:color w:val="auto"/>
          <w:highlight w:val="none"/>
        </w:rPr>
      </w:pPr>
    </w:p>
    <w:p w14:paraId="36A90F84">
      <w:pPr>
        <w:pStyle w:val="5"/>
        <w:spacing w:line="254" w:lineRule="auto"/>
        <w:rPr>
          <w:rFonts w:hint="eastAsia" w:ascii="宋体" w:hAnsi="宋体" w:eastAsia="宋体" w:cs="宋体"/>
          <w:color w:val="auto"/>
          <w:highlight w:val="none"/>
        </w:rPr>
      </w:pPr>
    </w:p>
    <w:p w14:paraId="259164D9">
      <w:pPr>
        <w:pStyle w:val="5"/>
        <w:spacing w:line="254" w:lineRule="auto"/>
        <w:rPr>
          <w:rFonts w:hint="eastAsia" w:ascii="宋体" w:hAnsi="宋体" w:eastAsia="宋体" w:cs="宋体"/>
          <w:color w:val="auto"/>
          <w:highlight w:val="none"/>
        </w:rPr>
      </w:pPr>
    </w:p>
    <w:p w14:paraId="0C625CC7">
      <w:pPr>
        <w:pStyle w:val="5"/>
        <w:spacing w:line="255" w:lineRule="auto"/>
        <w:rPr>
          <w:rFonts w:hint="eastAsia" w:ascii="宋体" w:hAnsi="宋体" w:eastAsia="宋体" w:cs="宋体"/>
          <w:color w:val="auto"/>
          <w:highlight w:val="none"/>
        </w:rPr>
      </w:pPr>
    </w:p>
    <w:p w14:paraId="1979E48F">
      <w:pPr>
        <w:pStyle w:val="5"/>
        <w:spacing w:line="255" w:lineRule="auto"/>
        <w:rPr>
          <w:rFonts w:hint="eastAsia" w:ascii="宋体" w:hAnsi="宋体" w:eastAsia="宋体" w:cs="宋体"/>
          <w:color w:val="auto"/>
          <w:highlight w:val="none"/>
        </w:rPr>
      </w:pPr>
    </w:p>
    <w:p w14:paraId="6E23282B">
      <w:pPr>
        <w:pStyle w:val="5"/>
        <w:spacing w:before="1" w:line="2510" w:lineRule="exact"/>
        <w:ind w:firstLine="2534"/>
        <w:rPr>
          <w:rFonts w:hint="eastAsia" w:ascii="宋体" w:hAnsi="宋体" w:eastAsia="宋体" w:cs="宋体"/>
          <w:color w:val="auto"/>
          <w:highlight w:val="none"/>
        </w:rPr>
      </w:pPr>
      <w:r>
        <w:rPr>
          <w:rFonts w:hint="eastAsia" w:ascii="宋体" w:hAnsi="宋体" w:eastAsia="宋体" w:cs="宋体"/>
          <w:color w:val="auto"/>
          <w:position w:val="-50"/>
          <w:highlight w:val="none"/>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54"/>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59307053">
                              <w:pPr>
                                <w:spacing w:line="249" w:lineRule="auto"/>
                              </w:pPr>
                            </w:p>
                            <w:p w14:paraId="33DBE834">
                              <w:pPr>
                                <w:spacing w:line="249" w:lineRule="auto"/>
                              </w:pPr>
                            </w:p>
                            <w:p w14:paraId="5772CF5B">
                              <w:pPr>
                                <w:spacing w:line="249" w:lineRule="auto"/>
                              </w:pPr>
                            </w:p>
                            <w:p w14:paraId="5E8A9750">
                              <w:pPr>
                                <w:spacing w:line="249" w:lineRule="auto"/>
                              </w:pPr>
                            </w:p>
                            <w:p w14:paraId="029B95F9">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4"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9307053">
                        <w:pPr>
                          <w:spacing w:line="249" w:lineRule="auto"/>
                        </w:pPr>
                      </w:p>
                      <w:p w14:paraId="33DBE834">
                        <w:pPr>
                          <w:spacing w:line="249" w:lineRule="auto"/>
                        </w:pPr>
                      </w:p>
                      <w:p w14:paraId="5772CF5B">
                        <w:pPr>
                          <w:spacing w:line="249" w:lineRule="auto"/>
                        </w:pPr>
                      </w:p>
                      <w:p w14:paraId="5E8A9750">
                        <w:pPr>
                          <w:spacing w:line="249" w:lineRule="auto"/>
                        </w:pPr>
                      </w:p>
                      <w:p w14:paraId="029B95F9">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v:textbox>
                </v:shape>
                <w10:wrap type="none"/>
                <w10:anchorlock/>
              </v:group>
            </w:pict>
          </mc:Fallback>
        </mc:AlternateContent>
      </w:r>
    </w:p>
    <w:p w14:paraId="31936323">
      <w:pPr>
        <w:spacing w:line="2510" w:lineRule="exact"/>
        <w:rPr>
          <w:rFonts w:hint="eastAsia" w:ascii="宋体" w:hAnsi="宋体" w:eastAsia="宋体" w:cs="宋体"/>
          <w:color w:val="auto"/>
          <w:highlight w:val="none"/>
        </w:rPr>
        <w:sectPr>
          <w:footerReference r:id="rId18"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72FF65F">
      <w:pPr>
        <w:spacing w:before="78" w:line="220" w:lineRule="auto"/>
        <w:outlineLvl w:val="2"/>
        <w:rPr>
          <w:rFonts w:hint="eastAsia" w:ascii="宋体" w:hAnsi="宋体" w:eastAsia="宋体" w:cs="宋体"/>
          <w:b/>
          <w:bCs/>
          <w:color w:val="auto"/>
          <w:spacing w:val="-4"/>
          <w:sz w:val="24"/>
          <w:szCs w:val="24"/>
          <w:highlight w:val="none"/>
        </w:rPr>
      </w:pPr>
      <w:bookmarkStart w:id="235" w:name="_Toc5771"/>
      <w:r>
        <w:rPr>
          <w:rFonts w:hint="eastAsia" w:ascii="宋体" w:hAnsi="宋体" w:eastAsia="宋体" w:cs="宋体"/>
          <w:b/>
          <w:bCs/>
          <w:color w:val="auto"/>
          <w:spacing w:val="-4"/>
          <w:sz w:val="24"/>
          <w:szCs w:val="24"/>
          <w:highlight w:val="none"/>
        </w:rPr>
        <w:t>格式六 联合体协议书</w:t>
      </w:r>
      <w:bookmarkEnd w:id="235"/>
    </w:p>
    <w:p w14:paraId="48BC7635">
      <w:pPr>
        <w:spacing w:before="98" w:line="219" w:lineRule="auto"/>
        <w:ind w:left="3638"/>
        <w:rPr>
          <w:rFonts w:hint="eastAsia" w:ascii="宋体" w:hAnsi="宋体" w:eastAsia="宋体" w:cs="宋体"/>
          <w:color w:val="auto"/>
          <w:sz w:val="30"/>
          <w:szCs w:val="30"/>
          <w:highlight w:val="none"/>
        </w:rPr>
      </w:pPr>
      <w:bookmarkStart w:id="236" w:name="bookmark153"/>
      <w:bookmarkEnd w:id="236"/>
      <w:r>
        <w:rPr>
          <w:rFonts w:hint="eastAsia" w:ascii="宋体" w:hAnsi="宋体" w:eastAsia="宋体" w:cs="宋体"/>
          <w:b/>
          <w:bCs/>
          <w:color w:val="auto"/>
          <w:spacing w:val="-5"/>
          <w:sz w:val="30"/>
          <w:szCs w:val="30"/>
          <w:highlight w:val="none"/>
        </w:rPr>
        <w:t>联合体协议书</w:t>
      </w:r>
    </w:p>
    <w:p w14:paraId="2AC3F97F">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0C796E14">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4"/>
          <w:sz w:val="24"/>
          <w:szCs w:val="24"/>
          <w:highlight w:val="none"/>
        </w:rPr>
      </w:pPr>
      <w:r>
        <w:rPr>
          <w:rFonts w:hint="eastAsia" w:ascii="宋体" w:hAnsi="宋体" w:eastAsia="宋体" w:cs="宋体"/>
          <w:color w:val="auto"/>
          <w:spacing w:val="-12"/>
          <w:sz w:val="24"/>
          <w:szCs w:val="24"/>
          <w:highlight w:val="none"/>
        </w:rPr>
        <w:t>牵头人名称：</w:t>
      </w:r>
      <w:r>
        <w:rPr>
          <w:rFonts w:hint="eastAsia" w:ascii="宋体" w:hAnsi="宋体" w:eastAsia="宋体" w:cs="宋体"/>
          <w:color w:val="auto"/>
          <w:spacing w:val="4"/>
          <w:sz w:val="24"/>
          <w:szCs w:val="24"/>
          <w:highlight w:val="none"/>
        </w:rPr>
        <w:t xml:space="preserve"> </w:t>
      </w:r>
    </w:p>
    <w:p w14:paraId="78BE601B">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04808BC7">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法定住所：</w:t>
      </w:r>
    </w:p>
    <w:p w14:paraId="2D6BB855">
      <w:pPr>
        <w:outlineLvl w:val="9"/>
        <w:rPr>
          <w:rFonts w:hint="eastAsia"/>
          <w:color w:val="auto"/>
          <w:highlight w:val="none"/>
        </w:rPr>
      </w:pPr>
    </w:p>
    <w:p w14:paraId="1E8287CD">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成员二名称：</w:t>
      </w:r>
      <w:r>
        <w:rPr>
          <w:rFonts w:hint="eastAsia" w:ascii="宋体" w:hAnsi="宋体" w:eastAsia="宋体" w:cs="宋体"/>
          <w:color w:val="auto"/>
          <w:sz w:val="24"/>
          <w:szCs w:val="24"/>
          <w:highlight w:val="none"/>
        </w:rPr>
        <w:t xml:space="preserve"> </w:t>
      </w:r>
    </w:p>
    <w:p w14:paraId="7C1025DC">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391F3F76">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法定住所：</w:t>
      </w:r>
    </w:p>
    <w:p w14:paraId="1A5AB485">
      <w:pPr>
        <w:keepNext w:val="0"/>
        <w:keepLines w:val="0"/>
        <w:pageBreakBefore w:val="0"/>
        <w:widowControl/>
        <w:kinsoku w:val="0"/>
        <w:wordWrap/>
        <w:overflowPunct/>
        <w:topLinePunct w:val="0"/>
        <w:autoSpaceDE w:val="0"/>
        <w:autoSpaceDN w:val="0"/>
        <w:bidi w:val="0"/>
        <w:adjustRightInd w:val="0"/>
        <w:snapToGrid w:val="0"/>
        <w:spacing w:before="32" w:line="264" w:lineRule="auto"/>
        <w:ind w:left="43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3"/>
          <w:position w:val="3"/>
          <w:sz w:val="24"/>
          <w:szCs w:val="24"/>
          <w:highlight w:val="none"/>
        </w:rPr>
        <w:t>……</w:t>
      </w:r>
    </w:p>
    <w:p w14:paraId="6DDA5343">
      <w:pPr>
        <w:keepNext w:val="0"/>
        <w:keepLines w:val="0"/>
        <w:pageBreakBefore w:val="0"/>
        <w:widowControl/>
        <w:kinsoku w:val="0"/>
        <w:wordWrap/>
        <w:overflowPunct/>
        <w:topLinePunct w:val="0"/>
        <w:autoSpaceDE w:val="0"/>
        <w:autoSpaceDN w:val="0"/>
        <w:bidi w:val="0"/>
        <w:adjustRightInd w:val="0"/>
        <w:snapToGrid w:val="0"/>
        <w:spacing w:before="61" w:line="264" w:lineRule="auto"/>
        <w:ind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上述各成员单位经过友好协商，自愿组成联合体，</w:t>
      </w:r>
      <w:r>
        <w:rPr>
          <w:rFonts w:hint="eastAsia" w:ascii="宋体" w:hAnsi="宋体" w:eastAsia="宋体" w:cs="宋体"/>
          <w:color w:val="auto"/>
          <w:sz w:val="24"/>
          <w:szCs w:val="24"/>
          <w:highlight w:val="none"/>
        </w:rPr>
        <w:t>共同参加（项目名称</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以下简</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称“本项目</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”）的施工投标并争取赢得本项目施工承包</w:t>
      </w:r>
      <w:r>
        <w:rPr>
          <w:rFonts w:hint="eastAsia" w:ascii="宋体" w:hAnsi="宋体" w:eastAsia="宋体" w:cs="宋体"/>
          <w:color w:val="auto"/>
          <w:spacing w:val="-3"/>
          <w:sz w:val="24"/>
          <w:szCs w:val="24"/>
          <w:highlight w:val="none"/>
        </w:rPr>
        <w:t>合同（以下简称合同）。现就联</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合体投标事宜订立如下协议：</w:t>
      </w:r>
    </w:p>
    <w:p w14:paraId="35E1AD38">
      <w:pPr>
        <w:keepNext w:val="0"/>
        <w:keepLines w:val="0"/>
        <w:pageBreakBefore w:val="0"/>
        <w:widowControl/>
        <w:kinsoku w:val="0"/>
        <w:wordWrap/>
        <w:overflowPunct/>
        <w:topLinePunct w:val="0"/>
        <w:autoSpaceDE w:val="0"/>
        <w:autoSpaceDN w:val="0"/>
        <w:bidi w:val="0"/>
        <w:adjustRightInd w:val="0"/>
        <w:snapToGrid w:val="0"/>
        <w:spacing w:before="33" w:line="264"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rPr>
        <w:t>某成员单位名称）为联合体牵头人。</w:t>
      </w:r>
    </w:p>
    <w:p w14:paraId="06B53A35">
      <w:pPr>
        <w:keepNext w:val="0"/>
        <w:keepLines w:val="0"/>
        <w:pageBreakBefore w:val="0"/>
        <w:widowControl/>
        <w:kinsoku w:val="0"/>
        <w:wordWrap/>
        <w:overflowPunct/>
        <w:topLinePunct w:val="0"/>
        <w:autoSpaceDE w:val="0"/>
        <w:autoSpaceDN w:val="0"/>
        <w:bidi w:val="0"/>
        <w:adjustRightInd w:val="0"/>
        <w:snapToGrid w:val="0"/>
        <w:spacing w:before="156" w:line="264" w:lineRule="auto"/>
        <w:ind w:left="1"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1"/>
          <w:sz w:val="24"/>
          <w:szCs w:val="24"/>
          <w:highlight w:val="none"/>
        </w:rPr>
        <w:t>．在本项目投标阶段，联合体牵头人合法代表联合体各成员负责本项目投标</w:t>
      </w:r>
      <w:r>
        <w:rPr>
          <w:rFonts w:hint="eastAsia" w:ascii="宋体" w:hAnsi="宋体" w:eastAsia="宋体" w:cs="宋体"/>
          <w:color w:val="auto"/>
          <w:spacing w:val="-2"/>
          <w:sz w:val="24"/>
          <w:szCs w:val="24"/>
          <w:highlight w:val="none"/>
        </w:rPr>
        <w:t>文件编制活动，代表联合体提交和接收相关的资料、信息及指示，并处理与投标和中标有关</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的一切事务；联合体中标后，联合体牵头人负责合同订立和合同实施阶段的主办、组织</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和协调工作。</w:t>
      </w:r>
    </w:p>
    <w:p w14:paraId="4950AC5C">
      <w:pPr>
        <w:keepNext w:val="0"/>
        <w:keepLines w:val="0"/>
        <w:pageBreakBefore w:val="0"/>
        <w:widowControl/>
        <w:kinsoku w:val="0"/>
        <w:wordWrap/>
        <w:overflowPunct/>
        <w:topLinePunct w:val="0"/>
        <w:autoSpaceDE w:val="0"/>
        <w:autoSpaceDN w:val="0"/>
        <w:bidi w:val="0"/>
        <w:adjustRightInd w:val="0"/>
        <w:snapToGrid w:val="0"/>
        <w:spacing w:before="153" w:line="264" w:lineRule="auto"/>
        <w:ind w:left="2"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．联合体将严格按照招标文件的各项要求，递交投标文件，履行</w:t>
      </w:r>
      <w:r>
        <w:rPr>
          <w:rFonts w:hint="eastAsia" w:ascii="宋体" w:hAnsi="宋体" w:eastAsia="宋体" w:cs="宋体"/>
          <w:color w:val="auto"/>
          <w:spacing w:val="-2"/>
          <w:sz w:val="24"/>
          <w:szCs w:val="24"/>
          <w:highlight w:val="none"/>
        </w:rPr>
        <w:t>投标义务和中标后的合同，共同承担合同规定的一切义务和责任，联合体各成员单位按照内部职责的部</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1"/>
          <w:sz w:val="24"/>
          <w:szCs w:val="24"/>
          <w:highlight w:val="none"/>
        </w:rPr>
        <w:t>分，承担各自所负的责任和风险，并向招标人承担连带责任。</w:t>
      </w:r>
    </w:p>
    <w:p w14:paraId="64C4A26A">
      <w:pPr>
        <w:keepNext w:val="0"/>
        <w:keepLines w:val="0"/>
        <w:pageBreakBefore w:val="0"/>
        <w:widowControl/>
        <w:kinsoku w:val="0"/>
        <w:wordWrap/>
        <w:overflowPunct/>
        <w:topLinePunct w:val="0"/>
        <w:autoSpaceDE w:val="0"/>
        <w:autoSpaceDN w:val="0"/>
        <w:bidi w:val="0"/>
        <w:adjustRightInd w:val="0"/>
        <w:snapToGrid w:val="0"/>
        <w:spacing w:before="154" w:line="264" w:lineRule="auto"/>
        <w:ind w:left="475"/>
        <w:textAlignment w:val="baseline"/>
        <w:outlineLvl w:val="9"/>
        <w:rPr>
          <w:rFonts w:hint="eastAsia" w:ascii="宋体" w:hAnsi="宋体" w:eastAsia="宋体" w:cs="宋体"/>
          <w:color w:val="auto"/>
          <w:sz w:val="24"/>
          <w:szCs w:val="24"/>
          <w:highlight w:val="none"/>
        </w:rPr>
      </w:pPr>
      <w:bookmarkStart w:id="237" w:name="_Toc32149"/>
      <w:bookmarkStart w:id="238" w:name="_Toc5365"/>
      <w:r>
        <w:rPr>
          <w:rFonts w:hint="eastAsia" w:ascii="宋体" w:hAnsi="宋体" w:eastAsia="宋体" w:cs="宋体"/>
          <w:color w:val="auto"/>
          <w:spacing w:val="-2"/>
          <w:sz w:val="24"/>
          <w:szCs w:val="24"/>
          <w:highlight w:val="none"/>
        </w:rPr>
        <w:t>4</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2"/>
          <w:sz w:val="24"/>
          <w:szCs w:val="24"/>
          <w:highlight w:val="none"/>
        </w:rPr>
        <w:t>．联合体各成员单位内部的职责分工如下：。</w:t>
      </w:r>
      <w:bookmarkEnd w:id="237"/>
      <w:bookmarkEnd w:id="238"/>
    </w:p>
    <w:p w14:paraId="1D71CD83">
      <w:pPr>
        <w:keepNext w:val="0"/>
        <w:keepLines w:val="0"/>
        <w:pageBreakBefore w:val="0"/>
        <w:widowControl/>
        <w:kinsoku w:val="0"/>
        <w:wordWrap/>
        <w:overflowPunct/>
        <w:topLinePunct w:val="0"/>
        <w:autoSpaceDE w:val="0"/>
        <w:autoSpaceDN w:val="0"/>
        <w:bidi w:val="0"/>
        <w:adjustRightInd w:val="0"/>
        <w:snapToGrid w:val="0"/>
        <w:spacing w:before="152" w:line="264" w:lineRule="auto"/>
        <w:ind w:right="71" w:firstLine="4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．投标工作和联合体在中标后工程实施过程中的有关费用按</w:t>
      </w:r>
      <w:r>
        <w:rPr>
          <w:rFonts w:hint="eastAsia" w:ascii="宋体" w:hAnsi="宋体" w:eastAsia="宋体" w:cs="宋体"/>
          <w:color w:val="auto"/>
          <w:spacing w:val="-2"/>
          <w:sz w:val="24"/>
          <w:szCs w:val="24"/>
          <w:highlight w:val="none"/>
        </w:rPr>
        <w:t>各自承担的工作量分</w:t>
      </w:r>
      <w:r>
        <w:rPr>
          <w:rFonts w:hint="eastAsia" w:ascii="宋体" w:hAnsi="宋体" w:eastAsia="宋体" w:cs="宋体"/>
          <w:color w:val="auto"/>
          <w:spacing w:val="-5"/>
          <w:sz w:val="24"/>
          <w:szCs w:val="24"/>
          <w:highlight w:val="none"/>
        </w:rPr>
        <w:t>摊。</w:t>
      </w:r>
    </w:p>
    <w:p w14:paraId="03389633">
      <w:pPr>
        <w:keepNext w:val="0"/>
        <w:keepLines w:val="0"/>
        <w:pageBreakBefore w:val="0"/>
        <w:widowControl/>
        <w:kinsoku w:val="0"/>
        <w:wordWrap/>
        <w:overflowPunct/>
        <w:topLinePunct w:val="0"/>
        <w:autoSpaceDE w:val="0"/>
        <w:autoSpaceDN w:val="0"/>
        <w:bidi w:val="0"/>
        <w:adjustRightInd w:val="0"/>
        <w:snapToGrid w:val="0"/>
        <w:spacing w:before="153" w:line="264" w:lineRule="auto"/>
        <w:ind w:left="4" w:right="71"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．联合体中标后，本联合体协议是合同的附件，对联合体各成</w:t>
      </w:r>
      <w:r>
        <w:rPr>
          <w:rFonts w:hint="eastAsia" w:ascii="宋体" w:hAnsi="宋体" w:eastAsia="宋体" w:cs="宋体"/>
          <w:color w:val="auto"/>
          <w:spacing w:val="-2"/>
          <w:sz w:val="24"/>
          <w:szCs w:val="24"/>
          <w:highlight w:val="none"/>
        </w:rPr>
        <w:t>员单位有合同约束</w:t>
      </w:r>
      <w:r>
        <w:rPr>
          <w:rFonts w:hint="eastAsia" w:ascii="宋体" w:hAnsi="宋体" w:eastAsia="宋体" w:cs="宋体"/>
          <w:color w:val="auto"/>
          <w:spacing w:val="-7"/>
          <w:sz w:val="24"/>
          <w:szCs w:val="24"/>
          <w:highlight w:val="none"/>
        </w:rPr>
        <w:t>力。</w:t>
      </w:r>
    </w:p>
    <w:p w14:paraId="3D9DFEE6">
      <w:pPr>
        <w:keepNext w:val="0"/>
        <w:keepLines w:val="0"/>
        <w:pageBreakBefore w:val="0"/>
        <w:widowControl/>
        <w:kinsoku w:val="0"/>
        <w:wordWrap/>
        <w:overflowPunct/>
        <w:topLinePunct w:val="0"/>
        <w:autoSpaceDE w:val="0"/>
        <w:autoSpaceDN w:val="0"/>
        <w:bidi w:val="0"/>
        <w:adjustRightInd w:val="0"/>
        <w:snapToGrid w:val="0"/>
        <w:spacing w:before="157" w:line="264" w:lineRule="auto"/>
        <w:ind w:left="6" w:right="71" w:firstLine="47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．本协议书自签署之日起生效，联合体未中标或者中标时合同履行</w:t>
      </w:r>
      <w:r>
        <w:rPr>
          <w:rFonts w:hint="eastAsia" w:ascii="宋体" w:hAnsi="宋体" w:eastAsia="宋体" w:cs="宋体"/>
          <w:color w:val="auto"/>
          <w:spacing w:val="-2"/>
          <w:sz w:val="24"/>
          <w:szCs w:val="24"/>
          <w:highlight w:val="none"/>
        </w:rPr>
        <w:t>完毕后自动失</w:t>
      </w:r>
      <w:r>
        <w:rPr>
          <w:rFonts w:hint="eastAsia" w:ascii="宋体" w:hAnsi="宋体" w:eastAsia="宋体" w:cs="宋体"/>
          <w:color w:val="auto"/>
          <w:spacing w:val="-8"/>
          <w:sz w:val="24"/>
          <w:szCs w:val="24"/>
          <w:highlight w:val="none"/>
        </w:rPr>
        <w:t>效。</w:t>
      </w:r>
    </w:p>
    <w:p w14:paraId="1DB0ADDC">
      <w:pPr>
        <w:keepNext w:val="0"/>
        <w:keepLines w:val="0"/>
        <w:pageBreakBefore w:val="0"/>
        <w:widowControl/>
        <w:kinsoku w:val="0"/>
        <w:wordWrap/>
        <w:overflowPunct/>
        <w:topLinePunct w:val="0"/>
        <w:autoSpaceDE w:val="0"/>
        <w:autoSpaceDN w:val="0"/>
        <w:bidi w:val="0"/>
        <w:adjustRightInd w:val="0"/>
        <w:snapToGrid w:val="0"/>
        <w:spacing w:before="152" w:line="264" w:lineRule="auto"/>
        <w:ind w:left="486"/>
        <w:textAlignment w:val="baseline"/>
        <w:outlineLvl w:val="9"/>
        <w:rPr>
          <w:rFonts w:hint="eastAsia" w:ascii="宋体" w:hAnsi="宋体" w:eastAsia="宋体" w:cs="宋体"/>
          <w:color w:val="auto"/>
          <w:sz w:val="24"/>
          <w:szCs w:val="24"/>
          <w:highlight w:val="none"/>
        </w:rPr>
      </w:pPr>
      <w:bookmarkStart w:id="239" w:name="_Toc26708"/>
      <w:bookmarkStart w:id="240" w:name="_Toc22612"/>
      <w:r>
        <w:rPr>
          <w:rFonts w:hint="eastAsia" w:ascii="宋体" w:hAnsi="宋体" w:eastAsia="宋体" w:cs="宋体"/>
          <w:color w:val="auto"/>
          <w:spacing w:val="-2"/>
          <w:sz w:val="24"/>
          <w:szCs w:val="24"/>
          <w:highlight w:val="none"/>
        </w:rPr>
        <w:t>8</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．本协议书一式份，联合体成员和招标人各执一份。</w:t>
      </w:r>
      <w:bookmarkEnd w:id="239"/>
      <w:bookmarkEnd w:id="240"/>
    </w:p>
    <w:p w14:paraId="599B051B">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bookmarkStart w:id="241" w:name="bookmark154"/>
      <w:bookmarkEnd w:id="241"/>
      <w:r>
        <w:rPr>
          <w:rFonts w:hint="eastAsia" w:ascii="宋体" w:hAnsi="宋体" w:eastAsia="宋体" w:cs="宋体"/>
          <w:color w:val="auto"/>
          <w:sz w:val="24"/>
          <w:szCs w:val="24"/>
          <w:highlight w:val="none"/>
        </w:rPr>
        <w:t>牵头人名称</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rPr>
        <w:t>盖单位章）</w:t>
      </w:r>
    </w:p>
    <w:p w14:paraId="109CFDDE">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03AF1506">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1F0DAD02">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成员二名称</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盖单位章）</w:t>
      </w:r>
    </w:p>
    <w:p w14:paraId="05AA9D56">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28E891F2">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6B70E035">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601F5F4F">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1EC8E023">
      <w:pPr>
        <w:keepNext w:val="0"/>
        <w:keepLines w:val="0"/>
        <w:pageBreakBefore w:val="0"/>
        <w:widowControl/>
        <w:kinsoku w:val="0"/>
        <w:wordWrap/>
        <w:overflowPunct/>
        <w:topLinePunct w:val="0"/>
        <w:autoSpaceDE w:val="0"/>
        <w:autoSpaceDN w:val="0"/>
        <w:bidi w:val="0"/>
        <w:adjustRightInd w:val="0"/>
        <w:snapToGrid w:val="0"/>
        <w:spacing w:before="65" w:line="264" w:lineRule="auto"/>
        <w:ind w:right="22"/>
        <w:jc w:val="both"/>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说明：《联合体协议书》</w:t>
      </w:r>
      <w:r>
        <w:rPr>
          <w:rFonts w:hint="eastAsia" w:ascii="宋体" w:hAnsi="宋体" w:eastAsia="宋体" w:cs="宋体"/>
          <w:color w:val="auto"/>
          <w:spacing w:val="-55"/>
          <w:sz w:val="20"/>
          <w:szCs w:val="20"/>
          <w:highlight w:val="none"/>
        </w:rPr>
        <w:t xml:space="preserve"> </w:t>
      </w:r>
      <w:r>
        <w:rPr>
          <w:rFonts w:hint="eastAsia" w:ascii="宋体" w:hAnsi="宋体" w:eastAsia="宋体" w:cs="宋体"/>
          <w:color w:val="auto"/>
          <w:spacing w:val="9"/>
          <w:sz w:val="20"/>
          <w:szCs w:val="20"/>
          <w:highlight w:val="none"/>
        </w:rPr>
        <w:t>由委托代理人签字或盖章的，</w:t>
      </w:r>
      <w:r>
        <w:rPr>
          <w:rFonts w:hint="eastAsia" w:ascii="宋体" w:hAnsi="宋体" w:eastAsia="宋体" w:cs="宋体"/>
          <w:color w:val="auto"/>
          <w:spacing w:val="8"/>
          <w:sz w:val="20"/>
          <w:szCs w:val="20"/>
          <w:highlight w:val="none"/>
        </w:rPr>
        <w:t>应附法定代表人签字或盖章的授权委托</w:t>
      </w:r>
      <w:r>
        <w:rPr>
          <w:rFonts w:hint="eastAsia" w:ascii="宋体" w:hAnsi="宋体" w:eastAsia="宋体" w:cs="宋体"/>
          <w:color w:val="auto"/>
          <w:spacing w:val="-2"/>
          <w:sz w:val="20"/>
          <w:szCs w:val="20"/>
          <w:highlight w:val="none"/>
        </w:rPr>
        <w:t>书。</w:t>
      </w:r>
    </w:p>
    <w:p w14:paraId="14CA2F70">
      <w:pPr>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z w:val="20"/>
          <w:szCs w:val="20"/>
          <w:highlight w:val="none"/>
        </w:rPr>
        <w:sectPr>
          <w:footerReference r:id="rId19"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5F3704FE">
      <w:pPr>
        <w:spacing w:before="78" w:line="220" w:lineRule="auto"/>
        <w:outlineLvl w:val="2"/>
        <w:rPr>
          <w:rFonts w:hint="eastAsia" w:ascii="宋体" w:hAnsi="宋体" w:eastAsia="宋体" w:cs="宋体"/>
          <w:b/>
          <w:bCs/>
          <w:color w:val="auto"/>
          <w:spacing w:val="-4"/>
          <w:sz w:val="24"/>
          <w:szCs w:val="24"/>
          <w:highlight w:val="none"/>
        </w:rPr>
      </w:pPr>
      <w:bookmarkStart w:id="242" w:name="_Toc17838"/>
      <w:r>
        <w:rPr>
          <w:rFonts w:hint="eastAsia" w:ascii="宋体" w:hAnsi="宋体" w:eastAsia="宋体" w:cs="宋体"/>
          <w:b/>
          <w:bCs/>
          <w:color w:val="auto"/>
          <w:spacing w:val="-4"/>
          <w:sz w:val="24"/>
          <w:szCs w:val="24"/>
          <w:highlight w:val="none"/>
        </w:rPr>
        <w:t>格式七 投标人基本情况表</w:t>
      </w:r>
      <w:bookmarkEnd w:id="242"/>
    </w:p>
    <w:p w14:paraId="365D949B">
      <w:pPr>
        <w:spacing w:before="333" w:line="219" w:lineRule="auto"/>
        <w:ind w:left="3350"/>
        <w:rPr>
          <w:rFonts w:hint="eastAsia" w:ascii="宋体" w:hAnsi="宋体" w:eastAsia="宋体" w:cs="宋体"/>
          <w:color w:val="auto"/>
          <w:sz w:val="30"/>
          <w:szCs w:val="30"/>
          <w:highlight w:val="none"/>
        </w:rPr>
      </w:pPr>
      <w:r>
        <w:rPr>
          <w:rFonts w:hint="eastAsia" w:ascii="宋体" w:hAnsi="宋体" w:eastAsia="宋体" w:cs="宋体"/>
          <w:b/>
          <w:bCs/>
          <w:color w:val="auto"/>
          <w:spacing w:val="-5"/>
          <w:sz w:val="30"/>
          <w:szCs w:val="30"/>
          <w:highlight w:val="none"/>
        </w:rPr>
        <w:t>投标人基本情况表</w:t>
      </w:r>
    </w:p>
    <w:p w14:paraId="2CD970DC">
      <w:pPr>
        <w:spacing w:line="239" w:lineRule="exact"/>
        <w:rPr>
          <w:rFonts w:hint="eastAsia" w:ascii="宋体" w:hAnsi="宋体" w:eastAsia="宋体" w:cs="宋体"/>
          <w:color w:val="auto"/>
          <w:highlight w:val="none"/>
        </w:rPr>
      </w:pPr>
    </w:p>
    <w:tbl>
      <w:tblPr>
        <w:tblStyle w:val="14"/>
        <w:tblW w:w="9259"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975"/>
        <w:gridCol w:w="1837"/>
        <w:gridCol w:w="872"/>
        <w:gridCol w:w="311"/>
        <w:gridCol w:w="1043"/>
        <w:gridCol w:w="283"/>
        <w:gridCol w:w="770"/>
        <w:gridCol w:w="1548"/>
      </w:tblGrid>
      <w:tr w14:paraId="44A25A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620" w:type="dxa"/>
            <w:vAlign w:val="center"/>
          </w:tcPr>
          <w:p w14:paraId="07127D66">
            <w:pPr>
              <w:spacing w:before="149" w:line="229" w:lineRule="auto"/>
              <w:ind w:left="228"/>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p>
        </w:tc>
        <w:tc>
          <w:tcPr>
            <w:tcW w:w="7639" w:type="dxa"/>
            <w:gridSpan w:val="8"/>
            <w:vAlign w:val="top"/>
          </w:tcPr>
          <w:p w14:paraId="686AB840">
            <w:pPr>
              <w:pStyle w:val="22"/>
              <w:rPr>
                <w:rFonts w:hint="eastAsia" w:ascii="宋体" w:hAnsi="宋体" w:eastAsia="宋体" w:cs="宋体"/>
                <w:color w:val="auto"/>
                <w:sz w:val="24"/>
                <w:szCs w:val="24"/>
                <w:highlight w:val="none"/>
              </w:rPr>
            </w:pPr>
          </w:p>
        </w:tc>
      </w:tr>
      <w:tr w14:paraId="4CC1D3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620" w:type="dxa"/>
            <w:vAlign w:val="top"/>
          </w:tcPr>
          <w:p w14:paraId="19EABCF3">
            <w:pPr>
              <w:spacing w:before="144" w:line="230" w:lineRule="auto"/>
              <w:ind w:left="3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注册地址</w:t>
            </w:r>
          </w:p>
        </w:tc>
        <w:tc>
          <w:tcPr>
            <w:tcW w:w="3684" w:type="dxa"/>
            <w:gridSpan w:val="3"/>
            <w:vAlign w:val="top"/>
          </w:tcPr>
          <w:p w14:paraId="0AC65D35">
            <w:pPr>
              <w:pStyle w:val="22"/>
              <w:rPr>
                <w:rFonts w:hint="eastAsia" w:ascii="宋体" w:hAnsi="宋体" w:eastAsia="宋体" w:cs="宋体"/>
                <w:color w:val="auto"/>
                <w:sz w:val="24"/>
                <w:szCs w:val="24"/>
                <w:highlight w:val="none"/>
              </w:rPr>
            </w:pPr>
          </w:p>
        </w:tc>
        <w:tc>
          <w:tcPr>
            <w:tcW w:w="1354" w:type="dxa"/>
            <w:gridSpan w:val="2"/>
            <w:vAlign w:val="top"/>
          </w:tcPr>
          <w:p w14:paraId="031EC2C9">
            <w:pPr>
              <w:spacing w:before="144" w:line="228" w:lineRule="auto"/>
              <w:ind w:left="226"/>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邮政编码</w:t>
            </w:r>
          </w:p>
        </w:tc>
        <w:tc>
          <w:tcPr>
            <w:tcW w:w="2601" w:type="dxa"/>
            <w:gridSpan w:val="3"/>
            <w:vAlign w:val="top"/>
          </w:tcPr>
          <w:p w14:paraId="7AD354B7">
            <w:pPr>
              <w:pStyle w:val="22"/>
              <w:rPr>
                <w:rFonts w:hint="eastAsia" w:ascii="宋体" w:hAnsi="宋体" w:eastAsia="宋体" w:cs="宋体"/>
                <w:color w:val="auto"/>
                <w:sz w:val="24"/>
                <w:szCs w:val="24"/>
                <w:highlight w:val="none"/>
              </w:rPr>
            </w:pPr>
          </w:p>
        </w:tc>
      </w:tr>
      <w:tr w14:paraId="2574F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1620" w:type="dxa"/>
            <w:vMerge w:val="restart"/>
            <w:tcBorders>
              <w:bottom w:val="nil"/>
            </w:tcBorders>
            <w:vAlign w:val="top"/>
          </w:tcPr>
          <w:p w14:paraId="15650E43">
            <w:pPr>
              <w:pStyle w:val="22"/>
              <w:spacing w:line="332" w:lineRule="auto"/>
              <w:rPr>
                <w:rFonts w:hint="eastAsia" w:ascii="宋体" w:hAnsi="宋体" w:eastAsia="宋体" w:cs="宋体"/>
                <w:color w:val="auto"/>
                <w:sz w:val="24"/>
                <w:szCs w:val="24"/>
                <w:highlight w:val="none"/>
              </w:rPr>
            </w:pPr>
          </w:p>
          <w:p w14:paraId="3917AF4F">
            <w:pPr>
              <w:spacing w:before="65" w:line="230" w:lineRule="auto"/>
              <w:ind w:left="32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联系方式</w:t>
            </w:r>
          </w:p>
        </w:tc>
        <w:tc>
          <w:tcPr>
            <w:tcW w:w="975" w:type="dxa"/>
            <w:vAlign w:val="top"/>
          </w:tcPr>
          <w:p w14:paraId="3D7FC625">
            <w:pPr>
              <w:spacing w:before="145" w:line="231" w:lineRule="auto"/>
              <w:ind w:left="13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联系人</w:t>
            </w:r>
          </w:p>
        </w:tc>
        <w:tc>
          <w:tcPr>
            <w:tcW w:w="2709" w:type="dxa"/>
            <w:gridSpan w:val="2"/>
            <w:vAlign w:val="top"/>
          </w:tcPr>
          <w:p w14:paraId="74C76AE1">
            <w:pPr>
              <w:pStyle w:val="22"/>
              <w:rPr>
                <w:rFonts w:hint="eastAsia" w:ascii="宋体" w:hAnsi="宋体" w:eastAsia="宋体" w:cs="宋体"/>
                <w:color w:val="auto"/>
                <w:sz w:val="24"/>
                <w:szCs w:val="24"/>
                <w:highlight w:val="none"/>
              </w:rPr>
            </w:pPr>
          </w:p>
        </w:tc>
        <w:tc>
          <w:tcPr>
            <w:tcW w:w="1354" w:type="dxa"/>
            <w:gridSpan w:val="2"/>
            <w:vAlign w:val="top"/>
          </w:tcPr>
          <w:p w14:paraId="65D93497">
            <w:pPr>
              <w:spacing w:before="145" w:line="231" w:lineRule="auto"/>
              <w:ind w:left="338"/>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电</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2"/>
                <w:sz w:val="24"/>
                <w:szCs w:val="24"/>
                <w:highlight w:val="none"/>
              </w:rPr>
              <w:t>话</w:t>
            </w:r>
          </w:p>
        </w:tc>
        <w:tc>
          <w:tcPr>
            <w:tcW w:w="2601" w:type="dxa"/>
            <w:gridSpan w:val="3"/>
            <w:vAlign w:val="top"/>
          </w:tcPr>
          <w:p w14:paraId="275175F8">
            <w:pPr>
              <w:pStyle w:val="22"/>
              <w:rPr>
                <w:rFonts w:hint="eastAsia" w:ascii="宋体" w:hAnsi="宋体" w:eastAsia="宋体" w:cs="宋体"/>
                <w:color w:val="auto"/>
                <w:sz w:val="24"/>
                <w:szCs w:val="24"/>
                <w:highlight w:val="none"/>
              </w:rPr>
            </w:pPr>
          </w:p>
        </w:tc>
      </w:tr>
      <w:tr w14:paraId="320F6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620" w:type="dxa"/>
            <w:vMerge w:val="continue"/>
            <w:tcBorders>
              <w:top w:val="nil"/>
            </w:tcBorders>
            <w:vAlign w:val="top"/>
          </w:tcPr>
          <w:p w14:paraId="173CE181">
            <w:pPr>
              <w:pStyle w:val="22"/>
              <w:rPr>
                <w:rFonts w:hint="eastAsia" w:ascii="宋体" w:hAnsi="宋体" w:eastAsia="宋体" w:cs="宋体"/>
                <w:color w:val="auto"/>
                <w:sz w:val="24"/>
                <w:szCs w:val="24"/>
                <w:highlight w:val="none"/>
              </w:rPr>
            </w:pPr>
          </w:p>
        </w:tc>
        <w:tc>
          <w:tcPr>
            <w:tcW w:w="975" w:type="dxa"/>
            <w:vAlign w:val="top"/>
          </w:tcPr>
          <w:p w14:paraId="42FC9B75">
            <w:pPr>
              <w:spacing w:before="143" w:line="228" w:lineRule="auto"/>
              <w:ind w:left="13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传</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真</w:t>
            </w:r>
          </w:p>
        </w:tc>
        <w:tc>
          <w:tcPr>
            <w:tcW w:w="2709" w:type="dxa"/>
            <w:gridSpan w:val="2"/>
            <w:vAlign w:val="top"/>
          </w:tcPr>
          <w:p w14:paraId="7E63A544">
            <w:pPr>
              <w:pStyle w:val="22"/>
              <w:rPr>
                <w:rFonts w:hint="eastAsia" w:ascii="宋体" w:hAnsi="宋体" w:eastAsia="宋体" w:cs="宋体"/>
                <w:color w:val="auto"/>
                <w:sz w:val="24"/>
                <w:szCs w:val="24"/>
                <w:highlight w:val="none"/>
              </w:rPr>
            </w:pPr>
          </w:p>
        </w:tc>
        <w:tc>
          <w:tcPr>
            <w:tcW w:w="1354" w:type="dxa"/>
            <w:gridSpan w:val="2"/>
            <w:vAlign w:val="top"/>
          </w:tcPr>
          <w:p w14:paraId="6612B606">
            <w:pPr>
              <w:spacing w:before="144" w:line="229" w:lineRule="auto"/>
              <w:ind w:left="23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电子邮箱</w:t>
            </w:r>
          </w:p>
        </w:tc>
        <w:tc>
          <w:tcPr>
            <w:tcW w:w="2601" w:type="dxa"/>
            <w:gridSpan w:val="3"/>
            <w:vAlign w:val="top"/>
          </w:tcPr>
          <w:p w14:paraId="5F4345F5">
            <w:pPr>
              <w:pStyle w:val="22"/>
              <w:rPr>
                <w:rFonts w:hint="eastAsia" w:ascii="宋体" w:hAnsi="宋体" w:eastAsia="宋体" w:cs="宋体"/>
                <w:color w:val="auto"/>
                <w:sz w:val="24"/>
                <w:szCs w:val="24"/>
                <w:highlight w:val="none"/>
              </w:rPr>
            </w:pPr>
          </w:p>
        </w:tc>
      </w:tr>
      <w:tr w14:paraId="17C69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620" w:type="dxa"/>
            <w:vAlign w:val="top"/>
          </w:tcPr>
          <w:p w14:paraId="45F28E6B">
            <w:pPr>
              <w:spacing w:before="145" w:line="229"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单位性质</w:t>
            </w:r>
          </w:p>
        </w:tc>
        <w:tc>
          <w:tcPr>
            <w:tcW w:w="7639" w:type="dxa"/>
            <w:gridSpan w:val="8"/>
            <w:vAlign w:val="top"/>
          </w:tcPr>
          <w:p w14:paraId="1E0E32B6">
            <w:pPr>
              <w:pStyle w:val="22"/>
              <w:rPr>
                <w:rFonts w:hint="eastAsia" w:ascii="宋体" w:hAnsi="宋体" w:eastAsia="宋体" w:cs="宋体"/>
                <w:color w:val="auto"/>
                <w:sz w:val="24"/>
                <w:szCs w:val="24"/>
                <w:highlight w:val="none"/>
              </w:rPr>
            </w:pPr>
          </w:p>
        </w:tc>
      </w:tr>
      <w:tr w14:paraId="7ACAFA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183ED7E1">
            <w:pPr>
              <w:spacing w:before="144" w:line="228" w:lineRule="auto"/>
              <w:ind w:left="22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法定代表人</w:t>
            </w:r>
          </w:p>
        </w:tc>
        <w:tc>
          <w:tcPr>
            <w:tcW w:w="975" w:type="dxa"/>
            <w:vAlign w:val="top"/>
          </w:tcPr>
          <w:p w14:paraId="07222CE7">
            <w:pPr>
              <w:spacing w:before="144" w:line="228" w:lineRule="auto"/>
              <w:ind w:left="24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837" w:type="dxa"/>
            <w:vAlign w:val="top"/>
          </w:tcPr>
          <w:p w14:paraId="091073F5">
            <w:pPr>
              <w:pStyle w:val="22"/>
              <w:rPr>
                <w:rFonts w:hint="eastAsia" w:ascii="宋体" w:hAnsi="宋体" w:eastAsia="宋体" w:cs="宋体"/>
                <w:color w:val="auto"/>
                <w:sz w:val="24"/>
                <w:szCs w:val="24"/>
                <w:highlight w:val="none"/>
              </w:rPr>
            </w:pPr>
          </w:p>
        </w:tc>
        <w:tc>
          <w:tcPr>
            <w:tcW w:w="1183" w:type="dxa"/>
            <w:gridSpan w:val="2"/>
            <w:vAlign w:val="top"/>
          </w:tcPr>
          <w:p w14:paraId="4A11ACAE">
            <w:pPr>
              <w:spacing w:before="144" w:line="228"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技术职称</w:t>
            </w:r>
          </w:p>
        </w:tc>
        <w:tc>
          <w:tcPr>
            <w:tcW w:w="1326" w:type="dxa"/>
            <w:gridSpan w:val="2"/>
            <w:vAlign w:val="top"/>
          </w:tcPr>
          <w:p w14:paraId="6ADE5618">
            <w:pPr>
              <w:pStyle w:val="22"/>
              <w:rPr>
                <w:rFonts w:hint="eastAsia" w:ascii="宋体" w:hAnsi="宋体" w:eastAsia="宋体" w:cs="宋体"/>
                <w:color w:val="auto"/>
                <w:sz w:val="24"/>
                <w:szCs w:val="24"/>
                <w:highlight w:val="none"/>
              </w:rPr>
            </w:pPr>
          </w:p>
        </w:tc>
        <w:tc>
          <w:tcPr>
            <w:tcW w:w="770" w:type="dxa"/>
            <w:vAlign w:val="top"/>
          </w:tcPr>
          <w:p w14:paraId="5C8E96FC">
            <w:pPr>
              <w:spacing w:before="143" w:line="231" w:lineRule="auto"/>
              <w:ind w:left="17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电话</w:t>
            </w:r>
          </w:p>
        </w:tc>
        <w:tc>
          <w:tcPr>
            <w:tcW w:w="1548" w:type="dxa"/>
            <w:vAlign w:val="top"/>
          </w:tcPr>
          <w:p w14:paraId="6AD0C2BC">
            <w:pPr>
              <w:pStyle w:val="22"/>
              <w:rPr>
                <w:rFonts w:hint="eastAsia" w:ascii="宋体" w:hAnsi="宋体" w:eastAsia="宋体" w:cs="宋体"/>
                <w:color w:val="auto"/>
                <w:sz w:val="24"/>
                <w:szCs w:val="24"/>
                <w:highlight w:val="none"/>
              </w:rPr>
            </w:pPr>
          </w:p>
        </w:tc>
      </w:tr>
      <w:tr w14:paraId="19173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5ADD1B28">
            <w:pPr>
              <w:spacing w:before="145" w:line="230"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成立时间</w:t>
            </w:r>
          </w:p>
        </w:tc>
        <w:tc>
          <w:tcPr>
            <w:tcW w:w="2812" w:type="dxa"/>
            <w:gridSpan w:val="2"/>
            <w:vAlign w:val="top"/>
          </w:tcPr>
          <w:p w14:paraId="4BAD1642">
            <w:pPr>
              <w:pStyle w:val="22"/>
              <w:rPr>
                <w:rFonts w:hint="eastAsia" w:ascii="宋体" w:hAnsi="宋体" w:eastAsia="宋体" w:cs="宋体"/>
                <w:color w:val="auto"/>
                <w:sz w:val="24"/>
                <w:szCs w:val="24"/>
                <w:highlight w:val="none"/>
              </w:rPr>
            </w:pPr>
          </w:p>
        </w:tc>
        <w:tc>
          <w:tcPr>
            <w:tcW w:w="4827" w:type="dxa"/>
            <w:gridSpan w:val="6"/>
            <w:vAlign w:val="top"/>
          </w:tcPr>
          <w:p w14:paraId="30D24B75">
            <w:pPr>
              <w:spacing w:before="145" w:line="228" w:lineRule="auto"/>
              <w:ind w:left="1287"/>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员工总人数（个</w:t>
            </w:r>
            <w:r>
              <w:rPr>
                <w:rFonts w:hint="eastAsia" w:ascii="宋体" w:hAnsi="宋体" w:eastAsia="宋体" w:cs="宋体"/>
                <w:color w:val="auto"/>
                <w:sz w:val="24"/>
                <w:szCs w:val="24"/>
                <w:highlight w:val="none"/>
              </w:rPr>
              <w:t>）：</w:t>
            </w:r>
          </w:p>
        </w:tc>
      </w:tr>
      <w:tr w14:paraId="1229E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620" w:type="dxa"/>
            <w:vAlign w:val="top"/>
          </w:tcPr>
          <w:p w14:paraId="754966A2">
            <w:pPr>
              <w:spacing w:before="61" w:line="262" w:lineRule="auto"/>
              <w:ind w:right="220"/>
              <w:jc w:val="center"/>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企业资质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类型和等级</w:t>
            </w:r>
          </w:p>
        </w:tc>
        <w:tc>
          <w:tcPr>
            <w:tcW w:w="2812" w:type="dxa"/>
            <w:gridSpan w:val="2"/>
            <w:vAlign w:val="top"/>
          </w:tcPr>
          <w:p w14:paraId="782B0B60">
            <w:pPr>
              <w:pStyle w:val="22"/>
              <w:rPr>
                <w:rFonts w:hint="eastAsia" w:ascii="宋体" w:hAnsi="宋体" w:eastAsia="宋体" w:cs="宋体"/>
                <w:color w:val="auto"/>
                <w:sz w:val="24"/>
                <w:szCs w:val="24"/>
                <w:highlight w:val="none"/>
              </w:rPr>
            </w:pPr>
          </w:p>
        </w:tc>
        <w:tc>
          <w:tcPr>
            <w:tcW w:w="1183" w:type="dxa"/>
            <w:gridSpan w:val="2"/>
            <w:vMerge w:val="restart"/>
            <w:tcBorders>
              <w:bottom w:val="nil"/>
            </w:tcBorders>
            <w:vAlign w:val="top"/>
          </w:tcPr>
          <w:p w14:paraId="7A69FEFC">
            <w:pPr>
              <w:pStyle w:val="22"/>
              <w:spacing w:line="254" w:lineRule="auto"/>
              <w:rPr>
                <w:rFonts w:hint="eastAsia" w:ascii="宋体" w:hAnsi="宋体" w:eastAsia="宋体" w:cs="宋体"/>
                <w:color w:val="auto"/>
                <w:sz w:val="24"/>
                <w:szCs w:val="24"/>
                <w:highlight w:val="none"/>
              </w:rPr>
            </w:pPr>
          </w:p>
          <w:p w14:paraId="02C0E7FA">
            <w:pPr>
              <w:pStyle w:val="22"/>
              <w:spacing w:line="254" w:lineRule="auto"/>
              <w:rPr>
                <w:rFonts w:hint="eastAsia" w:ascii="宋体" w:hAnsi="宋体" w:eastAsia="宋体" w:cs="宋体"/>
                <w:color w:val="auto"/>
                <w:sz w:val="24"/>
                <w:szCs w:val="24"/>
                <w:highlight w:val="none"/>
              </w:rPr>
            </w:pPr>
          </w:p>
          <w:p w14:paraId="1FBAEACC">
            <w:pPr>
              <w:pStyle w:val="22"/>
              <w:spacing w:line="254" w:lineRule="auto"/>
              <w:rPr>
                <w:rFonts w:hint="eastAsia" w:ascii="宋体" w:hAnsi="宋体" w:eastAsia="宋体" w:cs="宋体"/>
                <w:color w:val="auto"/>
                <w:sz w:val="24"/>
                <w:szCs w:val="24"/>
                <w:highlight w:val="none"/>
              </w:rPr>
            </w:pPr>
          </w:p>
          <w:p w14:paraId="64C94A08">
            <w:pPr>
              <w:pStyle w:val="22"/>
              <w:spacing w:line="254" w:lineRule="auto"/>
              <w:rPr>
                <w:rFonts w:hint="eastAsia" w:ascii="宋体" w:hAnsi="宋体" w:eastAsia="宋体" w:cs="宋体"/>
                <w:color w:val="auto"/>
                <w:sz w:val="24"/>
                <w:szCs w:val="24"/>
                <w:highlight w:val="none"/>
              </w:rPr>
            </w:pPr>
          </w:p>
          <w:p w14:paraId="69BBE9A7">
            <w:pPr>
              <w:pStyle w:val="22"/>
              <w:spacing w:line="255" w:lineRule="auto"/>
              <w:rPr>
                <w:rFonts w:hint="eastAsia" w:ascii="宋体" w:hAnsi="宋体" w:eastAsia="宋体" w:cs="宋体"/>
                <w:color w:val="auto"/>
                <w:sz w:val="24"/>
                <w:szCs w:val="24"/>
                <w:highlight w:val="none"/>
              </w:rPr>
            </w:pPr>
          </w:p>
          <w:p w14:paraId="7C094C19">
            <w:pPr>
              <w:spacing w:before="65" w:line="229" w:lineRule="auto"/>
              <w:ind w:left="34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其中</w:t>
            </w:r>
          </w:p>
        </w:tc>
        <w:tc>
          <w:tcPr>
            <w:tcW w:w="2096" w:type="dxa"/>
            <w:gridSpan w:val="3"/>
            <w:vAlign w:val="top"/>
          </w:tcPr>
          <w:p w14:paraId="010F104F">
            <w:pPr>
              <w:spacing w:before="214" w:line="229" w:lineRule="auto"/>
              <w:ind w:left="55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48" w:type="dxa"/>
            <w:vAlign w:val="top"/>
          </w:tcPr>
          <w:p w14:paraId="67C64A1C">
            <w:pPr>
              <w:pStyle w:val="22"/>
              <w:rPr>
                <w:rFonts w:hint="eastAsia" w:ascii="宋体" w:hAnsi="宋体" w:eastAsia="宋体" w:cs="宋体"/>
                <w:color w:val="auto"/>
                <w:sz w:val="24"/>
                <w:szCs w:val="24"/>
                <w:highlight w:val="none"/>
              </w:rPr>
            </w:pPr>
          </w:p>
        </w:tc>
      </w:tr>
      <w:tr w14:paraId="4B8001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620" w:type="dxa"/>
            <w:vAlign w:val="top"/>
          </w:tcPr>
          <w:p w14:paraId="6F14B77C">
            <w:pPr>
              <w:spacing w:before="146" w:line="228" w:lineRule="auto"/>
              <w:ind w:left="232"/>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营业执照号</w:t>
            </w:r>
          </w:p>
        </w:tc>
        <w:tc>
          <w:tcPr>
            <w:tcW w:w="2812" w:type="dxa"/>
            <w:gridSpan w:val="2"/>
            <w:vAlign w:val="top"/>
          </w:tcPr>
          <w:p w14:paraId="4431F67B">
            <w:pPr>
              <w:pStyle w:val="22"/>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425F8241">
            <w:pPr>
              <w:pStyle w:val="22"/>
              <w:rPr>
                <w:rFonts w:hint="eastAsia" w:ascii="宋体" w:hAnsi="宋体" w:eastAsia="宋体" w:cs="宋体"/>
                <w:color w:val="auto"/>
                <w:sz w:val="24"/>
                <w:szCs w:val="24"/>
                <w:highlight w:val="none"/>
              </w:rPr>
            </w:pPr>
          </w:p>
        </w:tc>
        <w:tc>
          <w:tcPr>
            <w:tcW w:w="2096" w:type="dxa"/>
            <w:gridSpan w:val="3"/>
            <w:vAlign w:val="top"/>
          </w:tcPr>
          <w:p w14:paraId="52E9EE82">
            <w:pPr>
              <w:spacing w:before="146" w:line="228" w:lineRule="auto"/>
              <w:ind w:left="34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高级职称人员</w:t>
            </w:r>
          </w:p>
        </w:tc>
        <w:tc>
          <w:tcPr>
            <w:tcW w:w="1548" w:type="dxa"/>
            <w:vAlign w:val="top"/>
          </w:tcPr>
          <w:p w14:paraId="5AB52FD6">
            <w:pPr>
              <w:pStyle w:val="22"/>
              <w:rPr>
                <w:rFonts w:hint="eastAsia" w:ascii="宋体" w:hAnsi="宋体" w:eastAsia="宋体" w:cs="宋体"/>
                <w:color w:val="auto"/>
                <w:sz w:val="24"/>
                <w:szCs w:val="24"/>
                <w:highlight w:val="none"/>
              </w:rPr>
            </w:pPr>
          </w:p>
        </w:tc>
      </w:tr>
      <w:tr w14:paraId="0C789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620" w:type="dxa"/>
            <w:vAlign w:val="top"/>
          </w:tcPr>
          <w:p w14:paraId="2B0CF379">
            <w:pPr>
              <w:spacing w:before="146" w:line="230" w:lineRule="auto"/>
              <w:ind w:left="3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注册资金</w:t>
            </w:r>
          </w:p>
        </w:tc>
        <w:tc>
          <w:tcPr>
            <w:tcW w:w="2812" w:type="dxa"/>
            <w:gridSpan w:val="2"/>
            <w:vAlign w:val="top"/>
          </w:tcPr>
          <w:p w14:paraId="55DE9293">
            <w:pPr>
              <w:pStyle w:val="22"/>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0C4A9705">
            <w:pPr>
              <w:pStyle w:val="22"/>
              <w:rPr>
                <w:rFonts w:hint="eastAsia" w:ascii="宋体" w:hAnsi="宋体" w:eastAsia="宋体" w:cs="宋体"/>
                <w:color w:val="auto"/>
                <w:sz w:val="24"/>
                <w:szCs w:val="24"/>
                <w:highlight w:val="none"/>
              </w:rPr>
            </w:pPr>
          </w:p>
        </w:tc>
        <w:tc>
          <w:tcPr>
            <w:tcW w:w="2096" w:type="dxa"/>
            <w:gridSpan w:val="3"/>
            <w:vAlign w:val="top"/>
          </w:tcPr>
          <w:p w14:paraId="4B26D2D4">
            <w:pPr>
              <w:spacing w:before="147"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中级职称人员</w:t>
            </w:r>
          </w:p>
        </w:tc>
        <w:tc>
          <w:tcPr>
            <w:tcW w:w="1548" w:type="dxa"/>
            <w:vAlign w:val="top"/>
          </w:tcPr>
          <w:p w14:paraId="262A2EE0">
            <w:pPr>
              <w:pStyle w:val="22"/>
              <w:rPr>
                <w:rFonts w:hint="eastAsia" w:ascii="宋体" w:hAnsi="宋体" w:eastAsia="宋体" w:cs="宋体"/>
                <w:color w:val="auto"/>
                <w:sz w:val="24"/>
                <w:szCs w:val="24"/>
                <w:highlight w:val="none"/>
              </w:rPr>
            </w:pPr>
          </w:p>
        </w:tc>
      </w:tr>
      <w:tr w14:paraId="47316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620" w:type="dxa"/>
            <w:vAlign w:val="top"/>
          </w:tcPr>
          <w:p w14:paraId="2688AE8B">
            <w:pPr>
              <w:spacing w:before="62" w:line="241" w:lineRule="auto"/>
              <w:ind w:right="325"/>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开户银行</w:t>
            </w:r>
          </w:p>
        </w:tc>
        <w:tc>
          <w:tcPr>
            <w:tcW w:w="2812" w:type="dxa"/>
            <w:gridSpan w:val="2"/>
            <w:vAlign w:val="top"/>
          </w:tcPr>
          <w:p w14:paraId="45553C43">
            <w:pPr>
              <w:pStyle w:val="22"/>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56532354">
            <w:pPr>
              <w:pStyle w:val="22"/>
              <w:rPr>
                <w:rFonts w:hint="eastAsia" w:ascii="宋体" w:hAnsi="宋体" w:eastAsia="宋体" w:cs="宋体"/>
                <w:color w:val="auto"/>
                <w:sz w:val="24"/>
                <w:szCs w:val="24"/>
                <w:highlight w:val="none"/>
              </w:rPr>
            </w:pPr>
          </w:p>
        </w:tc>
        <w:tc>
          <w:tcPr>
            <w:tcW w:w="2096" w:type="dxa"/>
            <w:gridSpan w:val="3"/>
            <w:vAlign w:val="top"/>
          </w:tcPr>
          <w:p w14:paraId="5A3DA22F">
            <w:pPr>
              <w:spacing w:before="191" w:line="230" w:lineRule="auto"/>
              <w:ind w:left="3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初级职称人员</w:t>
            </w:r>
          </w:p>
        </w:tc>
        <w:tc>
          <w:tcPr>
            <w:tcW w:w="1548" w:type="dxa"/>
            <w:vAlign w:val="top"/>
          </w:tcPr>
          <w:p w14:paraId="184D3D43">
            <w:pPr>
              <w:pStyle w:val="22"/>
              <w:rPr>
                <w:rFonts w:hint="eastAsia" w:ascii="宋体" w:hAnsi="宋体" w:eastAsia="宋体" w:cs="宋体"/>
                <w:color w:val="auto"/>
                <w:sz w:val="24"/>
                <w:szCs w:val="24"/>
                <w:highlight w:val="none"/>
              </w:rPr>
            </w:pPr>
          </w:p>
        </w:tc>
      </w:tr>
      <w:tr w14:paraId="5D53F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1620" w:type="dxa"/>
            <w:vAlign w:val="top"/>
          </w:tcPr>
          <w:p w14:paraId="301FBDE6">
            <w:pPr>
              <w:spacing w:before="62" w:line="259" w:lineRule="auto"/>
              <w:ind w:right="325"/>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银行账号</w:t>
            </w:r>
          </w:p>
        </w:tc>
        <w:tc>
          <w:tcPr>
            <w:tcW w:w="2812" w:type="dxa"/>
            <w:gridSpan w:val="2"/>
            <w:vAlign w:val="top"/>
          </w:tcPr>
          <w:p w14:paraId="5B1DD5F7">
            <w:pPr>
              <w:pStyle w:val="22"/>
              <w:rPr>
                <w:rFonts w:hint="eastAsia" w:ascii="宋体" w:hAnsi="宋体" w:eastAsia="宋体" w:cs="宋体"/>
                <w:color w:val="auto"/>
                <w:sz w:val="24"/>
                <w:szCs w:val="24"/>
                <w:highlight w:val="none"/>
              </w:rPr>
            </w:pPr>
          </w:p>
        </w:tc>
        <w:tc>
          <w:tcPr>
            <w:tcW w:w="1183" w:type="dxa"/>
            <w:gridSpan w:val="2"/>
            <w:vMerge w:val="continue"/>
            <w:tcBorders>
              <w:top w:val="nil"/>
            </w:tcBorders>
            <w:vAlign w:val="top"/>
          </w:tcPr>
          <w:p w14:paraId="03520BE5">
            <w:pPr>
              <w:pStyle w:val="22"/>
              <w:rPr>
                <w:rFonts w:hint="eastAsia" w:ascii="宋体" w:hAnsi="宋体" w:eastAsia="宋体" w:cs="宋体"/>
                <w:color w:val="auto"/>
                <w:sz w:val="24"/>
                <w:szCs w:val="24"/>
                <w:highlight w:val="none"/>
              </w:rPr>
            </w:pPr>
          </w:p>
        </w:tc>
        <w:tc>
          <w:tcPr>
            <w:tcW w:w="2096" w:type="dxa"/>
            <w:gridSpan w:val="3"/>
            <w:vAlign w:val="top"/>
          </w:tcPr>
          <w:p w14:paraId="5C48DB8B">
            <w:pPr>
              <w:spacing w:before="211" w:line="228" w:lineRule="auto"/>
              <w:ind w:left="6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技术员</w:t>
            </w:r>
          </w:p>
        </w:tc>
        <w:tc>
          <w:tcPr>
            <w:tcW w:w="1548" w:type="dxa"/>
            <w:vAlign w:val="top"/>
          </w:tcPr>
          <w:p w14:paraId="773ECE69">
            <w:pPr>
              <w:pStyle w:val="22"/>
              <w:rPr>
                <w:rFonts w:hint="eastAsia" w:ascii="宋体" w:hAnsi="宋体" w:eastAsia="宋体" w:cs="宋体"/>
                <w:color w:val="auto"/>
                <w:sz w:val="24"/>
                <w:szCs w:val="24"/>
                <w:highlight w:val="none"/>
              </w:rPr>
            </w:pPr>
          </w:p>
        </w:tc>
      </w:tr>
      <w:tr w14:paraId="1B267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620" w:type="dxa"/>
            <w:vAlign w:val="top"/>
          </w:tcPr>
          <w:p w14:paraId="1C145867">
            <w:pPr>
              <w:spacing w:before="65" w:line="229"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经营范围</w:t>
            </w:r>
          </w:p>
        </w:tc>
        <w:tc>
          <w:tcPr>
            <w:tcW w:w="7639" w:type="dxa"/>
            <w:gridSpan w:val="8"/>
            <w:vAlign w:val="top"/>
          </w:tcPr>
          <w:p w14:paraId="78175160">
            <w:pPr>
              <w:pStyle w:val="22"/>
              <w:rPr>
                <w:rFonts w:hint="eastAsia" w:ascii="宋体" w:hAnsi="宋体" w:eastAsia="宋体" w:cs="宋体"/>
                <w:color w:val="auto"/>
                <w:sz w:val="24"/>
                <w:szCs w:val="24"/>
                <w:highlight w:val="none"/>
              </w:rPr>
            </w:pPr>
          </w:p>
        </w:tc>
      </w:tr>
      <w:tr w14:paraId="5CA65D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1620" w:type="dxa"/>
            <w:vAlign w:val="top"/>
          </w:tcPr>
          <w:p w14:paraId="3B43F663">
            <w:pPr>
              <w:pStyle w:val="22"/>
              <w:spacing w:line="295" w:lineRule="auto"/>
              <w:rPr>
                <w:rFonts w:hint="eastAsia" w:ascii="宋体" w:hAnsi="宋体" w:eastAsia="宋体" w:cs="宋体"/>
                <w:color w:val="auto"/>
                <w:sz w:val="24"/>
                <w:szCs w:val="24"/>
                <w:highlight w:val="none"/>
              </w:rPr>
            </w:pPr>
          </w:p>
          <w:p w14:paraId="598814F5">
            <w:pPr>
              <w:pStyle w:val="22"/>
              <w:spacing w:line="296" w:lineRule="auto"/>
              <w:rPr>
                <w:rFonts w:hint="eastAsia" w:ascii="宋体" w:hAnsi="宋体" w:eastAsia="宋体" w:cs="宋体"/>
                <w:color w:val="auto"/>
                <w:sz w:val="24"/>
                <w:szCs w:val="24"/>
                <w:highlight w:val="none"/>
              </w:rPr>
            </w:pPr>
          </w:p>
          <w:p w14:paraId="52A98BFF">
            <w:pPr>
              <w:spacing w:before="65" w:line="229"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关联企业情况</w:t>
            </w:r>
          </w:p>
        </w:tc>
        <w:tc>
          <w:tcPr>
            <w:tcW w:w="7639" w:type="dxa"/>
            <w:gridSpan w:val="8"/>
            <w:vAlign w:val="top"/>
          </w:tcPr>
          <w:p w14:paraId="5EFCA351">
            <w:pPr>
              <w:spacing w:before="168" w:line="228" w:lineRule="auto"/>
              <w:ind w:left="111"/>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包括但不限于与投标人存在以下关系的不同单位：</w:t>
            </w:r>
          </w:p>
          <w:p w14:paraId="4A7FA872">
            <w:pPr>
              <w:spacing w:before="81" w:line="228" w:lineRule="auto"/>
              <w:ind w:left="12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4"/>
                <w:sz w:val="24"/>
                <w:szCs w:val="24"/>
                <w:highlight w:val="none"/>
              </w:rPr>
              <w:t>．法定代表人为同一人的。</w:t>
            </w:r>
          </w:p>
          <w:p w14:paraId="416ED6EF">
            <w:pPr>
              <w:spacing w:before="81" w:line="228" w:lineRule="auto"/>
              <w:ind w:left="10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6"/>
                <w:sz w:val="24"/>
                <w:szCs w:val="24"/>
                <w:highlight w:val="none"/>
              </w:rPr>
              <w:t>．存在控股、管理关系的。</w:t>
            </w:r>
          </w:p>
          <w:p w14:paraId="2E78667B">
            <w:pPr>
              <w:spacing w:before="81" w:line="228" w:lineRule="auto"/>
              <w:ind w:left="11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3</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5"/>
                <w:sz w:val="24"/>
                <w:szCs w:val="24"/>
                <w:highlight w:val="none"/>
              </w:rPr>
              <w:t>．主要人员相互任职的。</w:t>
            </w:r>
          </w:p>
        </w:tc>
      </w:tr>
      <w:tr w14:paraId="245E42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1620" w:type="dxa"/>
            <w:vAlign w:val="top"/>
          </w:tcPr>
          <w:p w14:paraId="0B1A642B">
            <w:pPr>
              <w:spacing w:before="235" w:line="230" w:lineRule="auto"/>
              <w:ind w:left="54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备注</w:t>
            </w:r>
          </w:p>
        </w:tc>
        <w:tc>
          <w:tcPr>
            <w:tcW w:w="7639" w:type="dxa"/>
            <w:gridSpan w:val="8"/>
            <w:vAlign w:val="top"/>
          </w:tcPr>
          <w:p w14:paraId="63E087EA">
            <w:pPr>
              <w:pStyle w:val="22"/>
              <w:rPr>
                <w:rFonts w:hint="eastAsia" w:ascii="宋体" w:hAnsi="宋体" w:eastAsia="宋体" w:cs="宋体"/>
                <w:color w:val="auto"/>
                <w:sz w:val="24"/>
                <w:szCs w:val="24"/>
                <w:highlight w:val="none"/>
              </w:rPr>
            </w:pPr>
          </w:p>
        </w:tc>
      </w:tr>
    </w:tbl>
    <w:p w14:paraId="608E648E">
      <w:pPr>
        <w:spacing w:before="140" w:line="228" w:lineRule="auto"/>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说明：</w:t>
      </w:r>
    </w:p>
    <w:p w14:paraId="6972BAA3">
      <w:pPr>
        <w:keepNext w:val="0"/>
        <w:keepLines w:val="0"/>
        <w:pageBreakBefore w:val="0"/>
        <w:widowControl/>
        <w:kinsoku w:val="0"/>
        <w:wordWrap/>
        <w:overflowPunct/>
        <w:topLinePunct w:val="0"/>
        <w:autoSpaceDE w:val="0"/>
        <w:autoSpaceDN w:val="0"/>
        <w:bidi w:val="0"/>
        <w:adjustRightInd w:val="0"/>
        <w:snapToGrid w:val="0"/>
        <w:spacing w:before="81" w:line="288" w:lineRule="auto"/>
        <w:textAlignment w:val="baseline"/>
        <w:outlineLvl w:val="9"/>
        <w:rPr>
          <w:rFonts w:hint="eastAsia" w:ascii="宋体" w:hAnsi="宋体" w:eastAsia="宋体" w:cs="宋体"/>
          <w:color w:val="auto"/>
          <w:spacing w:val="4"/>
          <w:sz w:val="18"/>
          <w:szCs w:val="18"/>
          <w:highlight w:val="none"/>
        </w:rPr>
      </w:pPr>
      <w:bookmarkStart w:id="243" w:name="_Toc14048"/>
      <w:bookmarkStart w:id="244" w:name="_Toc5131"/>
      <w:r>
        <w:rPr>
          <w:rFonts w:hint="eastAsia" w:ascii="宋体" w:hAnsi="宋体" w:eastAsia="宋体" w:cs="宋体"/>
          <w:color w:val="auto"/>
          <w:spacing w:val="4"/>
          <w:sz w:val="18"/>
          <w:szCs w:val="18"/>
          <w:highlight w:val="none"/>
        </w:rPr>
        <w:t>1 ．《投标人基本情况表》后应附以下资料：</w:t>
      </w:r>
      <w:bookmarkEnd w:id="243"/>
      <w:bookmarkEnd w:id="244"/>
    </w:p>
    <w:p w14:paraId="56BD52AA">
      <w:pPr>
        <w:keepNext w:val="0"/>
        <w:keepLines w:val="0"/>
        <w:pageBreakBefore w:val="0"/>
        <w:widowControl/>
        <w:kinsoku w:val="0"/>
        <w:wordWrap/>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auto"/>
          <w:spacing w:val="6"/>
          <w:sz w:val="18"/>
          <w:szCs w:val="18"/>
          <w:highlight w:val="none"/>
        </w:rPr>
      </w:pPr>
      <w:r>
        <w:rPr>
          <w:rFonts w:hint="eastAsia" w:ascii="宋体" w:hAnsi="宋体" w:eastAsia="宋体" w:cs="宋体"/>
          <w:color w:val="auto"/>
          <w:spacing w:val="9"/>
          <w:sz w:val="18"/>
          <w:szCs w:val="18"/>
          <w:highlight w:val="none"/>
          <w:lang w:eastAsia="zh-CN"/>
        </w:rPr>
        <w:t>（1）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5F1F8270">
      <w:pPr>
        <w:keepNext w:val="0"/>
        <w:keepLines w:val="0"/>
        <w:pageBreakBefore w:val="0"/>
        <w:widowControl/>
        <w:kinsoku w:val="0"/>
        <w:wordWrap/>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lang w:eastAsia="zh-CN"/>
        </w:rPr>
        <w:t>（2）</w:t>
      </w:r>
      <w:r>
        <w:rPr>
          <w:rFonts w:hint="eastAsia" w:ascii="宋体" w:hAnsi="宋体" w:eastAsia="宋体" w:cs="宋体"/>
          <w:color w:val="auto"/>
          <w:spacing w:val="9"/>
          <w:sz w:val="18"/>
          <w:szCs w:val="18"/>
          <w:highlight w:val="none"/>
        </w:rPr>
        <w:t>“进粤企业和人员诚信信息登记平台</w:t>
      </w:r>
      <w:r>
        <w:rPr>
          <w:rFonts w:hint="eastAsia" w:ascii="宋体" w:hAnsi="宋体" w:eastAsia="宋体" w:cs="宋体"/>
          <w:color w:val="auto"/>
          <w:spacing w:val="-72"/>
          <w:sz w:val="18"/>
          <w:szCs w:val="18"/>
          <w:highlight w:val="none"/>
        </w:rPr>
        <w:t xml:space="preserve"> </w:t>
      </w:r>
      <w:r>
        <w:rPr>
          <w:rFonts w:hint="eastAsia" w:ascii="宋体" w:hAnsi="宋体" w:eastAsia="宋体" w:cs="宋体"/>
          <w:color w:val="auto"/>
          <w:spacing w:val="8"/>
          <w:sz w:val="18"/>
          <w:szCs w:val="18"/>
          <w:highlight w:val="none"/>
        </w:rPr>
        <w:t>”企业信息情况打印页。（适用于省外建筑企业）</w:t>
      </w:r>
    </w:p>
    <w:p w14:paraId="359CA035">
      <w:pPr>
        <w:keepNext w:val="0"/>
        <w:keepLines w:val="0"/>
        <w:pageBreakBefore w:val="0"/>
        <w:widowControl/>
        <w:kinsoku w:val="0"/>
        <w:wordWrap/>
        <w:overflowPunct/>
        <w:topLinePunct w:val="0"/>
        <w:autoSpaceDE w:val="0"/>
        <w:autoSpaceDN w:val="0"/>
        <w:bidi w:val="0"/>
        <w:adjustRightInd w:val="0"/>
        <w:snapToGrid w:val="0"/>
        <w:spacing w:before="153" w:line="288" w:lineRule="auto"/>
        <w:jc w:val="both"/>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lang w:eastAsia="zh-CN"/>
        </w:rPr>
        <w:t>（3）</w:t>
      </w:r>
      <w:r>
        <w:rPr>
          <w:rFonts w:hint="eastAsia" w:ascii="宋体" w:hAnsi="宋体" w:eastAsia="宋体" w:cs="宋体"/>
          <w:color w:val="auto"/>
          <w:spacing w:val="8"/>
          <w:sz w:val="18"/>
          <w:szCs w:val="18"/>
          <w:highlight w:val="none"/>
        </w:rPr>
        <w:t>《法人和非法人组织公共信用信息报告》（在“信用中国</w:t>
      </w:r>
      <w:r>
        <w:rPr>
          <w:rFonts w:hint="eastAsia" w:ascii="宋体" w:hAnsi="宋体" w:eastAsia="宋体" w:cs="宋体"/>
          <w:color w:val="auto"/>
          <w:spacing w:val="-70"/>
          <w:sz w:val="18"/>
          <w:szCs w:val="18"/>
          <w:highlight w:val="none"/>
        </w:rPr>
        <w:t xml:space="preserve"> </w:t>
      </w:r>
      <w:r>
        <w:rPr>
          <w:rFonts w:hint="eastAsia" w:ascii="宋体" w:hAnsi="宋体" w:eastAsia="宋体" w:cs="宋体"/>
          <w:color w:val="auto"/>
          <w:spacing w:val="8"/>
          <w:sz w:val="18"/>
          <w:szCs w:val="18"/>
          <w:highlight w:val="none"/>
        </w:rPr>
        <w:t>”网站企业查询界面</w:t>
      </w:r>
      <w:r>
        <w:rPr>
          <w:rFonts w:hint="eastAsia" w:ascii="宋体" w:hAnsi="宋体" w:eastAsia="宋体" w:cs="宋体"/>
          <w:color w:val="auto"/>
          <w:spacing w:val="7"/>
          <w:sz w:val="18"/>
          <w:szCs w:val="18"/>
          <w:highlight w:val="none"/>
        </w:rPr>
        <w:t>中下载）。</w:t>
      </w:r>
    </w:p>
    <w:p w14:paraId="3AE0E693">
      <w:pPr>
        <w:keepNext w:val="0"/>
        <w:keepLines w:val="0"/>
        <w:pageBreakBefore w:val="0"/>
        <w:widowControl/>
        <w:kinsoku w:val="0"/>
        <w:wordWrap/>
        <w:overflowPunct/>
        <w:topLinePunct w:val="0"/>
        <w:autoSpaceDE w:val="0"/>
        <w:autoSpaceDN w:val="0"/>
        <w:bidi w:val="0"/>
        <w:adjustRightInd w:val="0"/>
        <w:snapToGrid w:val="0"/>
        <w:spacing w:before="81" w:line="288" w:lineRule="auto"/>
        <w:textAlignment w:val="baseline"/>
        <w:rPr>
          <w:rFonts w:hint="eastAsia" w:ascii="宋体" w:hAnsi="宋体" w:eastAsia="宋体" w:cs="宋体"/>
          <w:color w:val="auto"/>
          <w:spacing w:val="4"/>
          <w:sz w:val="20"/>
          <w:szCs w:val="20"/>
          <w:highlight w:val="none"/>
        </w:rPr>
      </w:pPr>
      <w:r>
        <w:rPr>
          <w:rFonts w:hint="eastAsia" w:ascii="宋体" w:hAnsi="宋体" w:eastAsia="宋体" w:cs="宋体"/>
          <w:color w:val="auto"/>
          <w:spacing w:val="9"/>
          <w:sz w:val="18"/>
          <w:szCs w:val="18"/>
          <w:highlight w:val="none"/>
        </w:rPr>
        <w:t>2</w:t>
      </w:r>
      <w:r>
        <w:rPr>
          <w:rFonts w:hint="eastAsia" w:ascii="宋体" w:hAnsi="宋体" w:eastAsia="宋体" w:cs="宋体"/>
          <w:color w:val="auto"/>
          <w:spacing w:val="-21"/>
          <w:sz w:val="18"/>
          <w:szCs w:val="18"/>
          <w:highlight w:val="none"/>
        </w:rPr>
        <w:t xml:space="preserve"> </w:t>
      </w:r>
      <w:r>
        <w:rPr>
          <w:rFonts w:hint="eastAsia" w:ascii="宋体" w:hAnsi="宋体" w:eastAsia="宋体" w:cs="宋体"/>
          <w:color w:val="auto"/>
          <w:spacing w:val="9"/>
          <w:sz w:val="18"/>
          <w:szCs w:val="18"/>
          <w:highlight w:val="none"/>
        </w:rPr>
        <w:t>．联合体投标的，联合体成员单位均应填写《投标人基本情况</w:t>
      </w:r>
      <w:r>
        <w:rPr>
          <w:rFonts w:hint="eastAsia" w:ascii="宋体" w:hAnsi="宋体" w:eastAsia="宋体" w:cs="宋体"/>
          <w:color w:val="auto"/>
          <w:spacing w:val="8"/>
          <w:sz w:val="18"/>
          <w:szCs w:val="18"/>
          <w:highlight w:val="none"/>
        </w:rPr>
        <w:t>表》并提供以上所需资料。</w:t>
      </w:r>
    </w:p>
    <w:p w14:paraId="4E6AB364">
      <w:pPr>
        <w:spacing w:before="78" w:line="220" w:lineRule="auto"/>
        <w:outlineLvl w:val="2"/>
        <w:rPr>
          <w:rFonts w:hint="eastAsia" w:ascii="宋体" w:hAnsi="宋体" w:eastAsia="宋体" w:cs="宋体"/>
          <w:b/>
          <w:bCs/>
          <w:color w:val="auto"/>
          <w:spacing w:val="-4"/>
          <w:sz w:val="24"/>
          <w:szCs w:val="24"/>
          <w:highlight w:val="none"/>
        </w:rPr>
      </w:pPr>
      <w:bookmarkStart w:id="245" w:name="_Toc19699"/>
      <w:r>
        <w:rPr>
          <w:rFonts w:hint="eastAsia" w:ascii="宋体" w:hAnsi="宋体" w:eastAsia="宋体" w:cs="宋体"/>
          <w:b/>
          <w:bCs/>
          <w:color w:val="auto"/>
          <w:spacing w:val="-4"/>
          <w:sz w:val="24"/>
          <w:szCs w:val="24"/>
          <w:highlight w:val="none"/>
        </w:rPr>
        <w:t>格式八 项目经理简历表</w:t>
      </w:r>
      <w:bookmarkEnd w:id="245"/>
    </w:p>
    <w:p w14:paraId="1DBA7B98">
      <w:pPr>
        <w:pStyle w:val="5"/>
        <w:spacing w:line="444" w:lineRule="auto"/>
        <w:rPr>
          <w:rFonts w:hint="eastAsia" w:ascii="宋体" w:hAnsi="宋体" w:eastAsia="宋体" w:cs="宋体"/>
          <w:color w:val="auto"/>
          <w:highlight w:val="none"/>
        </w:rPr>
      </w:pPr>
    </w:p>
    <w:p w14:paraId="0CAE90B5">
      <w:pPr>
        <w:spacing w:before="97" w:line="219" w:lineRule="auto"/>
        <w:ind w:left="3538"/>
        <w:outlineLvl w:val="9"/>
        <w:rPr>
          <w:rFonts w:hint="eastAsia" w:ascii="宋体" w:hAnsi="宋体" w:eastAsia="宋体" w:cs="宋体"/>
          <w:color w:val="auto"/>
          <w:sz w:val="30"/>
          <w:szCs w:val="30"/>
          <w:highlight w:val="none"/>
        </w:rPr>
      </w:pPr>
      <w:bookmarkStart w:id="246" w:name="bookmark156"/>
      <w:bookmarkEnd w:id="246"/>
      <w:bookmarkStart w:id="247" w:name="bookmark89"/>
      <w:bookmarkEnd w:id="247"/>
      <w:bookmarkStart w:id="248" w:name="_Toc31533"/>
      <w:bookmarkStart w:id="249" w:name="_Toc24489"/>
      <w:r>
        <w:rPr>
          <w:rFonts w:hint="eastAsia" w:ascii="宋体" w:hAnsi="宋体" w:eastAsia="宋体" w:cs="宋体"/>
          <w:b/>
          <w:bCs/>
          <w:color w:val="auto"/>
          <w:spacing w:val="-5"/>
          <w:sz w:val="30"/>
          <w:szCs w:val="30"/>
          <w:highlight w:val="none"/>
        </w:rPr>
        <w:t>项目经理简历表</w:t>
      </w:r>
      <w:bookmarkEnd w:id="248"/>
      <w:bookmarkEnd w:id="249"/>
    </w:p>
    <w:p w14:paraId="59593258">
      <w:pPr>
        <w:spacing w:line="240" w:lineRule="exact"/>
        <w:rPr>
          <w:rFonts w:hint="eastAsia" w:ascii="宋体" w:hAnsi="宋体" w:eastAsia="宋体" w:cs="宋体"/>
          <w:color w:val="auto"/>
          <w:highlight w:val="none"/>
        </w:rPr>
      </w:pPr>
    </w:p>
    <w:tbl>
      <w:tblPr>
        <w:tblStyle w:val="14"/>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4554F8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vAlign w:val="top"/>
          </w:tcPr>
          <w:p w14:paraId="38F4F2C1">
            <w:pPr>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94" w:type="dxa"/>
            <w:gridSpan w:val="2"/>
            <w:vAlign w:val="top"/>
          </w:tcPr>
          <w:p w14:paraId="0E27BBB7">
            <w:pPr>
              <w:pStyle w:val="22"/>
              <w:rPr>
                <w:rFonts w:hint="eastAsia" w:ascii="宋体" w:hAnsi="宋体" w:eastAsia="宋体" w:cs="宋体"/>
                <w:color w:val="auto"/>
                <w:sz w:val="24"/>
                <w:szCs w:val="24"/>
                <w:highlight w:val="none"/>
              </w:rPr>
            </w:pPr>
          </w:p>
        </w:tc>
        <w:tc>
          <w:tcPr>
            <w:tcW w:w="1357" w:type="dxa"/>
            <w:vAlign w:val="top"/>
          </w:tcPr>
          <w:p w14:paraId="5E64039D">
            <w:pPr>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62" w:type="dxa"/>
            <w:vAlign w:val="top"/>
          </w:tcPr>
          <w:p w14:paraId="68D9664A">
            <w:pPr>
              <w:pStyle w:val="22"/>
              <w:rPr>
                <w:rFonts w:hint="eastAsia" w:ascii="宋体" w:hAnsi="宋体" w:eastAsia="宋体" w:cs="宋体"/>
                <w:color w:val="auto"/>
                <w:sz w:val="24"/>
                <w:szCs w:val="24"/>
                <w:highlight w:val="none"/>
              </w:rPr>
            </w:pPr>
          </w:p>
        </w:tc>
        <w:tc>
          <w:tcPr>
            <w:tcW w:w="1798" w:type="dxa"/>
            <w:vAlign w:val="top"/>
          </w:tcPr>
          <w:p w14:paraId="3FC87041">
            <w:pPr>
              <w:spacing w:before="177" w:line="228" w:lineRule="auto"/>
              <w:ind w:left="48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98" w:type="dxa"/>
            <w:vAlign w:val="top"/>
          </w:tcPr>
          <w:p w14:paraId="02E0EF39">
            <w:pPr>
              <w:pStyle w:val="22"/>
              <w:rPr>
                <w:rFonts w:hint="eastAsia" w:ascii="宋体" w:hAnsi="宋体" w:eastAsia="宋体" w:cs="宋体"/>
                <w:color w:val="auto"/>
                <w:sz w:val="24"/>
                <w:szCs w:val="24"/>
                <w:highlight w:val="none"/>
              </w:rPr>
            </w:pPr>
          </w:p>
        </w:tc>
      </w:tr>
      <w:tr w14:paraId="59723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vAlign w:val="top"/>
          </w:tcPr>
          <w:p w14:paraId="6E04C4D2">
            <w:pPr>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94" w:type="dxa"/>
            <w:gridSpan w:val="2"/>
            <w:vAlign w:val="top"/>
          </w:tcPr>
          <w:p w14:paraId="59BA2A8F">
            <w:pPr>
              <w:pStyle w:val="22"/>
              <w:rPr>
                <w:rFonts w:hint="eastAsia" w:ascii="宋体" w:hAnsi="宋体" w:eastAsia="宋体" w:cs="宋体"/>
                <w:color w:val="auto"/>
                <w:sz w:val="24"/>
                <w:szCs w:val="24"/>
                <w:highlight w:val="none"/>
              </w:rPr>
            </w:pPr>
          </w:p>
        </w:tc>
        <w:tc>
          <w:tcPr>
            <w:tcW w:w="1357" w:type="dxa"/>
            <w:vAlign w:val="top"/>
          </w:tcPr>
          <w:p w14:paraId="5913F49D">
            <w:pPr>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62" w:type="dxa"/>
            <w:vAlign w:val="top"/>
          </w:tcPr>
          <w:p w14:paraId="0D719B3D">
            <w:pPr>
              <w:pStyle w:val="22"/>
              <w:rPr>
                <w:rFonts w:hint="eastAsia" w:ascii="宋体" w:hAnsi="宋体" w:eastAsia="宋体" w:cs="宋体"/>
                <w:color w:val="auto"/>
                <w:sz w:val="24"/>
                <w:szCs w:val="24"/>
                <w:highlight w:val="none"/>
              </w:rPr>
            </w:pPr>
          </w:p>
        </w:tc>
        <w:tc>
          <w:tcPr>
            <w:tcW w:w="1798" w:type="dxa"/>
            <w:vAlign w:val="top"/>
          </w:tcPr>
          <w:p w14:paraId="3C4F5945">
            <w:pPr>
              <w:spacing w:before="175" w:line="230"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98" w:type="dxa"/>
            <w:vAlign w:val="top"/>
          </w:tcPr>
          <w:p w14:paraId="772D8AB2">
            <w:pPr>
              <w:pStyle w:val="22"/>
              <w:rPr>
                <w:rFonts w:hint="eastAsia" w:ascii="宋体" w:hAnsi="宋体" w:eastAsia="宋体" w:cs="宋体"/>
                <w:color w:val="auto"/>
                <w:sz w:val="24"/>
                <w:szCs w:val="24"/>
                <w:highlight w:val="none"/>
              </w:rPr>
            </w:pPr>
          </w:p>
        </w:tc>
      </w:tr>
      <w:tr w14:paraId="41BAF8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vAlign w:val="top"/>
          </w:tcPr>
          <w:p w14:paraId="3D285945">
            <w:pPr>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51" w:type="dxa"/>
            <w:gridSpan w:val="3"/>
            <w:vAlign w:val="top"/>
          </w:tcPr>
          <w:p w14:paraId="4D8E12D6">
            <w:pPr>
              <w:pStyle w:val="22"/>
              <w:rPr>
                <w:rFonts w:hint="eastAsia" w:ascii="宋体" w:hAnsi="宋体" w:eastAsia="宋体" w:cs="宋体"/>
                <w:color w:val="auto"/>
                <w:sz w:val="24"/>
                <w:szCs w:val="24"/>
                <w:highlight w:val="none"/>
              </w:rPr>
            </w:pPr>
          </w:p>
        </w:tc>
        <w:tc>
          <w:tcPr>
            <w:tcW w:w="3860" w:type="dxa"/>
            <w:gridSpan w:val="2"/>
            <w:vAlign w:val="top"/>
          </w:tcPr>
          <w:p w14:paraId="3410F97D">
            <w:pPr>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98" w:type="dxa"/>
            <w:vAlign w:val="top"/>
          </w:tcPr>
          <w:p w14:paraId="5CA4498F">
            <w:pPr>
              <w:pStyle w:val="22"/>
              <w:rPr>
                <w:rFonts w:hint="eastAsia" w:ascii="宋体" w:hAnsi="宋体" w:eastAsia="宋体" w:cs="宋体"/>
                <w:color w:val="auto"/>
                <w:sz w:val="24"/>
                <w:szCs w:val="24"/>
                <w:highlight w:val="none"/>
              </w:rPr>
            </w:pPr>
          </w:p>
        </w:tc>
      </w:tr>
      <w:tr w14:paraId="0792C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vAlign w:val="top"/>
          </w:tcPr>
          <w:p w14:paraId="19780F0C">
            <w:pPr>
              <w:spacing w:before="176" w:line="228" w:lineRule="auto"/>
              <w:ind w:left="23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以项目经理身份参与过的主要业绩（已完工项目）</w:t>
            </w:r>
          </w:p>
        </w:tc>
      </w:tr>
      <w:tr w14:paraId="44C6D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top"/>
          </w:tcPr>
          <w:p w14:paraId="2CA330A6">
            <w:pPr>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24" w:type="dxa"/>
            <w:gridSpan w:val="2"/>
            <w:vAlign w:val="top"/>
          </w:tcPr>
          <w:p w14:paraId="387E6BB1">
            <w:pPr>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37" w:type="dxa"/>
            <w:gridSpan w:val="2"/>
            <w:vAlign w:val="top"/>
          </w:tcPr>
          <w:p w14:paraId="60841D39">
            <w:pPr>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62" w:type="dxa"/>
            <w:vAlign w:val="top"/>
          </w:tcPr>
          <w:p w14:paraId="0511F79F">
            <w:pPr>
              <w:spacing w:before="176" w:line="228" w:lineRule="auto"/>
              <w:ind w:left="26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98" w:type="dxa"/>
            <w:vAlign w:val="top"/>
          </w:tcPr>
          <w:p w14:paraId="1FA090F6">
            <w:pPr>
              <w:spacing w:before="176" w:line="228" w:lineRule="auto"/>
              <w:ind w:left="2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98" w:type="dxa"/>
            <w:vAlign w:val="top"/>
          </w:tcPr>
          <w:p w14:paraId="46379B80">
            <w:pPr>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6216D9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4A3F448C">
            <w:pPr>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24" w:type="dxa"/>
            <w:gridSpan w:val="2"/>
            <w:vAlign w:val="top"/>
          </w:tcPr>
          <w:p w14:paraId="0F1E5CCA">
            <w:pPr>
              <w:pStyle w:val="22"/>
              <w:rPr>
                <w:rFonts w:hint="eastAsia" w:ascii="宋体" w:hAnsi="宋体" w:eastAsia="宋体" w:cs="宋体"/>
                <w:color w:val="auto"/>
                <w:sz w:val="24"/>
                <w:szCs w:val="24"/>
                <w:highlight w:val="none"/>
              </w:rPr>
            </w:pPr>
          </w:p>
        </w:tc>
        <w:tc>
          <w:tcPr>
            <w:tcW w:w="2037" w:type="dxa"/>
            <w:gridSpan w:val="2"/>
            <w:vAlign w:val="top"/>
          </w:tcPr>
          <w:p w14:paraId="78888A3B">
            <w:pPr>
              <w:pStyle w:val="22"/>
              <w:rPr>
                <w:rFonts w:hint="eastAsia" w:ascii="宋体" w:hAnsi="宋体" w:eastAsia="宋体" w:cs="宋体"/>
                <w:color w:val="auto"/>
                <w:sz w:val="24"/>
                <w:szCs w:val="24"/>
                <w:highlight w:val="none"/>
              </w:rPr>
            </w:pPr>
          </w:p>
        </w:tc>
        <w:tc>
          <w:tcPr>
            <w:tcW w:w="2062" w:type="dxa"/>
            <w:vAlign w:val="top"/>
          </w:tcPr>
          <w:p w14:paraId="74289F65">
            <w:pPr>
              <w:pStyle w:val="22"/>
              <w:rPr>
                <w:rFonts w:hint="eastAsia" w:ascii="宋体" w:hAnsi="宋体" w:eastAsia="宋体" w:cs="宋体"/>
                <w:color w:val="auto"/>
                <w:sz w:val="24"/>
                <w:szCs w:val="24"/>
                <w:highlight w:val="none"/>
              </w:rPr>
            </w:pPr>
          </w:p>
        </w:tc>
        <w:tc>
          <w:tcPr>
            <w:tcW w:w="1798" w:type="dxa"/>
            <w:vAlign w:val="top"/>
          </w:tcPr>
          <w:p w14:paraId="22429141">
            <w:pPr>
              <w:pStyle w:val="22"/>
              <w:rPr>
                <w:rFonts w:hint="eastAsia" w:ascii="宋体" w:hAnsi="宋体" w:eastAsia="宋体" w:cs="宋体"/>
                <w:color w:val="auto"/>
                <w:sz w:val="24"/>
                <w:szCs w:val="24"/>
                <w:highlight w:val="none"/>
              </w:rPr>
            </w:pPr>
          </w:p>
        </w:tc>
        <w:tc>
          <w:tcPr>
            <w:tcW w:w="1398" w:type="dxa"/>
            <w:vAlign w:val="top"/>
          </w:tcPr>
          <w:p w14:paraId="0CCA428D">
            <w:pPr>
              <w:pStyle w:val="22"/>
              <w:rPr>
                <w:rFonts w:hint="eastAsia" w:ascii="宋体" w:hAnsi="宋体" w:eastAsia="宋体" w:cs="宋体"/>
                <w:color w:val="auto"/>
                <w:sz w:val="24"/>
                <w:szCs w:val="24"/>
                <w:highlight w:val="none"/>
              </w:rPr>
            </w:pPr>
          </w:p>
        </w:tc>
      </w:tr>
      <w:tr w14:paraId="41D90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top"/>
          </w:tcPr>
          <w:p w14:paraId="2AE59E84">
            <w:pPr>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24" w:type="dxa"/>
            <w:gridSpan w:val="2"/>
            <w:vAlign w:val="top"/>
          </w:tcPr>
          <w:p w14:paraId="64A79A29">
            <w:pPr>
              <w:pStyle w:val="22"/>
              <w:rPr>
                <w:rFonts w:hint="eastAsia" w:ascii="宋体" w:hAnsi="宋体" w:eastAsia="宋体" w:cs="宋体"/>
                <w:color w:val="auto"/>
                <w:sz w:val="24"/>
                <w:szCs w:val="24"/>
                <w:highlight w:val="none"/>
              </w:rPr>
            </w:pPr>
          </w:p>
        </w:tc>
        <w:tc>
          <w:tcPr>
            <w:tcW w:w="2037" w:type="dxa"/>
            <w:gridSpan w:val="2"/>
            <w:vAlign w:val="top"/>
          </w:tcPr>
          <w:p w14:paraId="6061C8EF">
            <w:pPr>
              <w:pStyle w:val="22"/>
              <w:rPr>
                <w:rFonts w:hint="eastAsia" w:ascii="宋体" w:hAnsi="宋体" w:eastAsia="宋体" w:cs="宋体"/>
                <w:color w:val="auto"/>
                <w:sz w:val="24"/>
                <w:szCs w:val="24"/>
                <w:highlight w:val="none"/>
              </w:rPr>
            </w:pPr>
          </w:p>
        </w:tc>
        <w:tc>
          <w:tcPr>
            <w:tcW w:w="2062" w:type="dxa"/>
            <w:vAlign w:val="top"/>
          </w:tcPr>
          <w:p w14:paraId="37C2C8FD">
            <w:pPr>
              <w:pStyle w:val="22"/>
              <w:rPr>
                <w:rFonts w:hint="eastAsia" w:ascii="宋体" w:hAnsi="宋体" w:eastAsia="宋体" w:cs="宋体"/>
                <w:color w:val="auto"/>
                <w:sz w:val="24"/>
                <w:szCs w:val="24"/>
                <w:highlight w:val="none"/>
              </w:rPr>
            </w:pPr>
          </w:p>
        </w:tc>
        <w:tc>
          <w:tcPr>
            <w:tcW w:w="1798" w:type="dxa"/>
            <w:vAlign w:val="top"/>
          </w:tcPr>
          <w:p w14:paraId="35838BEB">
            <w:pPr>
              <w:pStyle w:val="22"/>
              <w:rPr>
                <w:rFonts w:hint="eastAsia" w:ascii="宋体" w:hAnsi="宋体" w:eastAsia="宋体" w:cs="宋体"/>
                <w:color w:val="auto"/>
                <w:sz w:val="24"/>
                <w:szCs w:val="24"/>
                <w:highlight w:val="none"/>
              </w:rPr>
            </w:pPr>
          </w:p>
        </w:tc>
        <w:tc>
          <w:tcPr>
            <w:tcW w:w="1398" w:type="dxa"/>
            <w:vAlign w:val="top"/>
          </w:tcPr>
          <w:p w14:paraId="1A7FF52A">
            <w:pPr>
              <w:pStyle w:val="22"/>
              <w:rPr>
                <w:rFonts w:hint="eastAsia" w:ascii="宋体" w:hAnsi="宋体" w:eastAsia="宋体" w:cs="宋体"/>
                <w:color w:val="auto"/>
                <w:sz w:val="24"/>
                <w:szCs w:val="24"/>
                <w:highlight w:val="none"/>
              </w:rPr>
            </w:pPr>
          </w:p>
        </w:tc>
      </w:tr>
      <w:tr w14:paraId="748CF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49A8215C">
            <w:pPr>
              <w:spacing w:before="213" w:line="195" w:lineRule="auto"/>
              <w:ind w:left="3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24" w:type="dxa"/>
            <w:gridSpan w:val="2"/>
            <w:vAlign w:val="top"/>
          </w:tcPr>
          <w:p w14:paraId="6B3BD65C">
            <w:pPr>
              <w:pStyle w:val="22"/>
              <w:rPr>
                <w:rFonts w:hint="eastAsia" w:ascii="宋体" w:hAnsi="宋体" w:eastAsia="宋体" w:cs="宋体"/>
                <w:color w:val="auto"/>
                <w:sz w:val="24"/>
                <w:szCs w:val="24"/>
                <w:highlight w:val="none"/>
              </w:rPr>
            </w:pPr>
          </w:p>
        </w:tc>
        <w:tc>
          <w:tcPr>
            <w:tcW w:w="2037" w:type="dxa"/>
            <w:gridSpan w:val="2"/>
            <w:vAlign w:val="top"/>
          </w:tcPr>
          <w:p w14:paraId="49395E10">
            <w:pPr>
              <w:pStyle w:val="22"/>
              <w:rPr>
                <w:rFonts w:hint="eastAsia" w:ascii="宋体" w:hAnsi="宋体" w:eastAsia="宋体" w:cs="宋体"/>
                <w:color w:val="auto"/>
                <w:sz w:val="24"/>
                <w:szCs w:val="24"/>
                <w:highlight w:val="none"/>
              </w:rPr>
            </w:pPr>
          </w:p>
        </w:tc>
        <w:tc>
          <w:tcPr>
            <w:tcW w:w="2062" w:type="dxa"/>
            <w:vAlign w:val="top"/>
          </w:tcPr>
          <w:p w14:paraId="38C89432">
            <w:pPr>
              <w:pStyle w:val="22"/>
              <w:rPr>
                <w:rFonts w:hint="eastAsia" w:ascii="宋体" w:hAnsi="宋体" w:eastAsia="宋体" w:cs="宋体"/>
                <w:color w:val="auto"/>
                <w:sz w:val="24"/>
                <w:szCs w:val="24"/>
                <w:highlight w:val="none"/>
              </w:rPr>
            </w:pPr>
          </w:p>
        </w:tc>
        <w:tc>
          <w:tcPr>
            <w:tcW w:w="1798" w:type="dxa"/>
            <w:vAlign w:val="top"/>
          </w:tcPr>
          <w:p w14:paraId="5214B6C3">
            <w:pPr>
              <w:pStyle w:val="22"/>
              <w:rPr>
                <w:rFonts w:hint="eastAsia" w:ascii="宋体" w:hAnsi="宋体" w:eastAsia="宋体" w:cs="宋体"/>
                <w:color w:val="auto"/>
                <w:sz w:val="24"/>
                <w:szCs w:val="24"/>
                <w:highlight w:val="none"/>
              </w:rPr>
            </w:pPr>
          </w:p>
        </w:tc>
        <w:tc>
          <w:tcPr>
            <w:tcW w:w="1398" w:type="dxa"/>
            <w:vAlign w:val="top"/>
          </w:tcPr>
          <w:p w14:paraId="359AD966">
            <w:pPr>
              <w:pStyle w:val="22"/>
              <w:rPr>
                <w:rFonts w:hint="eastAsia" w:ascii="宋体" w:hAnsi="宋体" w:eastAsia="宋体" w:cs="宋体"/>
                <w:color w:val="auto"/>
                <w:sz w:val="24"/>
                <w:szCs w:val="24"/>
                <w:highlight w:val="none"/>
              </w:rPr>
            </w:pPr>
          </w:p>
        </w:tc>
      </w:tr>
      <w:tr w14:paraId="132C3F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top"/>
          </w:tcPr>
          <w:p w14:paraId="203D061C">
            <w:pPr>
              <w:spacing w:before="177" w:line="325"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24" w:type="dxa"/>
            <w:gridSpan w:val="2"/>
            <w:vAlign w:val="top"/>
          </w:tcPr>
          <w:p w14:paraId="3022258E">
            <w:pPr>
              <w:pStyle w:val="22"/>
              <w:rPr>
                <w:rFonts w:hint="eastAsia" w:ascii="宋体" w:hAnsi="宋体" w:eastAsia="宋体" w:cs="宋体"/>
                <w:color w:val="auto"/>
                <w:sz w:val="24"/>
                <w:szCs w:val="24"/>
                <w:highlight w:val="none"/>
              </w:rPr>
            </w:pPr>
          </w:p>
        </w:tc>
        <w:tc>
          <w:tcPr>
            <w:tcW w:w="2037" w:type="dxa"/>
            <w:gridSpan w:val="2"/>
            <w:vAlign w:val="top"/>
          </w:tcPr>
          <w:p w14:paraId="13591C1A">
            <w:pPr>
              <w:pStyle w:val="22"/>
              <w:rPr>
                <w:rFonts w:hint="eastAsia" w:ascii="宋体" w:hAnsi="宋体" w:eastAsia="宋体" w:cs="宋体"/>
                <w:color w:val="auto"/>
                <w:sz w:val="24"/>
                <w:szCs w:val="24"/>
                <w:highlight w:val="none"/>
              </w:rPr>
            </w:pPr>
          </w:p>
        </w:tc>
        <w:tc>
          <w:tcPr>
            <w:tcW w:w="2062" w:type="dxa"/>
            <w:vAlign w:val="top"/>
          </w:tcPr>
          <w:p w14:paraId="7E190888">
            <w:pPr>
              <w:pStyle w:val="22"/>
              <w:rPr>
                <w:rFonts w:hint="eastAsia" w:ascii="宋体" w:hAnsi="宋体" w:eastAsia="宋体" w:cs="宋体"/>
                <w:color w:val="auto"/>
                <w:sz w:val="24"/>
                <w:szCs w:val="24"/>
                <w:highlight w:val="none"/>
              </w:rPr>
            </w:pPr>
          </w:p>
        </w:tc>
        <w:tc>
          <w:tcPr>
            <w:tcW w:w="1798" w:type="dxa"/>
            <w:vAlign w:val="top"/>
          </w:tcPr>
          <w:p w14:paraId="465A33C8">
            <w:pPr>
              <w:pStyle w:val="22"/>
              <w:rPr>
                <w:rFonts w:hint="eastAsia" w:ascii="宋体" w:hAnsi="宋体" w:eastAsia="宋体" w:cs="宋体"/>
                <w:color w:val="auto"/>
                <w:sz w:val="24"/>
                <w:szCs w:val="24"/>
                <w:highlight w:val="none"/>
              </w:rPr>
            </w:pPr>
          </w:p>
        </w:tc>
        <w:tc>
          <w:tcPr>
            <w:tcW w:w="1398" w:type="dxa"/>
            <w:vAlign w:val="top"/>
          </w:tcPr>
          <w:p w14:paraId="3E8CFEF8">
            <w:pPr>
              <w:pStyle w:val="22"/>
              <w:rPr>
                <w:rFonts w:hint="eastAsia" w:ascii="宋体" w:hAnsi="宋体" w:eastAsia="宋体" w:cs="宋体"/>
                <w:color w:val="auto"/>
                <w:sz w:val="24"/>
                <w:szCs w:val="24"/>
                <w:highlight w:val="none"/>
              </w:rPr>
            </w:pPr>
          </w:p>
        </w:tc>
      </w:tr>
    </w:tbl>
    <w:p w14:paraId="31E2A55D">
      <w:pPr>
        <w:pStyle w:val="5"/>
        <w:spacing w:line="315" w:lineRule="auto"/>
        <w:rPr>
          <w:rFonts w:hint="eastAsia" w:ascii="宋体" w:hAnsi="宋体" w:eastAsia="宋体" w:cs="宋体"/>
          <w:color w:val="auto"/>
          <w:highlight w:val="none"/>
        </w:rPr>
      </w:pPr>
    </w:p>
    <w:p w14:paraId="4A488FFC">
      <w:pPr>
        <w:spacing w:before="78" w:line="220" w:lineRule="auto"/>
        <w:ind w:left="696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项目经理</w:t>
      </w:r>
      <w:r>
        <w:rPr>
          <w:rFonts w:hint="eastAsia" w:ascii="宋体" w:hAnsi="宋体" w:eastAsia="宋体" w:cs="宋体"/>
          <w:color w:val="auto"/>
          <w:spacing w:val="-18"/>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3"/>
          <w:sz w:val="24"/>
          <w:szCs w:val="24"/>
          <w:highlight w:val="none"/>
        </w:rPr>
        <w:t>签字）</w:t>
      </w:r>
    </w:p>
    <w:p w14:paraId="55084914">
      <w:pPr>
        <w:pStyle w:val="5"/>
        <w:spacing w:line="256" w:lineRule="auto"/>
        <w:rPr>
          <w:rFonts w:hint="eastAsia" w:ascii="宋体" w:hAnsi="宋体" w:eastAsia="宋体" w:cs="宋体"/>
          <w:color w:val="auto"/>
          <w:highlight w:val="none"/>
        </w:rPr>
      </w:pPr>
    </w:p>
    <w:p w14:paraId="04095A12">
      <w:pPr>
        <w:pStyle w:val="5"/>
        <w:spacing w:line="254" w:lineRule="auto"/>
        <w:jc w:val="right"/>
        <w:rPr>
          <w:rFonts w:hint="eastAsia" w:ascii="宋体" w:hAnsi="宋体" w:eastAsia="宋体" w:cs="宋体"/>
          <w:color w:val="auto"/>
          <w:highlight w:val="none"/>
        </w:rPr>
      </w:pPr>
      <w:r>
        <w:rPr>
          <w:rFonts w:hint="eastAsia" w:ascii="宋体" w:hAnsi="宋体" w:eastAsia="宋体" w:cs="宋体"/>
          <w:color w:val="auto"/>
          <w:spacing w:val="-4"/>
          <w:sz w:val="24"/>
          <w:szCs w:val="24"/>
          <w:highlight w:val="non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39040016">
      <w:pPr>
        <w:spacing w:before="78" w:line="220" w:lineRule="auto"/>
        <w:ind w:left="4226"/>
        <w:jc w:val="center"/>
        <w:rPr>
          <w:rFonts w:hint="eastAsia" w:ascii="宋体" w:hAnsi="宋体" w:eastAsia="宋体" w:cs="宋体"/>
          <w:color w:val="auto"/>
          <w:highlight w:val="none"/>
        </w:rPr>
      </w:pPr>
    </w:p>
    <w:p w14:paraId="09DFFC47">
      <w:pPr>
        <w:pStyle w:val="5"/>
        <w:spacing w:line="241" w:lineRule="auto"/>
        <w:rPr>
          <w:rFonts w:hint="eastAsia" w:ascii="宋体" w:hAnsi="宋体" w:eastAsia="宋体" w:cs="宋体"/>
          <w:color w:val="auto"/>
          <w:highlight w:val="none"/>
        </w:rPr>
      </w:pPr>
    </w:p>
    <w:p w14:paraId="19347D26">
      <w:pPr>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说明：《项目经理简历表》后应附拟派项目经理以下资料：</w:t>
      </w:r>
    </w:p>
    <w:p w14:paraId="5F52ECB2">
      <w:pPr>
        <w:spacing w:before="152" w:line="228" w:lineRule="auto"/>
        <w:ind w:left="484"/>
        <w:outlineLvl w:val="9"/>
        <w:rPr>
          <w:rFonts w:hint="eastAsia" w:ascii="宋体" w:hAnsi="宋体" w:eastAsia="宋体" w:cs="宋体"/>
          <w:color w:val="auto"/>
          <w:sz w:val="24"/>
          <w:szCs w:val="24"/>
          <w:highlight w:val="none"/>
        </w:rPr>
      </w:pPr>
      <w:bookmarkStart w:id="250" w:name="_Toc25271"/>
      <w:bookmarkStart w:id="251" w:name="_Toc1942"/>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bookmarkEnd w:id="250"/>
      <w:bookmarkEnd w:id="251"/>
    </w:p>
    <w:p w14:paraId="4FCFE8D7">
      <w:pPr>
        <w:spacing w:before="153"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8"/>
          <w:sz w:val="24"/>
          <w:szCs w:val="24"/>
          <w:highlight w:val="none"/>
        </w:rPr>
        <w:t>．建造师电子注册证书（在使用有效期内的有效电子证书）彩色扫描件；</w:t>
      </w:r>
    </w:p>
    <w:p w14:paraId="439F755F">
      <w:pPr>
        <w:spacing w:before="154" w:line="298" w:lineRule="auto"/>
        <w:ind w:left="50" w:right="167" w:firstLine="41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3．B 类安全生产考核合格证书彩色扫描件或广东省建筑施工企业管理人员安全生产考核系统考</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7"/>
          <w:sz w:val="24"/>
          <w:szCs w:val="24"/>
          <w:highlight w:val="none"/>
        </w:rPr>
        <w:t>核合格信息彩色扫描件；</w:t>
      </w:r>
    </w:p>
    <w:p w14:paraId="540AD7C6">
      <w:pPr>
        <w:spacing w:before="153" w:line="299" w:lineRule="auto"/>
        <w:ind w:left="49" w:right="167" w:firstLine="41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8"/>
          <w:sz w:val="24"/>
          <w:szCs w:val="24"/>
          <w:highlight w:val="none"/>
        </w:rPr>
        <w:t>．在本单位缴纳社保</w:t>
      </w:r>
      <w:r>
        <w:rPr>
          <w:rFonts w:hint="eastAsia" w:ascii="宋体" w:hAnsi="宋体" w:eastAsia="宋体" w:cs="宋体"/>
          <w:color w:val="auto"/>
          <w:sz w:val="24"/>
          <w:szCs w:val="24"/>
          <w:highlight w:val="none"/>
          <w:lang w:eastAsia="zh-CN"/>
        </w:rPr>
        <w:t>的证明（至少1个月，其中必须有2026年8月）</w:t>
      </w:r>
      <w:r>
        <w:rPr>
          <w:rFonts w:hint="eastAsia" w:ascii="宋体" w:hAnsi="宋体" w:eastAsia="宋体" w:cs="宋体"/>
          <w:color w:val="auto"/>
          <w:spacing w:val="8"/>
          <w:sz w:val="24"/>
          <w:szCs w:val="24"/>
          <w:highlight w:val="none"/>
        </w:rPr>
        <w:t>彩色扫描件或打印件。拟</w:t>
      </w:r>
      <w:r>
        <w:rPr>
          <w:rFonts w:hint="eastAsia" w:ascii="宋体" w:hAnsi="宋体" w:eastAsia="宋体" w:cs="宋体"/>
          <w:color w:val="auto"/>
          <w:spacing w:val="9"/>
          <w:sz w:val="24"/>
          <w:szCs w:val="24"/>
          <w:highlight w:val="none"/>
        </w:rPr>
        <w:t>派项目经理为退休返聘人员无法提供社保证明的，提供退休证和劳动合同彩色扫描件。</w:t>
      </w:r>
    </w:p>
    <w:p w14:paraId="0D76B9F6">
      <w:pPr>
        <w:spacing w:before="150" w:line="300" w:lineRule="auto"/>
        <w:ind w:left="49" w:right="170" w:firstLine="42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5</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7"/>
          <w:sz w:val="24"/>
          <w:szCs w:val="24"/>
          <w:highlight w:val="none"/>
        </w:rPr>
        <w:t>．“进粤企业和人员诚信信息登记平台</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7"/>
          <w:sz w:val="24"/>
          <w:szCs w:val="24"/>
          <w:highlight w:val="none"/>
        </w:rPr>
        <w:t>”个人（项目经理等）信息</w:t>
      </w:r>
      <w:r>
        <w:rPr>
          <w:rFonts w:hint="eastAsia" w:ascii="宋体" w:hAnsi="宋体" w:eastAsia="宋体" w:cs="宋体"/>
          <w:color w:val="auto"/>
          <w:spacing w:val="6"/>
          <w:sz w:val="24"/>
          <w:szCs w:val="24"/>
          <w:highlight w:val="none"/>
        </w:rPr>
        <w:t>情况截图。（适用于省外建</w:t>
      </w:r>
      <w:r>
        <w:rPr>
          <w:rFonts w:hint="eastAsia" w:ascii="宋体" w:hAnsi="宋体" w:eastAsia="宋体" w:cs="宋体"/>
          <w:color w:val="auto"/>
          <w:spacing w:val="4"/>
          <w:sz w:val="24"/>
          <w:szCs w:val="24"/>
          <w:highlight w:val="none"/>
        </w:rPr>
        <w:t>筑企业）</w:t>
      </w:r>
    </w:p>
    <w:p w14:paraId="0073D580">
      <w:pPr>
        <w:spacing w:line="300" w:lineRule="auto"/>
        <w:rPr>
          <w:rFonts w:hint="eastAsia" w:ascii="宋体" w:hAnsi="宋体" w:eastAsia="宋体" w:cs="宋体"/>
          <w:color w:val="auto"/>
          <w:sz w:val="20"/>
          <w:szCs w:val="20"/>
          <w:highlight w:val="none"/>
        </w:rPr>
        <w:sectPr>
          <w:footerReference r:id="rId20"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3EA23D5">
      <w:pPr>
        <w:spacing w:before="78" w:line="220" w:lineRule="auto"/>
        <w:outlineLvl w:val="2"/>
        <w:rPr>
          <w:rFonts w:hint="eastAsia" w:ascii="宋体" w:hAnsi="宋体" w:eastAsia="宋体" w:cs="宋体"/>
          <w:b/>
          <w:bCs/>
          <w:color w:val="auto"/>
          <w:spacing w:val="-4"/>
          <w:sz w:val="24"/>
          <w:szCs w:val="24"/>
          <w:highlight w:val="none"/>
        </w:rPr>
      </w:pPr>
      <w:bookmarkStart w:id="252" w:name="_Toc30661"/>
      <w:r>
        <w:rPr>
          <w:rFonts w:hint="eastAsia" w:ascii="宋体" w:hAnsi="宋体" w:eastAsia="宋体" w:cs="宋体"/>
          <w:b/>
          <w:bCs/>
          <w:color w:val="auto"/>
          <w:spacing w:val="-4"/>
          <w:sz w:val="24"/>
          <w:szCs w:val="24"/>
          <w:highlight w:val="none"/>
        </w:rPr>
        <w:t>格式九 项目经理任职声明</w:t>
      </w:r>
      <w:bookmarkEnd w:id="252"/>
    </w:p>
    <w:p w14:paraId="612F2BD3">
      <w:pPr>
        <w:pStyle w:val="5"/>
        <w:spacing w:line="350" w:lineRule="auto"/>
        <w:rPr>
          <w:rFonts w:hint="eastAsia" w:ascii="宋体" w:hAnsi="宋体" w:eastAsia="宋体" w:cs="宋体"/>
          <w:color w:val="auto"/>
          <w:highlight w:val="none"/>
        </w:rPr>
      </w:pPr>
    </w:p>
    <w:p w14:paraId="64BA9CAE">
      <w:pPr>
        <w:pStyle w:val="5"/>
        <w:spacing w:line="350" w:lineRule="auto"/>
        <w:rPr>
          <w:rFonts w:hint="eastAsia" w:ascii="宋体" w:hAnsi="宋体" w:eastAsia="宋体" w:cs="宋体"/>
          <w:color w:val="auto"/>
          <w:highlight w:val="none"/>
        </w:rPr>
      </w:pPr>
    </w:p>
    <w:p w14:paraId="2CD81D3B">
      <w:pPr>
        <w:spacing w:before="98" w:line="220" w:lineRule="auto"/>
        <w:ind w:left="3338"/>
        <w:rPr>
          <w:rFonts w:hint="eastAsia" w:ascii="宋体" w:hAnsi="宋体" w:eastAsia="宋体" w:cs="宋体"/>
          <w:color w:val="auto"/>
          <w:sz w:val="30"/>
          <w:szCs w:val="30"/>
          <w:highlight w:val="none"/>
        </w:rPr>
      </w:pPr>
      <w:bookmarkStart w:id="253" w:name="bookmark157"/>
      <w:bookmarkEnd w:id="253"/>
      <w:r>
        <w:rPr>
          <w:rFonts w:hint="eastAsia" w:ascii="宋体" w:hAnsi="宋体" w:eastAsia="宋体" w:cs="宋体"/>
          <w:b/>
          <w:bCs/>
          <w:color w:val="auto"/>
          <w:spacing w:val="-5"/>
          <w:sz w:val="30"/>
          <w:szCs w:val="30"/>
          <w:highlight w:val="none"/>
        </w:rPr>
        <w:t>项目经理任职声明</w:t>
      </w:r>
    </w:p>
    <w:p w14:paraId="5E27ED4C">
      <w:pPr>
        <w:pStyle w:val="5"/>
        <w:spacing w:line="250" w:lineRule="auto"/>
        <w:rPr>
          <w:rFonts w:hint="eastAsia" w:ascii="宋体" w:hAnsi="宋体" w:eastAsia="宋体" w:cs="宋体"/>
          <w:color w:val="auto"/>
          <w:highlight w:val="none"/>
        </w:rPr>
      </w:pPr>
    </w:p>
    <w:p w14:paraId="2F282189">
      <w:pPr>
        <w:pStyle w:val="5"/>
        <w:spacing w:line="250" w:lineRule="auto"/>
        <w:rPr>
          <w:rFonts w:hint="eastAsia" w:ascii="宋体" w:hAnsi="宋体" w:eastAsia="宋体" w:cs="宋体"/>
          <w:color w:val="auto"/>
          <w:highlight w:val="none"/>
        </w:rPr>
      </w:pPr>
    </w:p>
    <w:p w14:paraId="5C8AA10A">
      <w:pPr>
        <w:pStyle w:val="5"/>
        <w:spacing w:line="251" w:lineRule="auto"/>
        <w:rPr>
          <w:rFonts w:hint="eastAsia" w:ascii="宋体" w:hAnsi="宋体" w:eastAsia="宋体" w:cs="宋体"/>
          <w:color w:val="auto"/>
          <w:highlight w:val="none"/>
        </w:rPr>
      </w:pPr>
    </w:p>
    <w:p w14:paraId="482F2F4D">
      <w:pPr>
        <w:spacing w:before="78" w:line="221"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致</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17"/>
          <w:sz w:val="24"/>
          <w:szCs w:val="24"/>
          <w:highlight w:val="none"/>
          <w:u w:val="single"/>
          <w:lang w:val="en-US" w:eastAsia="zh-CN"/>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9"/>
          <w:sz w:val="24"/>
          <w:szCs w:val="24"/>
          <w:highlight w:val="none"/>
        </w:rPr>
        <w:t>招标人名称</w:t>
      </w:r>
      <w:r>
        <w:rPr>
          <w:rFonts w:hint="eastAsia" w:ascii="宋体" w:hAnsi="宋体" w:eastAsia="宋体" w:cs="宋体"/>
          <w:color w:val="auto"/>
          <w:spacing w:val="-17"/>
          <w:sz w:val="24"/>
          <w:szCs w:val="24"/>
          <w:highlight w:val="none"/>
        </w:rPr>
        <w:t>）</w:t>
      </w:r>
    </w:p>
    <w:p w14:paraId="0904F3EC">
      <w:pPr>
        <w:spacing w:before="155" w:line="324"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我方在此声明，我方拟派往</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（项目名称）的项目经理</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（项目经理姓名）现阶段没有</w:t>
      </w:r>
      <w:r>
        <w:rPr>
          <w:rFonts w:hint="eastAsia" w:ascii="宋体" w:hAnsi="宋体" w:eastAsia="宋体" w:cs="宋体"/>
          <w:color w:val="auto"/>
          <w:sz w:val="24"/>
          <w:szCs w:val="24"/>
          <w:highlight w:val="none"/>
        </w:rPr>
        <w:t>担任任何在施（包括已中标未开工、已开工未竣工）</w:t>
      </w:r>
      <w:r>
        <w:rPr>
          <w:rFonts w:hint="eastAsia" w:ascii="宋体" w:hAnsi="宋体" w:eastAsia="宋体" w:cs="宋体"/>
          <w:color w:val="auto"/>
          <w:spacing w:val="-1"/>
          <w:sz w:val="24"/>
          <w:szCs w:val="24"/>
          <w:highlight w:val="none"/>
        </w:rPr>
        <w:t>建设工程项目的项目经理。</w:t>
      </w:r>
    </w:p>
    <w:p w14:paraId="640324F8">
      <w:pPr>
        <w:spacing w:before="35" w:line="326" w:lineRule="auto"/>
        <w:ind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我方保证上述信息的真实和准确，并愿意承担因我方就此弄虚作假所引起的一切法</w:t>
      </w:r>
      <w:r>
        <w:rPr>
          <w:rFonts w:hint="eastAsia" w:ascii="宋体" w:hAnsi="宋体" w:eastAsia="宋体" w:cs="宋体"/>
          <w:color w:val="auto"/>
          <w:spacing w:val="-3"/>
          <w:sz w:val="24"/>
          <w:szCs w:val="24"/>
          <w:highlight w:val="none"/>
        </w:rPr>
        <w:t>律后果。</w:t>
      </w:r>
    </w:p>
    <w:p w14:paraId="509BB5DB">
      <w:pPr>
        <w:pStyle w:val="5"/>
        <w:spacing w:line="391" w:lineRule="auto"/>
        <w:rPr>
          <w:rFonts w:hint="eastAsia" w:ascii="宋体" w:hAnsi="宋体" w:eastAsia="宋体" w:cs="宋体"/>
          <w:color w:val="auto"/>
          <w:highlight w:val="none"/>
        </w:rPr>
      </w:pPr>
    </w:p>
    <w:p w14:paraId="7EA0A4E9">
      <w:pPr>
        <w:spacing w:before="78" w:line="220" w:lineRule="auto"/>
        <w:ind w:left="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特此承诺</w:t>
      </w:r>
    </w:p>
    <w:p w14:paraId="47C7F522">
      <w:pPr>
        <w:pStyle w:val="5"/>
        <w:spacing w:line="316" w:lineRule="auto"/>
        <w:rPr>
          <w:rFonts w:hint="eastAsia" w:ascii="宋体" w:hAnsi="宋体" w:eastAsia="宋体" w:cs="宋体"/>
          <w:color w:val="auto"/>
          <w:highlight w:val="none"/>
        </w:rPr>
      </w:pPr>
    </w:p>
    <w:p w14:paraId="166EE9AC">
      <w:pPr>
        <w:pStyle w:val="5"/>
        <w:spacing w:line="317" w:lineRule="auto"/>
        <w:rPr>
          <w:rFonts w:hint="eastAsia" w:ascii="宋体" w:hAnsi="宋体" w:eastAsia="宋体" w:cs="宋体"/>
          <w:color w:val="auto"/>
          <w:highlight w:val="none"/>
        </w:rPr>
      </w:pPr>
    </w:p>
    <w:p w14:paraId="708846AD">
      <w:pPr>
        <w:pStyle w:val="5"/>
        <w:spacing w:line="317" w:lineRule="auto"/>
        <w:rPr>
          <w:rFonts w:hint="eastAsia" w:ascii="宋体" w:hAnsi="宋体" w:eastAsia="宋体" w:cs="宋体"/>
          <w:color w:val="auto"/>
          <w:highlight w:val="none"/>
        </w:rPr>
      </w:pPr>
    </w:p>
    <w:p w14:paraId="07D0B977">
      <w:pPr>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4F711471">
      <w:pPr>
        <w:pStyle w:val="5"/>
        <w:spacing w:line="317" w:lineRule="auto"/>
        <w:rPr>
          <w:rFonts w:hint="eastAsia" w:ascii="宋体" w:hAnsi="宋体" w:eastAsia="宋体" w:cs="宋体"/>
          <w:color w:val="auto"/>
          <w:highlight w:val="none"/>
        </w:rPr>
      </w:pPr>
    </w:p>
    <w:p w14:paraId="38491E5D">
      <w:pPr>
        <w:pStyle w:val="5"/>
        <w:spacing w:line="317" w:lineRule="auto"/>
        <w:rPr>
          <w:rFonts w:hint="eastAsia" w:ascii="宋体" w:hAnsi="宋体" w:eastAsia="宋体" w:cs="宋体"/>
          <w:color w:val="auto"/>
          <w:highlight w:val="none"/>
        </w:rPr>
      </w:pPr>
    </w:p>
    <w:p w14:paraId="2845CC21">
      <w:pPr>
        <w:pStyle w:val="5"/>
        <w:spacing w:line="317" w:lineRule="auto"/>
        <w:rPr>
          <w:rFonts w:hint="eastAsia" w:ascii="宋体" w:hAnsi="宋体" w:eastAsia="宋体" w:cs="宋体"/>
          <w:color w:val="auto"/>
          <w:highlight w:val="none"/>
        </w:rPr>
      </w:pPr>
    </w:p>
    <w:p w14:paraId="270F977A">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4FF68B7A">
      <w:pPr>
        <w:pStyle w:val="5"/>
        <w:spacing w:line="257" w:lineRule="auto"/>
        <w:rPr>
          <w:rFonts w:hint="eastAsia" w:ascii="宋体" w:hAnsi="宋体" w:eastAsia="宋体" w:cs="宋体"/>
          <w:color w:val="auto"/>
          <w:highlight w:val="none"/>
        </w:rPr>
      </w:pPr>
    </w:p>
    <w:p w14:paraId="24BB67B8">
      <w:pPr>
        <w:pStyle w:val="5"/>
        <w:spacing w:line="257" w:lineRule="auto"/>
        <w:rPr>
          <w:rFonts w:hint="eastAsia" w:ascii="宋体" w:hAnsi="宋体" w:eastAsia="宋体" w:cs="宋体"/>
          <w:color w:val="auto"/>
          <w:highlight w:val="none"/>
        </w:rPr>
      </w:pPr>
    </w:p>
    <w:p w14:paraId="1DEB93F9">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9C55D77">
      <w:pPr>
        <w:spacing w:line="220" w:lineRule="auto"/>
        <w:rPr>
          <w:rFonts w:hint="eastAsia" w:ascii="宋体" w:hAnsi="宋体" w:eastAsia="宋体" w:cs="宋体"/>
          <w:color w:val="auto"/>
          <w:sz w:val="24"/>
          <w:szCs w:val="24"/>
          <w:highlight w:val="none"/>
        </w:rPr>
        <w:sectPr>
          <w:footerReference r:id="rId2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C279ED4">
      <w:pPr>
        <w:spacing w:before="78" w:line="220" w:lineRule="auto"/>
        <w:outlineLvl w:val="2"/>
        <w:rPr>
          <w:rFonts w:hint="eastAsia" w:ascii="宋体" w:hAnsi="宋体" w:eastAsia="宋体" w:cs="宋体"/>
          <w:b/>
          <w:bCs/>
          <w:color w:val="auto"/>
          <w:spacing w:val="-4"/>
          <w:sz w:val="24"/>
          <w:szCs w:val="24"/>
          <w:highlight w:val="none"/>
        </w:rPr>
      </w:pPr>
      <w:bookmarkStart w:id="254" w:name="_Toc31071"/>
      <w:r>
        <w:rPr>
          <w:rFonts w:hint="eastAsia" w:ascii="宋体" w:hAnsi="宋体" w:eastAsia="宋体" w:cs="宋体"/>
          <w:b/>
          <w:bCs/>
          <w:color w:val="auto"/>
          <w:spacing w:val="-4"/>
          <w:sz w:val="24"/>
          <w:szCs w:val="24"/>
          <w:highlight w:val="none"/>
        </w:rPr>
        <w:t>格式十 项目技术负责人简历表</w:t>
      </w:r>
      <w:bookmarkEnd w:id="254"/>
    </w:p>
    <w:p w14:paraId="675D0539">
      <w:pPr>
        <w:pStyle w:val="5"/>
        <w:spacing w:line="444" w:lineRule="auto"/>
        <w:rPr>
          <w:rFonts w:hint="eastAsia" w:ascii="宋体" w:hAnsi="宋体" w:eastAsia="宋体" w:cs="宋体"/>
          <w:color w:val="auto"/>
          <w:highlight w:val="none"/>
        </w:rPr>
      </w:pPr>
    </w:p>
    <w:p w14:paraId="0EE5F1FB">
      <w:pPr>
        <w:spacing w:before="97" w:line="219" w:lineRule="auto"/>
        <w:ind w:left="3087"/>
        <w:outlineLvl w:val="9"/>
        <w:rPr>
          <w:rFonts w:hint="eastAsia" w:ascii="宋体" w:hAnsi="宋体" w:eastAsia="宋体" w:cs="宋体"/>
          <w:color w:val="auto"/>
          <w:sz w:val="30"/>
          <w:szCs w:val="30"/>
          <w:highlight w:val="none"/>
        </w:rPr>
      </w:pPr>
      <w:bookmarkStart w:id="255" w:name="_Toc1553"/>
      <w:bookmarkStart w:id="256" w:name="_Toc25712"/>
      <w:r>
        <w:rPr>
          <w:rFonts w:hint="eastAsia" w:ascii="宋体" w:hAnsi="宋体" w:eastAsia="宋体" w:cs="宋体"/>
          <w:b/>
          <w:bCs/>
          <w:color w:val="auto"/>
          <w:spacing w:val="-4"/>
          <w:sz w:val="30"/>
          <w:szCs w:val="30"/>
          <w:highlight w:val="none"/>
        </w:rPr>
        <w:t>项目技术负责人简历表</w:t>
      </w:r>
      <w:bookmarkEnd w:id="255"/>
      <w:bookmarkEnd w:id="256"/>
    </w:p>
    <w:p w14:paraId="0C4EC7B8">
      <w:pPr>
        <w:spacing w:line="240" w:lineRule="exact"/>
        <w:rPr>
          <w:rFonts w:hint="eastAsia" w:ascii="宋体" w:hAnsi="宋体" w:eastAsia="宋体" w:cs="宋体"/>
          <w:color w:val="auto"/>
          <w:highlight w:val="none"/>
        </w:rPr>
      </w:pPr>
    </w:p>
    <w:tbl>
      <w:tblPr>
        <w:tblStyle w:val="14"/>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54649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813" w:type="dxa"/>
            <w:gridSpan w:val="2"/>
            <w:vAlign w:val="top"/>
          </w:tcPr>
          <w:p w14:paraId="07401C12">
            <w:pPr>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82" w:type="dxa"/>
            <w:gridSpan w:val="2"/>
            <w:vAlign w:val="top"/>
          </w:tcPr>
          <w:p w14:paraId="1DDDCFB5">
            <w:pPr>
              <w:pStyle w:val="22"/>
              <w:rPr>
                <w:rFonts w:hint="eastAsia" w:ascii="宋体" w:hAnsi="宋体" w:eastAsia="宋体" w:cs="宋体"/>
                <w:color w:val="auto"/>
                <w:sz w:val="24"/>
                <w:szCs w:val="24"/>
                <w:highlight w:val="none"/>
              </w:rPr>
            </w:pPr>
          </w:p>
        </w:tc>
        <w:tc>
          <w:tcPr>
            <w:tcW w:w="1346" w:type="dxa"/>
            <w:vAlign w:val="top"/>
          </w:tcPr>
          <w:p w14:paraId="3A00E866">
            <w:pPr>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47" w:type="dxa"/>
            <w:vAlign w:val="top"/>
          </w:tcPr>
          <w:p w14:paraId="2C9F5B8C">
            <w:pPr>
              <w:pStyle w:val="22"/>
              <w:rPr>
                <w:rFonts w:hint="eastAsia" w:ascii="宋体" w:hAnsi="宋体" w:eastAsia="宋体" w:cs="宋体"/>
                <w:color w:val="auto"/>
                <w:sz w:val="24"/>
                <w:szCs w:val="24"/>
                <w:highlight w:val="none"/>
              </w:rPr>
            </w:pPr>
          </w:p>
        </w:tc>
        <w:tc>
          <w:tcPr>
            <w:tcW w:w="1783" w:type="dxa"/>
            <w:vAlign w:val="top"/>
          </w:tcPr>
          <w:p w14:paraId="7B35F84B">
            <w:pPr>
              <w:spacing w:before="177" w:line="228" w:lineRule="auto"/>
              <w:ind w:left="48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86" w:type="dxa"/>
            <w:vAlign w:val="top"/>
          </w:tcPr>
          <w:p w14:paraId="60520BF4">
            <w:pPr>
              <w:pStyle w:val="22"/>
              <w:rPr>
                <w:rFonts w:hint="eastAsia" w:ascii="宋体" w:hAnsi="宋体" w:eastAsia="宋体" w:cs="宋体"/>
                <w:color w:val="auto"/>
                <w:sz w:val="24"/>
                <w:szCs w:val="24"/>
                <w:highlight w:val="none"/>
              </w:rPr>
            </w:pPr>
          </w:p>
        </w:tc>
      </w:tr>
      <w:tr w14:paraId="0D966A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vAlign w:val="top"/>
          </w:tcPr>
          <w:p w14:paraId="1C3F8DB8">
            <w:pPr>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82" w:type="dxa"/>
            <w:gridSpan w:val="2"/>
            <w:vAlign w:val="top"/>
          </w:tcPr>
          <w:p w14:paraId="19790CAF">
            <w:pPr>
              <w:pStyle w:val="22"/>
              <w:rPr>
                <w:rFonts w:hint="eastAsia" w:ascii="宋体" w:hAnsi="宋体" w:eastAsia="宋体" w:cs="宋体"/>
                <w:color w:val="auto"/>
                <w:sz w:val="24"/>
                <w:szCs w:val="24"/>
                <w:highlight w:val="none"/>
              </w:rPr>
            </w:pPr>
          </w:p>
        </w:tc>
        <w:tc>
          <w:tcPr>
            <w:tcW w:w="1346" w:type="dxa"/>
            <w:vAlign w:val="top"/>
          </w:tcPr>
          <w:p w14:paraId="1732E3C0">
            <w:pPr>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47" w:type="dxa"/>
            <w:vAlign w:val="top"/>
          </w:tcPr>
          <w:p w14:paraId="481B37E4">
            <w:pPr>
              <w:pStyle w:val="22"/>
              <w:rPr>
                <w:rFonts w:hint="eastAsia" w:ascii="宋体" w:hAnsi="宋体" w:eastAsia="宋体" w:cs="宋体"/>
                <w:color w:val="auto"/>
                <w:sz w:val="24"/>
                <w:szCs w:val="24"/>
                <w:highlight w:val="none"/>
              </w:rPr>
            </w:pPr>
          </w:p>
        </w:tc>
        <w:tc>
          <w:tcPr>
            <w:tcW w:w="1783" w:type="dxa"/>
            <w:vAlign w:val="top"/>
          </w:tcPr>
          <w:p w14:paraId="56AB3CDE">
            <w:pPr>
              <w:spacing w:before="175" w:line="230" w:lineRule="auto"/>
              <w:ind w:left="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86" w:type="dxa"/>
            <w:vAlign w:val="top"/>
          </w:tcPr>
          <w:p w14:paraId="5C9CA710">
            <w:pPr>
              <w:pStyle w:val="22"/>
              <w:rPr>
                <w:rFonts w:hint="eastAsia" w:ascii="宋体" w:hAnsi="宋体" w:eastAsia="宋体" w:cs="宋体"/>
                <w:color w:val="auto"/>
                <w:sz w:val="24"/>
                <w:szCs w:val="24"/>
                <w:highlight w:val="none"/>
              </w:rPr>
            </w:pPr>
          </w:p>
        </w:tc>
      </w:tr>
      <w:tr w14:paraId="06ECC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813" w:type="dxa"/>
            <w:gridSpan w:val="2"/>
            <w:vAlign w:val="top"/>
          </w:tcPr>
          <w:p w14:paraId="2C6D39E6">
            <w:pPr>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28" w:type="dxa"/>
            <w:gridSpan w:val="3"/>
            <w:vAlign w:val="top"/>
          </w:tcPr>
          <w:p w14:paraId="51D2A335">
            <w:pPr>
              <w:pStyle w:val="22"/>
              <w:rPr>
                <w:rFonts w:hint="eastAsia" w:ascii="宋体" w:hAnsi="宋体" w:eastAsia="宋体" w:cs="宋体"/>
                <w:color w:val="auto"/>
                <w:sz w:val="24"/>
                <w:szCs w:val="24"/>
                <w:highlight w:val="none"/>
              </w:rPr>
            </w:pPr>
          </w:p>
        </w:tc>
        <w:tc>
          <w:tcPr>
            <w:tcW w:w="3830" w:type="dxa"/>
            <w:gridSpan w:val="2"/>
            <w:vAlign w:val="top"/>
          </w:tcPr>
          <w:p w14:paraId="43C0FC45">
            <w:pPr>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86" w:type="dxa"/>
            <w:vAlign w:val="top"/>
          </w:tcPr>
          <w:p w14:paraId="75D20512">
            <w:pPr>
              <w:pStyle w:val="22"/>
              <w:rPr>
                <w:rFonts w:hint="eastAsia" w:ascii="宋体" w:hAnsi="宋体" w:eastAsia="宋体" w:cs="宋体"/>
                <w:color w:val="auto"/>
                <w:sz w:val="24"/>
                <w:szCs w:val="24"/>
                <w:highlight w:val="none"/>
              </w:rPr>
            </w:pPr>
          </w:p>
        </w:tc>
      </w:tr>
      <w:tr w14:paraId="40C133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vAlign w:val="top"/>
          </w:tcPr>
          <w:p w14:paraId="43E8CDA2">
            <w:pPr>
              <w:spacing w:before="176" w:line="228" w:lineRule="auto"/>
              <w:ind w:left="204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以项目技术负责人身份参与过的主要业绩（已完工项目）</w:t>
            </w:r>
          </w:p>
        </w:tc>
      </w:tr>
      <w:tr w14:paraId="705EE7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vAlign w:val="top"/>
          </w:tcPr>
          <w:p w14:paraId="36F5A08A">
            <w:pPr>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10" w:type="dxa"/>
            <w:gridSpan w:val="2"/>
            <w:vAlign w:val="top"/>
          </w:tcPr>
          <w:p w14:paraId="1A081902">
            <w:pPr>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21" w:type="dxa"/>
            <w:gridSpan w:val="2"/>
            <w:vAlign w:val="top"/>
          </w:tcPr>
          <w:p w14:paraId="773730B3">
            <w:pPr>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47" w:type="dxa"/>
            <w:vAlign w:val="top"/>
          </w:tcPr>
          <w:p w14:paraId="271BA220">
            <w:pPr>
              <w:spacing w:before="176"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83" w:type="dxa"/>
            <w:vAlign w:val="top"/>
          </w:tcPr>
          <w:p w14:paraId="26A77878">
            <w:pPr>
              <w:spacing w:before="176" w:line="228" w:lineRule="auto"/>
              <w:ind w:left="23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86" w:type="dxa"/>
            <w:vAlign w:val="top"/>
          </w:tcPr>
          <w:p w14:paraId="311F0986">
            <w:pPr>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60A13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49B2F7FC">
            <w:pPr>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10" w:type="dxa"/>
            <w:gridSpan w:val="2"/>
            <w:vAlign w:val="top"/>
          </w:tcPr>
          <w:p w14:paraId="1D017C43">
            <w:pPr>
              <w:pStyle w:val="22"/>
              <w:rPr>
                <w:rFonts w:hint="eastAsia" w:ascii="宋体" w:hAnsi="宋体" w:eastAsia="宋体" w:cs="宋体"/>
                <w:color w:val="auto"/>
                <w:sz w:val="24"/>
                <w:szCs w:val="24"/>
                <w:highlight w:val="none"/>
              </w:rPr>
            </w:pPr>
          </w:p>
        </w:tc>
        <w:tc>
          <w:tcPr>
            <w:tcW w:w="2021" w:type="dxa"/>
            <w:gridSpan w:val="2"/>
            <w:vAlign w:val="top"/>
          </w:tcPr>
          <w:p w14:paraId="270436EC">
            <w:pPr>
              <w:pStyle w:val="22"/>
              <w:rPr>
                <w:rFonts w:hint="eastAsia" w:ascii="宋体" w:hAnsi="宋体" w:eastAsia="宋体" w:cs="宋体"/>
                <w:color w:val="auto"/>
                <w:sz w:val="24"/>
                <w:szCs w:val="24"/>
                <w:highlight w:val="none"/>
              </w:rPr>
            </w:pPr>
          </w:p>
        </w:tc>
        <w:tc>
          <w:tcPr>
            <w:tcW w:w="2047" w:type="dxa"/>
            <w:vAlign w:val="top"/>
          </w:tcPr>
          <w:p w14:paraId="254FE938">
            <w:pPr>
              <w:pStyle w:val="22"/>
              <w:rPr>
                <w:rFonts w:hint="eastAsia" w:ascii="宋体" w:hAnsi="宋体" w:eastAsia="宋体" w:cs="宋体"/>
                <w:color w:val="auto"/>
                <w:sz w:val="24"/>
                <w:szCs w:val="24"/>
                <w:highlight w:val="none"/>
              </w:rPr>
            </w:pPr>
          </w:p>
        </w:tc>
        <w:tc>
          <w:tcPr>
            <w:tcW w:w="1783" w:type="dxa"/>
            <w:vAlign w:val="top"/>
          </w:tcPr>
          <w:p w14:paraId="355EA15C">
            <w:pPr>
              <w:pStyle w:val="22"/>
              <w:rPr>
                <w:rFonts w:hint="eastAsia" w:ascii="宋体" w:hAnsi="宋体" w:eastAsia="宋体" w:cs="宋体"/>
                <w:color w:val="auto"/>
                <w:sz w:val="24"/>
                <w:szCs w:val="24"/>
                <w:highlight w:val="none"/>
              </w:rPr>
            </w:pPr>
          </w:p>
        </w:tc>
        <w:tc>
          <w:tcPr>
            <w:tcW w:w="1386" w:type="dxa"/>
            <w:vAlign w:val="top"/>
          </w:tcPr>
          <w:p w14:paraId="3A063067">
            <w:pPr>
              <w:pStyle w:val="22"/>
              <w:rPr>
                <w:rFonts w:hint="eastAsia" w:ascii="宋体" w:hAnsi="宋体" w:eastAsia="宋体" w:cs="宋体"/>
                <w:color w:val="auto"/>
                <w:sz w:val="24"/>
                <w:szCs w:val="24"/>
                <w:highlight w:val="none"/>
              </w:rPr>
            </w:pPr>
          </w:p>
        </w:tc>
      </w:tr>
      <w:tr w14:paraId="76EDB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vAlign w:val="top"/>
          </w:tcPr>
          <w:p w14:paraId="08B6618B">
            <w:pPr>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10" w:type="dxa"/>
            <w:gridSpan w:val="2"/>
            <w:vAlign w:val="top"/>
          </w:tcPr>
          <w:p w14:paraId="0C5944E3">
            <w:pPr>
              <w:pStyle w:val="22"/>
              <w:rPr>
                <w:rFonts w:hint="eastAsia" w:ascii="宋体" w:hAnsi="宋体" w:eastAsia="宋体" w:cs="宋体"/>
                <w:color w:val="auto"/>
                <w:sz w:val="24"/>
                <w:szCs w:val="24"/>
                <w:highlight w:val="none"/>
              </w:rPr>
            </w:pPr>
          </w:p>
        </w:tc>
        <w:tc>
          <w:tcPr>
            <w:tcW w:w="2021" w:type="dxa"/>
            <w:gridSpan w:val="2"/>
            <w:vAlign w:val="top"/>
          </w:tcPr>
          <w:p w14:paraId="4FF33181">
            <w:pPr>
              <w:pStyle w:val="22"/>
              <w:rPr>
                <w:rFonts w:hint="eastAsia" w:ascii="宋体" w:hAnsi="宋体" w:eastAsia="宋体" w:cs="宋体"/>
                <w:color w:val="auto"/>
                <w:sz w:val="24"/>
                <w:szCs w:val="24"/>
                <w:highlight w:val="none"/>
              </w:rPr>
            </w:pPr>
          </w:p>
        </w:tc>
        <w:tc>
          <w:tcPr>
            <w:tcW w:w="2047" w:type="dxa"/>
            <w:vAlign w:val="top"/>
          </w:tcPr>
          <w:p w14:paraId="7DB0E2CE">
            <w:pPr>
              <w:pStyle w:val="22"/>
              <w:rPr>
                <w:rFonts w:hint="eastAsia" w:ascii="宋体" w:hAnsi="宋体" w:eastAsia="宋体" w:cs="宋体"/>
                <w:color w:val="auto"/>
                <w:sz w:val="24"/>
                <w:szCs w:val="24"/>
                <w:highlight w:val="none"/>
              </w:rPr>
            </w:pPr>
          </w:p>
        </w:tc>
        <w:tc>
          <w:tcPr>
            <w:tcW w:w="1783" w:type="dxa"/>
            <w:vAlign w:val="top"/>
          </w:tcPr>
          <w:p w14:paraId="026AE2C4">
            <w:pPr>
              <w:pStyle w:val="22"/>
              <w:rPr>
                <w:rFonts w:hint="eastAsia" w:ascii="宋体" w:hAnsi="宋体" w:eastAsia="宋体" w:cs="宋体"/>
                <w:color w:val="auto"/>
                <w:sz w:val="24"/>
                <w:szCs w:val="24"/>
                <w:highlight w:val="none"/>
              </w:rPr>
            </w:pPr>
          </w:p>
        </w:tc>
        <w:tc>
          <w:tcPr>
            <w:tcW w:w="1386" w:type="dxa"/>
            <w:vAlign w:val="top"/>
          </w:tcPr>
          <w:p w14:paraId="371023C5">
            <w:pPr>
              <w:pStyle w:val="22"/>
              <w:rPr>
                <w:rFonts w:hint="eastAsia" w:ascii="宋体" w:hAnsi="宋体" w:eastAsia="宋体" w:cs="宋体"/>
                <w:color w:val="auto"/>
                <w:sz w:val="24"/>
                <w:szCs w:val="24"/>
                <w:highlight w:val="none"/>
              </w:rPr>
            </w:pPr>
          </w:p>
        </w:tc>
      </w:tr>
      <w:tr w14:paraId="69277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F6C5487">
            <w:pPr>
              <w:spacing w:before="178" w:line="324"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10" w:type="dxa"/>
            <w:gridSpan w:val="2"/>
            <w:vAlign w:val="top"/>
          </w:tcPr>
          <w:p w14:paraId="4A2416CF">
            <w:pPr>
              <w:pStyle w:val="22"/>
              <w:rPr>
                <w:rFonts w:hint="eastAsia" w:ascii="宋体" w:hAnsi="宋体" w:eastAsia="宋体" w:cs="宋体"/>
                <w:color w:val="auto"/>
                <w:sz w:val="24"/>
                <w:szCs w:val="24"/>
                <w:highlight w:val="none"/>
              </w:rPr>
            </w:pPr>
          </w:p>
        </w:tc>
        <w:tc>
          <w:tcPr>
            <w:tcW w:w="2021" w:type="dxa"/>
            <w:gridSpan w:val="2"/>
            <w:vAlign w:val="top"/>
          </w:tcPr>
          <w:p w14:paraId="5DC4416F">
            <w:pPr>
              <w:pStyle w:val="22"/>
              <w:rPr>
                <w:rFonts w:hint="eastAsia" w:ascii="宋体" w:hAnsi="宋体" w:eastAsia="宋体" w:cs="宋体"/>
                <w:color w:val="auto"/>
                <w:sz w:val="24"/>
                <w:szCs w:val="24"/>
                <w:highlight w:val="none"/>
              </w:rPr>
            </w:pPr>
          </w:p>
        </w:tc>
        <w:tc>
          <w:tcPr>
            <w:tcW w:w="2047" w:type="dxa"/>
            <w:vAlign w:val="top"/>
          </w:tcPr>
          <w:p w14:paraId="2AF0F04E">
            <w:pPr>
              <w:pStyle w:val="22"/>
              <w:rPr>
                <w:rFonts w:hint="eastAsia" w:ascii="宋体" w:hAnsi="宋体" w:eastAsia="宋体" w:cs="宋体"/>
                <w:color w:val="auto"/>
                <w:sz w:val="24"/>
                <w:szCs w:val="24"/>
                <w:highlight w:val="none"/>
              </w:rPr>
            </w:pPr>
          </w:p>
        </w:tc>
        <w:tc>
          <w:tcPr>
            <w:tcW w:w="1783" w:type="dxa"/>
            <w:vAlign w:val="top"/>
          </w:tcPr>
          <w:p w14:paraId="400EE5B7">
            <w:pPr>
              <w:pStyle w:val="22"/>
              <w:rPr>
                <w:rFonts w:hint="eastAsia" w:ascii="宋体" w:hAnsi="宋体" w:eastAsia="宋体" w:cs="宋体"/>
                <w:color w:val="auto"/>
                <w:sz w:val="24"/>
                <w:szCs w:val="24"/>
                <w:highlight w:val="none"/>
              </w:rPr>
            </w:pPr>
          </w:p>
        </w:tc>
        <w:tc>
          <w:tcPr>
            <w:tcW w:w="1386" w:type="dxa"/>
            <w:vAlign w:val="top"/>
          </w:tcPr>
          <w:p w14:paraId="1734BD0B">
            <w:pPr>
              <w:pStyle w:val="22"/>
              <w:rPr>
                <w:rFonts w:hint="eastAsia" w:ascii="宋体" w:hAnsi="宋体" w:eastAsia="宋体" w:cs="宋体"/>
                <w:color w:val="auto"/>
                <w:sz w:val="24"/>
                <w:szCs w:val="24"/>
                <w:highlight w:val="none"/>
              </w:rPr>
            </w:pPr>
          </w:p>
        </w:tc>
      </w:tr>
      <w:tr w14:paraId="58719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EA1F3C9">
            <w:pPr>
              <w:pStyle w:val="22"/>
              <w:rPr>
                <w:rFonts w:hint="eastAsia" w:ascii="宋体" w:hAnsi="宋体" w:eastAsia="宋体" w:cs="宋体"/>
                <w:color w:val="auto"/>
                <w:sz w:val="24"/>
                <w:szCs w:val="24"/>
                <w:highlight w:val="none"/>
              </w:rPr>
            </w:pPr>
          </w:p>
        </w:tc>
        <w:tc>
          <w:tcPr>
            <w:tcW w:w="1610" w:type="dxa"/>
            <w:gridSpan w:val="2"/>
            <w:vAlign w:val="top"/>
          </w:tcPr>
          <w:p w14:paraId="698F5787">
            <w:pPr>
              <w:pStyle w:val="22"/>
              <w:rPr>
                <w:rFonts w:hint="eastAsia" w:ascii="宋体" w:hAnsi="宋体" w:eastAsia="宋体" w:cs="宋体"/>
                <w:color w:val="auto"/>
                <w:sz w:val="24"/>
                <w:szCs w:val="24"/>
                <w:highlight w:val="none"/>
              </w:rPr>
            </w:pPr>
          </w:p>
        </w:tc>
        <w:tc>
          <w:tcPr>
            <w:tcW w:w="2021" w:type="dxa"/>
            <w:gridSpan w:val="2"/>
            <w:vAlign w:val="top"/>
          </w:tcPr>
          <w:p w14:paraId="69858A0D">
            <w:pPr>
              <w:pStyle w:val="22"/>
              <w:rPr>
                <w:rFonts w:hint="eastAsia" w:ascii="宋体" w:hAnsi="宋体" w:eastAsia="宋体" w:cs="宋体"/>
                <w:color w:val="auto"/>
                <w:sz w:val="24"/>
                <w:szCs w:val="24"/>
                <w:highlight w:val="none"/>
              </w:rPr>
            </w:pPr>
          </w:p>
        </w:tc>
        <w:tc>
          <w:tcPr>
            <w:tcW w:w="2047" w:type="dxa"/>
            <w:vAlign w:val="top"/>
          </w:tcPr>
          <w:p w14:paraId="2BD7DCDB">
            <w:pPr>
              <w:pStyle w:val="22"/>
              <w:rPr>
                <w:rFonts w:hint="eastAsia" w:ascii="宋体" w:hAnsi="宋体" w:eastAsia="宋体" w:cs="宋体"/>
                <w:color w:val="auto"/>
                <w:sz w:val="24"/>
                <w:szCs w:val="24"/>
                <w:highlight w:val="none"/>
              </w:rPr>
            </w:pPr>
          </w:p>
        </w:tc>
        <w:tc>
          <w:tcPr>
            <w:tcW w:w="1783" w:type="dxa"/>
            <w:vAlign w:val="top"/>
          </w:tcPr>
          <w:p w14:paraId="4D125A3E">
            <w:pPr>
              <w:pStyle w:val="22"/>
              <w:rPr>
                <w:rFonts w:hint="eastAsia" w:ascii="宋体" w:hAnsi="宋体" w:eastAsia="宋体" w:cs="宋体"/>
                <w:color w:val="auto"/>
                <w:sz w:val="24"/>
                <w:szCs w:val="24"/>
                <w:highlight w:val="none"/>
              </w:rPr>
            </w:pPr>
          </w:p>
        </w:tc>
        <w:tc>
          <w:tcPr>
            <w:tcW w:w="1386" w:type="dxa"/>
            <w:vAlign w:val="top"/>
          </w:tcPr>
          <w:p w14:paraId="39C6E406">
            <w:pPr>
              <w:pStyle w:val="22"/>
              <w:rPr>
                <w:rFonts w:hint="eastAsia" w:ascii="宋体" w:hAnsi="宋体" w:eastAsia="宋体" w:cs="宋体"/>
                <w:color w:val="auto"/>
                <w:sz w:val="24"/>
                <w:szCs w:val="24"/>
                <w:highlight w:val="none"/>
              </w:rPr>
            </w:pPr>
          </w:p>
        </w:tc>
      </w:tr>
      <w:tr w14:paraId="320ED6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vAlign w:val="top"/>
          </w:tcPr>
          <w:p w14:paraId="2C145747">
            <w:pPr>
              <w:pStyle w:val="22"/>
              <w:rPr>
                <w:rFonts w:hint="eastAsia" w:ascii="宋体" w:hAnsi="宋体" w:eastAsia="宋体" w:cs="宋体"/>
                <w:color w:val="auto"/>
                <w:sz w:val="24"/>
                <w:szCs w:val="24"/>
                <w:highlight w:val="none"/>
              </w:rPr>
            </w:pPr>
          </w:p>
        </w:tc>
        <w:tc>
          <w:tcPr>
            <w:tcW w:w="1610" w:type="dxa"/>
            <w:gridSpan w:val="2"/>
            <w:vAlign w:val="top"/>
          </w:tcPr>
          <w:p w14:paraId="51FAB6E2">
            <w:pPr>
              <w:pStyle w:val="22"/>
              <w:rPr>
                <w:rFonts w:hint="eastAsia" w:ascii="宋体" w:hAnsi="宋体" w:eastAsia="宋体" w:cs="宋体"/>
                <w:color w:val="auto"/>
                <w:sz w:val="24"/>
                <w:szCs w:val="24"/>
                <w:highlight w:val="none"/>
              </w:rPr>
            </w:pPr>
          </w:p>
        </w:tc>
        <w:tc>
          <w:tcPr>
            <w:tcW w:w="2021" w:type="dxa"/>
            <w:gridSpan w:val="2"/>
            <w:vAlign w:val="top"/>
          </w:tcPr>
          <w:p w14:paraId="61875FD1">
            <w:pPr>
              <w:pStyle w:val="22"/>
              <w:rPr>
                <w:rFonts w:hint="eastAsia" w:ascii="宋体" w:hAnsi="宋体" w:eastAsia="宋体" w:cs="宋体"/>
                <w:color w:val="auto"/>
                <w:sz w:val="24"/>
                <w:szCs w:val="24"/>
                <w:highlight w:val="none"/>
              </w:rPr>
            </w:pPr>
          </w:p>
        </w:tc>
        <w:tc>
          <w:tcPr>
            <w:tcW w:w="2047" w:type="dxa"/>
            <w:vAlign w:val="top"/>
          </w:tcPr>
          <w:p w14:paraId="404E5FF7">
            <w:pPr>
              <w:pStyle w:val="22"/>
              <w:rPr>
                <w:rFonts w:hint="eastAsia" w:ascii="宋体" w:hAnsi="宋体" w:eastAsia="宋体" w:cs="宋体"/>
                <w:color w:val="auto"/>
                <w:sz w:val="24"/>
                <w:szCs w:val="24"/>
                <w:highlight w:val="none"/>
              </w:rPr>
            </w:pPr>
          </w:p>
        </w:tc>
        <w:tc>
          <w:tcPr>
            <w:tcW w:w="1783" w:type="dxa"/>
            <w:vAlign w:val="top"/>
          </w:tcPr>
          <w:p w14:paraId="6ADD1E7F">
            <w:pPr>
              <w:pStyle w:val="22"/>
              <w:rPr>
                <w:rFonts w:hint="eastAsia" w:ascii="宋体" w:hAnsi="宋体" w:eastAsia="宋体" w:cs="宋体"/>
                <w:color w:val="auto"/>
                <w:sz w:val="24"/>
                <w:szCs w:val="24"/>
                <w:highlight w:val="none"/>
              </w:rPr>
            </w:pPr>
          </w:p>
        </w:tc>
        <w:tc>
          <w:tcPr>
            <w:tcW w:w="1386" w:type="dxa"/>
            <w:vAlign w:val="top"/>
          </w:tcPr>
          <w:p w14:paraId="384217C7">
            <w:pPr>
              <w:pStyle w:val="22"/>
              <w:rPr>
                <w:rFonts w:hint="eastAsia" w:ascii="宋体" w:hAnsi="宋体" w:eastAsia="宋体" w:cs="宋体"/>
                <w:color w:val="auto"/>
                <w:sz w:val="24"/>
                <w:szCs w:val="24"/>
                <w:highlight w:val="none"/>
              </w:rPr>
            </w:pPr>
          </w:p>
        </w:tc>
      </w:tr>
    </w:tbl>
    <w:p w14:paraId="45EB821D">
      <w:pPr>
        <w:pStyle w:val="5"/>
        <w:spacing w:line="314" w:lineRule="auto"/>
        <w:rPr>
          <w:rFonts w:hint="eastAsia" w:ascii="宋体" w:hAnsi="宋体" w:eastAsia="宋体" w:cs="宋体"/>
          <w:color w:val="auto"/>
          <w:sz w:val="24"/>
          <w:szCs w:val="24"/>
          <w:highlight w:val="none"/>
        </w:rPr>
      </w:pPr>
    </w:p>
    <w:p w14:paraId="02839B71">
      <w:pPr>
        <w:pStyle w:val="5"/>
        <w:spacing w:line="315" w:lineRule="auto"/>
        <w:rPr>
          <w:rFonts w:hint="eastAsia" w:ascii="宋体" w:hAnsi="宋体" w:eastAsia="宋体" w:cs="宋体"/>
          <w:color w:val="auto"/>
          <w:sz w:val="24"/>
          <w:szCs w:val="24"/>
          <w:highlight w:val="none"/>
        </w:rPr>
      </w:pPr>
    </w:p>
    <w:p w14:paraId="75FEC917">
      <w:pPr>
        <w:pStyle w:val="5"/>
        <w:spacing w:line="315" w:lineRule="auto"/>
        <w:rPr>
          <w:rFonts w:hint="eastAsia" w:ascii="宋体" w:hAnsi="宋体" w:eastAsia="宋体" w:cs="宋体"/>
          <w:color w:val="auto"/>
          <w:sz w:val="24"/>
          <w:szCs w:val="24"/>
          <w:highlight w:val="none"/>
        </w:rPr>
      </w:pPr>
    </w:p>
    <w:p w14:paraId="443E0EA6">
      <w:pPr>
        <w:spacing w:before="78" w:line="220" w:lineRule="auto"/>
        <w:ind w:left="5165"/>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项目技术负责人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2"/>
          <w:sz w:val="24"/>
          <w:szCs w:val="24"/>
          <w:highlight w:val="none"/>
        </w:rPr>
        <w:t>签字）</w:t>
      </w:r>
    </w:p>
    <w:p w14:paraId="06231E95">
      <w:pPr>
        <w:pStyle w:val="5"/>
        <w:spacing w:line="256" w:lineRule="auto"/>
        <w:jc w:val="right"/>
        <w:rPr>
          <w:rFonts w:hint="eastAsia" w:ascii="宋体" w:hAnsi="宋体" w:eastAsia="宋体" w:cs="宋体"/>
          <w:color w:val="auto"/>
          <w:sz w:val="24"/>
          <w:szCs w:val="24"/>
          <w:highlight w:val="none"/>
        </w:rPr>
      </w:pPr>
    </w:p>
    <w:p w14:paraId="48AD0385">
      <w:pPr>
        <w:pStyle w:val="5"/>
        <w:spacing w:line="257" w:lineRule="auto"/>
        <w:jc w:val="right"/>
        <w:rPr>
          <w:rFonts w:hint="eastAsia" w:ascii="宋体" w:hAnsi="宋体" w:eastAsia="宋体" w:cs="宋体"/>
          <w:color w:val="auto"/>
          <w:sz w:val="24"/>
          <w:szCs w:val="24"/>
          <w:highlight w:val="none"/>
        </w:rPr>
      </w:pPr>
    </w:p>
    <w:p w14:paraId="50CB5F37">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1408BD7">
      <w:pPr>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说明：《项目技术负责人简历表》后应附拟派项目技术负责人以下资料：</w:t>
      </w:r>
    </w:p>
    <w:p w14:paraId="2DD6422C">
      <w:pPr>
        <w:spacing w:before="155" w:line="228" w:lineRule="auto"/>
        <w:ind w:left="484"/>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p>
    <w:p w14:paraId="2AC7099F">
      <w:pPr>
        <w:spacing w:before="151"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2</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5"/>
          <w:sz w:val="24"/>
          <w:szCs w:val="24"/>
          <w:highlight w:val="none"/>
        </w:rPr>
        <w:t>．职称证彩色扫描件；</w:t>
      </w:r>
    </w:p>
    <w:p w14:paraId="531EC1B5">
      <w:pPr>
        <w:spacing w:before="153" w:line="299" w:lineRule="auto"/>
        <w:ind w:left="47" w:right="95" w:firstLine="42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8"/>
          <w:sz w:val="24"/>
          <w:szCs w:val="24"/>
          <w:highlight w:val="none"/>
        </w:rPr>
        <w:t>．在本单位缴纳社保的证明（</w:t>
      </w:r>
      <w:r>
        <w:rPr>
          <w:rFonts w:hint="eastAsia" w:ascii="宋体" w:hAnsi="宋体" w:eastAsia="宋体" w:cs="宋体"/>
          <w:color w:val="auto"/>
          <w:sz w:val="24"/>
          <w:szCs w:val="24"/>
          <w:highlight w:val="none"/>
          <w:lang w:eastAsia="zh-CN"/>
        </w:rPr>
        <w:t>至少1个月，其中必须有 2026年8月</w:t>
      </w:r>
      <w:r>
        <w:rPr>
          <w:rFonts w:hint="eastAsia" w:ascii="宋体" w:hAnsi="宋体" w:eastAsia="宋体" w:cs="宋体"/>
          <w:color w:val="auto"/>
          <w:spacing w:val="8"/>
          <w:sz w:val="24"/>
          <w:szCs w:val="24"/>
          <w:highlight w:val="none"/>
        </w:rPr>
        <w:t>）彩色扫描件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784C2F67">
      <w:pPr>
        <w:spacing w:before="153" w:line="228" w:lineRule="auto"/>
        <w:ind w:left="46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8"/>
          <w:sz w:val="24"/>
          <w:szCs w:val="24"/>
          <w:highlight w:val="none"/>
        </w:rPr>
        <w:t>．“进粤企业和人员诚信信息登记平台</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8"/>
          <w:sz w:val="24"/>
          <w:szCs w:val="24"/>
          <w:highlight w:val="none"/>
        </w:rPr>
        <w:t>”个人信息情况截图。（适用于省外建筑企业）</w:t>
      </w:r>
    </w:p>
    <w:p w14:paraId="0CA53D6E">
      <w:pPr>
        <w:spacing w:line="228" w:lineRule="auto"/>
        <w:rPr>
          <w:rFonts w:hint="eastAsia" w:ascii="宋体" w:hAnsi="宋体" w:eastAsia="宋体" w:cs="宋体"/>
          <w:color w:val="auto"/>
          <w:sz w:val="20"/>
          <w:szCs w:val="20"/>
          <w:highlight w:val="none"/>
        </w:rPr>
        <w:sectPr>
          <w:footerReference r:id="rId2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A79FF21">
      <w:pPr>
        <w:spacing w:before="78" w:line="220" w:lineRule="auto"/>
        <w:outlineLvl w:val="2"/>
        <w:rPr>
          <w:rFonts w:hint="eastAsia" w:ascii="宋体" w:hAnsi="宋体" w:eastAsia="宋体" w:cs="宋体"/>
          <w:b/>
          <w:bCs/>
          <w:color w:val="auto"/>
          <w:spacing w:val="-4"/>
          <w:sz w:val="24"/>
          <w:szCs w:val="24"/>
          <w:highlight w:val="none"/>
        </w:rPr>
      </w:pPr>
      <w:bookmarkStart w:id="257" w:name="_Toc25235"/>
      <w:r>
        <w:rPr>
          <w:rFonts w:hint="eastAsia" w:ascii="宋体" w:hAnsi="宋体" w:eastAsia="宋体" w:cs="宋体"/>
          <w:b/>
          <w:bCs/>
          <w:color w:val="auto"/>
          <w:spacing w:val="-4"/>
          <w:sz w:val="24"/>
          <w:szCs w:val="24"/>
          <w:highlight w:val="none"/>
        </w:rPr>
        <w:t>格式十一 项目管理机构组成表</w:t>
      </w:r>
      <w:bookmarkEnd w:id="257"/>
    </w:p>
    <w:p w14:paraId="555428D3">
      <w:pPr>
        <w:pStyle w:val="5"/>
        <w:spacing w:line="351" w:lineRule="auto"/>
        <w:rPr>
          <w:rFonts w:hint="eastAsia" w:ascii="宋体" w:hAnsi="宋体" w:eastAsia="宋体" w:cs="宋体"/>
          <w:color w:val="auto"/>
          <w:highlight w:val="none"/>
        </w:rPr>
      </w:pPr>
    </w:p>
    <w:p w14:paraId="162B07EA">
      <w:pPr>
        <w:pStyle w:val="5"/>
        <w:spacing w:line="351" w:lineRule="auto"/>
        <w:rPr>
          <w:rFonts w:hint="eastAsia" w:ascii="宋体" w:hAnsi="宋体" w:eastAsia="宋体" w:cs="宋体"/>
          <w:color w:val="auto"/>
          <w:highlight w:val="none"/>
        </w:rPr>
      </w:pPr>
    </w:p>
    <w:p w14:paraId="3C7DD617">
      <w:pPr>
        <w:spacing w:before="97" w:line="219" w:lineRule="auto"/>
        <w:ind w:left="3200"/>
        <w:outlineLvl w:val="9"/>
        <w:rPr>
          <w:rFonts w:hint="eastAsia" w:ascii="宋体" w:hAnsi="宋体" w:eastAsia="宋体" w:cs="宋体"/>
          <w:color w:val="auto"/>
          <w:sz w:val="30"/>
          <w:szCs w:val="30"/>
          <w:highlight w:val="none"/>
        </w:rPr>
      </w:pPr>
      <w:bookmarkStart w:id="258" w:name="bookmark158"/>
      <w:bookmarkEnd w:id="258"/>
      <w:bookmarkStart w:id="259" w:name="_Toc28765"/>
      <w:bookmarkStart w:id="260" w:name="_Toc19973"/>
      <w:r>
        <w:rPr>
          <w:rFonts w:hint="eastAsia" w:ascii="宋体" w:hAnsi="宋体" w:eastAsia="宋体" w:cs="宋体"/>
          <w:b/>
          <w:bCs/>
          <w:color w:val="auto"/>
          <w:spacing w:val="-4"/>
          <w:sz w:val="30"/>
          <w:szCs w:val="30"/>
          <w:highlight w:val="none"/>
        </w:rPr>
        <w:t>项目管理机构组成表</w:t>
      </w:r>
      <w:bookmarkEnd w:id="259"/>
      <w:bookmarkEnd w:id="260"/>
    </w:p>
    <w:p w14:paraId="1EDDD763">
      <w:pPr>
        <w:spacing w:before="7"/>
        <w:rPr>
          <w:rFonts w:hint="eastAsia" w:ascii="宋体" w:hAnsi="宋体" w:eastAsia="宋体" w:cs="宋体"/>
          <w:color w:val="auto"/>
          <w:highlight w:val="none"/>
        </w:rPr>
      </w:pPr>
    </w:p>
    <w:tbl>
      <w:tblPr>
        <w:tblStyle w:val="14"/>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2173B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vAlign w:val="top"/>
          </w:tcPr>
          <w:p w14:paraId="2D248E3F">
            <w:pPr>
              <w:spacing w:before="229" w:line="231" w:lineRule="auto"/>
              <w:ind w:left="9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序号</w:t>
            </w:r>
          </w:p>
        </w:tc>
        <w:tc>
          <w:tcPr>
            <w:tcW w:w="1939" w:type="dxa"/>
            <w:vAlign w:val="top"/>
          </w:tcPr>
          <w:p w14:paraId="5F461AAD">
            <w:pPr>
              <w:spacing w:before="228" w:line="231" w:lineRule="auto"/>
              <w:ind w:left="70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岗位</w:t>
            </w:r>
          </w:p>
        </w:tc>
        <w:tc>
          <w:tcPr>
            <w:tcW w:w="1567" w:type="dxa"/>
            <w:vAlign w:val="top"/>
          </w:tcPr>
          <w:p w14:paraId="1DD6F3D6">
            <w:pPr>
              <w:spacing w:before="228" w:line="231" w:lineRule="auto"/>
              <w:ind w:left="52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017" w:type="dxa"/>
            <w:vAlign w:val="top"/>
          </w:tcPr>
          <w:p w14:paraId="3FF2F319">
            <w:pPr>
              <w:spacing w:before="228" w:line="230" w:lineRule="auto"/>
              <w:ind w:left="26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性别</w:t>
            </w:r>
          </w:p>
        </w:tc>
        <w:tc>
          <w:tcPr>
            <w:tcW w:w="1002" w:type="dxa"/>
            <w:vAlign w:val="top"/>
          </w:tcPr>
          <w:p w14:paraId="1F45BB1E">
            <w:pPr>
              <w:spacing w:before="229" w:line="231" w:lineRule="auto"/>
              <w:ind w:left="26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年龄</w:t>
            </w:r>
          </w:p>
        </w:tc>
        <w:tc>
          <w:tcPr>
            <w:tcW w:w="1551" w:type="dxa"/>
            <w:vAlign w:val="top"/>
          </w:tcPr>
          <w:p w14:paraId="3EC28A26">
            <w:pPr>
              <w:spacing w:before="228" w:line="230" w:lineRule="auto"/>
              <w:ind w:left="51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职称</w:t>
            </w:r>
          </w:p>
        </w:tc>
        <w:tc>
          <w:tcPr>
            <w:tcW w:w="1926" w:type="dxa"/>
            <w:vAlign w:val="top"/>
          </w:tcPr>
          <w:p w14:paraId="2B3131B4">
            <w:pPr>
              <w:spacing w:before="228" w:line="230" w:lineRule="auto"/>
              <w:ind w:left="687"/>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备注</w:t>
            </w:r>
          </w:p>
        </w:tc>
      </w:tr>
      <w:tr w14:paraId="66C7A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283EB046">
            <w:pPr>
              <w:spacing w:before="185" w:line="195" w:lineRule="auto"/>
              <w:ind w:left="2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39" w:type="dxa"/>
            <w:vAlign w:val="top"/>
          </w:tcPr>
          <w:p w14:paraId="197454C5">
            <w:pPr>
              <w:spacing w:before="150" w:line="229" w:lineRule="auto"/>
              <w:ind w:left="48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67" w:type="dxa"/>
            <w:vAlign w:val="top"/>
          </w:tcPr>
          <w:p w14:paraId="33D1707C">
            <w:pPr>
              <w:pStyle w:val="22"/>
              <w:rPr>
                <w:rFonts w:hint="eastAsia" w:ascii="宋体" w:hAnsi="宋体" w:eastAsia="宋体" w:cs="宋体"/>
                <w:color w:val="auto"/>
                <w:sz w:val="24"/>
                <w:szCs w:val="24"/>
                <w:highlight w:val="none"/>
              </w:rPr>
            </w:pPr>
          </w:p>
        </w:tc>
        <w:tc>
          <w:tcPr>
            <w:tcW w:w="1017" w:type="dxa"/>
            <w:vAlign w:val="top"/>
          </w:tcPr>
          <w:p w14:paraId="4EA01CAF">
            <w:pPr>
              <w:pStyle w:val="22"/>
              <w:rPr>
                <w:rFonts w:hint="eastAsia" w:ascii="宋体" w:hAnsi="宋体" w:eastAsia="宋体" w:cs="宋体"/>
                <w:color w:val="auto"/>
                <w:sz w:val="24"/>
                <w:szCs w:val="24"/>
                <w:highlight w:val="none"/>
              </w:rPr>
            </w:pPr>
          </w:p>
        </w:tc>
        <w:tc>
          <w:tcPr>
            <w:tcW w:w="1002" w:type="dxa"/>
            <w:vAlign w:val="top"/>
          </w:tcPr>
          <w:p w14:paraId="784E4E86">
            <w:pPr>
              <w:pStyle w:val="22"/>
              <w:rPr>
                <w:rFonts w:hint="eastAsia" w:ascii="宋体" w:hAnsi="宋体" w:eastAsia="宋体" w:cs="宋体"/>
                <w:color w:val="auto"/>
                <w:sz w:val="24"/>
                <w:szCs w:val="24"/>
                <w:highlight w:val="none"/>
              </w:rPr>
            </w:pPr>
          </w:p>
        </w:tc>
        <w:tc>
          <w:tcPr>
            <w:tcW w:w="1551" w:type="dxa"/>
            <w:vAlign w:val="top"/>
          </w:tcPr>
          <w:p w14:paraId="5F4F3964">
            <w:pPr>
              <w:pStyle w:val="22"/>
              <w:rPr>
                <w:rFonts w:hint="eastAsia" w:ascii="宋体" w:hAnsi="宋体" w:eastAsia="宋体" w:cs="宋体"/>
                <w:color w:val="auto"/>
                <w:sz w:val="24"/>
                <w:szCs w:val="24"/>
                <w:highlight w:val="none"/>
              </w:rPr>
            </w:pPr>
          </w:p>
        </w:tc>
        <w:tc>
          <w:tcPr>
            <w:tcW w:w="1926" w:type="dxa"/>
            <w:vAlign w:val="top"/>
          </w:tcPr>
          <w:p w14:paraId="7E0A4FFA">
            <w:pPr>
              <w:pStyle w:val="22"/>
              <w:rPr>
                <w:rFonts w:hint="eastAsia" w:ascii="宋体" w:hAnsi="宋体" w:eastAsia="宋体" w:cs="宋体"/>
                <w:color w:val="auto"/>
                <w:sz w:val="24"/>
                <w:szCs w:val="24"/>
                <w:highlight w:val="none"/>
              </w:rPr>
            </w:pPr>
          </w:p>
        </w:tc>
      </w:tr>
      <w:tr w14:paraId="5BB57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vAlign w:val="top"/>
          </w:tcPr>
          <w:p w14:paraId="2ACB0DD0">
            <w:pPr>
              <w:spacing w:before="187" w:line="195" w:lineRule="auto"/>
              <w:ind w:left="2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939" w:type="dxa"/>
            <w:vAlign w:val="top"/>
          </w:tcPr>
          <w:p w14:paraId="33B30217">
            <w:pPr>
              <w:spacing w:before="152"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项目技术负责人</w:t>
            </w:r>
          </w:p>
        </w:tc>
        <w:tc>
          <w:tcPr>
            <w:tcW w:w="1567" w:type="dxa"/>
            <w:vAlign w:val="top"/>
          </w:tcPr>
          <w:p w14:paraId="101658E3">
            <w:pPr>
              <w:pStyle w:val="22"/>
              <w:rPr>
                <w:rFonts w:hint="eastAsia" w:ascii="宋体" w:hAnsi="宋体" w:eastAsia="宋体" w:cs="宋体"/>
                <w:color w:val="auto"/>
                <w:sz w:val="24"/>
                <w:szCs w:val="24"/>
                <w:highlight w:val="none"/>
              </w:rPr>
            </w:pPr>
          </w:p>
        </w:tc>
        <w:tc>
          <w:tcPr>
            <w:tcW w:w="1017" w:type="dxa"/>
            <w:vAlign w:val="top"/>
          </w:tcPr>
          <w:p w14:paraId="13CFB6FB">
            <w:pPr>
              <w:pStyle w:val="22"/>
              <w:rPr>
                <w:rFonts w:hint="eastAsia" w:ascii="宋体" w:hAnsi="宋体" w:eastAsia="宋体" w:cs="宋体"/>
                <w:color w:val="auto"/>
                <w:sz w:val="24"/>
                <w:szCs w:val="24"/>
                <w:highlight w:val="none"/>
              </w:rPr>
            </w:pPr>
          </w:p>
        </w:tc>
        <w:tc>
          <w:tcPr>
            <w:tcW w:w="1002" w:type="dxa"/>
            <w:vAlign w:val="top"/>
          </w:tcPr>
          <w:p w14:paraId="01708B9A">
            <w:pPr>
              <w:pStyle w:val="22"/>
              <w:rPr>
                <w:rFonts w:hint="eastAsia" w:ascii="宋体" w:hAnsi="宋体" w:eastAsia="宋体" w:cs="宋体"/>
                <w:color w:val="auto"/>
                <w:sz w:val="24"/>
                <w:szCs w:val="24"/>
                <w:highlight w:val="none"/>
              </w:rPr>
            </w:pPr>
          </w:p>
        </w:tc>
        <w:tc>
          <w:tcPr>
            <w:tcW w:w="1551" w:type="dxa"/>
            <w:vAlign w:val="top"/>
          </w:tcPr>
          <w:p w14:paraId="2DA12024">
            <w:pPr>
              <w:pStyle w:val="22"/>
              <w:rPr>
                <w:rFonts w:hint="eastAsia" w:ascii="宋体" w:hAnsi="宋体" w:eastAsia="宋体" w:cs="宋体"/>
                <w:color w:val="auto"/>
                <w:sz w:val="24"/>
                <w:szCs w:val="24"/>
                <w:highlight w:val="none"/>
              </w:rPr>
            </w:pPr>
          </w:p>
        </w:tc>
        <w:tc>
          <w:tcPr>
            <w:tcW w:w="1926" w:type="dxa"/>
            <w:vAlign w:val="top"/>
          </w:tcPr>
          <w:p w14:paraId="7E36E9CF">
            <w:pPr>
              <w:pStyle w:val="22"/>
              <w:rPr>
                <w:rFonts w:hint="eastAsia" w:ascii="宋体" w:hAnsi="宋体" w:eastAsia="宋体" w:cs="宋体"/>
                <w:color w:val="auto"/>
                <w:sz w:val="24"/>
                <w:szCs w:val="24"/>
                <w:highlight w:val="none"/>
              </w:rPr>
            </w:pPr>
          </w:p>
        </w:tc>
      </w:tr>
      <w:tr w14:paraId="72AE89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185BE277">
            <w:pPr>
              <w:spacing w:before="189" w:line="195" w:lineRule="auto"/>
              <w:ind w:left="247"/>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939" w:type="dxa"/>
            <w:vAlign w:val="center"/>
          </w:tcPr>
          <w:p w14:paraId="46937765">
            <w:pPr>
              <w:spacing w:before="153" w:line="229" w:lineRule="auto"/>
              <w:ind w:left="378"/>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专职安全员</w:t>
            </w:r>
          </w:p>
        </w:tc>
        <w:tc>
          <w:tcPr>
            <w:tcW w:w="1567" w:type="dxa"/>
            <w:vAlign w:val="top"/>
          </w:tcPr>
          <w:p w14:paraId="15C126D8">
            <w:pPr>
              <w:pStyle w:val="22"/>
              <w:rPr>
                <w:rFonts w:hint="eastAsia" w:ascii="宋体" w:hAnsi="宋体" w:eastAsia="宋体" w:cs="宋体"/>
                <w:color w:val="auto"/>
                <w:sz w:val="24"/>
                <w:szCs w:val="24"/>
                <w:highlight w:val="none"/>
              </w:rPr>
            </w:pPr>
          </w:p>
        </w:tc>
        <w:tc>
          <w:tcPr>
            <w:tcW w:w="1017" w:type="dxa"/>
            <w:vAlign w:val="top"/>
          </w:tcPr>
          <w:p w14:paraId="7B9FA270">
            <w:pPr>
              <w:pStyle w:val="22"/>
              <w:rPr>
                <w:rFonts w:hint="eastAsia" w:ascii="宋体" w:hAnsi="宋体" w:eastAsia="宋体" w:cs="宋体"/>
                <w:color w:val="auto"/>
                <w:sz w:val="24"/>
                <w:szCs w:val="24"/>
                <w:highlight w:val="none"/>
              </w:rPr>
            </w:pPr>
          </w:p>
        </w:tc>
        <w:tc>
          <w:tcPr>
            <w:tcW w:w="1002" w:type="dxa"/>
            <w:vAlign w:val="top"/>
          </w:tcPr>
          <w:p w14:paraId="1060A9BD">
            <w:pPr>
              <w:pStyle w:val="22"/>
              <w:rPr>
                <w:rFonts w:hint="eastAsia" w:ascii="宋体" w:hAnsi="宋体" w:eastAsia="宋体" w:cs="宋体"/>
                <w:color w:val="auto"/>
                <w:sz w:val="24"/>
                <w:szCs w:val="24"/>
                <w:highlight w:val="none"/>
              </w:rPr>
            </w:pPr>
          </w:p>
        </w:tc>
        <w:tc>
          <w:tcPr>
            <w:tcW w:w="1551" w:type="dxa"/>
            <w:vAlign w:val="top"/>
          </w:tcPr>
          <w:p w14:paraId="5301968F">
            <w:pPr>
              <w:pStyle w:val="22"/>
              <w:rPr>
                <w:rFonts w:hint="eastAsia" w:ascii="宋体" w:hAnsi="宋体" w:eastAsia="宋体" w:cs="宋体"/>
                <w:color w:val="auto"/>
                <w:sz w:val="24"/>
                <w:szCs w:val="24"/>
                <w:highlight w:val="none"/>
              </w:rPr>
            </w:pPr>
          </w:p>
        </w:tc>
        <w:tc>
          <w:tcPr>
            <w:tcW w:w="1926" w:type="dxa"/>
            <w:vAlign w:val="top"/>
          </w:tcPr>
          <w:p w14:paraId="6D41F555">
            <w:pPr>
              <w:pStyle w:val="22"/>
              <w:rPr>
                <w:rFonts w:hint="eastAsia" w:ascii="宋体" w:hAnsi="宋体" w:eastAsia="宋体" w:cs="宋体"/>
                <w:color w:val="auto"/>
                <w:sz w:val="24"/>
                <w:szCs w:val="24"/>
                <w:highlight w:val="none"/>
              </w:rPr>
            </w:pPr>
          </w:p>
        </w:tc>
      </w:tr>
      <w:tr w14:paraId="748716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30DCE2EF">
            <w:pPr>
              <w:spacing w:before="188" w:line="195" w:lineRule="auto"/>
              <w:ind w:left="24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939" w:type="dxa"/>
            <w:vAlign w:val="top"/>
          </w:tcPr>
          <w:p w14:paraId="696539CB">
            <w:pPr>
              <w:spacing w:before="152" w:line="230" w:lineRule="auto"/>
              <w:ind w:left="58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施工员</w:t>
            </w:r>
          </w:p>
        </w:tc>
        <w:tc>
          <w:tcPr>
            <w:tcW w:w="1567" w:type="dxa"/>
            <w:vAlign w:val="top"/>
          </w:tcPr>
          <w:p w14:paraId="18E417E4">
            <w:pPr>
              <w:pStyle w:val="22"/>
              <w:rPr>
                <w:rFonts w:hint="eastAsia" w:ascii="宋体" w:hAnsi="宋体" w:eastAsia="宋体" w:cs="宋体"/>
                <w:color w:val="auto"/>
                <w:sz w:val="24"/>
                <w:szCs w:val="24"/>
                <w:highlight w:val="none"/>
              </w:rPr>
            </w:pPr>
          </w:p>
        </w:tc>
        <w:tc>
          <w:tcPr>
            <w:tcW w:w="1017" w:type="dxa"/>
            <w:vAlign w:val="top"/>
          </w:tcPr>
          <w:p w14:paraId="34BD54A5">
            <w:pPr>
              <w:pStyle w:val="22"/>
              <w:rPr>
                <w:rFonts w:hint="eastAsia" w:ascii="宋体" w:hAnsi="宋体" w:eastAsia="宋体" w:cs="宋体"/>
                <w:color w:val="auto"/>
                <w:sz w:val="24"/>
                <w:szCs w:val="24"/>
                <w:highlight w:val="none"/>
              </w:rPr>
            </w:pPr>
          </w:p>
        </w:tc>
        <w:tc>
          <w:tcPr>
            <w:tcW w:w="1002" w:type="dxa"/>
            <w:vAlign w:val="top"/>
          </w:tcPr>
          <w:p w14:paraId="35F0DD07">
            <w:pPr>
              <w:pStyle w:val="22"/>
              <w:rPr>
                <w:rFonts w:hint="eastAsia" w:ascii="宋体" w:hAnsi="宋体" w:eastAsia="宋体" w:cs="宋体"/>
                <w:color w:val="auto"/>
                <w:sz w:val="24"/>
                <w:szCs w:val="24"/>
                <w:highlight w:val="none"/>
              </w:rPr>
            </w:pPr>
          </w:p>
        </w:tc>
        <w:tc>
          <w:tcPr>
            <w:tcW w:w="1551" w:type="dxa"/>
            <w:vAlign w:val="top"/>
          </w:tcPr>
          <w:p w14:paraId="267F23C7">
            <w:pPr>
              <w:pStyle w:val="22"/>
              <w:rPr>
                <w:rFonts w:hint="eastAsia" w:ascii="宋体" w:hAnsi="宋体" w:eastAsia="宋体" w:cs="宋体"/>
                <w:color w:val="auto"/>
                <w:sz w:val="24"/>
                <w:szCs w:val="24"/>
                <w:highlight w:val="none"/>
              </w:rPr>
            </w:pPr>
          </w:p>
        </w:tc>
        <w:tc>
          <w:tcPr>
            <w:tcW w:w="1926" w:type="dxa"/>
            <w:vAlign w:val="top"/>
          </w:tcPr>
          <w:p w14:paraId="20919564">
            <w:pPr>
              <w:pStyle w:val="22"/>
              <w:rPr>
                <w:rFonts w:hint="eastAsia" w:ascii="宋体" w:hAnsi="宋体" w:eastAsia="宋体" w:cs="宋体"/>
                <w:color w:val="auto"/>
                <w:sz w:val="24"/>
                <w:szCs w:val="24"/>
                <w:highlight w:val="none"/>
              </w:rPr>
            </w:pPr>
          </w:p>
        </w:tc>
      </w:tr>
      <w:tr w14:paraId="0060E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7913FB8">
            <w:pPr>
              <w:spacing w:before="193" w:line="192" w:lineRule="auto"/>
              <w:ind w:left="2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939" w:type="dxa"/>
            <w:vAlign w:val="top"/>
          </w:tcPr>
          <w:p w14:paraId="77726B25">
            <w:pPr>
              <w:spacing w:before="154" w:line="229"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质量员</w:t>
            </w:r>
          </w:p>
        </w:tc>
        <w:tc>
          <w:tcPr>
            <w:tcW w:w="1567" w:type="dxa"/>
            <w:vAlign w:val="top"/>
          </w:tcPr>
          <w:p w14:paraId="7AF367BA">
            <w:pPr>
              <w:pStyle w:val="22"/>
              <w:rPr>
                <w:rFonts w:hint="eastAsia" w:ascii="宋体" w:hAnsi="宋体" w:eastAsia="宋体" w:cs="宋体"/>
                <w:color w:val="auto"/>
                <w:sz w:val="24"/>
                <w:szCs w:val="24"/>
                <w:highlight w:val="none"/>
              </w:rPr>
            </w:pPr>
          </w:p>
        </w:tc>
        <w:tc>
          <w:tcPr>
            <w:tcW w:w="1017" w:type="dxa"/>
            <w:vAlign w:val="top"/>
          </w:tcPr>
          <w:p w14:paraId="28C0AB4F">
            <w:pPr>
              <w:pStyle w:val="22"/>
              <w:rPr>
                <w:rFonts w:hint="eastAsia" w:ascii="宋体" w:hAnsi="宋体" w:eastAsia="宋体" w:cs="宋体"/>
                <w:color w:val="auto"/>
                <w:sz w:val="24"/>
                <w:szCs w:val="24"/>
                <w:highlight w:val="none"/>
              </w:rPr>
            </w:pPr>
          </w:p>
        </w:tc>
        <w:tc>
          <w:tcPr>
            <w:tcW w:w="1002" w:type="dxa"/>
            <w:vAlign w:val="top"/>
          </w:tcPr>
          <w:p w14:paraId="4F2CE8AB">
            <w:pPr>
              <w:pStyle w:val="22"/>
              <w:rPr>
                <w:rFonts w:hint="eastAsia" w:ascii="宋体" w:hAnsi="宋体" w:eastAsia="宋体" w:cs="宋体"/>
                <w:color w:val="auto"/>
                <w:sz w:val="24"/>
                <w:szCs w:val="24"/>
                <w:highlight w:val="none"/>
              </w:rPr>
            </w:pPr>
          </w:p>
        </w:tc>
        <w:tc>
          <w:tcPr>
            <w:tcW w:w="1551" w:type="dxa"/>
            <w:vAlign w:val="top"/>
          </w:tcPr>
          <w:p w14:paraId="0E48A750">
            <w:pPr>
              <w:pStyle w:val="22"/>
              <w:rPr>
                <w:rFonts w:hint="eastAsia" w:ascii="宋体" w:hAnsi="宋体" w:eastAsia="宋体" w:cs="宋体"/>
                <w:color w:val="auto"/>
                <w:sz w:val="24"/>
                <w:szCs w:val="24"/>
                <w:highlight w:val="none"/>
              </w:rPr>
            </w:pPr>
          </w:p>
        </w:tc>
        <w:tc>
          <w:tcPr>
            <w:tcW w:w="1926" w:type="dxa"/>
            <w:vAlign w:val="top"/>
          </w:tcPr>
          <w:p w14:paraId="23F7D129">
            <w:pPr>
              <w:pStyle w:val="22"/>
              <w:rPr>
                <w:rFonts w:hint="eastAsia" w:ascii="宋体" w:hAnsi="宋体" w:eastAsia="宋体" w:cs="宋体"/>
                <w:color w:val="auto"/>
                <w:sz w:val="24"/>
                <w:szCs w:val="24"/>
                <w:highlight w:val="none"/>
              </w:rPr>
            </w:pPr>
          </w:p>
        </w:tc>
      </w:tr>
      <w:tr w14:paraId="28B3C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4353BB91">
            <w:pPr>
              <w:spacing w:before="191" w:line="195" w:lineRule="auto"/>
              <w:ind w:left="24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939" w:type="dxa"/>
            <w:vAlign w:val="top"/>
          </w:tcPr>
          <w:p w14:paraId="36757C05">
            <w:pPr>
              <w:spacing w:before="155" w:line="228"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材料员</w:t>
            </w:r>
          </w:p>
        </w:tc>
        <w:tc>
          <w:tcPr>
            <w:tcW w:w="1567" w:type="dxa"/>
            <w:vAlign w:val="top"/>
          </w:tcPr>
          <w:p w14:paraId="7CA93473">
            <w:pPr>
              <w:pStyle w:val="22"/>
              <w:rPr>
                <w:rFonts w:hint="eastAsia" w:ascii="宋体" w:hAnsi="宋体" w:eastAsia="宋体" w:cs="宋体"/>
                <w:color w:val="auto"/>
                <w:sz w:val="24"/>
                <w:szCs w:val="24"/>
                <w:highlight w:val="none"/>
              </w:rPr>
            </w:pPr>
          </w:p>
        </w:tc>
        <w:tc>
          <w:tcPr>
            <w:tcW w:w="1017" w:type="dxa"/>
            <w:vAlign w:val="top"/>
          </w:tcPr>
          <w:p w14:paraId="22CBD8CF">
            <w:pPr>
              <w:pStyle w:val="22"/>
              <w:rPr>
                <w:rFonts w:hint="eastAsia" w:ascii="宋体" w:hAnsi="宋体" w:eastAsia="宋体" w:cs="宋体"/>
                <w:color w:val="auto"/>
                <w:sz w:val="24"/>
                <w:szCs w:val="24"/>
                <w:highlight w:val="none"/>
              </w:rPr>
            </w:pPr>
          </w:p>
        </w:tc>
        <w:tc>
          <w:tcPr>
            <w:tcW w:w="1002" w:type="dxa"/>
            <w:vAlign w:val="top"/>
          </w:tcPr>
          <w:p w14:paraId="215EF28A">
            <w:pPr>
              <w:pStyle w:val="22"/>
              <w:rPr>
                <w:rFonts w:hint="eastAsia" w:ascii="宋体" w:hAnsi="宋体" w:eastAsia="宋体" w:cs="宋体"/>
                <w:color w:val="auto"/>
                <w:sz w:val="24"/>
                <w:szCs w:val="24"/>
                <w:highlight w:val="none"/>
              </w:rPr>
            </w:pPr>
          </w:p>
        </w:tc>
        <w:tc>
          <w:tcPr>
            <w:tcW w:w="1551" w:type="dxa"/>
            <w:vAlign w:val="top"/>
          </w:tcPr>
          <w:p w14:paraId="4B59D5A3">
            <w:pPr>
              <w:pStyle w:val="22"/>
              <w:rPr>
                <w:rFonts w:hint="eastAsia" w:ascii="宋体" w:hAnsi="宋体" w:eastAsia="宋体" w:cs="宋体"/>
                <w:color w:val="auto"/>
                <w:sz w:val="24"/>
                <w:szCs w:val="24"/>
                <w:highlight w:val="none"/>
              </w:rPr>
            </w:pPr>
          </w:p>
        </w:tc>
        <w:tc>
          <w:tcPr>
            <w:tcW w:w="1926" w:type="dxa"/>
            <w:vAlign w:val="top"/>
          </w:tcPr>
          <w:p w14:paraId="6D3A902C">
            <w:pPr>
              <w:pStyle w:val="22"/>
              <w:rPr>
                <w:rFonts w:hint="eastAsia" w:ascii="宋体" w:hAnsi="宋体" w:eastAsia="宋体" w:cs="宋体"/>
                <w:color w:val="auto"/>
                <w:sz w:val="24"/>
                <w:szCs w:val="24"/>
                <w:highlight w:val="none"/>
              </w:rPr>
            </w:pPr>
          </w:p>
        </w:tc>
      </w:tr>
      <w:tr w14:paraId="024F77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129B6BD">
            <w:pPr>
              <w:spacing w:before="192" w:line="192" w:lineRule="auto"/>
              <w:ind w:left="24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939" w:type="dxa"/>
            <w:vAlign w:val="top"/>
          </w:tcPr>
          <w:p w14:paraId="43618D94">
            <w:pPr>
              <w:spacing w:before="154" w:line="229" w:lineRule="auto"/>
              <w:ind w:left="59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资料员</w:t>
            </w:r>
          </w:p>
        </w:tc>
        <w:tc>
          <w:tcPr>
            <w:tcW w:w="1567" w:type="dxa"/>
            <w:vAlign w:val="top"/>
          </w:tcPr>
          <w:p w14:paraId="7F6F6292">
            <w:pPr>
              <w:pStyle w:val="22"/>
              <w:rPr>
                <w:rFonts w:hint="eastAsia" w:ascii="宋体" w:hAnsi="宋体" w:eastAsia="宋体" w:cs="宋体"/>
                <w:color w:val="auto"/>
                <w:sz w:val="24"/>
                <w:szCs w:val="24"/>
                <w:highlight w:val="none"/>
              </w:rPr>
            </w:pPr>
          </w:p>
        </w:tc>
        <w:tc>
          <w:tcPr>
            <w:tcW w:w="1017" w:type="dxa"/>
            <w:vAlign w:val="top"/>
          </w:tcPr>
          <w:p w14:paraId="6F5A3CD1">
            <w:pPr>
              <w:pStyle w:val="22"/>
              <w:rPr>
                <w:rFonts w:hint="eastAsia" w:ascii="宋体" w:hAnsi="宋体" w:eastAsia="宋体" w:cs="宋体"/>
                <w:color w:val="auto"/>
                <w:sz w:val="24"/>
                <w:szCs w:val="24"/>
                <w:highlight w:val="none"/>
              </w:rPr>
            </w:pPr>
          </w:p>
        </w:tc>
        <w:tc>
          <w:tcPr>
            <w:tcW w:w="1002" w:type="dxa"/>
            <w:vAlign w:val="top"/>
          </w:tcPr>
          <w:p w14:paraId="0A3F0696">
            <w:pPr>
              <w:pStyle w:val="22"/>
              <w:rPr>
                <w:rFonts w:hint="eastAsia" w:ascii="宋体" w:hAnsi="宋体" w:eastAsia="宋体" w:cs="宋体"/>
                <w:color w:val="auto"/>
                <w:sz w:val="24"/>
                <w:szCs w:val="24"/>
                <w:highlight w:val="none"/>
              </w:rPr>
            </w:pPr>
          </w:p>
        </w:tc>
        <w:tc>
          <w:tcPr>
            <w:tcW w:w="1551" w:type="dxa"/>
            <w:vAlign w:val="top"/>
          </w:tcPr>
          <w:p w14:paraId="33CF7C3A">
            <w:pPr>
              <w:pStyle w:val="22"/>
              <w:rPr>
                <w:rFonts w:hint="eastAsia" w:ascii="宋体" w:hAnsi="宋体" w:eastAsia="宋体" w:cs="宋体"/>
                <w:color w:val="auto"/>
                <w:sz w:val="24"/>
                <w:szCs w:val="24"/>
                <w:highlight w:val="none"/>
              </w:rPr>
            </w:pPr>
          </w:p>
        </w:tc>
        <w:tc>
          <w:tcPr>
            <w:tcW w:w="1926" w:type="dxa"/>
            <w:vAlign w:val="top"/>
          </w:tcPr>
          <w:p w14:paraId="2FDF9A49">
            <w:pPr>
              <w:pStyle w:val="22"/>
              <w:rPr>
                <w:rFonts w:hint="eastAsia" w:ascii="宋体" w:hAnsi="宋体" w:eastAsia="宋体" w:cs="宋体"/>
                <w:color w:val="auto"/>
                <w:sz w:val="24"/>
                <w:szCs w:val="24"/>
                <w:highlight w:val="none"/>
              </w:rPr>
            </w:pPr>
          </w:p>
        </w:tc>
      </w:tr>
      <w:tr w14:paraId="330E46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vAlign w:val="top"/>
          </w:tcPr>
          <w:p w14:paraId="761367CA">
            <w:pPr>
              <w:spacing w:before="154" w:line="325" w:lineRule="exact"/>
              <w:ind w:left="104"/>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939" w:type="dxa"/>
            <w:vAlign w:val="top"/>
          </w:tcPr>
          <w:p w14:paraId="6C0AA321">
            <w:pPr>
              <w:pStyle w:val="22"/>
              <w:rPr>
                <w:rFonts w:hint="eastAsia" w:ascii="宋体" w:hAnsi="宋体" w:eastAsia="宋体" w:cs="宋体"/>
                <w:color w:val="auto"/>
                <w:sz w:val="24"/>
                <w:szCs w:val="24"/>
                <w:highlight w:val="none"/>
              </w:rPr>
            </w:pPr>
          </w:p>
        </w:tc>
        <w:tc>
          <w:tcPr>
            <w:tcW w:w="1567" w:type="dxa"/>
            <w:vAlign w:val="top"/>
          </w:tcPr>
          <w:p w14:paraId="6B481C93">
            <w:pPr>
              <w:pStyle w:val="22"/>
              <w:rPr>
                <w:rFonts w:hint="eastAsia" w:ascii="宋体" w:hAnsi="宋体" w:eastAsia="宋体" w:cs="宋体"/>
                <w:color w:val="auto"/>
                <w:sz w:val="24"/>
                <w:szCs w:val="24"/>
                <w:highlight w:val="none"/>
              </w:rPr>
            </w:pPr>
          </w:p>
        </w:tc>
        <w:tc>
          <w:tcPr>
            <w:tcW w:w="1017" w:type="dxa"/>
            <w:vAlign w:val="top"/>
          </w:tcPr>
          <w:p w14:paraId="2186C8F6">
            <w:pPr>
              <w:pStyle w:val="22"/>
              <w:rPr>
                <w:rFonts w:hint="eastAsia" w:ascii="宋体" w:hAnsi="宋体" w:eastAsia="宋体" w:cs="宋体"/>
                <w:color w:val="auto"/>
                <w:sz w:val="24"/>
                <w:szCs w:val="24"/>
                <w:highlight w:val="none"/>
              </w:rPr>
            </w:pPr>
          </w:p>
        </w:tc>
        <w:tc>
          <w:tcPr>
            <w:tcW w:w="1002" w:type="dxa"/>
            <w:vAlign w:val="top"/>
          </w:tcPr>
          <w:p w14:paraId="458500AA">
            <w:pPr>
              <w:pStyle w:val="22"/>
              <w:rPr>
                <w:rFonts w:hint="eastAsia" w:ascii="宋体" w:hAnsi="宋体" w:eastAsia="宋体" w:cs="宋体"/>
                <w:color w:val="auto"/>
                <w:sz w:val="24"/>
                <w:szCs w:val="24"/>
                <w:highlight w:val="none"/>
              </w:rPr>
            </w:pPr>
          </w:p>
        </w:tc>
        <w:tc>
          <w:tcPr>
            <w:tcW w:w="1551" w:type="dxa"/>
            <w:vAlign w:val="top"/>
          </w:tcPr>
          <w:p w14:paraId="69CC634F">
            <w:pPr>
              <w:pStyle w:val="22"/>
              <w:rPr>
                <w:rFonts w:hint="eastAsia" w:ascii="宋体" w:hAnsi="宋体" w:eastAsia="宋体" w:cs="宋体"/>
                <w:color w:val="auto"/>
                <w:sz w:val="24"/>
                <w:szCs w:val="24"/>
                <w:highlight w:val="none"/>
              </w:rPr>
            </w:pPr>
          </w:p>
        </w:tc>
        <w:tc>
          <w:tcPr>
            <w:tcW w:w="1926" w:type="dxa"/>
            <w:vAlign w:val="top"/>
          </w:tcPr>
          <w:p w14:paraId="0E3F8717">
            <w:pPr>
              <w:pStyle w:val="22"/>
              <w:rPr>
                <w:rFonts w:hint="eastAsia" w:ascii="宋体" w:hAnsi="宋体" w:eastAsia="宋体" w:cs="宋体"/>
                <w:color w:val="auto"/>
                <w:sz w:val="24"/>
                <w:szCs w:val="24"/>
                <w:highlight w:val="none"/>
              </w:rPr>
            </w:pPr>
          </w:p>
        </w:tc>
      </w:tr>
    </w:tbl>
    <w:p w14:paraId="2C506F4A">
      <w:pPr>
        <w:pStyle w:val="5"/>
        <w:spacing w:line="395" w:lineRule="auto"/>
        <w:rPr>
          <w:rFonts w:hint="eastAsia" w:ascii="宋体" w:hAnsi="宋体" w:eastAsia="宋体" w:cs="宋体"/>
          <w:color w:val="auto"/>
          <w:sz w:val="24"/>
          <w:szCs w:val="24"/>
          <w:highlight w:val="none"/>
        </w:rPr>
      </w:pPr>
    </w:p>
    <w:p w14:paraId="48D3ED77">
      <w:pPr>
        <w:spacing w:before="65" w:line="228" w:lineRule="auto"/>
        <w:ind w:left="43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说明：</w:t>
      </w:r>
    </w:p>
    <w:p w14:paraId="3E8C578A">
      <w:pPr>
        <w:spacing w:before="153" w:line="228" w:lineRule="auto"/>
        <w:ind w:firstLine="496"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4"/>
          <w:sz w:val="24"/>
          <w:szCs w:val="24"/>
          <w:highlight w:val="none"/>
        </w:rPr>
        <w:t>．《项目管理机构组成表》后应附表中拟派人</w:t>
      </w:r>
      <w:r>
        <w:rPr>
          <w:rFonts w:hint="eastAsia" w:ascii="宋体" w:hAnsi="宋体" w:eastAsia="宋体" w:cs="宋体"/>
          <w:color w:val="auto"/>
          <w:spacing w:val="3"/>
          <w:sz w:val="24"/>
          <w:szCs w:val="24"/>
          <w:highlight w:val="none"/>
        </w:rPr>
        <w:t>员（项目经理、项目技术负责人除外）以下资料：</w:t>
      </w:r>
    </w:p>
    <w:p w14:paraId="5D1DDFC3">
      <w:pPr>
        <w:spacing w:before="154" w:line="228" w:lineRule="auto"/>
        <w:ind w:left="448"/>
        <w:jc w:val="lef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lang w:val="en-US" w:eastAsia="zh-CN"/>
        </w:rPr>
        <w:t>1</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身份证彩色扫描件；</w:t>
      </w:r>
    </w:p>
    <w:p w14:paraId="53B8EA83">
      <w:pPr>
        <w:spacing w:before="152" w:line="228" w:lineRule="auto"/>
        <w:ind w:left="42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2</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9"/>
          <w:sz w:val="24"/>
          <w:szCs w:val="24"/>
          <w:highlight w:val="none"/>
        </w:rPr>
        <w:t>专职安全员须提供C类安全生产考核合格证书扫描件或“建筑施工企业管理人员安全生产考核信息系统”考核合格信息扫描件；施工员、质量员、材料员、资料员附岗位证书或培训证书彩色扫描件或打印件；</w:t>
      </w:r>
    </w:p>
    <w:p w14:paraId="40814848">
      <w:pPr>
        <w:spacing w:before="153" w:line="299" w:lineRule="auto"/>
        <w:ind w:left="11" w:right="89" w:firstLine="42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lang w:val="en-US" w:eastAsia="zh-CN"/>
        </w:rPr>
        <w:t>3</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rPr>
        <w:t>在本单位缴纳社保的证明（</w:t>
      </w:r>
      <w:r>
        <w:rPr>
          <w:rFonts w:hint="eastAsia" w:ascii="宋体" w:hAnsi="宋体" w:eastAsia="宋体" w:cs="宋体"/>
          <w:color w:val="auto"/>
          <w:sz w:val="24"/>
          <w:szCs w:val="24"/>
          <w:highlight w:val="none"/>
          <w:lang w:eastAsia="zh-CN"/>
        </w:rPr>
        <w:t>至少1个月，其中必须有2026年8月</w:t>
      </w:r>
      <w:r>
        <w:rPr>
          <w:rFonts w:hint="eastAsia" w:ascii="宋体" w:hAnsi="宋体" w:eastAsia="宋体" w:cs="宋体"/>
          <w:color w:val="auto"/>
          <w:spacing w:val="8"/>
          <w:sz w:val="24"/>
          <w:szCs w:val="24"/>
          <w:highlight w:val="none"/>
        </w:rPr>
        <w:t>）彩色扫描件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2488CB38">
      <w:pPr>
        <w:spacing w:before="152" w:line="228" w:lineRule="auto"/>
        <w:ind w:left="0" w:leftChars="0" w:firstLine="419" w:firstLineChars="164"/>
        <w:rPr>
          <w:rFonts w:hint="eastAsia" w:ascii="宋体" w:hAnsi="宋体" w:eastAsia="宋体" w:cs="宋体"/>
          <w:color w:val="auto"/>
          <w:spacing w:val="9"/>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9"/>
          <w:sz w:val="24"/>
          <w:szCs w:val="24"/>
          <w:highlight w:val="none"/>
        </w:rPr>
        <w:t>“进粤企业和人员诚信信息登记平台 ”个人信息情况截图。（适用于省外建筑企业）</w:t>
      </w:r>
    </w:p>
    <w:p w14:paraId="7D04B8DB">
      <w:pPr>
        <w:spacing w:before="153" w:line="299" w:lineRule="auto"/>
        <w:ind w:left="16" w:right="40" w:firstLine="41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lang w:val="en-US" w:eastAsia="zh-CN"/>
        </w:rPr>
        <w:t>2.</w:t>
      </w:r>
      <w:r>
        <w:rPr>
          <w:rFonts w:hint="eastAsia" w:ascii="宋体" w:hAnsi="宋体" w:eastAsia="宋体" w:cs="宋体"/>
          <w:color w:val="auto"/>
          <w:spacing w:val="8"/>
          <w:sz w:val="24"/>
          <w:szCs w:val="24"/>
          <w:highlight w:val="none"/>
        </w:rPr>
        <w:t>联合体投标的，《项目管理机构组成表》应包括联合体成员单位参与项目管理</w:t>
      </w:r>
      <w:r>
        <w:rPr>
          <w:rFonts w:hint="eastAsia" w:ascii="宋体" w:hAnsi="宋体" w:eastAsia="宋体" w:cs="宋体"/>
          <w:color w:val="auto"/>
          <w:spacing w:val="7"/>
          <w:sz w:val="24"/>
          <w:szCs w:val="24"/>
          <w:highlight w:val="none"/>
        </w:rPr>
        <w:t>机构的人员，并提供以上所需资料。</w:t>
      </w:r>
    </w:p>
    <w:p w14:paraId="270AB728">
      <w:pPr>
        <w:pStyle w:val="5"/>
        <w:spacing w:line="248" w:lineRule="auto"/>
        <w:rPr>
          <w:rFonts w:hint="eastAsia" w:ascii="宋体" w:hAnsi="宋体" w:eastAsia="宋体" w:cs="宋体"/>
          <w:color w:val="auto"/>
          <w:sz w:val="24"/>
          <w:szCs w:val="24"/>
          <w:highlight w:val="none"/>
        </w:rPr>
      </w:pPr>
    </w:p>
    <w:p w14:paraId="67BB345D">
      <w:pPr>
        <w:pStyle w:val="5"/>
        <w:spacing w:line="248" w:lineRule="auto"/>
        <w:rPr>
          <w:rFonts w:hint="eastAsia" w:ascii="宋体" w:hAnsi="宋体" w:eastAsia="宋体" w:cs="宋体"/>
          <w:color w:val="auto"/>
          <w:sz w:val="24"/>
          <w:szCs w:val="24"/>
          <w:highlight w:val="none"/>
        </w:rPr>
      </w:pPr>
    </w:p>
    <w:p w14:paraId="7B06C124">
      <w:pPr>
        <w:pStyle w:val="5"/>
        <w:spacing w:line="248" w:lineRule="auto"/>
        <w:rPr>
          <w:rFonts w:hint="eastAsia" w:ascii="宋体" w:hAnsi="宋体" w:eastAsia="宋体" w:cs="宋体"/>
          <w:color w:val="auto"/>
          <w:highlight w:val="none"/>
        </w:rPr>
      </w:pPr>
    </w:p>
    <w:p w14:paraId="4D41C197">
      <w:pPr>
        <w:pStyle w:val="5"/>
        <w:spacing w:line="248" w:lineRule="auto"/>
        <w:rPr>
          <w:rFonts w:hint="eastAsia" w:ascii="宋体" w:hAnsi="宋体" w:eastAsia="宋体" w:cs="宋体"/>
          <w:color w:val="auto"/>
          <w:highlight w:val="none"/>
        </w:rPr>
      </w:pPr>
    </w:p>
    <w:p w14:paraId="5146A28D">
      <w:pPr>
        <w:spacing w:before="79" w:line="220" w:lineRule="auto"/>
        <w:rPr>
          <w:rFonts w:hint="eastAsia" w:ascii="宋体" w:hAnsi="宋体" w:eastAsia="宋体" w:cs="宋体"/>
          <w:b/>
          <w:bCs/>
          <w:color w:val="auto"/>
          <w:spacing w:val="-2"/>
          <w:sz w:val="24"/>
          <w:szCs w:val="24"/>
          <w:highlight w:val="none"/>
        </w:rPr>
      </w:pPr>
    </w:p>
    <w:p w14:paraId="69CF808F">
      <w:pPr>
        <w:spacing w:before="78" w:line="220" w:lineRule="auto"/>
        <w:outlineLvl w:val="2"/>
        <w:rPr>
          <w:rFonts w:hint="eastAsia" w:ascii="宋体" w:hAnsi="宋体" w:eastAsia="宋体" w:cs="宋体"/>
          <w:b/>
          <w:bCs/>
          <w:color w:val="auto"/>
          <w:spacing w:val="-4"/>
          <w:sz w:val="24"/>
          <w:szCs w:val="24"/>
          <w:highlight w:val="none"/>
        </w:rPr>
      </w:pPr>
      <w:bookmarkStart w:id="261" w:name="_Toc16480"/>
      <w:r>
        <w:rPr>
          <w:rFonts w:hint="eastAsia" w:ascii="宋体" w:hAnsi="宋体" w:eastAsia="宋体" w:cs="宋体"/>
          <w:b/>
          <w:bCs/>
          <w:color w:val="auto"/>
          <w:spacing w:val="-4"/>
          <w:sz w:val="24"/>
          <w:szCs w:val="24"/>
          <w:highlight w:val="none"/>
        </w:rPr>
        <w:t>格式十二 建造师查询页（有效期+建造师签字）</w:t>
      </w:r>
      <w:bookmarkEnd w:id="261"/>
    </w:p>
    <w:p w14:paraId="7E4612B5">
      <w:pPr>
        <w:outlineLvl w:val="9"/>
        <w:rPr>
          <w:rFonts w:hint="eastAsia" w:ascii="宋体" w:hAnsi="宋体" w:eastAsia="宋体" w:cs="宋体"/>
          <w:color w:val="auto"/>
          <w:highlight w:val="none"/>
        </w:rPr>
      </w:pPr>
      <w:r>
        <w:rPr>
          <w:rFonts w:hint="eastAsia" w:ascii="宋体" w:hAnsi="宋体" w:eastAsia="宋体" w:cs="宋体"/>
          <w:color w:val="auto"/>
          <w:position w:val="-235"/>
          <w:highlight w:val="none"/>
        </w:rPr>
        <w:drawing>
          <wp:inline distT="0" distB="0" distL="114300" distR="114300">
            <wp:extent cx="6239510" cy="8013700"/>
            <wp:effectExtent l="0" t="0" r="8890" b="6350"/>
            <wp:docPr id="6" name="图片 8"/>
            <wp:cNvGraphicFramePr/>
            <a:graphic xmlns:a="http://schemas.openxmlformats.org/drawingml/2006/main">
              <a:graphicData uri="http://schemas.openxmlformats.org/drawingml/2006/picture">
                <pic:pic xmlns:pic="http://schemas.openxmlformats.org/drawingml/2006/picture">
                  <pic:nvPicPr>
                    <pic:cNvPr id="6" name="图片 8"/>
                    <pic:cNvPicPr/>
                  </pic:nvPicPr>
                  <pic:blipFill>
                    <a:blip r:embed="rId55"/>
                    <a:stretch>
                      <a:fillRect/>
                    </a:stretch>
                  </pic:blipFill>
                  <pic:spPr>
                    <a:xfrm>
                      <a:off x="0" y="0"/>
                      <a:ext cx="6239510" cy="8013700"/>
                    </a:xfrm>
                    <a:prstGeom prst="rect">
                      <a:avLst/>
                    </a:prstGeom>
                    <a:noFill/>
                    <a:ln>
                      <a:noFill/>
                    </a:ln>
                  </pic:spPr>
                </pic:pic>
              </a:graphicData>
            </a:graphic>
          </wp:inline>
        </w:drawing>
      </w:r>
    </w:p>
    <w:p w14:paraId="3172F0C9">
      <w:pPr>
        <w:spacing w:line="220" w:lineRule="auto"/>
        <w:rPr>
          <w:rFonts w:hint="eastAsia" w:ascii="宋体" w:hAnsi="宋体" w:eastAsia="宋体" w:cs="宋体"/>
          <w:color w:val="auto"/>
          <w:sz w:val="24"/>
          <w:szCs w:val="24"/>
          <w:highlight w:val="none"/>
        </w:rPr>
        <w:sectPr>
          <w:footerReference r:id="rId2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35EB9FF">
      <w:pPr>
        <w:spacing w:line="10744" w:lineRule="exact"/>
        <w:rPr>
          <w:rFonts w:hint="eastAsia" w:ascii="宋体" w:hAnsi="宋体" w:eastAsia="宋体" w:cs="宋体"/>
          <w:color w:val="auto"/>
          <w:highlight w:val="none"/>
        </w:rPr>
      </w:pPr>
      <w:r>
        <w:rPr>
          <w:rFonts w:hint="eastAsia" w:ascii="宋体" w:hAnsi="宋体" w:eastAsia="宋体" w:cs="宋体"/>
          <w:color w:val="auto"/>
          <w:position w:val="-214"/>
          <w:highlight w:val="none"/>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56"/>
                    <a:stretch>
                      <a:fillRect/>
                    </a:stretch>
                  </pic:blipFill>
                  <pic:spPr>
                    <a:xfrm>
                      <a:off x="0" y="0"/>
                      <a:ext cx="6285865" cy="6925310"/>
                    </a:xfrm>
                    <a:prstGeom prst="rect">
                      <a:avLst/>
                    </a:prstGeom>
                    <a:noFill/>
                    <a:ln>
                      <a:noFill/>
                    </a:ln>
                  </pic:spPr>
                </pic:pic>
              </a:graphicData>
            </a:graphic>
          </wp:inline>
        </w:drawing>
      </w:r>
    </w:p>
    <w:p w14:paraId="0BA8F6B0">
      <w:pPr>
        <w:spacing w:line="10744" w:lineRule="exact"/>
        <w:rPr>
          <w:rFonts w:hint="eastAsia" w:ascii="宋体" w:hAnsi="宋体" w:eastAsia="宋体" w:cs="宋体"/>
          <w:color w:val="auto"/>
          <w:highlight w:val="none"/>
        </w:rPr>
        <w:sectPr>
          <w:footerReference r:id="rId2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59B3E9BC">
      <w:pPr>
        <w:spacing w:before="78" w:line="220" w:lineRule="auto"/>
        <w:outlineLvl w:val="2"/>
        <w:rPr>
          <w:rFonts w:hint="eastAsia" w:ascii="宋体" w:hAnsi="宋体" w:eastAsia="宋体" w:cs="宋体"/>
          <w:b/>
          <w:bCs/>
          <w:color w:val="auto"/>
          <w:spacing w:val="-4"/>
          <w:sz w:val="24"/>
          <w:szCs w:val="24"/>
          <w:highlight w:val="none"/>
          <w:lang w:eastAsia="zh-CN"/>
        </w:rPr>
      </w:pPr>
      <w:bookmarkStart w:id="262" w:name="_Toc28779"/>
      <w:r>
        <w:rPr>
          <w:rFonts w:hint="eastAsia" w:ascii="宋体" w:hAnsi="宋体" w:eastAsia="宋体" w:cs="宋体"/>
          <w:b/>
          <w:bCs/>
          <w:color w:val="auto"/>
          <w:spacing w:val="-4"/>
          <w:sz w:val="24"/>
          <w:szCs w:val="24"/>
          <w:highlight w:val="none"/>
          <w:lang w:eastAsia="zh-CN"/>
        </w:rPr>
        <w:t>格式十三：</w:t>
      </w:r>
      <w:r>
        <w:rPr>
          <w:rFonts w:hint="eastAsia" w:ascii="宋体" w:hAnsi="宋体" w:eastAsia="宋体" w:cs="宋体"/>
          <w:b/>
          <w:bCs/>
          <w:color w:val="auto"/>
          <w:spacing w:val="7"/>
          <w:sz w:val="22"/>
          <w:szCs w:val="22"/>
          <w:highlight w:val="none"/>
          <w:lang w:eastAsia="zh-CN"/>
        </w:rPr>
        <w:t>危险性较大的分部分项工程清单及超过一定规模的危险性较大的</w:t>
      </w:r>
      <w:r>
        <w:rPr>
          <w:rFonts w:hint="eastAsia" w:ascii="宋体" w:hAnsi="宋体" w:eastAsia="宋体" w:cs="宋体"/>
          <w:b/>
          <w:bCs/>
          <w:color w:val="auto"/>
          <w:spacing w:val="5"/>
          <w:sz w:val="22"/>
          <w:szCs w:val="22"/>
          <w:highlight w:val="none"/>
          <w:lang w:eastAsia="zh-CN"/>
        </w:rPr>
        <w:t>分部分项工程清单</w:t>
      </w:r>
      <w:bookmarkEnd w:id="262"/>
    </w:p>
    <w:p w14:paraId="1ED3D51C">
      <w:pPr>
        <w:spacing w:line="269" w:lineRule="auto"/>
        <w:rPr>
          <w:rFonts w:hint="eastAsia" w:ascii="宋体" w:hAnsi="宋体" w:eastAsia="宋体" w:cs="宋体"/>
          <w:color w:val="auto"/>
          <w:highlight w:val="none"/>
          <w:lang w:eastAsia="zh-CN"/>
        </w:rPr>
      </w:pPr>
    </w:p>
    <w:p w14:paraId="3915C3A6">
      <w:pPr>
        <w:tabs>
          <w:tab w:val="left" w:pos="2940"/>
        </w:tabs>
        <w:spacing w:before="101" w:line="377" w:lineRule="auto"/>
        <w:ind w:left="3179" w:right="41" w:hanging="3133"/>
        <w:rPr>
          <w:rFonts w:hint="eastAsia" w:ascii="宋体" w:hAnsi="宋体" w:eastAsia="宋体" w:cs="宋体"/>
          <w:color w:val="auto"/>
          <w:sz w:val="31"/>
          <w:szCs w:val="31"/>
          <w:highlight w:val="none"/>
          <w:lang w:eastAsia="zh-CN"/>
        </w:rPr>
      </w:pPr>
      <w:bookmarkStart w:id="263" w:name="bookmark160"/>
      <w:bookmarkEnd w:id="263"/>
      <w:bookmarkStart w:id="264" w:name="OLE_LINK41"/>
      <w:r>
        <w:rPr>
          <w:rFonts w:hint="eastAsia" w:ascii="宋体" w:hAnsi="宋体" w:eastAsia="宋体" w:cs="宋体"/>
          <w:b/>
          <w:bCs/>
          <w:color w:val="auto"/>
          <w:spacing w:val="7"/>
          <w:sz w:val="31"/>
          <w:szCs w:val="31"/>
          <w:highlight w:val="none"/>
          <w:lang w:eastAsia="zh-CN"/>
        </w:rPr>
        <w:t>危险性较大的分部分项工程清单及超过一定规模的危险性较大的</w:t>
      </w:r>
      <w:r>
        <w:rPr>
          <w:rFonts w:hint="eastAsia" w:ascii="宋体" w:hAnsi="宋体" w:eastAsia="宋体" w:cs="宋体"/>
          <w:b/>
          <w:bCs/>
          <w:color w:val="auto"/>
          <w:spacing w:val="5"/>
          <w:sz w:val="31"/>
          <w:szCs w:val="31"/>
          <w:highlight w:val="none"/>
          <w:lang w:eastAsia="zh-CN"/>
        </w:rPr>
        <w:t>分部分项工程清单</w:t>
      </w:r>
    </w:p>
    <w:bookmarkEnd w:id="264"/>
    <w:p w14:paraId="56F6E4DF">
      <w:pPr>
        <w:spacing w:before="6" w:line="326" w:lineRule="auto"/>
        <w:ind w:left="5" w:firstLine="492"/>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1、根据中华人民共和国住房和城乡建设部令第37号《危险性较大的分部分项工程</w:t>
      </w:r>
      <w:r>
        <w:rPr>
          <w:rFonts w:hint="eastAsia" w:ascii="宋体" w:hAnsi="宋体" w:eastAsia="宋体" w:cs="宋体"/>
          <w:color w:val="auto"/>
          <w:spacing w:val="-2"/>
          <w:sz w:val="24"/>
          <w:szCs w:val="24"/>
          <w:highlight w:val="none"/>
          <w:lang w:eastAsia="zh-CN"/>
        </w:rPr>
        <w:t>安全管理规定》（以下简称“37号文</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11"/>
          <w:sz w:val="24"/>
          <w:szCs w:val="24"/>
          <w:highlight w:val="none"/>
          <w:lang w:eastAsia="zh-CN"/>
        </w:rPr>
        <w:t>），</w:t>
      </w:r>
      <w:r>
        <w:rPr>
          <w:rFonts w:hint="eastAsia" w:ascii="宋体" w:hAnsi="宋体" w:eastAsia="宋体" w:cs="宋体"/>
          <w:color w:val="auto"/>
          <w:spacing w:val="-2"/>
          <w:sz w:val="24"/>
          <w:szCs w:val="24"/>
          <w:highlight w:val="none"/>
          <w:lang w:eastAsia="zh-CN"/>
        </w:rPr>
        <w:t>投标人在投标时须补充完善危大工程清单并</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明确相应的安全管理措施。</w:t>
      </w:r>
    </w:p>
    <w:p w14:paraId="039C7E0B">
      <w:pPr>
        <w:spacing w:before="208" w:line="326" w:lineRule="auto"/>
        <w:ind w:left="1" w:firstLine="481"/>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2、招标人根据设计文件的要求及37号文、粤建规范〔2019〕2号文的规定列出“危险性较大的分部分项工程清单及超过一定规模的危</w:t>
      </w:r>
      <w:r>
        <w:rPr>
          <w:rFonts w:hint="eastAsia" w:ascii="宋体" w:hAnsi="宋体" w:eastAsia="宋体" w:cs="宋体"/>
          <w:color w:val="auto"/>
          <w:spacing w:val="-3"/>
          <w:sz w:val="24"/>
          <w:szCs w:val="24"/>
          <w:highlight w:val="none"/>
          <w:lang w:eastAsia="zh-CN"/>
        </w:rPr>
        <w:t>险性较大的分部分项工程清单</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”中与</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本招标项目相关的清单项，具体详见第5点“打</w:t>
      </w:r>
      <w:r>
        <w:rPr>
          <w:rFonts w:hint="eastAsia" w:ascii="宋体" w:hAnsi="宋体" w:eastAsia="宋体" w:cs="宋体"/>
          <w:color w:val="auto"/>
          <w:spacing w:val="-34"/>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”标识。</w:t>
      </w:r>
    </w:p>
    <w:p w14:paraId="62B353C8">
      <w:pPr>
        <w:spacing w:before="209" w:line="299" w:lineRule="auto"/>
        <w:ind w:left="3" w:right="72" w:firstLine="488"/>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（1）投标单位同意建设单位在清单中标识的该</w:t>
      </w:r>
      <w:r>
        <w:rPr>
          <w:rFonts w:hint="eastAsia" w:ascii="宋体" w:hAnsi="宋体" w:eastAsia="宋体" w:cs="宋体"/>
          <w:color w:val="auto"/>
          <w:spacing w:val="-4"/>
          <w:sz w:val="24"/>
          <w:szCs w:val="24"/>
          <w:highlight w:val="none"/>
          <w:lang w:eastAsia="zh-CN"/>
        </w:rPr>
        <w:t>项请在对应项打“</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”标识，并与</w:t>
      </w:r>
      <w:r>
        <w:rPr>
          <w:rFonts w:hint="eastAsia" w:ascii="宋体" w:hAnsi="宋体" w:eastAsia="宋体" w:cs="宋体"/>
          <w:color w:val="auto"/>
          <w:spacing w:val="-1"/>
          <w:sz w:val="24"/>
          <w:szCs w:val="24"/>
          <w:highlight w:val="none"/>
          <w:lang w:eastAsia="zh-CN"/>
        </w:rPr>
        <w:t>投标文件中提供相应的安全管理措施。</w:t>
      </w:r>
    </w:p>
    <w:p w14:paraId="47A0F5B2">
      <w:pPr>
        <w:spacing w:before="208" w:line="299" w:lineRule="auto"/>
        <w:ind w:left="2" w:right="72" w:firstLine="489"/>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（2）投标单位对清单中认为需要补充的该项请</w:t>
      </w:r>
      <w:r>
        <w:rPr>
          <w:rFonts w:hint="eastAsia" w:ascii="宋体" w:hAnsi="宋体" w:eastAsia="宋体" w:cs="宋体"/>
          <w:color w:val="auto"/>
          <w:spacing w:val="-4"/>
          <w:sz w:val="24"/>
          <w:szCs w:val="24"/>
          <w:highlight w:val="none"/>
          <w:lang w:eastAsia="zh-CN"/>
        </w:rPr>
        <w:t>在对应项打“</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”标识，并与投标</w:t>
      </w:r>
      <w:r>
        <w:rPr>
          <w:rFonts w:hint="eastAsia" w:ascii="宋体" w:hAnsi="宋体" w:eastAsia="宋体" w:cs="宋体"/>
          <w:color w:val="auto"/>
          <w:spacing w:val="-1"/>
          <w:sz w:val="24"/>
          <w:szCs w:val="24"/>
          <w:highlight w:val="none"/>
          <w:lang w:eastAsia="zh-CN"/>
        </w:rPr>
        <w:t>文件中提供相应的安全管理措施。</w:t>
      </w:r>
    </w:p>
    <w:p w14:paraId="1ED95E01">
      <w:pPr>
        <w:spacing w:before="210" w:line="300" w:lineRule="auto"/>
        <w:ind w:right="72" w:firstLine="492"/>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（3）投标单位不同意建设单位在清单中标识的该项请在对应项打“</w:t>
      </w:r>
      <w:r>
        <w:rPr>
          <w:rFonts w:hint="eastAsia" w:ascii="宋体" w:hAnsi="宋体" w:eastAsia="宋体" w:cs="宋体"/>
          <w:color w:val="auto"/>
          <w:spacing w:val="-66"/>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”标识，并</w:t>
      </w:r>
      <w:r>
        <w:rPr>
          <w:rFonts w:hint="eastAsia" w:ascii="宋体" w:hAnsi="宋体" w:eastAsia="宋体" w:cs="宋体"/>
          <w:color w:val="auto"/>
          <w:spacing w:val="-1"/>
          <w:sz w:val="24"/>
          <w:szCs w:val="24"/>
          <w:highlight w:val="none"/>
          <w:lang w:eastAsia="zh-CN"/>
        </w:rPr>
        <w:t>在备注栏填上相关说明。</w:t>
      </w:r>
    </w:p>
    <w:p w14:paraId="6CF5B203">
      <w:pPr>
        <w:spacing w:before="207" w:line="371" w:lineRule="auto"/>
        <w:ind w:firstLine="484"/>
        <w:jc w:val="both"/>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4"/>
          <w:sz w:val="24"/>
          <w:szCs w:val="24"/>
          <w:highlight w:val="none"/>
          <w:u w:val="single"/>
          <w:lang w:eastAsia="zh-CN"/>
        </w:rPr>
        <w:t>3、投标单位应当在投标时根据招标人提供的下述第5点清单，</w:t>
      </w:r>
      <w:r>
        <w:rPr>
          <w:rFonts w:hint="eastAsia" w:ascii="宋体" w:hAnsi="宋体" w:eastAsia="宋体" w:cs="宋体"/>
          <w:b/>
          <w:bCs/>
          <w:color w:val="auto"/>
          <w:spacing w:val="-5"/>
          <w:sz w:val="24"/>
          <w:szCs w:val="24"/>
          <w:highlight w:val="none"/>
          <w:u w:val="single"/>
          <w:lang w:eastAsia="zh-CN"/>
        </w:rPr>
        <w:t>在投标施工组织中回</w:t>
      </w:r>
      <w:r>
        <w:rPr>
          <w:rFonts w:hint="eastAsia" w:ascii="宋体" w:hAnsi="宋体" w:eastAsia="宋体" w:cs="宋体"/>
          <w:b/>
          <w:bCs/>
          <w:color w:val="auto"/>
          <w:spacing w:val="-4"/>
          <w:sz w:val="24"/>
          <w:szCs w:val="24"/>
          <w:highlight w:val="none"/>
          <w:u w:val="single"/>
          <w:lang w:eastAsia="zh-CN"/>
        </w:rPr>
        <w:t>应建设单位提供的危大工程清单，补充相应的安全管理措施。（为减轻标书编制</w:t>
      </w:r>
      <w:r>
        <w:rPr>
          <w:rFonts w:hint="eastAsia" w:ascii="宋体" w:hAnsi="宋体" w:eastAsia="宋体" w:cs="宋体"/>
          <w:b/>
          <w:bCs/>
          <w:color w:val="auto"/>
          <w:spacing w:val="-5"/>
          <w:sz w:val="24"/>
          <w:szCs w:val="24"/>
          <w:highlight w:val="none"/>
          <w:u w:val="single"/>
          <w:lang w:eastAsia="zh-CN"/>
        </w:rPr>
        <w:t>的工作</w:t>
      </w:r>
      <w:r>
        <w:rPr>
          <w:rFonts w:hint="eastAsia" w:ascii="宋体" w:hAnsi="宋体" w:eastAsia="宋体" w:cs="宋体"/>
          <w:b/>
          <w:bCs/>
          <w:color w:val="auto"/>
          <w:spacing w:val="-2"/>
          <w:sz w:val="24"/>
          <w:szCs w:val="24"/>
          <w:highlight w:val="none"/>
          <w:u w:val="single"/>
          <w:lang w:eastAsia="zh-CN"/>
        </w:rPr>
        <w:t>量，投标单位回应的危大工程清单该部分的页数应控制在3页内）</w:t>
      </w:r>
    </w:p>
    <w:p w14:paraId="1027DEEA">
      <w:pPr>
        <w:spacing w:before="33" w:line="326" w:lineRule="auto"/>
        <w:ind w:left="1" w:firstLine="478"/>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4、对于超过一定规模的危大工程，中标单位应当组织召开</w:t>
      </w:r>
      <w:r>
        <w:rPr>
          <w:rFonts w:hint="eastAsia" w:ascii="宋体" w:hAnsi="宋体" w:eastAsia="宋体" w:cs="宋体"/>
          <w:color w:val="auto"/>
          <w:spacing w:val="-1"/>
          <w:sz w:val="24"/>
          <w:szCs w:val="24"/>
          <w:highlight w:val="none"/>
          <w:lang w:eastAsia="zh-CN"/>
        </w:rPr>
        <w:t>专家论证会对专项施工</w:t>
      </w:r>
      <w:r>
        <w:rPr>
          <w:rFonts w:hint="eastAsia" w:ascii="宋体" w:hAnsi="宋体" w:eastAsia="宋体" w:cs="宋体"/>
          <w:color w:val="auto"/>
          <w:spacing w:val="-2"/>
          <w:sz w:val="24"/>
          <w:szCs w:val="24"/>
          <w:highlight w:val="none"/>
          <w:lang w:eastAsia="zh-CN"/>
        </w:rPr>
        <w:t>方案进行论证。实行施工总承包的，由施工总承包单位组织召开专家论证会。专家论证</w:t>
      </w:r>
      <w:r>
        <w:rPr>
          <w:rFonts w:hint="eastAsia" w:ascii="宋体" w:hAnsi="宋体" w:eastAsia="宋体" w:cs="宋体"/>
          <w:color w:val="auto"/>
          <w:spacing w:val="-1"/>
          <w:sz w:val="24"/>
          <w:szCs w:val="24"/>
          <w:highlight w:val="none"/>
          <w:lang w:eastAsia="zh-CN"/>
        </w:rPr>
        <w:t>前专项施工方案应当通过施工总承包单位审核和总监理工程师审查。</w:t>
      </w:r>
    </w:p>
    <w:p w14:paraId="06DEB153">
      <w:pPr>
        <w:spacing w:before="208" w:line="301" w:lineRule="auto"/>
        <w:ind w:firstLine="484"/>
        <w:rPr>
          <w:rFonts w:hint="eastAsia" w:ascii="宋体" w:hAnsi="宋体" w:eastAsia="宋体" w:cs="宋体"/>
          <w:color w:val="auto"/>
          <w:spacing w:val="-4"/>
          <w:sz w:val="24"/>
          <w:szCs w:val="24"/>
          <w:highlight w:val="none"/>
          <w:lang w:eastAsia="zh-CN"/>
        </w:rPr>
      </w:pPr>
      <w:r>
        <w:rPr>
          <w:rFonts w:hint="eastAsia" w:ascii="宋体" w:hAnsi="宋体" w:eastAsia="宋体" w:cs="宋体"/>
          <w:color w:val="auto"/>
          <w:spacing w:val="2"/>
          <w:sz w:val="24"/>
          <w:szCs w:val="24"/>
          <w:highlight w:val="none"/>
          <w:lang w:eastAsia="zh-CN"/>
        </w:rPr>
        <w:t>5、危险性较大的分部分项工程清单及超过一</w:t>
      </w:r>
      <w:r>
        <w:rPr>
          <w:rFonts w:hint="eastAsia" w:ascii="宋体" w:hAnsi="宋体" w:eastAsia="宋体" w:cs="宋体"/>
          <w:color w:val="auto"/>
          <w:spacing w:val="1"/>
          <w:sz w:val="24"/>
          <w:szCs w:val="24"/>
          <w:highlight w:val="none"/>
          <w:lang w:eastAsia="zh-CN"/>
        </w:rPr>
        <w:t>定规模的危险性较大的分部分项工程</w:t>
      </w:r>
      <w:r>
        <w:rPr>
          <w:rFonts w:hint="eastAsia" w:ascii="宋体" w:hAnsi="宋体" w:eastAsia="宋体" w:cs="宋体"/>
          <w:color w:val="auto"/>
          <w:spacing w:val="-4"/>
          <w:sz w:val="24"/>
          <w:szCs w:val="24"/>
          <w:highlight w:val="none"/>
          <w:lang w:eastAsia="zh-CN"/>
        </w:rPr>
        <w:t>清单</w:t>
      </w:r>
    </w:p>
    <w:p w14:paraId="5E35F1C5">
      <w:pP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br w:type="page"/>
      </w:r>
    </w:p>
    <w:p w14:paraId="00621CB4">
      <w:pPr>
        <w:spacing w:before="40"/>
        <w:rPr>
          <w:rFonts w:hint="eastAsia" w:ascii="宋体" w:hAnsi="宋体" w:eastAsia="宋体" w:cs="宋体"/>
          <w:color w:val="auto"/>
          <w:highlight w:val="none"/>
          <w:lang w:eastAsia="zh-CN"/>
        </w:rPr>
      </w:pPr>
    </w:p>
    <w:tbl>
      <w:tblPr>
        <w:tblStyle w:val="14"/>
        <w:tblW w:w="988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64"/>
        <w:gridCol w:w="1294"/>
        <w:gridCol w:w="1294"/>
        <w:gridCol w:w="2428"/>
      </w:tblGrid>
      <w:tr w14:paraId="0320CE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73E4EA3A">
            <w:pPr>
              <w:spacing w:before="133" w:line="220" w:lineRule="auto"/>
              <w:ind w:firstLine="235" w:firstLineChars="100"/>
              <w:rPr>
                <w:rFonts w:hint="eastAsia" w:ascii="宋体" w:hAnsi="宋体" w:eastAsia="宋体" w:cs="宋体"/>
                <w:color w:val="auto"/>
                <w:spacing w:val="-2"/>
                <w:sz w:val="24"/>
                <w:szCs w:val="24"/>
                <w:highlight w:val="none"/>
                <w:lang w:eastAsia="zh-CN"/>
              </w:rPr>
            </w:pPr>
            <w:r>
              <w:rPr>
                <w:rFonts w:hint="eastAsia" w:ascii="宋体" w:hAnsi="宋体" w:eastAsia="宋体" w:cs="宋体"/>
                <w:b/>
                <w:bCs/>
                <w:color w:val="auto"/>
                <w:spacing w:val="-3"/>
                <w:sz w:val="24"/>
                <w:szCs w:val="24"/>
                <w:highlight w:val="none"/>
                <w:lang w:eastAsia="zh-CN"/>
              </w:rPr>
              <w:t>一、危险性较大的分部分项工程清单</w:t>
            </w:r>
          </w:p>
        </w:tc>
        <w:tc>
          <w:tcPr>
            <w:tcW w:w="1294" w:type="dxa"/>
            <w:noWrap w:val="0"/>
            <w:vAlign w:val="top"/>
          </w:tcPr>
          <w:p w14:paraId="779FED35">
            <w:pPr>
              <w:spacing w:before="133" w:line="221" w:lineRule="auto"/>
              <w:ind w:left="206"/>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4"/>
                <w:sz w:val="24"/>
                <w:szCs w:val="24"/>
                <w:highlight w:val="none"/>
              </w:rPr>
              <w:t>建设单位</w:t>
            </w:r>
          </w:p>
        </w:tc>
        <w:tc>
          <w:tcPr>
            <w:tcW w:w="1294" w:type="dxa"/>
            <w:noWrap w:val="0"/>
            <w:vAlign w:val="top"/>
          </w:tcPr>
          <w:p w14:paraId="76E93815">
            <w:pPr>
              <w:spacing w:before="133" w:line="221" w:lineRule="auto"/>
              <w:ind w:left="205"/>
              <w:rPr>
                <w:rFonts w:hint="eastAsia" w:ascii="宋体" w:hAnsi="宋体" w:eastAsia="宋体" w:cs="宋体"/>
                <w:color w:val="auto"/>
                <w:spacing w:val="-19"/>
                <w:w w:val="94"/>
                <w:sz w:val="24"/>
                <w:szCs w:val="24"/>
                <w:highlight w:val="none"/>
              </w:rPr>
            </w:pPr>
            <w:r>
              <w:rPr>
                <w:rFonts w:hint="eastAsia" w:ascii="宋体" w:hAnsi="宋体" w:eastAsia="宋体" w:cs="宋体"/>
                <w:b/>
                <w:bCs/>
                <w:color w:val="auto"/>
                <w:spacing w:val="-5"/>
                <w:sz w:val="24"/>
                <w:szCs w:val="24"/>
                <w:highlight w:val="none"/>
              </w:rPr>
              <w:t>投标单位</w:t>
            </w:r>
          </w:p>
        </w:tc>
        <w:tc>
          <w:tcPr>
            <w:tcW w:w="2428" w:type="dxa"/>
            <w:noWrap w:val="0"/>
            <w:vAlign w:val="top"/>
          </w:tcPr>
          <w:p w14:paraId="16D1E7B4">
            <w:pPr>
              <w:spacing w:before="133" w:line="222" w:lineRule="auto"/>
              <w:ind w:left="360"/>
              <w:rPr>
                <w:rFonts w:hint="eastAsia" w:ascii="宋体" w:hAnsi="宋体" w:eastAsia="宋体" w:cs="宋体"/>
                <w:color w:val="auto"/>
                <w:highlight w:val="none"/>
              </w:rPr>
            </w:pPr>
            <w:r>
              <w:rPr>
                <w:rFonts w:hint="eastAsia" w:ascii="宋体" w:hAnsi="宋体" w:eastAsia="宋体" w:cs="宋体"/>
                <w:color w:val="auto"/>
                <w:spacing w:val="-7"/>
                <w:sz w:val="24"/>
                <w:szCs w:val="24"/>
                <w:highlight w:val="none"/>
              </w:rPr>
              <w:t>备注</w:t>
            </w:r>
          </w:p>
        </w:tc>
      </w:tr>
      <w:tr w14:paraId="7FD4A0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11D6DB78">
            <w:pPr>
              <w:spacing w:before="128" w:line="221" w:lineRule="auto"/>
              <w:ind w:left="120"/>
              <w:rPr>
                <w:rFonts w:hint="eastAsia" w:ascii="宋体" w:hAnsi="宋体" w:eastAsia="宋体" w:cs="宋体"/>
                <w:color w:val="auto"/>
                <w:spacing w:val="-2"/>
                <w:sz w:val="24"/>
                <w:szCs w:val="24"/>
                <w:highlight w:val="none"/>
              </w:rPr>
            </w:pPr>
            <w:r>
              <w:rPr>
                <w:rFonts w:hint="eastAsia" w:ascii="宋体" w:hAnsi="宋体" w:eastAsia="宋体" w:cs="宋体"/>
                <w:color w:val="auto"/>
                <w:spacing w:val="-3"/>
                <w:sz w:val="24"/>
                <w:szCs w:val="24"/>
                <w:highlight w:val="none"/>
              </w:rPr>
              <w:t>一、基坑支护</w:t>
            </w:r>
          </w:p>
        </w:tc>
        <w:tc>
          <w:tcPr>
            <w:tcW w:w="1294" w:type="dxa"/>
            <w:noWrap w:val="0"/>
            <w:vAlign w:val="top"/>
          </w:tcPr>
          <w:p w14:paraId="1B65B8DB">
            <w:pPr>
              <w:spacing w:before="128" w:line="223" w:lineRule="auto"/>
              <w:jc w:val="center"/>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bookmarkStart w:id="265" w:name="OLE_LINK39"/>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lang w:val="en-US" w:eastAsia="zh-CN"/>
              </w:rPr>
              <w:t xml:space="preserve"> </w:t>
            </w:r>
            <w:r>
              <w:rPr>
                <w:rFonts w:hint="eastAsia" w:ascii="宋体" w:hAnsi="宋体" w:eastAsia="宋体" w:cs="宋体"/>
                <w:color w:val="auto"/>
                <w:spacing w:val="5"/>
                <w:sz w:val="24"/>
                <w:szCs w:val="24"/>
                <w:highlight w:val="none"/>
              </w:rPr>
              <w:t xml:space="preserve"> </w:t>
            </w:r>
            <w:bookmarkEnd w:id="265"/>
            <w:r>
              <w:rPr>
                <w:rFonts w:hint="eastAsia" w:ascii="宋体" w:hAnsi="宋体" w:eastAsia="宋体" w:cs="宋体"/>
                <w:color w:val="auto"/>
                <w:spacing w:val="-19"/>
                <w:w w:val="94"/>
                <w:sz w:val="24"/>
                <w:szCs w:val="24"/>
                <w:highlight w:val="none"/>
              </w:rPr>
              <w:t>)</w:t>
            </w:r>
          </w:p>
        </w:tc>
        <w:tc>
          <w:tcPr>
            <w:tcW w:w="1294" w:type="dxa"/>
            <w:noWrap w:val="0"/>
            <w:vAlign w:val="top"/>
          </w:tcPr>
          <w:p w14:paraId="47CB28F7">
            <w:pPr>
              <w:spacing w:before="128" w:line="223" w:lineRule="auto"/>
              <w:ind w:left="367"/>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3FD4E1B4">
            <w:pPr>
              <w:rPr>
                <w:rFonts w:hint="eastAsia" w:ascii="宋体" w:hAnsi="宋体" w:eastAsia="宋体" w:cs="宋体"/>
                <w:color w:val="auto"/>
                <w:highlight w:val="none"/>
              </w:rPr>
            </w:pPr>
          </w:p>
        </w:tc>
      </w:tr>
      <w:tr w14:paraId="5B902C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5AE86814">
            <w:pPr>
              <w:spacing w:before="129" w:line="328" w:lineRule="auto"/>
              <w:ind w:left="135" w:right="68" w:hanging="8"/>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4"/>
                <w:sz w:val="24"/>
                <w:szCs w:val="24"/>
                <w:highlight w:val="none"/>
                <w:lang w:eastAsia="zh-CN"/>
              </w:rPr>
              <w:t>（一）开挖深度超过</w:t>
            </w:r>
            <w:r>
              <w:rPr>
                <w:rFonts w:hint="eastAsia" w:ascii="宋体" w:hAnsi="宋体" w:eastAsia="宋体" w:cs="宋体"/>
                <w:color w:val="auto"/>
                <w:spacing w:val="-29"/>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3m（含</w:t>
            </w:r>
            <w:r>
              <w:rPr>
                <w:rFonts w:hint="eastAsia" w:ascii="宋体" w:hAnsi="宋体" w:eastAsia="宋体" w:cs="宋体"/>
                <w:color w:val="auto"/>
                <w:spacing w:val="-46"/>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3m）的基坑（槽）</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的土方开挖、支护、降水工程。</w:t>
            </w:r>
          </w:p>
        </w:tc>
        <w:tc>
          <w:tcPr>
            <w:tcW w:w="1294" w:type="dxa"/>
            <w:noWrap w:val="0"/>
            <w:vAlign w:val="top"/>
          </w:tcPr>
          <w:p w14:paraId="53BD7FA4">
            <w:pPr>
              <w:spacing w:line="297" w:lineRule="auto"/>
              <w:rPr>
                <w:rFonts w:hint="eastAsia" w:ascii="宋体" w:hAnsi="宋体" w:eastAsia="宋体" w:cs="宋体"/>
                <w:color w:val="auto"/>
                <w:highlight w:val="none"/>
                <w:lang w:eastAsia="zh-CN"/>
              </w:rPr>
            </w:pPr>
          </w:p>
          <w:p w14:paraId="45DA3E8E">
            <w:pPr>
              <w:spacing w:before="78" w:line="223" w:lineRule="auto"/>
              <w:ind w:left="396"/>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0A3301D8">
            <w:pPr>
              <w:spacing w:line="297" w:lineRule="auto"/>
              <w:rPr>
                <w:rFonts w:hint="eastAsia" w:ascii="宋体" w:hAnsi="宋体" w:eastAsia="宋体" w:cs="宋体"/>
                <w:color w:val="auto"/>
                <w:highlight w:val="none"/>
              </w:rPr>
            </w:pPr>
          </w:p>
          <w:p w14:paraId="0B449AB5">
            <w:pPr>
              <w:spacing w:before="78" w:line="223" w:lineRule="auto"/>
              <w:ind w:left="367"/>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4B713B56">
            <w:pPr>
              <w:rPr>
                <w:rFonts w:hint="eastAsia" w:ascii="宋体" w:hAnsi="宋体" w:eastAsia="宋体" w:cs="宋体"/>
                <w:color w:val="auto"/>
                <w:highlight w:val="none"/>
              </w:rPr>
            </w:pPr>
          </w:p>
        </w:tc>
      </w:tr>
      <w:tr w14:paraId="6B0C22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4C42F61C">
            <w:pPr>
              <w:spacing w:before="132" w:line="354" w:lineRule="auto"/>
              <w:ind w:left="116" w:right="108" w:firstLine="11"/>
              <w:jc w:val="both"/>
              <w:rPr>
                <w:rFonts w:hint="eastAsia" w:ascii="宋体" w:hAnsi="宋体" w:eastAsia="宋体" w:cs="宋体"/>
                <w:color w:val="auto"/>
                <w:sz w:val="24"/>
                <w:szCs w:val="24"/>
                <w:highlight w:val="none"/>
                <w:lang w:eastAsia="zh-CN"/>
              </w:rPr>
            </w:pPr>
            <w:bookmarkStart w:id="266" w:name="bookmark161"/>
            <w:bookmarkEnd w:id="266"/>
            <w:r>
              <w:rPr>
                <w:rFonts w:hint="eastAsia" w:ascii="宋体" w:hAnsi="宋体" w:eastAsia="宋体" w:cs="宋体"/>
                <w:color w:val="auto"/>
                <w:spacing w:val="-2"/>
                <w:sz w:val="24"/>
                <w:szCs w:val="24"/>
                <w:highlight w:val="none"/>
                <w:lang w:eastAsia="zh-CN"/>
              </w:rPr>
              <w:t>（二）开挖深度虽未超过</w:t>
            </w:r>
            <w:r>
              <w:rPr>
                <w:rFonts w:hint="eastAsia" w:ascii="宋体" w:hAnsi="宋体" w:eastAsia="宋体" w:cs="宋体"/>
                <w:color w:val="auto"/>
                <w:spacing w:val="-40"/>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3m，但地质条件、周</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围环境和地下管线复杂，或影响毗邻建、构筑</w:t>
            </w:r>
            <w:r>
              <w:rPr>
                <w:rFonts w:hint="eastAsia" w:ascii="宋体" w:hAnsi="宋体" w:eastAsia="宋体" w:cs="宋体"/>
                <w:color w:val="auto"/>
                <w:spacing w:val="9"/>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物安全的基坑（槽）的土方开挖、支护、降水</w:t>
            </w:r>
            <w:r>
              <w:rPr>
                <w:rFonts w:hint="eastAsia" w:ascii="宋体" w:hAnsi="宋体" w:eastAsia="宋体" w:cs="宋体"/>
                <w:color w:val="auto"/>
                <w:spacing w:val="9"/>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工程。</w:t>
            </w:r>
          </w:p>
        </w:tc>
        <w:tc>
          <w:tcPr>
            <w:tcW w:w="1294" w:type="dxa"/>
            <w:noWrap w:val="0"/>
            <w:vAlign w:val="top"/>
          </w:tcPr>
          <w:p w14:paraId="444D349F">
            <w:pPr>
              <w:spacing w:line="263" w:lineRule="auto"/>
              <w:rPr>
                <w:rFonts w:hint="eastAsia" w:ascii="宋体" w:hAnsi="宋体" w:eastAsia="宋体" w:cs="宋体"/>
                <w:color w:val="auto"/>
                <w:highlight w:val="none"/>
                <w:lang w:eastAsia="zh-CN"/>
              </w:rPr>
            </w:pPr>
          </w:p>
          <w:p w14:paraId="0EEAD20B">
            <w:pPr>
              <w:spacing w:line="263" w:lineRule="auto"/>
              <w:rPr>
                <w:rFonts w:hint="eastAsia" w:ascii="宋体" w:hAnsi="宋体" w:eastAsia="宋体" w:cs="宋体"/>
                <w:color w:val="auto"/>
                <w:highlight w:val="none"/>
                <w:lang w:eastAsia="zh-CN"/>
              </w:rPr>
            </w:pPr>
          </w:p>
          <w:p w14:paraId="096718A5">
            <w:pPr>
              <w:spacing w:line="264" w:lineRule="auto"/>
              <w:rPr>
                <w:rFonts w:hint="eastAsia" w:ascii="宋体" w:hAnsi="宋体" w:eastAsia="宋体" w:cs="宋体"/>
                <w:color w:val="auto"/>
                <w:highlight w:val="none"/>
                <w:lang w:eastAsia="zh-CN"/>
              </w:rPr>
            </w:pPr>
          </w:p>
          <w:p w14:paraId="3F678C63">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bookmarkStart w:id="267" w:name="OLE_LINK40"/>
            <w:r>
              <w:rPr>
                <w:rFonts w:hint="eastAsia" w:ascii="宋体" w:hAnsi="宋体" w:eastAsia="宋体" w:cs="宋体"/>
                <w:color w:val="auto"/>
                <w:spacing w:val="2"/>
                <w:sz w:val="24"/>
                <w:szCs w:val="24"/>
                <w:highlight w:val="none"/>
              </w:rPr>
              <w:t xml:space="preserve">   </w:t>
            </w:r>
            <w:bookmarkEnd w:id="267"/>
            <w:r>
              <w:rPr>
                <w:rFonts w:hint="eastAsia" w:ascii="宋体" w:hAnsi="宋体" w:eastAsia="宋体" w:cs="宋体"/>
                <w:color w:val="auto"/>
                <w:spacing w:val="-19"/>
                <w:w w:val="94"/>
                <w:sz w:val="24"/>
                <w:szCs w:val="24"/>
                <w:highlight w:val="none"/>
              </w:rPr>
              <w:t>)</w:t>
            </w:r>
          </w:p>
        </w:tc>
        <w:tc>
          <w:tcPr>
            <w:tcW w:w="1294" w:type="dxa"/>
            <w:noWrap w:val="0"/>
            <w:vAlign w:val="top"/>
          </w:tcPr>
          <w:p w14:paraId="0419F8EE">
            <w:pPr>
              <w:spacing w:line="263" w:lineRule="auto"/>
              <w:rPr>
                <w:rFonts w:hint="eastAsia" w:ascii="宋体" w:hAnsi="宋体" w:eastAsia="宋体" w:cs="宋体"/>
                <w:color w:val="auto"/>
                <w:highlight w:val="none"/>
              </w:rPr>
            </w:pPr>
          </w:p>
          <w:p w14:paraId="58B4129C">
            <w:pPr>
              <w:spacing w:line="263" w:lineRule="auto"/>
              <w:rPr>
                <w:rFonts w:hint="eastAsia" w:ascii="宋体" w:hAnsi="宋体" w:eastAsia="宋体" w:cs="宋体"/>
                <w:color w:val="auto"/>
                <w:highlight w:val="none"/>
              </w:rPr>
            </w:pPr>
          </w:p>
          <w:p w14:paraId="75AE3014">
            <w:pPr>
              <w:spacing w:line="264" w:lineRule="auto"/>
              <w:rPr>
                <w:rFonts w:hint="eastAsia" w:ascii="宋体" w:hAnsi="宋体" w:eastAsia="宋体" w:cs="宋体"/>
                <w:color w:val="auto"/>
                <w:highlight w:val="none"/>
              </w:rPr>
            </w:pPr>
          </w:p>
          <w:p w14:paraId="36D2F87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790A8FCC">
            <w:pPr>
              <w:rPr>
                <w:rFonts w:hint="eastAsia" w:ascii="宋体" w:hAnsi="宋体" w:eastAsia="宋体" w:cs="宋体"/>
                <w:color w:val="auto"/>
                <w:highlight w:val="none"/>
              </w:rPr>
            </w:pPr>
          </w:p>
        </w:tc>
      </w:tr>
      <w:tr w14:paraId="75206B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700B9839">
            <w:pPr>
              <w:spacing w:before="128" w:line="219" w:lineRule="auto"/>
              <w:ind w:left="12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二、模板工程及支撑体系</w:t>
            </w:r>
          </w:p>
        </w:tc>
        <w:tc>
          <w:tcPr>
            <w:tcW w:w="1294" w:type="dxa"/>
            <w:noWrap w:val="0"/>
            <w:vAlign w:val="top"/>
          </w:tcPr>
          <w:p w14:paraId="1585B354">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2"/>
                <w:sz w:val="24"/>
                <w:szCs w:val="24"/>
                <w:highlight w:val="none"/>
                <w:lang w:eastAsia="zh-CN"/>
              </w:rPr>
              <w:t xml:space="preserve"> </w:t>
            </w:r>
            <w:r>
              <w:rPr>
                <w:rFonts w:ascii="宋体" w:hAnsi="宋体" w:eastAsia="宋体" w:cs="宋体"/>
                <w:color w:val="auto"/>
                <w:spacing w:val="2"/>
                <w:sz w:val="24"/>
                <w:szCs w:val="24"/>
                <w:highlight w:val="none"/>
                <w:lang w:eastAsia="zh-CN"/>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0FD558FD">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082173CC">
            <w:pPr>
              <w:rPr>
                <w:rFonts w:hint="eastAsia" w:ascii="宋体" w:hAnsi="宋体" w:eastAsia="宋体" w:cs="宋体"/>
                <w:color w:val="auto"/>
                <w:highlight w:val="none"/>
              </w:rPr>
            </w:pPr>
          </w:p>
        </w:tc>
      </w:tr>
      <w:tr w14:paraId="6C147D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3D6C8C9E">
            <w:pPr>
              <w:spacing w:before="128" w:line="328" w:lineRule="auto"/>
              <w:ind w:left="123" w:right="25" w:firstLine="4"/>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lang w:eastAsia="zh-CN"/>
              </w:rPr>
              <w:t>（一）各类工具式模板工程：包括滑模、爬模、</w:t>
            </w:r>
            <w:r>
              <w:rPr>
                <w:rFonts w:hint="eastAsia" w:ascii="宋体" w:hAnsi="宋体" w:eastAsia="宋体" w:cs="宋体"/>
                <w:color w:val="auto"/>
                <w:spacing w:val="6"/>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飞模、隧道模等工程。</w:t>
            </w:r>
          </w:p>
        </w:tc>
        <w:tc>
          <w:tcPr>
            <w:tcW w:w="1294" w:type="dxa"/>
            <w:noWrap w:val="0"/>
            <w:vAlign w:val="top"/>
          </w:tcPr>
          <w:p w14:paraId="6C76D8C6">
            <w:pPr>
              <w:spacing w:line="293" w:lineRule="auto"/>
              <w:rPr>
                <w:rFonts w:hint="eastAsia" w:ascii="宋体" w:hAnsi="宋体" w:eastAsia="宋体" w:cs="宋体"/>
                <w:color w:val="auto"/>
                <w:highlight w:val="none"/>
                <w:lang w:eastAsia="zh-CN"/>
              </w:rPr>
            </w:pPr>
          </w:p>
          <w:p w14:paraId="6B119C67">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22C6BA06">
            <w:pPr>
              <w:spacing w:line="293" w:lineRule="auto"/>
              <w:rPr>
                <w:rFonts w:hint="eastAsia" w:ascii="宋体" w:hAnsi="宋体" w:eastAsia="宋体" w:cs="宋体"/>
                <w:color w:val="auto"/>
                <w:highlight w:val="none"/>
              </w:rPr>
            </w:pPr>
          </w:p>
          <w:p w14:paraId="7EF9A838">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2F269391">
            <w:pPr>
              <w:rPr>
                <w:rFonts w:hint="eastAsia" w:ascii="宋体" w:hAnsi="宋体" w:eastAsia="宋体" w:cs="宋体"/>
                <w:color w:val="auto"/>
                <w:highlight w:val="none"/>
              </w:rPr>
            </w:pPr>
          </w:p>
        </w:tc>
      </w:tr>
      <w:tr w14:paraId="7CD021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1979171A">
            <w:pPr>
              <w:spacing w:before="131" w:line="362" w:lineRule="auto"/>
              <w:ind w:left="115" w:right="105" w:firstLine="12"/>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lang w:eastAsia="zh-CN"/>
              </w:rPr>
              <w:t>（二）混凝土模板支撑工程：搭设高度</w:t>
            </w:r>
            <w:r>
              <w:rPr>
                <w:rFonts w:hint="eastAsia" w:ascii="宋体" w:hAnsi="宋体" w:eastAsia="宋体" w:cs="宋体"/>
                <w:color w:val="auto"/>
                <w:spacing w:val="-43"/>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5m</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及以</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0"/>
                <w:sz w:val="24"/>
                <w:szCs w:val="24"/>
                <w:highlight w:val="none"/>
                <w:lang w:eastAsia="zh-CN"/>
              </w:rPr>
              <w:t>上，或搭设跨度</w:t>
            </w:r>
            <w:r>
              <w:rPr>
                <w:rFonts w:hint="eastAsia" w:ascii="宋体" w:hAnsi="宋体" w:eastAsia="宋体" w:cs="宋体"/>
                <w:color w:val="auto"/>
                <w:spacing w:val="-33"/>
                <w:sz w:val="24"/>
                <w:szCs w:val="24"/>
                <w:highlight w:val="none"/>
                <w:lang w:eastAsia="zh-CN"/>
              </w:rPr>
              <w:t xml:space="preserve"> </w:t>
            </w:r>
            <w:r>
              <w:rPr>
                <w:rFonts w:hint="eastAsia" w:ascii="宋体" w:hAnsi="宋体" w:eastAsia="宋体" w:cs="宋体"/>
                <w:color w:val="auto"/>
                <w:spacing w:val="-10"/>
                <w:sz w:val="24"/>
                <w:szCs w:val="24"/>
                <w:highlight w:val="none"/>
                <w:lang w:eastAsia="zh-CN"/>
              </w:rPr>
              <w:t>10m</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10"/>
                <w:sz w:val="24"/>
                <w:szCs w:val="24"/>
                <w:highlight w:val="none"/>
                <w:lang w:eastAsia="zh-CN"/>
              </w:rPr>
              <w:t>及以上，或施工总荷</w:t>
            </w:r>
            <w:r>
              <w:rPr>
                <w:rFonts w:hint="eastAsia" w:ascii="宋体" w:hAnsi="宋体" w:eastAsia="宋体" w:cs="宋体"/>
                <w:color w:val="auto"/>
                <w:spacing w:val="-11"/>
                <w:sz w:val="24"/>
                <w:szCs w:val="24"/>
                <w:highlight w:val="none"/>
                <w:lang w:eastAsia="zh-CN"/>
              </w:rPr>
              <w:t>载（荷</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载效应基本组合的设计值，以下简称设计值）</w:t>
            </w:r>
            <w:r>
              <w:rPr>
                <w:rFonts w:hint="eastAsia" w:ascii="宋体" w:hAnsi="宋体" w:eastAsia="宋体" w:cs="宋体"/>
                <w:color w:val="auto"/>
                <w:spacing w:val="14"/>
                <w:sz w:val="24"/>
                <w:szCs w:val="24"/>
                <w:highlight w:val="none"/>
                <w:lang w:eastAsia="zh-CN"/>
              </w:rPr>
              <w:t xml:space="preserve"> </w:t>
            </w:r>
            <w:r>
              <w:rPr>
                <w:rFonts w:hint="eastAsia" w:ascii="宋体" w:hAnsi="宋体" w:eastAsia="宋体" w:cs="宋体"/>
                <w:color w:val="auto"/>
                <w:spacing w:val="-14"/>
                <w:sz w:val="24"/>
                <w:szCs w:val="24"/>
                <w:highlight w:val="none"/>
                <w:lang w:eastAsia="zh-CN"/>
              </w:rPr>
              <w:t>10kN/m2</w:t>
            </w:r>
            <w:r>
              <w:rPr>
                <w:rFonts w:hint="eastAsia" w:ascii="宋体" w:hAnsi="宋体" w:eastAsia="宋体" w:cs="宋体"/>
                <w:color w:val="auto"/>
                <w:spacing w:val="-35"/>
                <w:sz w:val="24"/>
                <w:szCs w:val="24"/>
                <w:highlight w:val="none"/>
                <w:lang w:eastAsia="zh-CN"/>
              </w:rPr>
              <w:t xml:space="preserve"> </w:t>
            </w:r>
            <w:r>
              <w:rPr>
                <w:rFonts w:hint="eastAsia" w:ascii="宋体" w:hAnsi="宋体" w:eastAsia="宋体" w:cs="宋体"/>
                <w:color w:val="auto"/>
                <w:spacing w:val="-14"/>
                <w:sz w:val="24"/>
                <w:szCs w:val="24"/>
                <w:highlight w:val="none"/>
                <w:lang w:eastAsia="zh-CN"/>
              </w:rPr>
              <w:t>及以上，或集中线荷载（设计值）15kN/m</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及以上，或高度大于支撑水平投影宽度且相对</w:t>
            </w:r>
            <w:r>
              <w:rPr>
                <w:rFonts w:hint="eastAsia" w:ascii="宋体" w:hAnsi="宋体" w:eastAsia="宋体" w:cs="宋体"/>
                <w:color w:val="auto"/>
                <w:spacing w:val="10"/>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独立无联系构件的混凝土模板支撑工程。</w:t>
            </w:r>
          </w:p>
        </w:tc>
        <w:tc>
          <w:tcPr>
            <w:tcW w:w="1294" w:type="dxa"/>
            <w:noWrap w:val="0"/>
            <w:vAlign w:val="top"/>
          </w:tcPr>
          <w:p w14:paraId="2303BE7E">
            <w:pPr>
              <w:spacing w:line="255" w:lineRule="auto"/>
              <w:rPr>
                <w:rFonts w:hint="eastAsia" w:ascii="宋体" w:hAnsi="宋体" w:eastAsia="宋体" w:cs="宋体"/>
                <w:color w:val="auto"/>
                <w:highlight w:val="none"/>
                <w:lang w:eastAsia="zh-CN"/>
              </w:rPr>
            </w:pPr>
          </w:p>
          <w:p w14:paraId="39E03419">
            <w:pPr>
              <w:spacing w:line="255" w:lineRule="auto"/>
              <w:rPr>
                <w:rFonts w:hint="eastAsia" w:ascii="宋体" w:hAnsi="宋体" w:eastAsia="宋体" w:cs="宋体"/>
                <w:color w:val="auto"/>
                <w:highlight w:val="none"/>
                <w:lang w:eastAsia="zh-CN"/>
              </w:rPr>
            </w:pPr>
          </w:p>
          <w:p w14:paraId="6E8FB2BE">
            <w:pPr>
              <w:spacing w:line="255" w:lineRule="auto"/>
              <w:rPr>
                <w:rFonts w:hint="eastAsia" w:ascii="宋体" w:hAnsi="宋体" w:eastAsia="宋体" w:cs="宋体"/>
                <w:color w:val="auto"/>
                <w:highlight w:val="none"/>
                <w:lang w:eastAsia="zh-CN"/>
              </w:rPr>
            </w:pPr>
          </w:p>
          <w:p w14:paraId="46A5F852">
            <w:pPr>
              <w:spacing w:line="255" w:lineRule="auto"/>
              <w:rPr>
                <w:rFonts w:hint="eastAsia" w:ascii="宋体" w:hAnsi="宋体" w:eastAsia="宋体" w:cs="宋体"/>
                <w:color w:val="auto"/>
                <w:highlight w:val="none"/>
                <w:lang w:eastAsia="zh-CN"/>
              </w:rPr>
            </w:pPr>
          </w:p>
          <w:p w14:paraId="1CB1AABC">
            <w:pPr>
              <w:spacing w:line="256" w:lineRule="auto"/>
              <w:rPr>
                <w:rFonts w:hint="eastAsia" w:ascii="宋体" w:hAnsi="宋体" w:eastAsia="宋体" w:cs="宋体"/>
                <w:color w:val="auto"/>
                <w:highlight w:val="none"/>
                <w:lang w:eastAsia="zh-CN"/>
              </w:rPr>
            </w:pPr>
          </w:p>
          <w:p w14:paraId="75DBBD0C">
            <w:pPr>
              <w:spacing w:before="7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2"/>
                <w:sz w:val="24"/>
                <w:szCs w:val="24"/>
                <w:highlight w:val="none"/>
                <w:lang w:eastAsia="zh-CN"/>
              </w:rPr>
              <w:t xml:space="preserve"> </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2695E2E7">
            <w:pPr>
              <w:spacing w:line="255" w:lineRule="auto"/>
              <w:rPr>
                <w:rFonts w:hint="eastAsia" w:ascii="宋体" w:hAnsi="宋体" w:eastAsia="宋体" w:cs="宋体"/>
                <w:color w:val="auto"/>
                <w:highlight w:val="none"/>
              </w:rPr>
            </w:pPr>
          </w:p>
          <w:p w14:paraId="61E6BEB4">
            <w:pPr>
              <w:spacing w:line="255" w:lineRule="auto"/>
              <w:rPr>
                <w:rFonts w:hint="eastAsia" w:ascii="宋体" w:hAnsi="宋体" w:eastAsia="宋体" w:cs="宋体"/>
                <w:color w:val="auto"/>
                <w:highlight w:val="none"/>
              </w:rPr>
            </w:pPr>
          </w:p>
          <w:p w14:paraId="26CC8B75">
            <w:pPr>
              <w:spacing w:line="255" w:lineRule="auto"/>
              <w:rPr>
                <w:rFonts w:hint="eastAsia" w:ascii="宋体" w:hAnsi="宋体" w:eastAsia="宋体" w:cs="宋体"/>
                <w:color w:val="auto"/>
                <w:highlight w:val="none"/>
              </w:rPr>
            </w:pPr>
          </w:p>
          <w:p w14:paraId="29BDA7D4">
            <w:pPr>
              <w:spacing w:line="255" w:lineRule="auto"/>
              <w:rPr>
                <w:rFonts w:hint="eastAsia" w:ascii="宋体" w:hAnsi="宋体" w:eastAsia="宋体" w:cs="宋体"/>
                <w:color w:val="auto"/>
                <w:highlight w:val="none"/>
              </w:rPr>
            </w:pPr>
          </w:p>
          <w:p w14:paraId="642BBBA2">
            <w:pPr>
              <w:spacing w:line="256" w:lineRule="auto"/>
              <w:rPr>
                <w:rFonts w:hint="eastAsia" w:ascii="宋体" w:hAnsi="宋体" w:eastAsia="宋体" w:cs="宋体"/>
                <w:color w:val="auto"/>
                <w:highlight w:val="none"/>
              </w:rPr>
            </w:pPr>
          </w:p>
          <w:p w14:paraId="4F539163">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0FE89D39">
            <w:pPr>
              <w:rPr>
                <w:rFonts w:hint="eastAsia" w:ascii="宋体" w:hAnsi="宋体" w:eastAsia="宋体" w:cs="宋体"/>
                <w:color w:val="auto"/>
                <w:highlight w:val="none"/>
              </w:rPr>
            </w:pPr>
          </w:p>
        </w:tc>
      </w:tr>
      <w:tr w14:paraId="3CE938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08786471">
            <w:pPr>
              <w:spacing w:before="130" w:line="327" w:lineRule="auto"/>
              <w:ind w:left="117" w:right="168" w:firstLine="1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（三）承重支撑体系：用于钢结构安装等满堂</w:t>
            </w:r>
            <w:r>
              <w:rPr>
                <w:rFonts w:hint="eastAsia" w:ascii="宋体" w:hAnsi="宋体" w:eastAsia="宋体" w:cs="宋体"/>
                <w:color w:val="auto"/>
                <w:spacing w:val="18"/>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支撑体系。</w:t>
            </w:r>
          </w:p>
        </w:tc>
        <w:tc>
          <w:tcPr>
            <w:tcW w:w="1294" w:type="dxa"/>
            <w:noWrap w:val="0"/>
            <w:vAlign w:val="top"/>
          </w:tcPr>
          <w:p w14:paraId="2BB88D2F">
            <w:pPr>
              <w:spacing w:line="296" w:lineRule="auto"/>
              <w:rPr>
                <w:rFonts w:hint="eastAsia" w:ascii="宋体" w:hAnsi="宋体" w:eastAsia="宋体" w:cs="宋体"/>
                <w:color w:val="auto"/>
                <w:highlight w:val="none"/>
                <w:lang w:eastAsia="zh-CN"/>
              </w:rPr>
            </w:pPr>
          </w:p>
          <w:p w14:paraId="2D38EFB6">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2F8F02A6">
            <w:pPr>
              <w:spacing w:line="296" w:lineRule="auto"/>
              <w:rPr>
                <w:rFonts w:hint="eastAsia" w:ascii="宋体" w:hAnsi="宋体" w:eastAsia="宋体" w:cs="宋体"/>
                <w:color w:val="auto"/>
                <w:highlight w:val="none"/>
              </w:rPr>
            </w:pPr>
          </w:p>
          <w:p w14:paraId="5F1DE76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550541D2">
            <w:pPr>
              <w:rPr>
                <w:rFonts w:hint="eastAsia" w:ascii="宋体" w:hAnsi="宋体" w:eastAsia="宋体" w:cs="宋体"/>
                <w:color w:val="auto"/>
                <w:highlight w:val="none"/>
              </w:rPr>
            </w:pPr>
          </w:p>
        </w:tc>
      </w:tr>
      <w:tr w14:paraId="7716A8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38F1CA3D">
            <w:pPr>
              <w:spacing w:before="130" w:line="219" w:lineRule="auto"/>
              <w:ind w:left="356"/>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三、起重吊装及起重机械安装拆卸工程</w:t>
            </w:r>
          </w:p>
        </w:tc>
        <w:tc>
          <w:tcPr>
            <w:tcW w:w="1294" w:type="dxa"/>
            <w:noWrap w:val="0"/>
            <w:vAlign w:val="top"/>
          </w:tcPr>
          <w:p w14:paraId="04141E9B">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274E581C">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175D085D">
            <w:pPr>
              <w:rPr>
                <w:rFonts w:hint="eastAsia" w:ascii="宋体" w:hAnsi="宋体" w:eastAsia="宋体" w:cs="宋体"/>
                <w:color w:val="auto"/>
                <w:highlight w:val="none"/>
              </w:rPr>
            </w:pPr>
          </w:p>
        </w:tc>
      </w:tr>
      <w:tr w14:paraId="1011BC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5A9E15D8">
            <w:pPr>
              <w:spacing w:before="131" w:line="327" w:lineRule="auto"/>
              <w:ind w:left="144" w:right="168" w:hanging="1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（一）采用非常规起重设备、方法，且单件起</w:t>
            </w:r>
            <w:r>
              <w:rPr>
                <w:rFonts w:hint="eastAsia" w:ascii="宋体" w:hAnsi="宋体" w:eastAsia="宋体" w:cs="宋体"/>
                <w:color w:val="auto"/>
                <w:spacing w:val="18"/>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吊重量在</w:t>
            </w:r>
            <w:r>
              <w:rPr>
                <w:rFonts w:hint="eastAsia" w:ascii="宋体" w:hAnsi="宋体" w:eastAsia="宋体" w:cs="宋体"/>
                <w:color w:val="auto"/>
                <w:spacing w:val="-32"/>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10kN</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及以上的起重吊装工程。</w:t>
            </w:r>
          </w:p>
        </w:tc>
        <w:tc>
          <w:tcPr>
            <w:tcW w:w="1294" w:type="dxa"/>
            <w:noWrap w:val="0"/>
            <w:vAlign w:val="top"/>
          </w:tcPr>
          <w:p w14:paraId="6508F02E">
            <w:pPr>
              <w:spacing w:line="297" w:lineRule="auto"/>
              <w:rPr>
                <w:rFonts w:hint="eastAsia" w:ascii="宋体" w:hAnsi="宋体" w:eastAsia="宋体" w:cs="宋体"/>
                <w:color w:val="auto"/>
                <w:highlight w:val="none"/>
                <w:lang w:eastAsia="zh-CN"/>
              </w:rPr>
            </w:pPr>
          </w:p>
          <w:p w14:paraId="1D15CC20">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0C8483A6">
            <w:pPr>
              <w:spacing w:line="297" w:lineRule="auto"/>
              <w:rPr>
                <w:rFonts w:hint="eastAsia" w:ascii="宋体" w:hAnsi="宋体" w:eastAsia="宋体" w:cs="宋体"/>
                <w:color w:val="auto"/>
                <w:highlight w:val="none"/>
              </w:rPr>
            </w:pPr>
          </w:p>
          <w:p w14:paraId="01B3DE05">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750F5A51">
            <w:pPr>
              <w:rPr>
                <w:rFonts w:hint="eastAsia" w:ascii="宋体" w:hAnsi="宋体" w:eastAsia="宋体" w:cs="宋体"/>
                <w:color w:val="auto"/>
                <w:highlight w:val="none"/>
              </w:rPr>
            </w:pPr>
          </w:p>
        </w:tc>
      </w:tr>
      <w:tr w14:paraId="767116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77D2A822">
            <w:pPr>
              <w:spacing w:before="132" w:line="219"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（二）采用起重机械进行安装的工程。</w:t>
            </w:r>
          </w:p>
        </w:tc>
        <w:tc>
          <w:tcPr>
            <w:tcW w:w="1294" w:type="dxa"/>
            <w:noWrap w:val="0"/>
            <w:vAlign w:val="top"/>
          </w:tcPr>
          <w:p w14:paraId="25A33E80">
            <w:pPr>
              <w:spacing w:before="131"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45D3A2F3">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3C00ABD2">
            <w:pPr>
              <w:rPr>
                <w:rFonts w:hint="eastAsia" w:ascii="宋体" w:hAnsi="宋体" w:eastAsia="宋体" w:cs="宋体"/>
                <w:color w:val="auto"/>
                <w:highlight w:val="none"/>
              </w:rPr>
            </w:pPr>
          </w:p>
        </w:tc>
      </w:tr>
      <w:tr w14:paraId="152E63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313735A0">
            <w:pPr>
              <w:spacing w:before="130" w:line="219"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（三）起重机械安装和拆卸工程。</w:t>
            </w:r>
          </w:p>
        </w:tc>
        <w:tc>
          <w:tcPr>
            <w:tcW w:w="1294" w:type="dxa"/>
            <w:noWrap w:val="0"/>
            <w:vAlign w:val="top"/>
          </w:tcPr>
          <w:p w14:paraId="03A498B9">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501A45FA">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1B50E71F">
            <w:pPr>
              <w:rPr>
                <w:rFonts w:hint="eastAsia" w:ascii="宋体" w:hAnsi="宋体" w:eastAsia="宋体" w:cs="宋体"/>
                <w:color w:val="auto"/>
                <w:highlight w:val="none"/>
              </w:rPr>
            </w:pPr>
          </w:p>
        </w:tc>
      </w:tr>
      <w:tr w14:paraId="523BBE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4DB36704">
            <w:pPr>
              <w:spacing w:before="131"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noWrap w:val="0"/>
            <w:vAlign w:val="top"/>
          </w:tcPr>
          <w:p w14:paraId="7C2A8A24">
            <w:pPr>
              <w:spacing w:before="130" w:line="223" w:lineRule="auto"/>
              <w:ind w:left="48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lang w:eastAsia="zh-CN"/>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2EC343C2">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63BA2EA9">
            <w:pPr>
              <w:rPr>
                <w:rFonts w:hint="eastAsia" w:ascii="宋体" w:hAnsi="宋体" w:eastAsia="宋体" w:cs="宋体"/>
                <w:color w:val="auto"/>
                <w:highlight w:val="none"/>
              </w:rPr>
            </w:pPr>
          </w:p>
        </w:tc>
      </w:tr>
      <w:tr w14:paraId="0AB7F2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2A963B49">
            <w:pPr>
              <w:spacing w:before="130" w:line="327" w:lineRule="auto"/>
              <w:ind w:left="117" w:right="168" w:firstLine="1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（一）搭设高度</w:t>
            </w:r>
            <w:r>
              <w:rPr>
                <w:rFonts w:hint="eastAsia" w:ascii="宋体" w:hAnsi="宋体" w:eastAsia="宋体" w:cs="宋体"/>
                <w:color w:val="auto"/>
                <w:spacing w:val="-48"/>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24m</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及以上的落地式钢管脚手</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架工程（包括采光井、电梯井脚手架）。</w:t>
            </w:r>
          </w:p>
        </w:tc>
        <w:tc>
          <w:tcPr>
            <w:tcW w:w="1294" w:type="dxa"/>
            <w:noWrap w:val="0"/>
            <w:vAlign w:val="top"/>
          </w:tcPr>
          <w:p w14:paraId="21D52A9F">
            <w:pPr>
              <w:spacing w:line="297" w:lineRule="auto"/>
              <w:rPr>
                <w:rFonts w:hint="eastAsia" w:ascii="宋体" w:hAnsi="宋体" w:eastAsia="宋体" w:cs="宋体"/>
                <w:color w:val="auto"/>
                <w:highlight w:val="none"/>
                <w:lang w:eastAsia="zh-CN"/>
              </w:rPr>
            </w:pPr>
          </w:p>
          <w:p w14:paraId="39419293">
            <w:pPr>
              <w:spacing w:before="7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6D187A2A">
            <w:pPr>
              <w:spacing w:line="297" w:lineRule="auto"/>
              <w:rPr>
                <w:rFonts w:hint="eastAsia" w:ascii="宋体" w:hAnsi="宋体" w:eastAsia="宋体" w:cs="宋体"/>
                <w:color w:val="auto"/>
                <w:highlight w:val="none"/>
              </w:rPr>
            </w:pPr>
          </w:p>
          <w:p w14:paraId="3494B4BC">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56B3CD6A">
            <w:pPr>
              <w:rPr>
                <w:rFonts w:hint="eastAsia" w:ascii="宋体" w:hAnsi="宋体" w:eastAsia="宋体" w:cs="宋体"/>
                <w:color w:val="auto"/>
                <w:highlight w:val="none"/>
              </w:rPr>
            </w:pPr>
          </w:p>
        </w:tc>
      </w:tr>
      <w:tr w14:paraId="60E500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28D5FD7C">
            <w:pPr>
              <w:spacing w:before="131" w:line="219"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（二）附着式升降脚手架工程。</w:t>
            </w:r>
          </w:p>
        </w:tc>
        <w:tc>
          <w:tcPr>
            <w:tcW w:w="1294" w:type="dxa"/>
            <w:noWrap w:val="0"/>
            <w:vAlign w:val="top"/>
          </w:tcPr>
          <w:p w14:paraId="6A40D99A">
            <w:pPr>
              <w:spacing w:before="130"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6B9F64DD">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1D981662">
            <w:pPr>
              <w:rPr>
                <w:rFonts w:hint="eastAsia" w:ascii="宋体" w:hAnsi="宋体" w:eastAsia="宋体" w:cs="宋体"/>
                <w:color w:val="auto"/>
                <w:highlight w:val="none"/>
              </w:rPr>
            </w:pPr>
          </w:p>
        </w:tc>
      </w:tr>
      <w:tr w14:paraId="1DBDCE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649490DC">
            <w:pPr>
              <w:spacing w:before="132" w:line="219"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（三）悬挑式脚手架工程。</w:t>
            </w:r>
          </w:p>
        </w:tc>
        <w:tc>
          <w:tcPr>
            <w:tcW w:w="1294" w:type="dxa"/>
            <w:noWrap w:val="0"/>
            <w:vAlign w:val="top"/>
          </w:tcPr>
          <w:p w14:paraId="7D3245B5">
            <w:pPr>
              <w:spacing w:before="131"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44F3F6E7">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3FADC502">
            <w:pPr>
              <w:rPr>
                <w:rFonts w:hint="eastAsia" w:ascii="宋体" w:hAnsi="宋体" w:eastAsia="宋体" w:cs="宋体"/>
                <w:color w:val="auto"/>
                <w:highlight w:val="none"/>
              </w:rPr>
            </w:pPr>
          </w:p>
        </w:tc>
      </w:tr>
      <w:tr w14:paraId="173864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19047AD2">
            <w:pPr>
              <w:spacing w:before="131" w:line="220"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（四）高处作业吊篮。</w:t>
            </w:r>
          </w:p>
        </w:tc>
        <w:tc>
          <w:tcPr>
            <w:tcW w:w="1294" w:type="dxa"/>
            <w:noWrap w:val="0"/>
            <w:vAlign w:val="top"/>
          </w:tcPr>
          <w:p w14:paraId="1131F9F9">
            <w:pPr>
              <w:spacing w:before="131"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69E80926">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6070B375">
            <w:pPr>
              <w:rPr>
                <w:rFonts w:hint="eastAsia" w:ascii="宋体" w:hAnsi="宋体" w:eastAsia="宋体" w:cs="宋体"/>
                <w:color w:val="auto"/>
                <w:highlight w:val="none"/>
              </w:rPr>
            </w:pPr>
          </w:p>
        </w:tc>
      </w:tr>
      <w:tr w14:paraId="2AAF19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61FE91DE">
            <w:pPr>
              <w:spacing w:before="132"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（五）卸料平台、操作平台工程。</w:t>
            </w:r>
          </w:p>
        </w:tc>
        <w:tc>
          <w:tcPr>
            <w:tcW w:w="1294" w:type="dxa"/>
            <w:noWrap w:val="0"/>
            <w:vAlign w:val="top"/>
          </w:tcPr>
          <w:p w14:paraId="345758E9">
            <w:pPr>
              <w:spacing w:before="132"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3DE14FF4">
            <w:pPr>
              <w:spacing w:before="132"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2F91CE34">
            <w:pPr>
              <w:rPr>
                <w:rFonts w:hint="eastAsia" w:ascii="宋体" w:hAnsi="宋体" w:eastAsia="宋体" w:cs="宋体"/>
                <w:color w:val="auto"/>
                <w:highlight w:val="none"/>
              </w:rPr>
            </w:pPr>
          </w:p>
        </w:tc>
      </w:tr>
      <w:tr w14:paraId="25028C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5CB906C6">
            <w:pPr>
              <w:spacing w:before="133" w:line="219"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（六）异型脚手架工程。</w:t>
            </w:r>
          </w:p>
        </w:tc>
        <w:tc>
          <w:tcPr>
            <w:tcW w:w="1294" w:type="dxa"/>
            <w:noWrap w:val="0"/>
            <w:vAlign w:val="top"/>
          </w:tcPr>
          <w:p w14:paraId="0B3DA227">
            <w:pPr>
              <w:spacing w:before="132"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382BED89">
            <w:pPr>
              <w:spacing w:before="132"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75ADC0F2">
            <w:pPr>
              <w:rPr>
                <w:rFonts w:hint="eastAsia" w:ascii="宋体" w:hAnsi="宋体" w:eastAsia="宋体" w:cs="宋体"/>
                <w:color w:val="auto"/>
                <w:highlight w:val="none"/>
              </w:rPr>
            </w:pPr>
          </w:p>
        </w:tc>
      </w:tr>
      <w:tr w14:paraId="186DAE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6196E032">
            <w:pPr>
              <w:spacing w:before="131" w:line="220" w:lineRule="auto"/>
              <w:ind w:left="120"/>
              <w:rPr>
                <w:rFonts w:hint="eastAsia" w:ascii="宋体" w:hAnsi="宋体" w:eastAsia="宋体" w:cs="宋体"/>
                <w:color w:val="auto"/>
                <w:sz w:val="24"/>
                <w:szCs w:val="24"/>
                <w:highlight w:val="none"/>
              </w:rPr>
            </w:pPr>
            <w:bookmarkStart w:id="268" w:name="bookmark162"/>
            <w:bookmarkEnd w:id="268"/>
            <w:r>
              <w:rPr>
                <w:rFonts w:hint="eastAsia" w:ascii="宋体" w:hAnsi="宋体" w:eastAsia="宋体" w:cs="宋体"/>
                <w:color w:val="auto"/>
                <w:spacing w:val="-3"/>
                <w:sz w:val="24"/>
                <w:szCs w:val="24"/>
                <w:highlight w:val="none"/>
              </w:rPr>
              <w:t>五、拆除工程</w:t>
            </w:r>
          </w:p>
        </w:tc>
        <w:tc>
          <w:tcPr>
            <w:tcW w:w="1294" w:type="dxa"/>
            <w:noWrap w:val="0"/>
            <w:vAlign w:val="top"/>
          </w:tcPr>
          <w:p w14:paraId="40133E1A">
            <w:pPr>
              <w:spacing w:before="131" w:line="223" w:lineRule="auto"/>
              <w:ind w:left="48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1DD0ECE9">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102B2F04">
            <w:pPr>
              <w:rPr>
                <w:rFonts w:hint="eastAsia" w:ascii="宋体" w:hAnsi="宋体" w:eastAsia="宋体" w:cs="宋体"/>
                <w:color w:val="auto"/>
                <w:highlight w:val="none"/>
              </w:rPr>
            </w:pPr>
          </w:p>
        </w:tc>
      </w:tr>
      <w:tr w14:paraId="6D0208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4C564925">
            <w:pPr>
              <w:spacing w:before="126" w:line="329" w:lineRule="auto"/>
              <w:ind w:left="117" w:right="168"/>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可能影响行人、交通、电力设施、通讯设施或</w:t>
            </w:r>
            <w:r>
              <w:rPr>
                <w:rFonts w:hint="eastAsia" w:ascii="宋体" w:hAnsi="宋体" w:eastAsia="宋体" w:cs="宋体"/>
                <w:color w:val="auto"/>
                <w:spacing w:val="7"/>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其它建、构筑物安全的拆除工程。</w:t>
            </w:r>
          </w:p>
        </w:tc>
        <w:tc>
          <w:tcPr>
            <w:tcW w:w="1294" w:type="dxa"/>
            <w:noWrap w:val="0"/>
            <w:vAlign w:val="top"/>
          </w:tcPr>
          <w:p w14:paraId="1DB3BD3B">
            <w:pPr>
              <w:spacing w:line="294" w:lineRule="auto"/>
              <w:rPr>
                <w:rFonts w:hint="eastAsia" w:ascii="宋体" w:hAnsi="宋体" w:eastAsia="宋体" w:cs="宋体"/>
                <w:color w:val="auto"/>
                <w:highlight w:val="none"/>
                <w:lang w:eastAsia="zh-CN"/>
              </w:rPr>
            </w:pPr>
          </w:p>
          <w:p w14:paraId="1A3BB410">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7864080B">
            <w:pPr>
              <w:spacing w:line="294" w:lineRule="auto"/>
              <w:rPr>
                <w:rFonts w:hint="eastAsia" w:ascii="宋体" w:hAnsi="宋体" w:eastAsia="宋体" w:cs="宋体"/>
                <w:color w:val="auto"/>
                <w:highlight w:val="none"/>
              </w:rPr>
            </w:pPr>
          </w:p>
          <w:p w14:paraId="336DF568">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7BB9A217">
            <w:pPr>
              <w:rPr>
                <w:rFonts w:hint="eastAsia" w:ascii="宋体" w:hAnsi="宋体" w:eastAsia="宋体" w:cs="宋体"/>
                <w:color w:val="auto"/>
                <w:highlight w:val="none"/>
              </w:rPr>
            </w:pPr>
          </w:p>
        </w:tc>
      </w:tr>
      <w:tr w14:paraId="4C6532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6D9EEE10">
            <w:pPr>
              <w:spacing w:before="126" w:line="221" w:lineRule="auto"/>
              <w:ind w:left="35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noWrap w:val="0"/>
            <w:vAlign w:val="top"/>
          </w:tcPr>
          <w:p w14:paraId="3DD053F2">
            <w:pPr>
              <w:spacing w:before="126"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238C0446">
            <w:pPr>
              <w:spacing w:before="126"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318589AD">
            <w:pPr>
              <w:rPr>
                <w:rFonts w:hint="eastAsia" w:ascii="宋体" w:hAnsi="宋体" w:eastAsia="宋体" w:cs="宋体"/>
                <w:color w:val="auto"/>
                <w:highlight w:val="none"/>
              </w:rPr>
            </w:pPr>
          </w:p>
        </w:tc>
      </w:tr>
      <w:tr w14:paraId="21621C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0FF0EE5A">
            <w:pPr>
              <w:spacing w:before="128" w:line="328" w:lineRule="auto"/>
              <w:ind w:left="119" w:right="168" w:hanging="4"/>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采用矿山法、盾构法、顶管法施工的隧道、洞</w:t>
            </w:r>
            <w:r>
              <w:rPr>
                <w:rFonts w:hint="eastAsia" w:ascii="宋体" w:hAnsi="宋体" w:eastAsia="宋体" w:cs="宋体"/>
                <w:color w:val="auto"/>
                <w:spacing w:val="10"/>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室工程。</w:t>
            </w:r>
          </w:p>
        </w:tc>
        <w:tc>
          <w:tcPr>
            <w:tcW w:w="1294" w:type="dxa"/>
            <w:noWrap w:val="0"/>
            <w:vAlign w:val="top"/>
          </w:tcPr>
          <w:p w14:paraId="71B140AB">
            <w:pPr>
              <w:spacing w:line="294" w:lineRule="auto"/>
              <w:rPr>
                <w:rFonts w:hint="eastAsia" w:ascii="宋体" w:hAnsi="宋体" w:eastAsia="宋体" w:cs="宋体"/>
                <w:color w:val="auto"/>
                <w:highlight w:val="none"/>
                <w:lang w:eastAsia="zh-CN"/>
              </w:rPr>
            </w:pPr>
          </w:p>
          <w:p w14:paraId="2335E13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1D699669">
            <w:pPr>
              <w:spacing w:line="294" w:lineRule="auto"/>
              <w:rPr>
                <w:rFonts w:hint="eastAsia" w:ascii="宋体" w:hAnsi="宋体" w:eastAsia="宋体" w:cs="宋体"/>
                <w:color w:val="auto"/>
                <w:highlight w:val="none"/>
              </w:rPr>
            </w:pPr>
          </w:p>
          <w:p w14:paraId="39D06F71">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4C398BD1">
            <w:pPr>
              <w:rPr>
                <w:rFonts w:hint="eastAsia" w:ascii="宋体" w:hAnsi="宋体" w:eastAsia="宋体" w:cs="宋体"/>
                <w:color w:val="auto"/>
                <w:highlight w:val="none"/>
              </w:rPr>
            </w:pPr>
          </w:p>
        </w:tc>
      </w:tr>
      <w:tr w14:paraId="1A13B8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6ED76252">
            <w:pPr>
              <w:spacing w:before="129"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294" w:type="dxa"/>
            <w:noWrap w:val="0"/>
            <w:vAlign w:val="top"/>
          </w:tcPr>
          <w:p w14:paraId="6DEB26A9">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008C9B50">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4F5376BF">
            <w:pPr>
              <w:rPr>
                <w:rFonts w:hint="eastAsia" w:ascii="宋体" w:hAnsi="宋体" w:eastAsia="宋体" w:cs="宋体"/>
                <w:color w:val="auto"/>
                <w:highlight w:val="none"/>
              </w:rPr>
            </w:pPr>
          </w:p>
        </w:tc>
      </w:tr>
      <w:tr w14:paraId="6A4509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53B646A6">
            <w:pPr>
              <w:spacing w:before="128" w:line="219"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（一）建筑幕墙安装工程。</w:t>
            </w:r>
          </w:p>
        </w:tc>
        <w:tc>
          <w:tcPr>
            <w:tcW w:w="1294" w:type="dxa"/>
            <w:noWrap w:val="0"/>
            <w:vAlign w:val="top"/>
          </w:tcPr>
          <w:p w14:paraId="6A9BE49B">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3BEC8928">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34FFBCA2">
            <w:pPr>
              <w:rPr>
                <w:rFonts w:hint="eastAsia" w:ascii="宋体" w:hAnsi="宋体" w:eastAsia="宋体" w:cs="宋体"/>
                <w:color w:val="auto"/>
                <w:highlight w:val="none"/>
              </w:rPr>
            </w:pPr>
          </w:p>
        </w:tc>
      </w:tr>
      <w:tr w14:paraId="2D7218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5EF4F9A7">
            <w:pPr>
              <w:spacing w:before="128" w:line="221"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（二）钢结构、网架和索膜结构安装工程。</w:t>
            </w:r>
          </w:p>
        </w:tc>
        <w:tc>
          <w:tcPr>
            <w:tcW w:w="1294" w:type="dxa"/>
            <w:noWrap w:val="0"/>
            <w:vAlign w:val="top"/>
          </w:tcPr>
          <w:p w14:paraId="23D2D49A">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2FE66A76">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7735B7F1">
            <w:pPr>
              <w:rPr>
                <w:rFonts w:hint="eastAsia" w:ascii="宋体" w:hAnsi="宋体" w:eastAsia="宋体" w:cs="宋体"/>
                <w:color w:val="auto"/>
                <w:highlight w:val="none"/>
              </w:rPr>
            </w:pPr>
          </w:p>
        </w:tc>
      </w:tr>
      <w:tr w14:paraId="6AE5DE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449EEF64">
            <w:pPr>
              <w:spacing w:before="128" w:line="220"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（三）人工挖孔桩工程。</w:t>
            </w:r>
          </w:p>
        </w:tc>
        <w:tc>
          <w:tcPr>
            <w:tcW w:w="1294" w:type="dxa"/>
            <w:noWrap w:val="0"/>
            <w:vAlign w:val="top"/>
          </w:tcPr>
          <w:p w14:paraId="0C6B10A6">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5A9575F2">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233BBE15">
            <w:pPr>
              <w:rPr>
                <w:rFonts w:hint="eastAsia" w:ascii="宋体" w:hAnsi="宋体" w:eastAsia="宋体" w:cs="宋体"/>
                <w:color w:val="auto"/>
                <w:highlight w:val="none"/>
              </w:rPr>
            </w:pPr>
          </w:p>
        </w:tc>
      </w:tr>
      <w:tr w14:paraId="217804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70DDFB22">
            <w:pPr>
              <w:spacing w:before="129" w:line="220"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（四）水下作业工程。</w:t>
            </w:r>
          </w:p>
        </w:tc>
        <w:tc>
          <w:tcPr>
            <w:tcW w:w="1294" w:type="dxa"/>
            <w:noWrap w:val="0"/>
            <w:vAlign w:val="top"/>
          </w:tcPr>
          <w:p w14:paraId="46F1803A">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6EEECD52">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05CE38D9">
            <w:pPr>
              <w:rPr>
                <w:rFonts w:hint="eastAsia" w:ascii="宋体" w:hAnsi="宋体" w:eastAsia="宋体" w:cs="宋体"/>
                <w:color w:val="auto"/>
                <w:highlight w:val="none"/>
              </w:rPr>
            </w:pPr>
          </w:p>
        </w:tc>
      </w:tr>
      <w:tr w14:paraId="50F66D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3A3E7DF6">
            <w:pPr>
              <w:spacing w:before="129" w:line="220"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（五）装配式建筑混凝土预制构件安装工程。</w:t>
            </w:r>
          </w:p>
        </w:tc>
        <w:tc>
          <w:tcPr>
            <w:tcW w:w="1294" w:type="dxa"/>
            <w:noWrap w:val="0"/>
            <w:vAlign w:val="top"/>
          </w:tcPr>
          <w:p w14:paraId="4C2521D4">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0BF364AF">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09429EA4">
            <w:pPr>
              <w:rPr>
                <w:rFonts w:hint="eastAsia" w:ascii="宋体" w:hAnsi="宋体" w:eastAsia="宋体" w:cs="宋体"/>
                <w:color w:val="auto"/>
                <w:highlight w:val="none"/>
              </w:rPr>
            </w:pPr>
          </w:p>
        </w:tc>
      </w:tr>
      <w:tr w14:paraId="4D96D6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0541FAA9">
            <w:pPr>
              <w:spacing w:before="129" w:line="345" w:lineRule="auto"/>
              <w:ind w:left="117" w:right="168" w:firstLine="1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（六）采用新技术、新工艺、新材料、新设备</w:t>
            </w:r>
            <w:r>
              <w:rPr>
                <w:rFonts w:hint="eastAsia" w:ascii="宋体" w:hAnsi="宋体" w:eastAsia="宋体" w:cs="宋体"/>
                <w:color w:val="auto"/>
                <w:spacing w:val="1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可能影响工程施工安全，尚无国家、行业及地</w:t>
            </w:r>
            <w:r>
              <w:rPr>
                <w:rFonts w:hint="eastAsia" w:ascii="宋体" w:hAnsi="宋体" w:eastAsia="宋体" w:cs="宋体"/>
                <w:color w:val="auto"/>
                <w:spacing w:val="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方技术标准的分部分项工程。</w:t>
            </w:r>
          </w:p>
        </w:tc>
        <w:tc>
          <w:tcPr>
            <w:tcW w:w="1294" w:type="dxa"/>
            <w:noWrap w:val="0"/>
            <w:vAlign w:val="top"/>
          </w:tcPr>
          <w:p w14:paraId="1855DEC1">
            <w:pPr>
              <w:spacing w:line="270" w:lineRule="auto"/>
              <w:rPr>
                <w:rFonts w:hint="eastAsia" w:ascii="宋体" w:hAnsi="宋体" w:eastAsia="宋体" w:cs="宋体"/>
                <w:color w:val="auto"/>
                <w:highlight w:val="none"/>
                <w:lang w:eastAsia="zh-CN"/>
              </w:rPr>
            </w:pPr>
          </w:p>
          <w:p w14:paraId="522C8B4B">
            <w:pPr>
              <w:spacing w:line="271" w:lineRule="auto"/>
              <w:rPr>
                <w:rFonts w:hint="eastAsia" w:ascii="宋体" w:hAnsi="宋体" w:eastAsia="宋体" w:cs="宋体"/>
                <w:color w:val="auto"/>
                <w:highlight w:val="none"/>
                <w:lang w:eastAsia="zh-CN"/>
              </w:rPr>
            </w:pPr>
          </w:p>
          <w:p w14:paraId="4436835B">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0B3D6488">
            <w:pPr>
              <w:spacing w:line="270" w:lineRule="auto"/>
              <w:rPr>
                <w:rFonts w:hint="eastAsia" w:ascii="宋体" w:hAnsi="宋体" w:eastAsia="宋体" w:cs="宋体"/>
                <w:color w:val="auto"/>
                <w:highlight w:val="none"/>
              </w:rPr>
            </w:pPr>
          </w:p>
          <w:p w14:paraId="20C4548C">
            <w:pPr>
              <w:spacing w:line="271" w:lineRule="auto"/>
              <w:rPr>
                <w:rFonts w:hint="eastAsia" w:ascii="宋体" w:hAnsi="宋体" w:eastAsia="宋体" w:cs="宋体"/>
                <w:color w:val="auto"/>
                <w:highlight w:val="none"/>
              </w:rPr>
            </w:pPr>
          </w:p>
          <w:p w14:paraId="66798786">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0F3FE832">
            <w:pPr>
              <w:rPr>
                <w:rFonts w:hint="eastAsia" w:ascii="宋体" w:hAnsi="宋体" w:eastAsia="宋体" w:cs="宋体"/>
                <w:color w:val="auto"/>
                <w:highlight w:val="none"/>
              </w:rPr>
            </w:pPr>
          </w:p>
        </w:tc>
      </w:tr>
      <w:tr w14:paraId="5EC6BB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20957F4C">
            <w:pPr>
              <w:spacing w:before="129" w:line="328" w:lineRule="auto"/>
              <w:ind w:left="115" w:right="108" w:firstLine="4"/>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二、超过一定规模的危险性较大的分部分项工</w:t>
            </w:r>
            <w:r>
              <w:rPr>
                <w:rFonts w:hint="eastAsia" w:ascii="宋体" w:hAnsi="宋体" w:eastAsia="宋体" w:cs="宋体"/>
                <w:b/>
                <w:bCs/>
                <w:color w:val="auto"/>
                <w:spacing w:val="-5"/>
                <w:sz w:val="24"/>
                <w:szCs w:val="24"/>
                <w:highlight w:val="none"/>
                <w:lang w:eastAsia="zh-CN"/>
              </w:rPr>
              <w:t>程清单</w:t>
            </w:r>
          </w:p>
        </w:tc>
        <w:tc>
          <w:tcPr>
            <w:tcW w:w="1294" w:type="dxa"/>
            <w:noWrap w:val="0"/>
            <w:vAlign w:val="top"/>
          </w:tcPr>
          <w:p w14:paraId="45633E36">
            <w:pPr>
              <w:spacing w:line="295" w:lineRule="auto"/>
              <w:rPr>
                <w:rFonts w:hint="eastAsia" w:ascii="宋体" w:hAnsi="宋体" w:eastAsia="宋体" w:cs="宋体"/>
                <w:color w:val="auto"/>
                <w:highlight w:val="none"/>
                <w:lang w:eastAsia="zh-CN"/>
              </w:rPr>
            </w:pPr>
          </w:p>
          <w:p w14:paraId="55A74178">
            <w:pPr>
              <w:spacing w:before="78" w:line="221" w:lineRule="auto"/>
              <w:ind w:left="20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建设单位</w:t>
            </w:r>
          </w:p>
        </w:tc>
        <w:tc>
          <w:tcPr>
            <w:tcW w:w="1294" w:type="dxa"/>
            <w:noWrap w:val="0"/>
            <w:vAlign w:val="top"/>
          </w:tcPr>
          <w:p w14:paraId="3C2A9584">
            <w:pPr>
              <w:spacing w:line="295" w:lineRule="auto"/>
              <w:rPr>
                <w:rFonts w:hint="eastAsia" w:ascii="宋体" w:hAnsi="宋体" w:eastAsia="宋体" w:cs="宋体"/>
                <w:color w:val="auto"/>
                <w:highlight w:val="none"/>
              </w:rPr>
            </w:pPr>
          </w:p>
          <w:p w14:paraId="1F48EA5A">
            <w:pPr>
              <w:spacing w:before="78" w:line="221" w:lineRule="auto"/>
              <w:ind w:left="119"/>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投标单位</w:t>
            </w:r>
          </w:p>
        </w:tc>
        <w:tc>
          <w:tcPr>
            <w:tcW w:w="2428" w:type="dxa"/>
            <w:noWrap w:val="0"/>
            <w:vAlign w:val="top"/>
          </w:tcPr>
          <w:p w14:paraId="7ECD3600">
            <w:pPr>
              <w:spacing w:line="295" w:lineRule="auto"/>
              <w:rPr>
                <w:rFonts w:hint="eastAsia" w:ascii="宋体" w:hAnsi="宋体" w:eastAsia="宋体" w:cs="宋体"/>
                <w:color w:val="auto"/>
                <w:highlight w:val="none"/>
              </w:rPr>
            </w:pPr>
          </w:p>
          <w:p w14:paraId="78EC0FAB">
            <w:pPr>
              <w:spacing w:before="78" w:line="222" w:lineRule="auto"/>
              <w:ind w:left="30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备注</w:t>
            </w:r>
          </w:p>
        </w:tc>
      </w:tr>
      <w:tr w14:paraId="190909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2E58831F">
            <w:pPr>
              <w:spacing w:before="129" w:line="221"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一、深基坑工程</w:t>
            </w:r>
          </w:p>
        </w:tc>
        <w:tc>
          <w:tcPr>
            <w:tcW w:w="1294" w:type="dxa"/>
            <w:noWrap w:val="0"/>
            <w:vAlign w:val="top"/>
          </w:tcPr>
          <w:p w14:paraId="005044CF">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0C51B133">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2A709CE4">
            <w:pPr>
              <w:rPr>
                <w:rFonts w:hint="eastAsia" w:ascii="宋体" w:hAnsi="宋体" w:eastAsia="宋体" w:cs="宋体"/>
                <w:color w:val="auto"/>
                <w:highlight w:val="none"/>
              </w:rPr>
            </w:pPr>
          </w:p>
        </w:tc>
      </w:tr>
      <w:tr w14:paraId="419FDA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0CF68157">
            <w:pPr>
              <w:spacing w:before="131" w:line="327" w:lineRule="auto"/>
              <w:ind w:left="117" w:right="105"/>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lang w:eastAsia="zh-CN"/>
              </w:rPr>
              <w:t>开挖深度超过</w:t>
            </w:r>
            <w:r>
              <w:rPr>
                <w:rFonts w:hint="eastAsia" w:ascii="宋体" w:hAnsi="宋体" w:eastAsia="宋体" w:cs="宋体"/>
                <w:color w:val="auto"/>
                <w:spacing w:val="-34"/>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5m（含</w:t>
            </w:r>
            <w:r>
              <w:rPr>
                <w:rFonts w:hint="eastAsia" w:ascii="宋体" w:hAnsi="宋体" w:eastAsia="宋体" w:cs="宋体"/>
                <w:color w:val="auto"/>
                <w:spacing w:val="-45"/>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5m）的基坑（槽）的土方</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开挖、支护、降水工程。</w:t>
            </w:r>
          </w:p>
        </w:tc>
        <w:tc>
          <w:tcPr>
            <w:tcW w:w="1294" w:type="dxa"/>
            <w:noWrap w:val="0"/>
            <w:vAlign w:val="top"/>
          </w:tcPr>
          <w:p w14:paraId="4B2B15B9">
            <w:pPr>
              <w:spacing w:line="295" w:lineRule="auto"/>
              <w:rPr>
                <w:rFonts w:hint="eastAsia" w:ascii="宋体" w:hAnsi="宋体" w:eastAsia="宋体" w:cs="宋体"/>
                <w:color w:val="auto"/>
                <w:highlight w:val="none"/>
                <w:lang w:eastAsia="zh-CN"/>
              </w:rPr>
            </w:pPr>
          </w:p>
          <w:p w14:paraId="09350696">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494855E9">
            <w:pPr>
              <w:spacing w:line="295" w:lineRule="auto"/>
              <w:rPr>
                <w:rFonts w:hint="eastAsia" w:ascii="宋体" w:hAnsi="宋体" w:eastAsia="宋体" w:cs="宋体"/>
                <w:color w:val="auto"/>
                <w:highlight w:val="none"/>
              </w:rPr>
            </w:pPr>
          </w:p>
          <w:p w14:paraId="73103A19">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5EF77DD3">
            <w:pPr>
              <w:rPr>
                <w:rFonts w:hint="eastAsia" w:ascii="宋体" w:hAnsi="宋体" w:eastAsia="宋体" w:cs="宋体"/>
                <w:color w:val="auto"/>
                <w:highlight w:val="none"/>
              </w:rPr>
            </w:pPr>
          </w:p>
        </w:tc>
      </w:tr>
      <w:tr w14:paraId="5D248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52863F5A">
            <w:pPr>
              <w:spacing w:before="130" w:line="219" w:lineRule="auto"/>
              <w:ind w:left="12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二、模板工程及支撑体系</w:t>
            </w:r>
          </w:p>
        </w:tc>
        <w:tc>
          <w:tcPr>
            <w:tcW w:w="1294" w:type="dxa"/>
            <w:noWrap w:val="0"/>
            <w:vAlign w:val="top"/>
          </w:tcPr>
          <w:p w14:paraId="7EB5FC0B">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ascii="宋体" w:hAnsi="宋体" w:eastAsia="宋体" w:cs="宋体"/>
                <w:color w:val="auto"/>
                <w:spacing w:val="2"/>
                <w:sz w:val="24"/>
                <w:szCs w:val="24"/>
                <w:highlight w:val="none"/>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1C236D20">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04F1F64B">
            <w:pPr>
              <w:rPr>
                <w:rFonts w:hint="eastAsia" w:ascii="宋体" w:hAnsi="宋体" w:eastAsia="宋体" w:cs="宋体"/>
                <w:color w:val="auto"/>
                <w:highlight w:val="none"/>
              </w:rPr>
            </w:pPr>
          </w:p>
        </w:tc>
      </w:tr>
      <w:tr w14:paraId="18F5A7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1452A3B6">
            <w:pPr>
              <w:spacing w:before="130" w:line="327" w:lineRule="auto"/>
              <w:ind w:left="123" w:right="25" w:firstLine="4"/>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lang w:eastAsia="zh-CN"/>
              </w:rPr>
              <w:t>（一）各类工具式模板工程：包括滑模、爬模、</w:t>
            </w:r>
            <w:r>
              <w:rPr>
                <w:rFonts w:hint="eastAsia" w:ascii="宋体" w:hAnsi="宋体" w:eastAsia="宋体" w:cs="宋体"/>
                <w:color w:val="auto"/>
                <w:spacing w:val="6"/>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飞模、隧道模等工程。</w:t>
            </w:r>
          </w:p>
        </w:tc>
        <w:tc>
          <w:tcPr>
            <w:tcW w:w="1294" w:type="dxa"/>
            <w:noWrap w:val="0"/>
            <w:vAlign w:val="top"/>
          </w:tcPr>
          <w:p w14:paraId="27DE5B06">
            <w:pPr>
              <w:spacing w:line="294" w:lineRule="auto"/>
              <w:rPr>
                <w:rFonts w:hint="eastAsia" w:ascii="宋体" w:hAnsi="宋体" w:eastAsia="宋体" w:cs="宋体"/>
                <w:color w:val="auto"/>
                <w:highlight w:val="none"/>
                <w:lang w:eastAsia="zh-CN"/>
              </w:rPr>
            </w:pPr>
          </w:p>
          <w:p w14:paraId="7E277C29">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4FED8AF9">
            <w:pPr>
              <w:spacing w:line="294" w:lineRule="auto"/>
              <w:rPr>
                <w:rFonts w:hint="eastAsia" w:ascii="宋体" w:hAnsi="宋体" w:eastAsia="宋体" w:cs="宋体"/>
                <w:color w:val="auto"/>
                <w:highlight w:val="none"/>
              </w:rPr>
            </w:pPr>
          </w:p>
          <w:p w14:paraId="6804FE7B">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3683CF87">
            <w:pPr>
              <w:rPr>
                <w:rFonts w:hint="eastAsia" w:ascii="宋体" w:hAnsi="宋体" w:eastAsia="宋体" w:cs="宋体"/>
                <w:color w:val="auto"/>
                <w:highlight w:val="none"/>
              </w:rPr>
            </w:pPr>
          </w:p>
        </w:tc>
      </w:tr>
      <w:tr w14:paraId="40B5F7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7D522AA5">
            <w:pPr>
              <w:spacing w:before="132" w:line="353" w:lineRule="auto"/>
              <w:ind w:left="116" w:right="6" w:firstLine="11"/>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（二）混凝土模板支撑工程：搭设高度8m</w:t>
            </w:r>
            <w:r>
              <w:rPr>
                <w:rFonts w:hint="eastAsia" w:ascii="宋体" w:hAnsi="宋体" w:eastAsia="宋体" w:cs="宋体"/>
                <w:color w:val="auto"/>
                <w:spacing w:val="-38"/>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及以</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1"/>
                <w:sz w:val="24"/>
                <w:szCs w:val="24"/>
                <w:highlight w:val="none"/>
                <w:lang w:eastAsia="zh-CN"/>
              </w:rPr>
              <w:t>上，或搭设跨度</w:t>
            </w:r>
            <w:r>
              <w:rPr>
                <w:rFonts w:hint="eastAsia" w:ascii="宋体" w:hAnsi="宋体" w:eastAsia="宋体" w:cs="宋体"/>
                <w:color w:val="auto"/>
                <w:spacing w:val="-15"/>
                <w:sz w:val="24"/>
                <w:szCs w:val="24"/>
                <w:highlight w:val="none"/>
                <w:lang w:eastAsia="zh-CN"/>
              </w:rPr>
              <w:t xml:space="preserve"> </w:t>
            </w:r>
            <w:r>
              <w:rPr>
                <w:rFonts w:hint="eastAsia" w:ascii="宋体" w:hAnsi="宋体" w:eastAsia="宋体" w:cs="宋体"/>
                <w:color w:val="auto"/>
                <w:spacing w:val="-11"/>
                <w:sz w:val="24"/>
                <w:szCs w:val="24"/>
                <w:highlight w:val="none"/>
                <w:lang w:eastAsia="zh-CN"/>
              </w:rPr>
              <w:t>18m</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11"/>
                <w:sz w:val="24"/>
                <w:szCs w:val="24"/>
                <w:highlight w:val="none"/>
                <w:lang w:eastAsia="zh-CN"/>
              </w:rPr>
              <w:t>及以上，或施工总荷载（设</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1"/>
                <w:sz w:val="24"/>
                <w:szCs w:val="24"/>
                <w:highlight w:val="none"/>
                <w:lang w:eastAsia="zh-CN"/>
              </w:rPr>
              <w:t>计值）15kN/m2</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11"/>
                <w:sz w:val="24"/>
                <w:szCs w:val="24"/>
                <w:highlight w:val="none"/>
                <w:lang w:eastAsia="zh-CN"/>
              </w:rPr>
              <w:t>及以上，或集中线荷载（设</w:t>
            </w:r>
            <w:r>
              <w:rPr>
                <w:rFonts w:hint="eastAsia" w:ascii="宋体" w:hAnsi="宋体" w:eastAsia="宋体" w:cs="宋体"/>
                <w:color w:val="auto"/>
                <w:spacing w:val="-12"/>
                <w:sz w:val="24"/>
                <w:szCs w:val="24"/>
                <w:highlight w:val="none"/>
                <w:lang w:eastAsia="zh-CN"/>
              </w:rPr>
              <w:t>计值）</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20kN/m</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及以上。</w:t>
            </w:r>
          </w:p>
        </w:tc>
        <w:tc>
          <w:tcPr>
            <w:tcW w:w="1294" w:type="dxa"/>
            <w:noWrap w:val="0"/>
            <w:vAlign w:val="top"/>
          </w:tcPr>
          <w:p w14:paraId="43C95FA4">
            <w:pPr>
              <w:spacing w:line="262" w:lineRule="auto"/>
              <w:rPr>
                <w:rFonts w:hint="eastAsia" w:ascii="宋体" w:hAnsi="宋体" w:eastAsia="宋体" w:cs="宋体"/>
                <w:color w:val="auto"/>
                <w:highlight w:val="none"/>
                <w:lang w:eastAsia="zh-CN"/>
              </w:rPr>
            </w:pPr>
          </w:p>
          <w:p w14:paraId="648ED7A2">
            <w:pPr>
              <w:spacing w:line="263" w:lineRule="auto"/>
              <w:rPr>
                <w:rFonts w:hint="eastAsia" w:ascii="宋体" w:hAnsi="宋体" w:eastAsia="宋体" w:cs="宋体"/>
                <w:color w:val="auto"/>
                <w:highlight w:val="none"/>
                <w:lang w:eastAsia="zh-CN"/>
              </w:rPr>
            </w:pPr>
          </w:p>
          <w:p w14:paraId="2E14DC62">
            <w:pPr>
              <w:spacing w:line="263" w:lineRule="auto"/>
              <w:rPr>
                <w:rFonts w:hint="eastAsia" w:ascii="宋体" w:hAnsi="宋体" w:eastAsia="宋体" w:cs="宋体"/>
                <w:color w:val="auto"/>
                <w:highlight w:val="none"/>
                <w:lang w:eastAsia="zh-CN"/>
              </w:rPr>
            </w:pPr>
          </w:p>
          <w:p w14:paraId="01814608">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7E84E28A">
            <w:pPr>
              <w:spacing w:line="262" w:lineRule="auto"/>
              <w:rPr>
                <w:rFonts w:hint="eastAsia" w:ascii="宋体" w:hAnsi="宋体" w:eastAsia="宋体" w:cs="宋体"/>
                <w:color w:val="auto"/>
                <w:highlight w:val="none"/>
              </w:rPr>
            </w:pPr>
          </w:p>
          <w:p w14:paraId="2ACA7EC8">
            <w:pPr>
              <w:spacing w:line="263" w:lineRule="auto"/>
              <w:rPr>
                <w:rFonts w:hint="eastAsia" w:ascii="宋体" w:hAnsi="宋体" w:eastAsia="宋体" w:cs="宋体"/>
                <w:color w:val="auto"/>
                <w:highlight w:val="none"/>
              </w:rPr>
            </w:pPr>
          </w:p>
          <w:p w14:paraId="5DC6919D">
            <w:pPr>
              <w:spacing w:line="263" w:lineRule="auto"/>
              <w:rPr>
                <w:rFonts w:hint="eastAsia" w:ascii="宋体" w:hAnsi="宋体" w:eastAsia="宋体" w:cs="宋体"/>
                <w:color w:val="auto"/>
                <w:highlight w:val="none"/>
              </w:rPr>
            </w:pPr>
          </w:p>
          <w:p w14:paraId="1A40B7E4">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1F9A8B75">
            <w:pPr>
              <w:rPr>
                <w:rFonts w:hint="eastAsia" w:ascii="宋体" w:hAnsi="宋体" w:eastAsia="宋体" w:cs="宋体"/>
                <w:color w:val="auto"/>
                <w:highlight w:val="none"/>
              </w:rPr>
            </w:pPr>
          </w:p>
        </w:tc>
      </w:tr>
      <w:tr w14:paraId="0E9D64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5A900CC3">
            <w:pPr>
              <w:spacing w:before="131" w:line="220"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（三）承重支撑体系：用于钢结构安装等满堂</w:t>
            </w:r>
          </w:p>
        </w:tc>
        <w:tc>
          <w:tcPr>
            <w:tcW w:w="1294" w:type="dxa"/>
            <w:noWrap w:val="0"/>
            <w:vAlign w:val="top"/>
          </w:tcPr>
          <w:p w14:paraId="793EC986">
            <w:pPr>
              <w:spacing w:before="131"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559CB678">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0365C68E">
            <w:pPr>
              <w:rPr>
                <w:rFonts w:hint="eastAsia" w:ascii="宋体" w:hAnsi="宋体" w:eastAsia="宋体" w:cs="宋体"/>
                <w:color w:val="auto"/>
                <w:highlight w:val="none"/>
              </w:rPr>
            </w:pPr>
          </w:p>
        </w:tc>
      </w:tr>
      <w:tr w14:paraId="17283B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4871C996">
            <w:pPr>
              <w:spacing w:before="131" w:line="220" w:lineRule="auto"/>
              <w:ind w:left="11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支撑体系，承受单点集中荷载</w:t>
            </w:r>
            <w:r>
              <w:rPr>
                <w:rFonts w:hint="eastAsia" w:ascii="宋体" w:hAnsi="宋体" w:eastAsia="宋体" w:cs="宋体"/>
                <w:color w:val="auto"/>
                <w:spacing w:val="-40"/>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7kN</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及以上。</w:t>
            </w:r>
          </w:p>
        </w:tc>
        <w:tc>
          <w:tcPr>
            <w:tcW w:w="1294" w:type="dxa"/>
            <w:noWrap w:val="0"/>
            <w:vAlign w:val="top"/>
          </w:tcPr>
          <w:p w14:paraId="35ED0924">
            <w:pPr>
              <w:rPr>
                <w:rFonts w:hint="eastAsia" w:ascii="宋体" w:hAnsi="宋体" w:eastAsia="宋体" w:cs="宋体"/>
                <w:color w:val="auto"/>
                <w:highlight w:val="none"/>
                <w:lang w:eastAsia="zh-CN"/>
              </w:rPr>
            </w:pPr>
          </w:p>
        </w:tc>
        <w:tc>
          <w:tcPr>
            <w:tcW w:w="1294" w:type="dxa"/>
            <w:noWrap w:val="0"/>
            <w:vAlign w:val="top"/>
          </w:tcPr>
          <w:p w14:paraId="16812BAE">
            <w:pPr>
              <w:rPr>
                <w:rFonts w:hint="eastAsia" w:ascii="宋体" w:hAnsi="宋体" w:eastAsia="宋体" w:cs="宋体"/>
                <w:color w:val="auto"/>
                <w:highlight w:val="none"/>
                <w:lang w:eastAsia="zh-CN"/>
              </w:rPr>
            </w:pPr>
          </w:p>
        </w:tc>
        <w:tc>
          <w:tcPr>
            <w:tcW w:w="2428" w:type="dxa"/>
            <w:noWrap w:val="0"/>
            <w:vAlign w:val="top"/>
          </w:tcPr>
          <w:p w14:paraId="4F9E4E04">
            <w:pPr>
              <w:rPr>
                <w:rFonts w:hint="eastAsia" w:ascii="宋体" w:hAnsi="宋体" w:eastAsia="宋体" w:cs="宋体"/>
                <w:color w:val="auto"/>
                <w:highlight w:val="none"/>
                <w:lang w:eastAsia="zh-CN"/>
              </w:rPr>
            </w:pPr>
          </w:p>
        </w:tc>
      </w:tr>
      <w:tr w14:paraId="1A74BD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550015A1">
            <w:pPr>
              <w:spacing w:before="128" w:line="219" w:lineRule="auto"/>
              <w:ind w:left="356"/>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三、起重吊装及起重机械安装拆卸工程</w:t>
            </w:r>
          </w:p>
        </w:tc>
        <w:tc>
          <w:tcPr>
            <w:tcW w:w="1294" w:type="dxa"/>
            <w:noWrap w:val="0"/>
            <w:vAlign w:val="top"/>
          </w:tcPr>
          <w:p w14:paraId="7DEEE0BF">
            <w:pPr>
              <w:spacing w:before="127"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355AC36A">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76260D0B">
            <w:pPr>
              <w:rPr>
                <w:rFonts w:hint="eastAsia" w:ascii="宋体" w:hAnsi="宋体" w:eastAsia="宋体" w:cs="宋体"/>
                <w:color w:val="auto"/>
                <w:highlight w:val="none"/>
              </w:rPr>
            </w:pPr>
          </w:p>
        </w:tc>
      </w:tr>
      <w:tr w14:paraId="2EB2E1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2CFE3820">
            <w:pPr>
              <w:spacing w:before="129" w:line="328" w:lineRule="auto"/>
              <w:ind w:left="144" w:right="168" w:hanging="1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（一）采用非常规起重设备、方法，且单件起</w:t>
            </w:r>
            <w:r>
              <w:rPr>
                <w:rFonts w:hint="eastAsia" w:ascii="宋体" w:hAnsi="宋体" w:eastAsia="宋体" w:cs="宋体"/>
                <w:color w:val="auto"/>
                <w:spacing w:val="18"/>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吊重量在</w:t>
            </w:r>
            <w:r>
              <w:rPr>
                <w:rFonts w:hint="eastAsia" w:ascii="宋体" w:hAnsi="宋体" w:eastAsia="宋体" w:cs="宋体"/>
                <w:color w:val="auto"/>
                <w:spacing w:val="-28"/>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100kN</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及以上的起重吊装工程。</w:t>
            </w:r>
          </w:p>
        </w:tc>
        <w:tc>
          <w:tcPr>
            <w:tcW w:w="1294" w:type="dxa"/>
            <w:noWrap w:val="0"/>
            <w:vAlign w:val="top"/>
          </w:tcPr>
          <w:p w14:paraId="7CB4678D">
            <w:pPr>
              <w:spacing w:line="295" w:lineRule="auto"/>
              <w:rPr>
                <w:rFonts w:hint="eastAsia" w:ascii="宋体" w:hAnsi="宋体" w:eastAsia="宋体" w:cs="宋体"/>
                <w:color w:val="auto"/>
                <w:highlight w:val="none"/>
                <w:lang w:eastAsia="zh-CN"/>
              </w:rPr>
            </w:pPr>
          </w:p>
          <w:p w14:paraId="5DA65374">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3BAD1AAD">
            <w:pPr>
              <w:spacing w:line="295" w:lineRule="auto"/>
              <w:rPr>
                <w:rFonts w:hint="eastAsia" w:ascii="宋体" w:hAnsi="宋体" w:eastAsia="宋体" w:cs="宋体"/>
                <w:color w:val="auto"/>
                <w:highlight w:val="none"/>
              </w:rPr>
            </w:pPr>
          </w:p>
          <w:p w14:paraId="6C48D739">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107B3623">
            <w:pPr>
              <w:rPr>
                <w:rFonts w:hint="eastAsia" w:ascii="宋体" w:hAnsi="宋体" w:eastAsia="宋体" w:cs="宋体"/>
                <w:color w:val="auto"/>
                <w:highlight w:val="none"/>
              </w:rPr>
            </w:pPr>
          </w:p>
        </w:tc>
      </w:tr>
      <w:tr w14:paraId="301ED4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5B49363C">
            <w:pPr>
              <w:spacing w:before="129" w:line="345" w:lineRule="auto"/>
              <w:ind w:left="115" w:right="105" w:firstLine="12"/>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2"/>
                <w:sz w:val="24"/>
                <w:szCs w:val="24"/>
                <w:highlight w:val="none"/>
                <w:lang w:eastAsia="zh-CN"/>
              </w:rPr>
              <w:t>（二）起重量</w:t>
            </w:r>
            <w:r>
              <w:rPr>
                <w:rFonts w:hint="eastAsia" w:ascii="宋体" w:hAnsi="宋体" w:eastAsia="宋体" w:cs="宋体"/>
                <w:color w:val="auto"/>
                <w:spacing w:val="-41"/>
                <w:sz w:val="24"/>
                <w:szCs w:val="24"/>
                <w:highlight w:val="none"/>
                <w:lang w:eastAsia="zh-CN"/>
              </w:rPr>
              <w:t xml:space="preserve"> </w:t>
            </w:r>
            <w:r>
              <w:rPr>
                <w:rFonts w:hint="eastAsia" w:ascii="宋体" w:hAnsi="宋体" w:eastAsia="宋体" w:cs="宋体"/>
                <w:color w:val="auto"/>
                <w:spacing w:val="-12"/>
                <w:sz w:val="24"/>
                <w:szCs w:val="24"/>
                <w:highlight w:val="none"/>
                <w:lang w:eastAsia="zh-CN"/>
              </w:rPr>
              <w:t>300kN</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12"/>
                <w:sz w:val="24"/>
                <w:szCs w:val="24"/>
                <w:highlight w:val="none"/>
                <w:lang w:eastAsia="zh-CN"/>
              </w:rPr>
              <w:t>及以上，或搭设总高度</w:t>
            </w:r>
            <w:r>
              <w:rPr>
                <w:rFonts w:hint="eastAsia" w:ascii="宋体" w:hAnsi="宋体" w:eastAsia="宋体" w:cs="宋体"/>
                <w:color w:val="auto"/>
                <w:spacing w:val="-48"/>
                <w:sz w:val="24"/>
                <w:szCs w:val="24"/>
                <w:highlight w:val="none"/>
                <w:lang w:eastAsia="zh-CN"/>
              </w:rPr>
              <w:t xml:space="preserve"> </w:t>
            </w:r>
            <w:r>
              <w:rPr>
                <w:rFonts w:hint="eastAsia" w:ascii="宋体" w:hAnsi="宋体" w:eastAsia="宋体" w:cs="宋体"/>
                <w:color w:val="auto"/>
                <w:spacing w:val="-12"/>
                <w:sz w:val="24"/>
                <w:szCs w:val="24"/>
                <w:highlight w:val="none"/>
                <w:lang w:eastAsia="zh-CN"/>
              </w:rPr>
              <w:t>200m</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及以上，或搭设基础标高在</w:t>
            </w:r>
            <w:r>
              <w:rPr>
                <w:rFonts w:hint="eastAsia" w:ascii="宋体" w:hAnsi="宋体" w:eastAsia="宋体" w:cs="宋体"/>
                <w:color w:val="auto"/>
                <w:spacing w:val="-48"/>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200m</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及以上的起重</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机械安装和拆卸工程。</w:t>
            </w:r>
          </w:p>
        </w:tc>
        <w:tc>
          <w:tcPr>
            <w:tcW w:w="1294" w:type="dxa"/>
            <w:noWrap w:val="0"/>
            <w:vAlign w:val="top"/>
          </w:tcPr>
          <w:p w14:paraId="229C3DC9">
            <w:pPr>
              <w:spacing w:line="270" w:lineRule="auto"/>
              <w:rPr>
                <w:rFonts w:hint="eastAsia" w:ascii="宋体" w:hAnsi="宋体" w:eastAsia="宋体" w:cs="宋体"/>
                <w:color w:val="auto"/>
                <w:highlight w:val="none"/>
                <w:lang w:eastAsia="zh-CN"/>
              </w:rPr>
            </w:pPr>
          </w:p>
          <w:p w14:paraId="4F6B295B">
            <w:pPr>
              <w:spacing w:line="270" w:lineRule="auto"/>
              <w:rPr>
                <w:rFonts w:hint="eastAsia" w:ascii="宋体" w:hAnsi="宋体" w:eastAsia="宋体" w:cs="宋体"/>
                <w:color w:val="auto"/>
                <w:highlight w:val="none"/>
                <w:lang w:eastAsia="zh-CN"/>
              </w:rPr>
            </w:pPr>
          </w:p>
          <w:p w14:paraId="2D12E524">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3337FD3D">
            <w:pPr>
              <w:spacing w:line="270" w:lineRule="auto"/>
              <w:rPr>
                <w:rFonts w:hint="eastAsia" w:ascii="宋体" w:hAnsi="宋体" w:eastAsia="宋体" w:cs="宋体"/>
                <w:color w:val="auto"/>
                <w:highlight w:val="none"/>
              </w:rPr>
            </w:pPr>
          </w:p>
          <w:p w14:paraId="4147589C">
            <w:pPr>
              <w:spacing w:line="270" w:lineRule="auto"/>
              <w:rPr>
                <w:rFonts w:hint="eastAsia" w:ascii="宋体" w:hAnsi="宋体" w:eastAsia="宋体" w:cs="宋体"/>
                <w:color w:val="auto"/>
                <w:highlight w:val="none"/>
              </w:rPr>
            </w:pPr>
          </w:p>
          <w:p w14:paraId="0ACA6623">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6E6D597C">
            <w:pPr>
              <w:rPr>
                <w:rFonts w:hint="eastAsia" w:ascii="宋体" w:hAnsi="宋体" w:eastAsia="宋体" w:cs="宋体"/>
                <w:color w:val="auto"/>
                <w:highlight w:val="none"/>
              </w:rPr>
            </w:pPr>
          </w:p>
        </w:tc>
      </w:tr>
      <w:tr w14:paraId="186860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3DE84440">
            <w:pPr>
              <w:spacing w:before="128"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noWrap w:val="0"/>
            <w:vAlign w:val="top"/>
          </w:tcPr>
          <w:p w14:paraId="02DD74E8">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464D04CD">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0D07C23E">
            <w:pPr>
              <w:rPr>
                <w:rFonts w:hint="eastAsia" w:ascii="宋体" w:hAnsi="宋体" w:eastAsia="宋体" w:cs="宋体"/>
                <w:color w:val="auto"/>
                <w:highlight w:val="none"/>
              </w:rPr>
            </w:pPr>
          </w:p>
        </w:tc>
      </w:tr>
      <w:tr w14:paraId="5D2FCA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3139B251">
            <w:pPr>
              <w:spacing w:before="128" w:line="328" w:lineRule="auto"/>
              <w:ind w:left="117" w:right="168" w:firstLine="1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（一）搭设高度</w:t>
            </w:r>
            <w:r>
              <w:rPr>
                <w:rFonts w:hint="eastAsia" w:ascii="宋体" w:hAnsi="宋体" w:eastAsia="宋体" w:cs="宋体"/>
                <w:color w:val="auto"/>
                <w:spacing w:val="-28"/>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50m</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及以上的落地式钢管脚手</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架工程。</w:t>
            </w:r>
          </w:p>
        </w:tc>
        <w:tc>
          <w:tcPr>
            <w:tcW w:w="1294" w:type="dxa"/>
            <w:noWrap w:val="0"/>
            <w:vAlign w:val="top"/>
          </w:tcPr>
          <w:p w14:paraId="17C1B115">
            <w:pPr>
              <w:spacing w:line="296" w:lineRule="auto"/>
              <w:rPr>
                <w:rFonts w:hint="eastAsia" w:ascii="宋体" w:hAnsi="宋体" w:eastAsia="宋体" w:cs="宋体"/>
                <w:color w:val="auto"/>
                <w:highlight w:val="none"/>
                <w:lang w:eastAsia="zh-CN"/>
              </w:rPr>
            </w:pPr>
          </w:p>
          <w:p w14:paraId="5AC5E2B8">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7D383962">
            <w:pPr>
              <w:spacing w:line="296" w:lineRule="auto"/>
              <w:rPr>
                <w:rFonts w:hint="eastAsia" w:ascii="宋体" w:hAnsi="宋体" w:eastAsia="宋体" w:cs="宋体"/>
                <w:color w:val="auto"/>
                <w:highlight w:val="none"/>
              </w:rPr>
            </w:pPr>
          </w:p>
          <w:p w14:paraId="3F70FA0D">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02302A09">
            <w:pPr>
              <w:rPr>
                <w:rFonts w:hint="eastAsia" w:ascii="宋体" w:hAnsi="宋体" w:eastAsia="宋体" w:cs="宋体"/>
                <w:color w:val="auto"/>
                <w:highlight w:val="none"/>
              </w:rPr>
            </w:pPr>
          </w:p>
        </w:tc>
      </w:tr>
      <w:tr w14:paraId="054538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719BD5F6">
            <w:pPr>
              <w:spacing w:before="131" w:line="327" w:lineRule="auto"/>
              <w:ind w:left="116" w:right="105" w:firstLine="11"/>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lang w:eastAsia="zh-CN"/>
              </w:rPr>
              <w:t>（二）提升高度在</w:t>
            </w:r>
            <w:r>
              <w:rPr>
                <w:rFonts w:hint="eastAsia" w:ascii="宋体" w:hAnsi="宋体" w:eastAsia="宋体" w:cs="宋体"/>
                <w:color w:val="auto"/>
                <w:spacing w:val="-16"/>
                <w:sz w:val="24"/>
                <w:szCs w:val="24"/>
                <w:highlight w:val="none"/>
                <w:lang w:eastAsia="zh-CN"/>
              </w:rPr>
              <w:t xml:space="preserve"> </w:t>
            </w:r>
            <w:r>
              <w:rPr>
                <w:rFonts w:hint="eastAsia" w:ascii="宋体" w:hAnsi="宋体" w:eastAsia="宋体" w:cs="宋体"/>
                <w:color w:val="auto"/>
                <w:spacing w:val="-6"/>
                <w:sz w:val="24"/>
                <w:szCs w:val="24"/>
                <w:highlight w:val="none"/>
                <w:lang w:eastAsia="zh-CN"/>
              </w:rPr>
              <w:t>450m</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color w:val="auto"/>
                <w:spacing w:val="-6"/>
                <w:sz w:val="24"/>
                <w:szCs w:val="24"/>
                <w:highlight w:val="none"/>
                <w:lang w:eastAsia="zh-CN"/>
              </w:rPr>
              <w:t>及以上的附着式升降脚</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手架工程或附着式升降操作平台工程。</w:t>
            </w:r>
          </w:p>
        </w:tc>
        <w:tc>
          <w:tcPr>
            <w:tcW w:w="1294" w:type="dxa"/>
            <w:noWrap w:val="0"/>
            <w:vAlign w:val="top"/>
          </w:tcPr>
          <w:p w14:paraId="5CF7FCE8">
            <w:pPr>
              <w:spacing w:line="296" w:lineRule="auto"/>
              <w:rPr>
                <w:rFonts w:hint="eastAsia" w:ascii="宋体" w:hAnsi="宋体" w:eastAsia="宋体" w:cs="宋体"/>
                <w:color w:val="auto"/>
                <w:highlight w:val="none"/>
                <w:lang w:eastAsia="zh-CN"/>
              </w:rPr>
            </w:pPr>
          </w:p>
          <w:p w14:paraId="7C259A35">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6720C16C">
            <w:pPr>
              <w:spacing w:line="296" w:lineRule="auto"/>
              <w:rPr>
                <w:rFonts w:hint="eastAsia" w:ascii="宋体" w:hAnsi="宋体" w:eastAsia="宋体" w:cs="宋体"/>
                <w:color w:val="auto"/>
                <w:highlight w:val="none"/>
              </w:rPr>
            </w:pPr>
          </w:p>
          <w:p w14:paraId="3F65301B">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0A2EEDD0">
            <w:pPr>
              <w:rPr>
                <w:rFonts w:hint="eastAsia" w:ascii="宋体" w:hAnsi="宋体" w:eastAsia="宋体" w:cs="宋体"/>
                <w:color w:val="auto"/>
                <w:highlight w:val="none"/>
              </w:rPr>
            </w:pPr>
          </w:p>
        </w:tc>
      </w:tr>
      <w:tr w14:paraId="423C45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2B6501CC">
            <w:pPr>
              <w:spacing w:before="129" w:line="328" w:lineRule="auto"/>
              <w:ind w:left="115" w:right="168" w:firstLine="12"/>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（三）分段架体搭设高度</w:t>
            </w:r>
            <w:r>
              <w:rPr>
                <w:rFonts w:hint="eastAsia" w:ascii="宋体" w:hAnsi="宋体" w:eastAsia="宋体" w:cs="宋体"/>
                <w:color w:val="auto"/>
                <w:spacing w:val="-48"/>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20m</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及以上的悬挑式</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脚手架工程。</w:t>
            </w:r>
          </w:p>
        </w:tc>
        <w:tc>
          <w:tcPr>
            <w:tcW w:w="1294" w:type="dxa"/>
            <w:noWrap w:val="0"/>
            <w:vAlign w:val="top"/>
          </w:tcPr>
          <w:p w14:paraId="24B18D99">
            <w:pPr>
              <w:spacing w:line="297" w:lineRule="auto"/>
              <w:rPr>
                <w:rFonts w:hint="eastAsia" w:ascii="宋体" w:hAnsi="宋体" w:eastAsia="宋体" w:cs="宋体"/>
                <w:color w:val="auto"/>
                <w:highlight w:val="none"/>
                <w:lang w:eastAsia="zh-CN"/>
              </w:rPr>
            </w:pPr>
          </w:p>
          <w:p w14:paraId="048667AD">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26DBF031">
            <w:pPr>
              <w:spacing w:line="297" w:lineRule="auto"/>
              <w:rPr>
                <w:rFonts w:hint="eastAsia" w:ascii="宋体" w:hAnsi="宋体" w:eastAsia="宋体" w:cs="宋体"/>
                <w:color w:val="auto"/>
                <w:highlight w:val="none"/>
              </w:rPr>
            </w:pPr>
          </w:p>
          <w:p w14:paraId="7648C70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23AC8CB0">
            <w:pPr>
              <w:rPr>
                <w:rFonts w:hint="eastAsia" w:ascii="宋体" w:hAnsi="宋体" w:eastAsia="宋体" w:cs="宋体"/>
                <w:color w:val="auto"/>
                <w:highlight w:val="none"/>
              </w:rPr>
            </w:pPr>
          </w:p>
        </w:tc>
      </w:tr>
      <w:tr w14:paraId="2C7B8D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7339F8B9">
            <w:pPr>
              <w:spacing w:before="131"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五、拆除工程</w:t>
            </w:r>
          </w:p>
        </w:tc>
        <w:tc>
          <w:tcPr>
            <w:tcW w:w="1294" w:type="dxa"/>
            <w:noWrap w:val="0"/>
            <w:vAlign w:val="top"/>
          </w:tcPr>
          <w:p w14:paraId="0FAD3A78">
            <w:pPr>
              <w:spacing w:before="15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684D2FCE">
            <w:pPr>
              <w:spacing w:before="15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5F5C2C66">
            <w:pPr>
              <w:rPr>
                <w:rFonts w:hint="eastAsia" w:ascii="宋体" w:hAnsi="宋体" w:eastAsia="宋体" w:cs="宋体"/>
                <w:color w:val="auto"/>
                <w:highlight w:val="none"/>
              </w:rPr>
            </w:pPr>
          </w:p>
        </w:tc>
      </w:tr>
      <w:tr w14:paraId="3570C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62648B80">
            <w:pPr>
              <w:spacing w:before="132" w:line="353" w:lineRule="auto"/>
              <w:ind w:left="115" w:right="168" w:firstLine="12"/>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（一）码头、桥梁、高架、烟囱、水塔或拆除</w:t>
            </w:r>
            <w:r>
              <w:rPr>
                <w:rFonts w:hint="eastAsia" w:ascii="宋体" w:hAnsi="宋体" w:eastAsia="宋体" w:cs="宋体"/>
                <w:color w:val="auto"/>
                <w:spacing w:val="1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中容易引起有毒有害气（液）体或粉尘扩散、</w:t>
            </w:r>
            <w:r>
              <w:rPr>
                <w:rFonts w:hint="eastAsia" w:ascii="宋体" w:hAnsi="宋体" w:eastAsia="宋体" w:cs="宋体"/>
                <w:color w:val="auto"/>
                <w:spacing w:val="10"/>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易燃易爆事故发生的特殊建、构筑物的拆除工</w:t>
            </w:r>
            <w:r>
              <w:rPr>
                <w:rFonts w:hint="eastAsia" w:ascii="宋体" w:hAnsi="宋体" w:eastAsia="宋体" w:cs="宋体"/>
                <w:color w:val="auto"/>
                <w:spacing w:val="10"/>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程。</w:t>
            </w:r>
          </w:p>
        </w:tc>
        <w:tc>
          <w:tcPr>
            <w:tcW w:w="1294" w:type="dxa"/>
            <w:noWrap w:val="0"/>
            <w:vAlign w:val="top"/>
          </w:tcPr>
          <w:p w14:paraId="7295BC52">
            <w:pPr>
              <w:spacing w:line="262" w:lineRule="auto"/>
              <w:rPr>
                <w:rFonts w:hint="eastAsia" w:ascii="宋体" w:hAnsi="宋体" w:eastAsia="宋体" w:cs="宋体"/>
                <w:color w:val="auto"/>
                <w:highlight w:val="none"/>
                <w:lang w:eastAsia="zh-CN"/>
              </w:rPr>
            </w:pPr>
          </w:p>
          <w:p w14:paraId="39B67E6D">
            <w:pPr>
              <w:spacing w:line="262" w:lineRule="auto"/>
              <w:rPr>
                <w:rFonts w:hint="eastAsia" w:ascii="宋体" w:hAnsi="宋体" w:eastAsia="宋体" w:cs="宋体"/>
                <w:color w:val="auto"/>
                <w:highlight w:val="none"/>
                <w:lang w:eastAsia="zh-CN"/>
              </w:rPr>
            </w:pPr>
          </w:p>
          <w:p w14:paraId="1CC518F7">
            <w:pPr>
              <w:spacing w:line="262" w:lineRule="auto"/>
              <w:rPr>
                <w:rFonts w:hint="eastAsia" w:ascii="宋体" w:hAnsi="宋体" w:eastAsia="宋体" w:cs="宋体"/>
                <w:color w:val="auto"/>
                <w:highlight w:val="none"/>
                <w:lang w:eastAsia="zh-CN"/>
              </w:rPr>
            </w:pPr>
          </w:p>
          <w:p w14:paraId="67A1E626">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01A6DA02">
            <w:pPr>
              <w:spacing w:line="262" w:lineRule="auto"/>
              <w:rPr>
                <w:rFonts w:hint="eastAsia" w:ascii="宋体" w:hAnsi="宋体" w:eastAsia="宋体" w:cs="宋体"/>
                <w:color w:val="auto"/>
                <w:highlight w:val="none"/>
              </w:rPr>
            </w:pPr>
          </w:p>
          <w:p w14:paraId="6B098632">
            <w:pPr>
              <w:spacing w:line="262" w:lineRule="auto"/>
              <w:rPr>
                <w:rFonts w:hint="eastAsia" w:ascii="宋体" w:hAnsi="宋体" w:eastAsia="宋体" w:cs="宋体"/>
                <w:color w:val="auto"/>
                <w:highlight w:val="none"/>
              </w:rPr>
            </w:pPr>
          </w:p>
          <w:p w14:paraId="7976D1B4">
            <w:pPr>
              <w:spacing w:line="262" w:lineRule="auto"/>
              <w:rPr>
                <w:rFonts w:hint="eastAsia" w:ascii="宋体" w:hAnsi="宋体" w:eastAsia="宋体" w:cs="宋体"/>
                <w:color w:val="auto"/>
                <w:highlight w:val="none"/>
              </w:rPr>
            </w:pPr>
          </w:p>
          <w:p w14:paraId="0314D94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78E526A0">
            <w:pPr>
              <w:rPr>
                <w:rFonts w:hint="eastAsia" w:ascii="宋体" w:hAnsi="宋体" w:eastAsia="宋体" w:cs="宋体"/>
                <w:color w:val="auto"/>
                <w:highlight w:val="none"/>
              </w:rPr>
            </w:pPr>
          </w:p>
        </w:tc>
      </w:tr>
      <w:tr w14:paraId="4B764A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67AED2B2">
            <w:pPr>
              <w:spacing w:before="131" w:line="327" w:lineRule="auto"/>
              <w:ind w:left="117" w:right="168" w:firstLine="1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（二）文物保护建筑、优秀历史建筑或历史文</w:t>
            </w:r>
            <w:r>
              <w:rPr>
                <w:rFonts w:hint="eastAsia" w:ascii="宋体" w:hAnsi="宋体" w:eastAsia="宋体" w:cs="宋体"/>
                <w:color w:val="auto"/>
                <w:spacing w:val="1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化风貌区影响范围内的拆除工程。</w:t>
            </w:r>
          </w:p>
        </w:tc>
        <w:tc>
          <w:tcPr>
            <w:tcW w:w="1294" w:type="dxa"/>
            <w:noWrap w:val="0"/>
            <w:vAlign w:val="top"/>
          </w:tcPr>
          <w:p w14:paraId="31721018">
            <w:pPr>
              <w:spacing w:line="297" w:lineRule="auto"/>
              <w:rPr>
                <w:rFonts w:hint="eastAsia" w:ascii="宋体" w:hAnsi="宋体" w:eastAsia="宋体" w:cs="宋体"/>
                <w:color w:val="auto"/>
                <w:highlight w:val="none"/>
                <w:lang w:eastAsia="zh-CN"/>
              </w:rPr>
            </w:pPr>
          </w:p>
          <w:p w14:paraId="694CD84B">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030B594F">
            <w:pPr>
              <w:spacing w:line="297" w:lineRule="auto"/>
              <w:rPr>
                <w:rFonts w:hint="eastAsia" w:ascii="宋体" w:hAnsi="宋体" w:eastAsia="宋体" w:cs="宋体"/>
                <w:color w:val="auto"/>
                <w:highlight w:val="none"/>
              </w:rPr>
            </w:pPr>
          </w:p>
          <w:p w14:paraId="665E9A6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67703B15">
            <w:pPr>
              <w:rPr>
                <w:rFonts w:hint="eastAsia" w:ascii="宋体" w:hAnsi="宋体" w:eastAsia="宋体" w:cs="宋体"/>
                <w:color w:val="auto"/>
                <w:highlight w:val="none"/>
              </w:rPr>
            </w:pPr>
          </w:p>
        </w:tc>
      </w:tr>
      <w:tr w14:paraId="67419B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74A45DDF">
            <w:pPr>
              <w:spacing w:before="131" w:line="221" w:lineRule="auto"/>
              <w:ind w:left="11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noWrap w:val="0"/>
            <w:vAlign w:val="top"/>
          </w:tcPr>
          <w:p w14:paraId="1C27BA56">
            <w:pPr>
              <w:spacing w:before="14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501A8B37">
            <w:pPr>
              <w:spacing w:before="14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794BBDA8">
            <w:pPr>
              <w:rPr>
                <w:rFonts w:hint="eastAsia" w:ascii="宋体" w:hAnsi="宋体" w:eastAsia="宋体" w:cs="宋体"/>
                <w:color w:val="auto"/>
                <w:highlight w:val="none"/>
              </w:rPr>
            </w:pPr>
          </w:p>
        </w:tc>
      </w:tr>
      <w:tr w14:paraId="444F33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06A56F84">
            <w:pPr>
              <w:spacing w:before="131" w:line="327" w:lineRule="auto"/>
              <w:ind w:left="119" w:right="168" w:hanging="4"/>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采用矿山法、盾构法、顶管法施工的隧道、洞</w:t>
            </w:r>
            <w:r>
              <w:rPr>
                <w:rFonts w:hint="eastAsia" w:ascii="宋体" w:hAnsi="宋体" w:eastAsia="宋体" w:cs="宋体"/>
                <w:color w:val="auto"/>
                <w:spacing w:val="10"/>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室工程。</w:t>
            </w:r>
          </w:p>
        </w:tc>
        <w:tc>
          <w:tcPr>
            <w:tcW w:w="1294" w:type="dxa"/>
            <w:noWrap w:val="0"/>
            <w:vAlign w:val="top"/>
          </w:tcPr>
          <w:p w14:paraId="3948C553">
            <w:pPr>
              <w:spacing w:line="298" w:lineRule="auto"/>
              <w:rPr>
                <w:rFonts w:hint="eastAsia" w:ascii="宋体" w:hAnsi="宋体" w:eastAsia="宋体" w:cs="宋体"/>
                <w:color w:val="auto"/>
                <w:highlight w:val="none"/>
                <w:lang w:eastAsia="zh-CN"/>
              </w:rPr>
            </w:pPr>
          </w:p>
          <w:p w14:paraId="0DC2BDE2">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4F11924A">
            <w:pPr>
              <w:spacing w:line="298" w:lineRule="auto"/>
              <w:rPr>
                <w:rFonts w:hint="eastAsia" w:ascii="宋体" w:hAnsi="宋体" w:eastAsia="宋体" w:cs="宋体"/>
                <w:color w:val="auto"/>
                <w:highlight w:val="none"/>
              </w:rPr>
            </w:pPr>
          </w:p>
          <w:p w14:paraId="74F8A3E7">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7B445EA8">
            <w:pPr>
              <w:rPr>
                <w:rFonts w:hint="eastAsia" w:ascii="宋体" w:hAnsi="宋体" w:eastAsia="宋体" w:cs="宋体"/>
                <w:color w:val="auto"/>
                <w:highlight w:val="none"/>
              </w:rPr>
            </w:pPr>
          </w:p>
        </w:tc>
      </w:tr>
      <w:tr w14:paraId="14D16D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1F55FDC7">
            <w:pPr>
              <w:spacing w:before="130"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294" w:type="dxa"/>
            <w:noWrap w:val="0"/>
            <w:vAlign w:val="top"/>
          </w:tcPr>
          <w:p w14:paraId="6D3769C5">
            <w:pPr>
              <w:spacing w:before="13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6FB1586B">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177C5243">
            <w:pPr>
              <w:rPr>
                <w:rFonts w:hint="eastAsia" w:ascii="宋体" w:hAnsi="宋体" w:eastAsia="宋体" w:cs="宋体"/>
                <w:color w:val="auto"/>
                <w:highlight w:val="none"/>
              </w:rPr>
            </w:pPr>
          </w:p>
        </w:tc>
      </w:tr>
      <w:tr w14:paraId="754A20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4CB21FD0">
            <w:pPr>
              <w:spacing w:before="130" w:line="327" w:lineRule="auto"/>
              <w:ind w:left="115" w:right="168" w:firstLine="12"/>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（一）施工高度</w:t>
            </w:r>
            <w:r>
              <w:rPr>
                <w:rFonts w:hint="eastAsia" w:ascii="宋体" w:hAnsi="宋体" w:eastAsia="宋体" w:cs="宋体"/>
                <w:color w:val="auto"/>
                <w:spacing w:val="-28"/>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50m</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及以上的建筑幕墙安装工</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程。</w:t>
            </w:r>
          </w:p>
        </w:tc>
        <w:tc>
          <w:tcPr>
            <w:tcW w:w="1294" w:type="dxa"/>
            <w:noWrap w:val="0"/>
            <w:vAlign w:val="top"/>
          </w:tcPr>
          <w:p w14:paraId="36B01170">
            <w:pPr>
              <w:spacing w:line="297" w:lineRule="auto"/>
              <w:rPr>
                <w:rFonts w:hint="eastAsia" w:ascii="宋体" w:hAnsi="宋体" w:eastAsia="宋体" w:cs="宋体"/>
                <w:color w:val="auto"/>
                <w:highlight w:val="none"/>
                <w:lang w:eastAsia="zh-CN"/>
              </w:rPr>
            </w:pPr>
          </w:p>
          <w:p w14:paraId="47848FF7">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04301D8C">
            <w:pPr>
              <w:spacing w:line="297" w:lineRule="auto"/>
              <w:rPr>
                <w:rFonts w:hint="eastAsia" w:ascii="宋体" w:hAnsi="宋体" w:eastAsia="宋体" w:cs="宋体"/>
                <w:color w:val="auto"/>
                <w:highlight w:val="none"/>
              </w:rPr>
            </w:pPr>
          </w:p>
          <w:p w14:paraId="16E6740A">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407985C2">
            <w:pPr>
              <w:rPr>
                <w:rFonts w:hint="eastAsia" w:ascii="宋体" w:hAnsi="宋体" w:eastAsia="宋体" w:cs="宋体"/>
                <w:color w:val="auto"/>
                <w:highlight w:val="none"/>
              </w:rPr>
            </w:pPr>
          </w:p>
        </w:tc>
      </w:tr>
      <w:tr w14:paraId="29CA2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4FD93833">
            <w:pPr>
              <w:spacing w:before="130" w:line="221"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（二）跨度</w:t>
            </w:r>
            <w:r>
              <w:rPr>
                <w:rFonts w:hint="eastAsia" w:ascii="宋体" w:hAnsi="宋体" w:eastAsia="宋体" w:cs="宋体"/>
                <w:color w:val="auto"/>
                <w:spacing w:val="-37"/>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36m</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及以上的钢结构安装工程，或</w:t>
            </w:r>
          </w:p>
        </w:tc>
        <w:tc>
          <w:tcPr>
            <w:tcW w:w="1294" w:type="dxa"/>
            <w:noWrap w:val="0"/>
            <w:vAlign w:val="top"/>
          </w:tcPr>
          <w:p w14:paraId="4F110977">
            <w:pPr>
              <w:spacing w:before="13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2A6079DE">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49F7E44E">
            <w:pPr>
              <w:rPr>
                <w:rFonts w:hint="eastAsia" w:ascii="宋体" w:hAnsi="宋体" w:eastAsia="宋体" w:cs="宋体"/>
                <w:color w:val="auto"/>
                <w:highlight w:val="none"/>
              </w:rPr>
            </w:pPr>
          </w:p>
        </w:tc>
      </w:tr>
      <w:tr w14:paraId="3C7EA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6351EA54">
            <w:pPr>
              <w:spacing w:before="131" w:line="221" w:lineRule="auto"/>
              <w:ind w:left="116"/>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跨度</w:t>
            </w:r>
            <w:r>
              <w:rPr>
                <w:rFonts w:hint="eastAsia" w:ascii="宋体" w:hAnsi="宋体" w:eastAsia="宋体" w:cs="宋体"/>
                <w:color w:val="auto"/>
                <w:spacing w:val="-37"/>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60m</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及以上的网架和索膜结构安装工程。</w:t>
            </w:r>
          </w:p>
        </w:tc>
        <w:tc>
          <w:tcPr>
            <w:tcW w:w="1294" w:type="dxa"/>
            <w:noWrap w:val="0"/>
            <w:vAlign w:val="top"/>
          </w:tcPr>
          <w:p w14:paraId="224BF94B">
            <w:pPr>
              <w:rPr>
                <w:rFonts w:hint="eastAsia" w:ascii="宋体" w:hAnsi="宋体" w:eastAsia="宋体" w:cs="宋体"/>
                <w:color w:val="auto"/>
                <w:highlight w:val="none"/>
                <w:lang w:eastAsia="zh-CN"/>
              </w:rPr>
            </w:pPr>
          </w:p>
        </w:tc>
        <w:tc>
          <w:tcPr>
            <w:tcW w:w="1294" w:type="dxa"/>
            <w:noWrap w:val="0"/>
            <w:vAlign w:val="top"/>
          </w:tcPr>
          <w:p w14:paraId="5169FED8">
            <w:pPr>
              <w:rPr>
                <w:rFonts w:hint="eastAsia" w:ascii="宋体" w:hAnsi="宋体" w:eastAsia="宋体" w:cs="宋体"/>
                <w:color w:val="auto"/>
                <w:highlight w:val="none"/>
                <w:lang w:eastAsia="zh-CN"/>
              </w:rPr>
            </w:pPr>
          </w:p>
        </w:tc>
        <w:tc>
          <w:tcPr>
            <w:tcW w:w="2428" w:type="dxa"/>
            <w:noWrap w:val="0"/>
            <w:vAlign w:val="top"/>
          </w:tcPr>
          <w:p w14:paraId="162F9A90">
            <w:pPr>
              <w:rPr>
                <w:rFonts w:hint="eastAsia" w:ascii="宋体" w:hAnsi="宋体" w:eastAsia="宋体" w:cs="宋体"/>
                <w:color w:val="auto"/>
                <w:highlight w:val="none"/>
                <w:lang w:eastAsia="zh-CN"/>
              </w:rPr>
            </w:pPr>
          </w:p>
        </w:tc>
      </w:tr>
      <w:tr w14:paraId="40590B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0DD5C7A0">
            <w:pPr>
              <w:spacing w:before="127" w:line="220" w:lineRule="auto"/>
              <w:jc w:val="right"/>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lang w:eastAsia="zh-CN"/>
              </w:rPr>
              <w:t>（三）开挖深度</w:t>
            </w:r>
            <w:r>
              <w:rPr>
                <w:rFonts w:hint="eastAsia" w:ascii="宋体" w:hAnsi="宋体" w:eastAsia="宋体" w:cs="宋体"/>
                <w:color w:val="auto"/>
                <w:spacing w:val="-33"/>
                <w:sz w:val="24"/>
                <w:szCs w:val="24"/>
                <w:highlight w:val="none"/>
                <w:lang w:eastAsia="zh-CN"/>
              </w:rPr>
              <w:t xml:space="preserve"> </w:t>
            </w:r>
            <w:r>
              <w:rPr>
                <w:rFonts w:hint="eastAsia" w:ascii="宋体" w:hAnsi="宋体" w:eastAsia="宋体" w:cs="宋体"/>
                <w:color w:val="auto"/>
                <w:spacing w:val="-7"/>
                <w:sz w:val="24"/>
                <w:szCs w:val="24"/>
                <w:highlight w:val="none"/>
                <w:lang w:eastAsia="zh-CN"/>
              </w:rPr>
              <w:t>16m</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color w:val="auto"/>
                <w:spacing w:val="-7"/>
                <w:sz w:val="24"/>
                <w:szCs w:val="24"/>
                <w:highlight w:val="none"/>
                <w:lang w:eastAsia="zh-CN"/>
              </w:rPr>
              <w:t>及以上的人工挖孔桩工程。</w:t>
            </w:r>
          </w:p>
        </w:tc>
        <w:tc>
          <w:tcPr>
            <w:tcW w:w="1294" w:type="dxa"/>
            <w:noWrap w:val="0"/>
            <w:vAlign w:val="top"/>
          </w:tcPr>
          <w:p w14:paraId="16429373">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5E1BD0AB">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061758E0">
            <w:pPr>
              <w:rPr>
                <w:rFonts w:hint="eastAsia" w:ascii="宋体" w:hAnsi="宋体" w:eastAsia="宋体" w:cs="宋体"/>
                <w:color w:val="auto"/>
                <w:highlight w:val="none"/>
              </w:rPr>
            </w:pPr>
          </w:p>
        </w:tc>
      </w:tr>
      <w:tr w14:paraId="241650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7231009D">
            <w:pPr>
              <w:spacing w:before="129" w:line="220"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（四）水下作业工程。</w:t>
            </w:r>
          </w:p>
        </w:tc>
        <w:tc>
          <w:tcPr>
            <w:tcW w:w="1294" w:type="dxa"/>
            <w:noWrap w:val="0"/>
            <w:vAlign w:val="top"/>
          </w:tcPr>
          <w:p w14:paraId="3B39C57E">
            <w:pPr>
              <w:spacing w:before="163"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65BEE7F1">
            <w:pPr>
              <w:spacing w:before="163"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2570992C">
            <w:pPr>
              <w:rPr>
                <w:rFonts w:hint="eastAsia" w:ascii="宋体" w:hAnsi="宋体" w:eastAsia="宋体" w:cs="宋体"/>
                <w:color w:val="auto"/>
                <w:highlight w:val="none"/>
              </w:rPr>
            </w:pPr>
          </w:p>
        </w:tc>
      </w:tr>
      <w:tr w14:paraId="0F280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24DD9EAD">
            <w:pPr>
              <w:spacing w:before="130" w:line="327" w:lineRule="auto"/>
              <w:ind w:left="115" w:right="25" w:firstLine="12"/>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lang w:eastAsia="zh-CN"/>
              </w:rPr>
              <w:t>（五）重量</w:t>
            </w:r>
            <w:r>
              <w:rPr>
                <w:rFonts w:hint="eastAsia" w:ascii="宋体" w:hAnsi="宋体" w:eastAsia="宋体" w:cs="宋体"/>
                <w:color w:val="auto"/>
                <w:spacing w:val="-48"/>
                <w:sz w:val="24"/>
                <w:szCs w:val="24"/>
                <w:highlight w:val="none"/>
                <w:lang w:eastAsia="zh-CN"/>
              </w:rPr>
              <w:t xml:space="preserve"> </w:t>
            </w:r>
            <w:r>
              <w:rPr>
                <w:rFonts w:hint="eastAsia" w:ascii="宋体" w:hAnsi="宋体" w:eastAsia="宋体" w:cs="宋体"/>
                <w:color w:val="auto"/>
                <w:spacing w:val="-8"/>
                <w:sz w:val="24"/>
                <w:szCs w:val="24"/>
                <w:highlight w:val="none"/>
                <w:lang w:eastAsia="zh-CN"/>
              </w:rPr>
              <w:t>1000kN及以上的大型结构整体顶升、</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平移、转体等施工工艺。</w:t>
            </w:r>
          </w:p>
        </w:tc>
        <w:tc>
          <w:tcPr>
            <w:tcW w:w="1294" w:type="dxa"/>
            <w:noWrap w:val="0"/>
            <w:vAlign w:val="top"/>
          </w:tcPr>
          <w:p w14:paraId="19CA2B89">
            <w:pPr>
              <w:spacing w:line="296" w:lineRule="auto"/>
              <w:rPr>
                <w:rFonts w:hint="eastAsia" w:ascii="宋体" w:hAnsi="宋体" w:eastAsia="宋体" w:cs="宋体"/>
                <w:color w:val="auto"/>
                <w:highlight w:val="none"/>
                <w:lang w:eastAsia="zh-CN"/>
              </w:rPr>
            </w:pPr>
          </w:p>
          <w:p w14:paraId="15645A5D">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15B94C66">
            <w:pPr>
              <w:spacing w:line="296" w:lineRule="auto"/>
              <w:rPr>
                <w:rFonts w:hint="eastAsia" w:ascii="宋体" w:hAnsi="宋体" w:eastAsia="宋体" w:cs="宋体"/>
                <w:color w:val="auto"/>
                <w:highlight w:val="none"/>
              </w:rPr>
            </w:pPr>
          </w:p>
          <w:p w14:paraId="05A47D20">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45EA7AF4">
            <w:pPr>
              <w:rPr>
                <w:rFonts w:hint="eastAsia" w:ascii="宋体" w:hAnsi="宋体" w:eastAsia="宋体" w:cs="宋体"/>
                <w:color w:val="auto"/>
                <w:highlight w:val="none"/>
              </w:rPr>
            </w:pPr>
          </w:p>
        </w:tc>
      </w:tr>
      <w:tr w14:paraId="32DF8E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27C9656E">
            <w:pPr>
              <w:spacing w:before="129" w:line="346" w:lineRule="auto"/>
              <w:ind w:left="117" w:right="168" w:firstLine="1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（六）采用新技术、新工艺、新材料、新设备</w:t>
            </w:r>
            <w:r>
              <w:rPr>
                <w:rFonts w:hint="eastAsia" w:ascii="宋体" w:hAnsi="宋体" w:eastAsia="宋体" w:cs="宋体"/>
                <w:color w:val="auto"/>
                <w:spacing w:val="1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可能影响工程施工安全，尚无国家、行业及地</w:t>
            </w:r>
            <w:r>
              <w:rPr>
                <w:rFonts w:hint="eastAsia" w:ascii="宋体" w:hAnsi="宋体" w:eastAsia="宋体" w:cs="宋体"/>
                <w:color w:val="auto"/>
                <w:spacing w:val="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方技术标准的分部分项工程。</w:t>
            </w:r>
          </w:p>
        </w:tc>
        <w:tc>
          <w:tcPr>
            <w:tcW w:w="1294" w:type="dxa"/>
            <w:noWrap w:val="0"/>
            <w:vAlign w:val="top"/>
          </w:tcPr>
          <w:p w14:paraId="23743F67">
            <w:pPr>
              <w:spacing w:line="272" w:lineRule="auto"/>
              <w:rPr>
                <w:rFonts w:hint="eastAsia" w:ascii="宋体" w:hAnsi="宋体" w:eastAsia="宋体" w:cs="宋体"/>
                <w:color w:val="auto"/>
                <w:highlight w:val="none"/>
                <w:lang w:eastAsia="zh-CN"/>
              </w:rPr>
            </w:pPr>
          </w:p>
          <w:p w14:paraId="2AEE0705">
            <w:pPr>
              <w:spacing w:line="272" w:lineRule="auto"/>
              <w:rPr>
                <w:rFonts w:hint="eastAsia" w:ascii="宋体" w:hAnsi="宋体" w:eastAsia="宋体" w:cs="宋体"/>
                <w:color w:val="auto"/>
                <w:highlight w:val="none"/>
                <w:lang w:eastAsia="zh-CN"/>
              </w:rPr>
            </w:pPr>
          </w:p>
          <w:p w14:paraId="67333961">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noWrap w:val="0"/>
            <w:vAlign w:val="top"/>
          </w:tcPr>
          <w:p w14:paraId="08708709">
            <w:pPr>
              <w:spacing w:line="272" w:lineRule="auto"/>
              <w:rPr>
                <w:rFonts w:hint="eastAsia" w:ascii="宋体" w:hAnsi="宋体" w:eastAsia="宋体" w:cs="宋体"/>
                <w:color w:val="auto"/>
                <w:highlight w:val="none"/>
              </w:rPr>
            </w:pPr>
          </w:p>
          <w:p w14:paraId="5F122A06">
            <w:pPr>
              <w:spacing w:line="272" w:lineRule="auto"/>
              <w:rPr>
                <w:rFonts w:hint="eastAsia" w:ascii="宋体" w:hAnsi="宋体" w:eastAsia="宋体" w:cs="宋体"/>
                <w:color w:val="auto"/>
                <w:highlight w:val="none"/>
              </w:rPr>
            </w:pPr>
          </w:p>
          <w:p w14:paraId="56715686">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noWrap w:val="0"/>
            <w:vAlign w:val="top"/>
          </w:tcPr>
          <w:p w14:paraId="0413B8F1">
            <w:pPr>
              <w:rPr>
                <w:rFonts w:hint="eastAsia" w:ascii="宋体" w:hAnsi="宋体" w:eastAsia="宋体" w:cs="宋体"/>
                <w:color w:val="auto"/>
                <w:highlight w:val="none"/>
              </w:rPr>
            </w:pPr>
          </w:p>
        </w:tc>
      </w:tr>
    </w:tbl>
    <w:p w14:paraId="76404CCE">
      <w:pPr>
        <w:spacing w:line="288" w:lineRule="auto"/>
        <w:rPr>
          <w:rFonts w:hint="eastAsia" w:ascii="宋体" w:hAnsi="宋体" w:eastAsia="宋体" w:cs="宋体"/>
          <w:color w:val="auto"/>
          <w:highlight w:val="none"/>
        </w:rPr>
      </w:pPr>
    </w:p>
    <w:p w14:paraId="3FB92048">
      <w:pPr>
        <w:rPr>
          <w:color w:val="auto"/>
          <w:highlight w:val="none"/>
        </w:rPr>
      </w:pPr>
    </w:p>
    <w:p w14:paraId="1D56C4A3">
      <w:pPr>
        <w:pStyle w:val="5"/>
        <w:spacing w:line="288" w:lineRule="auto"/>
        <w:rPr>
          <w:rFonts w:hint="eastAsia" w:ascii="宋体" w:hAnsi="宋体" w:eastAsia="宋体" w:cs="宋体"/>
          <w:color w:val="auto"/>
          <w:highlight w:val="none"/>
        </w:rPr>
      </w:pPr>
    </w:p>
    <w:p w14:paraId="3445358B">
      <w:pPr>
        <w:spacing w:before="21" w:line="376" w:lineRule="exact"/>
        <w:ind w:firstLine="520" w:firstLineChars="200"/>
        <w:rPr>
          <w:rFonts w:hint="eastAsia" w:ascii="宋体" w:hAnsi="宋体" w:eastAsia="宋体" w:cs="宋体"/>
          <w:color w:val="auto"/>
          <w:spacing w:val="9"/>
          <w:sz w:val="24"/>
          <w:szCs w:val="24"/>
          <w:highlight w:val="none"/>
          <w:lang w:eastAsia="zh-CN"/>
        </w:rPr>
      </w:pPr>
      <w:r>
        <w:rPr>
          <w:rFonts w:hint="eastAsia" w:ascii="宋体" w:hAnsi="宋体" w:eastAsia="宋体" w:cs="宋体"/>
          <w:color w:val="auto"/>
          <w:spacing w:val="10"/>
          <w:sz w:val="24"/>
          <w:szCs w:val="24"/>
          <w:highlight w:val="none"/>
        </w:rPr>
        <w:t>备注：1.根据《危险性较大的分部分项工程安全管理</w:t>
      </w:r>
      <w:r>
        <w:rPr>
          <w:rFonts w:hint="eastAsia" w:ascii="宋体" w:hAnsi="宋体" w:eastAsia="宋体" w:cs="宋体"/>
          <w:color w:val="auto"/>
          <w:spacing w:val="9"/>
          <w:sz w:val="24"/>
          <w:szCs w:val="24"/>
          <w:highlight w:val="none"/>
        </w:rPr>
        <w:t>规定》，该《危险性较大的分部分项工程清单及超</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9"/>
          <w:sz w:val="24"/>
          <w:szCs w:val="24"/>
          <w:highlight w:val="none"/>
        </w:rPr>
        <w:t>过一定规模的危险性较大的分部分项工程清单》</w:t>
      </w:r>
      <w:r>
        <w:rPr>
          <w:rFonts w:hint="eastAsia" w:ascii="宋体" w:hAnsi="宋体" w:eastAsia="宋体" w:cs="宋体"/>
          <w:color w:val="auto"/>
          <w:spacing w:val="9"/>
          <w:sz w:val="24"/>
          <w:szCs w:val="24"/>
          <w:highlight w:val="none"/>
          <w:lang w:eastAsia="zh-CN"/>
        </w:rPr>
        <w:t>应由建设单位组织勘察、设计等单位在招标文件中“勾选（对应项打“√”标识”危险性较大的分部分项工程。</w:t>
      </w:r>
    </w:p>
    <w:p w14:paraId="21F57ACA">
      <w:pPr>
        <w:spacing w:before="21" w:line="376" w:lineRule="exact"/>
        <w:ind w:firstLine="51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2.该《危险性较大的分部分项工程清单及超过一定规模的危险性较</w:t>
      </w:r>
      <w:r>
        <w:rPr>
          <w:rFonts w:hint="eastAsia" w:ascii="宋体" w:hAnsi="宋体" w:eastAsia="宋体" w:cs="宋体"/>
          <w:color w:val="auto"/>
          <w:spacing w:val="7"/>
          <w:sz w:val="24"/>
          <w:szCs w:val="24"/>
          <w:highlight w:val="none"/>
        </w:rPr>
        <w:t>大的分部分项工程清单》在办理</w:t>
      </w:r>
      <w:r>
        <w:rPr>
          <w:rFonts w:hint="eastAsia" w:ascii="宋体" w:hAnsi="宋体" w:eastAsia="宋体" w:cs="宋体"/>
          <w:color w:val="auto"/>
          <w:spacing w:val="10"/>
          <w:sz w:val="24"/>
          <w:szCs w:val="24"/>
          <w:highlight w:val="none"/>
        </w:rPr>
        <w:t>建设项目施工许可时必须提供，且各地建设行政主管部门可按照《广东省建设工</w:t>
      </w:r>
      <w:r>
        <w:rPr>
          <w:rFonts w:hint="eastAsia" w:ascii="宋体" w:hAnsi="宋体" w:eastAsia="宋体" w:cs="宋体"/>
          <w:color w:val="auto"/>
          <w:spacing w:val="9"/>
          <w:sz w:val="24"/>
          <w:szCs w:val="24"/>
          <w:highlight w:val="none"/>
        </w:rPr>
        <w:t>程项目招标中标后监督</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检查办法》相关规定开展检查。</w:t>
      </w:r>
    </w:p>
    <w:p w14:paraId="7A1DC17D">
      <w:pPr>
        <w:spacing w:before="28" w:line="228" w:lineRule="auto"/>
        <w:ind w:left="553" w:leftChars="244" w:hanging="41" w:hangingChars="16"/>
        <w:rPr>
          <w:rFonts w:hint="eastAsia" w:ascii="宋体" w:hAnsi="宋体" w:eastAsia="宋体" w:cs="宋体"/>
          <w:color w:val="auto"/>
          <w:spacing w:val="8"/>
          <w:sz w:val="24"/>
          <w:szCs w:val="24"/>
          <w:highlight w:val="none"/>
          <w:lang w:eastAsia="zh-CN"/>
        </w:rPr>
      </w:pPr>
      <w:r>
        <w:rPr>
          <w:rFonts w:hint="eastAsia" w:ascii="宋体" w:hAnsi="宋体" w:eastAsia="宋体" w:cs="宋体"/>
          <w:color w:val="auto"/>
          <w:spacing w:val="9"/>
          <w:sz w:val="24"/>
          <w:szCs w:val="24"/>
          <w:highlight w:val="none"/>
        </w:rPr>
        <w:t>3.如果需要（如需要通过计算编制专项方案，或者需要专家论证</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9"/>
          <w:sz w:val="24"/>
          <w:szCs w:val="24"/>
          <w:highlight w:val="none"/>
        </w:rPr>
        <w:t>可中</w:t>
      </w:r>
      <w:r>
        <w:rPr>
          <w:rFonts w:hint="eastAsia" w:ascii="宋体" w:hAnsi="宋体" w:eastAsia="宋体" w:cs="宋体"/>
          <w:color w:val="auto"/>
          <w:spacing w:val="8"/>
          <w:sz w:val="24"/>
          <w:szCs w:val="24"/>
          <w:highlight w:val="none"/>
        </w:rPr>
        <w:t>标后提供</w:t>
      </w:r>
      <w:r>
        <w:rPr>
          <w:rFonts w:hint="eastAsia" w:ascii="宋体" w:hAnsi="宋体" w:eastAsia="宋体" w:cs="宋体"/>
          <w:color w:val="auto"/>
          <w:spacing w:val="8"/>
          <w:sz w:val="24"/>
          <w:szCs w:val="24"/>
          <w:highlight w:val="none"/>
          <w:lang w:eastAsia="zh-CN"/>
        </w:rPr>
        <w:t>详细版。</w:t>
      </w:r>
    </w:p>
    <w:p w14:paraId="07D02C66">
      <w:pPr>
        <w:rPr>
          <w:color w:val="auto"/>
          <w:highlight w:val="none"/>
        </w:rPr>
      </w:pPr>
    </w:p>
    <w:p w14:paraId="086DFF7E">
      <w:pPr>
        <w:pStyle w:val="13"/>
        <w:rPr>
          <w:rFonts w:hint="eastAsia" w:ascii="宋体" w:hAnsi="宋体" w:eastAsia="宋体" w:cs="宋体"/>
          <w:b/>
          <w:bCs/>
          <w:color w:val="auto"/>
          <w:spacing w:val="-4"/>
          <w:sz w:val="24"/>
          <w:szCs w:val="24"/>
          <w:highlight w:val="none"/>
        </w:rPr>
      </w:pPr>
    </w:p>
    <w:p w14:paraId="4D9F0099">
      <w:pPr>
        <w:pStyle w:val="13"/>
        <w:rPr>
          <w:rFonts w:hint="eastAsia" w:ascii="宋体" w:hAnsi="宋体" w:eastAsia="宋体" w:cs="宋体"/>
          <w:b/>
          <w:bCs/>
          <w:color w:val="auto"/>
          <w:spacing w:val="-4"/>
          <w:sz w:val="24"/>
          <w:szCs w:val="24"/>
          <w:highlight w:val="none"/>
        </w:rPr>
      </w:pPr>
    </w:p>
    <w:p w14:paraId="1872DDAC">
      <w:pPr>
        <w:pStyle w:val="13"/>
        <w:rPr>
          <w:rFonts w:hint="eastAsia" w:ascii="宋体" w:hAnsi="宋体" w:eastAsia="宋体" w:cs="宋体"/>
          <w:b/>
          <w:bCs/>
          <w:color w:val="auto"/>
          <w:spacing w:val="-4"/>
          <w:sz w:val="24"/>
          <w:szCs w:val="24"/>
          <w:highlight w:val="none"/>
        </w:rPr>
      </w:pPr>
    </w:p>
    <w:p w14:paraId="102A38AF">
      <w:pPr>
        <w:pStyle w:val="13"/>
        <w:rPr>
          <w:rFonts w:hint="eastAsia" w:ascii="宋体" w:hAnsi="宋体" w:eastAsia="宋体" w:cs="宋体"/>
          <w:b/>
          <w:bCs/>
          <w:color w:val="auto"/>
          <w:spacing w:val="-4"/>
          <w:sz w:val="24"/>
          <w:szCs w:val="24"/>
          <w:highlight w:val="none"/>
        </w:rPr>
      </w:pPr>
    </w:p>
    <w:p w14:paraId="2E1BA95E">
      <w:pPr>
        <w:pStyle w:val="13"/>
        <w:rPr>
          <w:rFonts w:hint="eastAsia" w:ascii="宋体" w:hAnsi="宋体" w:eastAsia="宋体" w:cs="宋体"/>
          <w:b/>
          <w:bCs/>
          <w:color w:val="auto"/>
          <w:spacing w:val="-4"/>
          <w:sz w:val="24"/>
          <w:szCs w:val="24"/>
          <w:highlight w:val="none"/>
        </w:rPr>
      </w:pPr>
    </w:p>
    <w:p w14:paraId="738EC21D">
      <w:pPr>
        <w:pStyle w:val="13"/>
        <w:ind w:left="0" w:leftChars="0" w:firstLine="0" w:firstLineChars="0"/>
        <w:rPr>
          <w:rFonts w:hint="eastAsia" w:ascii="宋体" w:hAnsi="宋体" w:eastAsia="宋体" w:cs="宋体"/>
          <w:b/>
          <w:bCs/>
          <w:color w:val="auto"/>
          <w:spacing w:val="-4"/>
          <w:sz w:val="24"/>
          <w:szCs w:val="24"/>
          <w:highlight w:val="none"/>
        </w:rPr>
      </w:pPr>
    </w:p>
    <w:p w14:paraId="5A49A582">
      <w:pPr>
        <w:spacing w:before="78" w:line="220" w:lineRule="auto"/>
        <w:jc w:val="left"/>
        <w:outlineLvl w:val="9"/>
        <w:rPr>
          <w:rFonts w:hint="eastAsia" w:ascii="宋体" w:hAnsi="宋体" w:eastAsia="宋体" w:cs="宋体"/>
          <w:b/>
          <w:bCs/>
          <w:color w:val="auto"/>
          <w:spacing w:val="-4"/>
          <w:sz w:val="24"/>
          <w:szCs w:val="24"/>
          <w:highlight w:val="none"/>
        </w:rPr>
      </w:pPr>
    </w:p>
    <w:p w14:paraId="6BEB6D14">
      <w:pPr>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br w:type="page"/>
      </w:r>
    </w:p>
    <w:p w14:paraId="246AA64C">
      <w:pPr>
        <w:spacing w:before="78" w:line="220" w:lineRule="auto"/>
        <w:jc w:val="both"/>
        <w:outlineLvl w:val="2"/>
        <w:rPr>
          <w:rFonts w:hint="default" w:ascii="宋体" w:hAnsi="宋体" w:eastAsia="宋体" w:cs="宋体"/>
          <w:b/>
          <w:bCs/>
          <w:color w:val="auto"/>
          <w:spacing w:val="-4"/>
          <w:sz w:val="24"/>
          <w:szCs w:val="24"/>
          <w:highlight w:val="none"/>
          <w:lang w:val="en-US" w:eastAsia="zh-CN"/>
        </w:rPr>
      </w:pPr>
      <w:bookmarkStart w:id="269" w:name="_Toc738"/>
      <w:r>
        <w:rPr>
          <w:rFonts w:hint="eastAsia" w:ascii="宋体" w:hAnsi="宋体" w:eastAsia="宋体" w:cs="宋体"/>
          <w:b/>
          <w:bCs/>
          <w:color w:val="auto"/>
          <w:spacing w:val="-4"/>
          <w:sz w:val="24"/>
          <w:szCs w:val="24"/>
          <w:highlight w:val="none"/>
        </w:rPr>
        <w:t>格式十四</w:t>
      </w:r>
      <w:r>
        <w:rPr>
          <w:rFonts w:hint="eastAsia" w:ascii="宋体" w:hAnsi="宋体" w:eastAsia="宋体" w:cs="宋体"/>
          <w:b/>
          <w:bCs/>
          <w:color w:val="auto"/>
          <w:spacing w:val="-4"/>
          <w:sz w:val="24"/>
          <w:szCs w:val="24"/>
          <w:highlight w:val="none"/>
          <w:lang w:val="en-US" w:eastAsia="zh-CN"/>
        </w:rPr>
        <w:t xml:space="preserve">  </w:t>
      </w:r>
      <w:r>
        <w:rPr>
          <w:rFonts w:hint="eastAsia" w:ascii="宋体" w:hAnsi="宋体" w:eastAsia="宋体" w:cs="宋体"/>
          <w:b/>
          <w:bCs/>
          <w:color w:val="auto"/>
          <w:spacing w:val="4"/>
          <w:position w:val="3"/>
          <w:sz w:val="21"/>
          <w:szCs w:val="21"/>
          <w:highlight w:val="none"/>
        </w:rPr>
        <w:t>投标保证金信用承诺函</w:t>
      </w:r>
      <w:bookmarkEnd w:id="269"/>
    </w:p>
    <w:p w14:paraId="4FA8B08B">
      <w:pPr>
        <w:spacing w:before="140" w:line="604" w:lineRule="exact"/>
        <w:jc w:val="center"/>
        <w:rPr>
          <w:rFonts w:hint="eastAsia" w:ascii="宋体" w:hAnsi="宋体" w:eastAsia="宋体" w:cs="宋体"/>
          <w:color w:val="auto"/>
          <w:sz w:val="28"/>
          <w:szCs w:val="28"/>
          <w:highlight w:val="none"/>
        </w:rPr>
      </w:pPr>
      <w:r>
        <w:rPr>
          <w:rFonts w:hint="eastAsia" w:ascii="宋体" w:hAnsi="宋体" w:eastAsia="宋体" w:cs="宋体"/>
          <w:b/>
          <w:bCs/>
          <w:color w:val="auto"/>
          <w:spacing w:val="4"/>
          <w:position w:val="3"/>
          <w:sz w:val="28"/>
          <w:szCs w:val="28"/>
          <w:highlight w:val="none"/>
        </w:rPr>
        <w:t>投标保证金信用承诺函</w:t>
      </w:r>
    </w:p>
    <w:p w14:paraId="551571E0">
      <w:pPr>
        <w:pStyle w:val="5"/>
        <w:spacing w:line="408" w:lineRule="auto"/>
        <w:rPr>
          <w:rFonts w:hint="eastAsia" w:ascii="宋体" w:hAnsi="宋体" w:eastAsia="宋体" w:cs="宋体"/>
          <w:color w:val="auto"/>
          <w:highlight w:val="none"/>
        </w:rPr>
      </w:pPr>
    </w:p>
    <w:p w14:paraId="234CE695">
      <w:pPr>
        <w:spacing w:before="101" w:line="257" w:lineRule="auto"/>
        <w:ind w:left="3" w:firstLine="965"/>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一、</w:t>
      </w:r>
      <w:r>
        <w:rPr>
          <w:rFonts w:hint="eastAsia" w:ascii="宋体" w:hAnsi="宋体" w:eastAsia="宋体" w:cs="宋体"/>
          <w:color w:val="auto"/>
          <w:spacing w:val="7"/>
          <w:sz w:val="24"/>
          <w:szCs w:val="24"/>
          <w:highlight w:val="none"/>
        </w:rPr>
        <w:t>我单位参加</w:t>
      </w:r>
      <w:r>
        <w:rPr>
          <w:rFonts w:hint="eastAsia" w:ascii="宋体" w:hAnsi="宋体" w:eastAsia="宋体" w:cs="宋体"/>
          <w:color w:val="auto"/>
          <w:spacing w:val="7"/>
          <w:sz w:val="24"/>
          <w:szCs w:val="24"/>
          <w:highlight w:val="none"/>
          <w:u w:val="single"/>
        </w:rPr>
        <w:t xml:space="preserve">  （工程项目名称）  </w:t>
      </w:r>
      <w:r>
        <w:rPr>
          <w:rFonts w:hint="eastAsia" w:ascii="宋体" w:hAnsi="宋体" w:eastAsia="宋体" w:cs="宋体"/>
          <w:color w:val="auto"/>
          <w:spacing w:val="-116"/>
          <w:sz w:val="24"/>
          <w:szCs w:val="24"/>
          <w:highlight w:val="none"/>
        </w:rPr>
        <w:t xml:space="preserve"> </w:t>
      </w:r>
      <w:r>
        <w:rPr>
          <w:rFonts w:hint="eastAsia" w:ascii="宋体" w:hAnsi="宋体" w:eastAsia="宋体" w:cs="宋体"/>
          <w:color w:val="auto"/>
          <w:spacing w:val="7"/>
          <w:sz w:val="24"/>
          <w:szCs w:val="24"/>
          <w:highlight w:val="none"/>
        </w:rPr>
        <w:t>的投标活动，</w:t>
      </w:r>
      <w:r>
        <w:rPr>
          <w:rFonts w:hint="eastAsia" w:ascii="宋体" w:hAnsi="宋体" w:eastAsia="宋体" w:cs="宋体"/>
          <w:color w:val="auto"/>
          <w:spacing w:val="6"/>
          <w:sz w:val="24"/>
          <w:szCs w:val="24"/>
          <w:highlight w:val="none"/>
        </w:rPr>
        <w:t>现承</w:t>
      </w:r>
      <w:r>
        <w:rPr>
          <w:rFonts w:hint="eastAsia" w:ascii="宋体" w:hAnsi="宋体" w:eastAsia="宋体" w:cs="宋体"/>
          <w:color w:val="auto"/>
          <w:spacing w:val="9"/>
          <w:sz w:val="24"/>
          <w:szCs w:val="24"/>
          <w:highlight w:val="none"/>
        </w:rPr>
        <w:t>诺：将严格按照法律法规规定参与交易活动，按照招标文件要求</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依法履行投标人义务；我方若出现违反《中华人民共和国招标投</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标法》、《中华人民共和国招标投标法实施条例》、《电子招标</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投标办法》等有关法律法规的行为，将于投标有效期内全额付清</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7"/>
          <w:sz w:val="24"/>
          <w:szCs w:val="24"/>
          <w:highlight w:val="none"/>
        </w:rPr>
        <w:t>招标文件规定的投标保证金</w:t>
      </w:r>
      <w:r>
        <w:rPr>
          <w:rFonts w:hint="eastAsia" w:ascii="宋体" w:hAnsi="宋体" w:eastAsia="宋体" w:cs="宋体"/>
          <w:color w:val="auto"/>
          <w:spacing w:val="-153"/>
          <w:sz w:val="24"/>
          <w:szCs w:val="24"/>
          <w:highlight w:val="none"/>
        </w:rPr>
        <w:t xml:space="preserve"> </w:t>
      </w:r>
      <w:r>
        <w:rPr>
          <w:rFonts w:hint="eastAsia" w:ascii="宋体" w:hAnsi="宋体" w:eastAsia="宋体" w:cs="宋体"/>
          <w:color w:val="auto"/>
          <w:spacing w:val="5"/>
          <w:sz w:val="24"/>
          <w:szCs w:val="24"/>
          <w:highlight w:val="none"/>
          <w:u w:val="single"/>
        </w:rPr>
        <w:t xml:space="preserve">     </w:t>
      </w:r>
      <w:r>
        <w:rPr>
          <w:rFonts w:hint="eastAsia" w:ascii="宋体" w:hAnsi="宋体" w:eastAsia="宋体" w:cs="宋体"/>
          <w:color w:val="auto"/>
          <w:spacing w:val="-138"/>
          <w:sz w:val="24"/>
          <w:szCs w:val="24"/>
          <w:highlight w:val="none"/>
        </w:rPr>
        <w:t xml:space="preserve"> </w:t>
      </w:r>
      <w:r>
        <w:rPr>
          <w:rFonts w:hint="eastAsia" w:ascii="宋体" w:hAnsi="宋体" w:eastAsia="宋体" w:cs="宋体"/>
          <w:color w:val="auto"/>
          <w:spacing w:val="7"/>
          <w:sz w:val="24"/>
          <w:szCs w:val="24"/>
          <w:highlight w:val="none"/>
        </w:rPr>
        <w:t>元。</w:t>
      </w:r>
    </w:p>
    <w:p w14:paraId="67174F63">
      <w:pPr>
        <w:spacing w:before="48" w:line="252" w:lineRule="auto"/>
        <w:ind w:left="1" w:firstLine="647"/>
        <w:jc w:val="both"/>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二、至投标文件提交当天，本公司无严重不良信用记录或存在曾作出虚假承诺的情形，且不属于韶关市建筑市场信用管理平</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5"/>
          <w:sz w:val="24"/>
          <w:szCs w:val="24"/>
          <w:highlight w:val="none"/>
        </w:rPr>
        <w:t>台公布的信用等级为</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5"/>
          <w:sz w:val="24"/>
          <w:szCs w:val="24"/>
          <w:highlight w:val="none"/>
        </w:rPr>
        <w:t>B</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级、C</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级、D</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级的企业。</w:t>
      </w:r>
    </w:p>
    <w:p w14:paraId="3EE8C656">
      <w:pPr>
        <w:spacing w:before="52" w:line="247" w:lineRule="auto"/>
        <w:ind w:left="6" w:right="2" w:firstLine="638"/>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本企业对以上承诺和声明负责。如有虚假，愿接受行政主管</w:t>
      </w:r>
      <w:r>
        <w:rPr>
          <w:rFonts w:hint="eastAsia" w:ascii="宋体" w:hAnsi="宋体" w:eastAsia="宋体" w:cs="宋体"/>
          <w:color w:val="auto"/>
          <w:spacing w:val="8"/>
          <w:sz w:val="24"/>
          <w:szCs w:val="24"/>
          <w:highlight w:val="none"/>
        </w:rPr>
        <w:t>部门作出的处罚，并承担以下后果：</w:t>
      </w:r>
    </w:p>
    <w:p w14:paraId="3B20EF63">
      <w:pPr>
        <w:spacing w:before="48"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（一）取消本单位在本项目中的投标资格或中标资格；</w:t>
      </w:r>
    </w:p>
    <w:p w14:paraId="01EB796C">
      <w:pPr>
        <w:spacing w:before="64"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（二）将本单位不良行为纳入信用信息管理系统；</w:t>
      </w:r>
    </w:p>
    <w:p w14:paraId="170D400C">
      <w:pPr>
        <w:spacing w:before="60" w:line="244" w:lineRule="auto"/>
        <w:ind w:left="41" w:right="2" w:firstLine="615"/>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（三）主动在产生不良行为所在的各县（市、区）行</w:t>
      </w:r>
      <w:r>
        <w:rPr>
          <w:rFonts w:hint="eastAsia" w:ascii="宋体" w:hAnsi="宋体" w:eastAsia="宋体" w:cs="宋体"/>
          <w:color w:val="auto"/>
          <w:spacing w:val="8"/>
          <w:sz w:val="24"/>
          <w:szCs w:val="24"/>
          <w:highlight w:val="none"/>
        </w:rPr>
        <w:t>政区域</w:t>
      </w:r>
      <w:r>
        <w:rPr>
          <w:rFonts w:hint="eastAsia" w:ascii="宋体" w:hAnsi="宋体" w:eastAsia="宋体" w:cs="宋体"/>
          <w:color w:val="auto"/>
          <w:spacing w:val="6"/>
          <w:sz w:val="24"/>
          <w:szCs w:val="24"/>
          <w:highlight w:val="none"/>
        </w:rPr>
        <w:t>内不参加房建市政工程项目的投标活动一年；</w:t>
      </w:r>
    </w:p>
    <w:p w14:paraId="095339FF">
      <w:pPr>
        <w:spacing w:before="63"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（四）应付的赔偿责任和相应法律责任。</w:t>
      </w:r>
    </w:p>
    <w:p w14:paraId="324F4DDC">
      <w:pPr>
        <w:pStyle w:val="5"/>
        <w:spacing w:line="329" w:lineRule="auto"/>
        <w:rPr>
          <w:rFonts w:hint="eastAsia" w:ascii="宋体" w:hAnsi="宋体" w:eastAsia="宋体" w:cs="宋体"/>
          <w:color w:val="auto"/>
          <w:sz w:val="24"/>
          <w:szCs w:val="24"/>
          <w:highlight w:val="none"/>
        </w:rPr>
      </w:pPr>
    </w:p>
    <w:p w14:paraId="3A9404A8">
      <w:pPr>
        <w:spacing w:before="102" w:line="225" w:lineRule="auto"/>
        <w:ind w:left="84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单位名称（公章</w:t>
      </w:r>
      <w:r>
        <w:rPr>
          <w:rFonts w:hint="eastAsia" w:ascii="宋体" w:hAnsi="宋体" w:eastAsia="宋体" w:cs="宋体"/>
          <w:color w:val="auto"/>
          <w:spacing w:val="1"/>
          <w:sz w:val="24"/>
          <w:szCs w:val="24"/>
          <w:highlight w:val="none"/>
        </w:rPr>
        <w:t>）：</w:t>
      </w:r>
    </w:p>
    <w:p w14:paraId="68F0A46E">
      <w:pPr>
        <w:pStyle w:val="5"/>
        <w:spacing w:line="457" w:lineRule="auto"/>
        <w:rPr>
          <w:rFonts w:hint="eastAsia" w:ascii="宋体" w:hAnsi="宋体" w:eastAsia="宋体" w:cs="宋体"/>
          <w:color w:val="auto"/>
          <w:sz w:val="24"/>
          <w:szCs w:val="24"/>
          <w:highlight w:val="none"/>
        </w:rPr>
      </w:pPr>
    </w:p>
    <w:p w14:paraId="1043625C">
      <w:pPr>
        <w:spacing w:before="100" w:line="225" w:lineRule="auto"/>
        <w:ind w:left="85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统一社会信用代码：</w:t>
      </w:r>
    </w:p>
    <w:p w14:paraId="2556479A">
      <w:pPr>
        <w:pStyle w:val="5"/>
        <w:spacing w:line="457" w:lineRule="auto"/>
        <w:rPr>
          <w:rFonts w:hint="eastAsia" w:ascii="宋体" w:hAnsi="宋体" w:eastAsia="宋体" w:cs="宋体"/>
          <w:color w:val="auto"/>
          <w:sz w:val="24"/>
          <w:szCs w:val="24"/>
          <w:highlight w:val="none"/>
        </w:rPr>
      </w:pPr>
    </w:p>
    <w:p w14:paraId="28E89218">
      <w:pPr>
        <w:spacing w:before="102" w:line="543" w:lineRule="auto"/>
        <w:ind w:left="844" w:right="5000"/>
        <w:rPr>
          <w:rFonts w:hint="eastAsia" w:ascii="宋体" w:hAnsi="宋体" w:eastAsia="宋体" w:cs="宋体"/>
          <w:color w:val="auto"/>
          <w:spacing w:val="-29"/>
          <w:sz w:val="24"/>
          <w:szCs w:val="24"/>
          <w:highlight w:val="none"/>
        </w:rPr>
      </w:pPr>
      <w:r>
        <w:rPr>
          <w:rFonts w:hint="eastAsia" w:ascii="宋体" w:hAnsi="宋体" w:eastAsia="宋体" w:cs="宋体"/>
          <w:color w:val="auto"/>
          <w:spacing w:val="8"/>
          <w:sz w:val="24"/>
          <w:szCs w:val="24"/>
          <w:highlight w:val="none"/>
        </w:rPr>
        <w:t>法定代表人（签字</w:t>
      </w:r>
      <w:r>
        <w:rPr>
          <w:rFonts w:hint="eastAsia" w:ascii="宋体" w:hAnsi="宋体" w:eastAsia="宋体" w:cs="宋体"/>
          <w:color w:val="auto"/>
          <w:spacing w:val="-29"/>
          <w:sz w:val="24"/>
          <w:szCs w:val="24"/>
          <w:highlight w:val="none"/>
        </w:rPr>
        <w:t>）：</w:t>
      </w:r>
    </w:p>
    <w:p w14:paraId="33A3CBAF">
      <w:pPr>
        <w:spacing w:before="102" w:line="543" w:lineRule="auto"/>
        <w:ind w:left="844" w:right="50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年</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6"/>
          <w:sz w:val="24"/>
          <w:szCs w:val="24"/>
          <w:highlight w:val="none"/>
        </w:rPr>
        <w:t>月</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39"/>
          <w:sz w:val="24"/>
          <w:szCs w:val="24"/>
          <w:highlight w:val="none"/>
          <w:lang w:val="en-US" w:eastAsia="zh-CN"/>
        </w:rPr>
        <w:t xml:space="preserve">  </w:t>
      </w:r>
      <w:r>
        <w:rPr>
          <w:rFonts w:hint="eastAsia" w:ascii="宋体" w:hAnsi="宋体" w:eastAsia="宋体" w:cs="宋体"/>
          <w:color w:val="auto"/>
          <w:spacing w:val="-6"/>
          <w:sz w:val="24"/>
          <w:szCs w:val="24"/>
          <w:highlight w:val="none"/>
        </w:rPr>
        <w:t>日</w:t>
      </w:r>
    </w:p>
    <w:p w14:paraId="2B287F98">
      <w:pPr>
        <w:pStyle w:val="13"/>
        <w:rPr>
          <w:rFonts w:hint="eastAsia" w:ascii="宋体" w:hAnsi="宋体" w:eastAsia="宋体" w:cs="宋体"/>
          <w:color w:val="auto"/>
          <w:highlight w:val="none"/>
        </w:rPr>
      </w:pPr>
    </w:p>
    <w:p w14:paraId="3CFA9197">
      <w:pPr>
        <w:pStyle w:val="13"/>
        <w:rPr>
          <w:rFonts w:hint="eastAsia" w:ascii="宋体" w:hAnsi="宋体" w:eastAsia="宋体" w:cs="宋体"/>
          <w:color w:val="auto"/>
          <w:spacing w:val="8"/>
          <w:sz w:val="24"/>
          <w:szCs w:val="24"/>
          <w:highlight w:val="none"/>
          <w:lang w:eastAsia="zh-CN"/>
        </w:rPr>
        <w:sectPr>
          <w:footerReference r:id="rId2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906ADF0">
      <w:pPr>
        <w:spacing w:before="78" w:line="220" w:lineRule="auto"/>
        <w:outlineLvl w:val="2"/>
        <w:rPr>
          <w:rFonts w:hint="eastAsia" w:ascii="宋体" w:hAnsi="宋体" w:eastAsia="宋体" w:cs="宋体"/>
          <w:b/>
          <w:bCs/>
          <w:color w:val="auto"/>
          <w:spacing w:val="-4"/>
          <w:sz w:val="24"/>
          <w:szCs w:val="24"/>
          <w:highlight w:val="none"/>
        </w:rPr>
      </w:pPr>
      <w:bookmarkStart w:id="270" w:name="_Toc9960"/>
      <w:r>
        <w:rPr>
          <w:rFonts w:hint="eastAsia" w:ascii="宋体" w:hAnsi="宋体" w:eastAsia="宋体" w:cs="宋体"/>
          <w:b/>
          <w:bCs/>
          <w:color w:val="auto"/>
          <w:spacing w:val="-4"/>
          <w:sz w:val="24"/>
          <w:szCs w:val="24"/>
          <w:highlight w:val="none"/>
        </w:rPr>
        <w:t>格式十</w:t>
      </w:r>
      <w:r>
        <w:rPr>
          <w:rFonts w:hint="eastAsia" w:ascii="宋体" w:hAnsi="宋体" w:eastAsia="宋体" w:cs="宋体"/>
          <w:b/>
          <w:bCs/>
          <w:color w:val="auto"/>
          <w:spacing w:val="-4"/>
          <w:sz w:val="24"/>
          <w:szCs w:val="24"/>
          <w:highlight w:val="none"/>
          <w:lang w:eastAsia="zh-CN"/>
        </w:rPr>
        <w:t>五</w:t>
      </w:r>
      <w:r>
        <w:rPr>
          <w:rFonts w:hint="eastAsia" w:ascii="宋体" w:hAnsi="宋体" w:eastAsia="宋体" w:cs="宋体"/>
          <w:b/>
          <w:bCs/>
          <w:color w:val="auto"/>
          <w:spacing w:val="-4"/>
          <w:sz w:val="24"/>
          <w:szCs w:val="24"/>
          <w:highlight w:val="none"/>
        </w:rPr>
        <w:t xml:space="preserve">  原件一览表</w:t>
      </w:r>
      <w:bookmarkEnd w:id="270"/>
    </w:p>
    <w:tbl>
      <w:tblPr>
        <w:tblStyle w:val="14"/>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14:paraId="31804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440" w:type="dxa"/>
            <w:gridSpan w:val="8"/>
            <w:vAlign w:val="top"/>
          </w:tcPr>
          <w:p w14:paraId="24FB1F09">
            <w:pPr>
              <w:spacing w:before="132" w:line="220" w:lineRule="auto"/>
              <w:ind w:left="3965"/>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原件一览表</w:t>
            </w:r>
          </w:p>
        </w:tc>
      </w:tr>
      <w:tr w14:paraId="2057F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vAlign w:val="top"/>
          </w:tcPr>
          <w:p w14:paraId="59447AA3">
            <w:pPr>
              <w:pStyle w:val="22"/>
              <w:spacing w:line="253" w:lineRule="auto"/>
              <w:rPr>
                <w:rFonts w:hint="eastAsia" w:ascii="宋体" w:hAnsi="宋体" w:eastAsia="宋体" w:cs="宋体"/>
                <w:color w:val="auto"/>
                <w:sz w:val="24"/>
                <w:szCs w:val="24"/>
                <w:highlight w:val="none"/>
              </w:rPr>
            </w:pPr>
          </w:p>
          <w:p w14:paraId="0CEAB9EA">
            <w:pPr>
              <w:spacing w:before="62" w:line="230"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工程名称</w:t>
            </w:r>
          </w:p>
        </w:tc>
        <w:tc>
          <w:tcPr>
            <w:tcW w:w="6816" w:type="dxa"/>
            <w:gridSpan w:val="6"/>
            <w:vAlign w:val="top"/>
          </w:tcPr>
          <w:p w14:paraId="3FF8FF0B">
            <w:pPr>
              <w:pStyle w:val="22"/>
              <w:rPr>
                <w:rFonts w:hint="eastAsia" w:ascii="宋体" w:hAnsi="宋体" w:eastAsia="宋体" w:cs="宋体"/>
                <w:color w:val="auto"/>
                <w:sz w:val="24"/>
                <w:szCs w:val="24"/>
                <w:highlight w:val="none"/>
              </w:rPr>
            </w:pPr>
          </w:p>
        </w:tc>
      </w:tr>
      <w:tr w14:paraId="5DC6A5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2624" w:type="dxa"/>
            <w:gridSpan w:val="2"/>
            <w:vAlign w:val="top"/>
          </w:tcPr>
          <w:p w14:paraId="26176662">
            <w:pPr>
              <w:spacing w:before="150" w:line="230"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r>
              <w:rPr>
                <w:rFonts w:hint="eastAsia" w:ascii="宋体" w:hAnsi="宋体" w:eastAsia="宋体" w:cs="宋体"/>
                <w:color w:val="auto"/>
                <w:spacing w:val="5"/>
                <w:sz w:val="24"/>
                <w:szCs w:val="24"/>
                <w:highlight w:val="none"/>
              </w:rPr>
              <w:t>(请务必填写单位全称)</w:t>
            </w:r>
          </w:p>
        </w:tc>
        <w:tc>
          <w:tcPr>
            <w:tcW w:w="6816" w:type="dxa"/>
            <w:gridSpan w:val="6"/>
            <w:vAlign w:val="top"/>
          </w:tcPr>
          <w:p w14:paraId="668497E6">
            <w:pPr>
              <w:pStyle w:val="22"/>
              <w:rPr>
                <w:rFonts w:hint="eastAsia" w:ascii="宋体" w:hAnsi="宋体" w:eastAsia="宋体" w:cs="宋体"/>
                <w:color w:val="auto"/>
                <w:sz w:val="24"/>
                <w:szCs w:val="24"/>
                <w:highlight w:val="none"/>
              </w:rPr>
            </w:pPr>
          </w:p>
        </w:tc>
      </w:tr>
      <w:tr w14:paraId="0FA60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vAlign w:val="top"/>
          </w:tcPr>
          <w:p w14:paraId="6FE90DC5">
            <w:pPr>
              <w:spacing w:before="151"/>
              <w:ind w:right="1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投标人法定代表人或其委托代理人签名</w:t>
            </w:r>
          </w:p>
        </w:tc>
        <w:tc>
          <w:tcPr>
            <w:tcW w:w="2689" w:type="dxa"/>
            <w:gridSpan w:val="2"/>
            <w:vAlign w:val="top"/>
          </w:tcPr>
          <w:p w14:paraId="000B4605">
            <w:pPr>
              <w:pStyle w:val="22"/>
              <w:rPr>
                <w:rFonts w:hint="eastAsia" w:ascii="宋体" w:hAnsi="宋体" w:eastAsia="宋体" w:cs="宋体"/>
                <w:color w:val="auto"/>
                <w:sz w:val="24"/>
                <w:szCs w:val="24"/>
                <w:highlight w:val="none"/>
              </w:rPr>
            </w:pPr>
          </w:p>
        </w:tc>
        <w:tc>
          <w:tcPr>
            <w:tcW w:w="1499" w:type="dxa"/>
            <w:gridSpan w:val="2"/>
            <w:vAlign w:val="top"/>
          </w:tcPr>
          <w:p w14:paraId="3D60D1A8">
            <w:pPr>
              <w:spacing w:before="151" w:line="312" w:lineRule="auto"/>
              <w:ind w:right="17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手机</w:t>
            </w:r>
            <w:r>
              <w:rPr>
                <w:rFonts w:hint="eastAsia" w:ascii="宋体" w:hAnsi="宋体" w:eastAsia="宋体" w:cs="宋体"/>
                <w:color w:val="auto"/>
                <w:spacing w:val="2"/>
                <w:sz w:val="24"/>
                <w:szCs w:val="24"/>
                <w:highlight w:val="none"/>
              </w:rPr>
              <w:t>号码</w:t>
            </w:r>
          </w:p>
        </w:tc>
        <w:tc>
          <w:tcPr>
            <w:tcW w:w="2628" w:type="dxa"/>
            <w:gridSpan w:val="2"/>
            <w:vAlign w:val="top"/>
          </w:tcPr>
          <w:p w14:paraId="7B412076">
            <w:pPr>
              <w:pStyle w:val="22"/>
              <w:rPr>
                <w:rFonts w:hint="eastAsia" w:ascii="宋体" w:hAnsi="宋体" w:eastAsia="宋体" w:cs="宋体"/>
                <w:color w:val="auto"/>
                <w:sz w:val="24"/>
                <w:szCs w:val="24"/>
                <w:highlight w:val="none"/>
              </w:rPr>
            </w:pPr>
          </w:p>
        </w:tc>
      </w:tr>
      <w:tr w14:paraId="17484C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vAlign w:val="top"/>
          </w:tcPr>
          <w:p w14:paraId="567918AA">
            <w:pPr>
              <w:spacing w:before="62" w:line="228" w:lineRule="auto"/>
              <w:ind w:left="336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递交的证明材料原件如下：</w:t>
            </w:r>
          </w:p>
        </w:tc>
      </w:tr>
      <w:tr w14:paraId="1F0A61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vAlign w:val="top"/>
          </w:tcPr>
          <w:p w14:paraId="21E26167">
            <w:pPr>
              <w:pStyle w:val="22"/>
              <w:spacing w:line="257" w:lineRule="auto"/>
              <w:rPr>
                <w:rFonts w:hint="eastAsia" w:ascii="宋体" w:hAnsi="宋体" w:eastAsia="宋体" w:cs="宋体"/>
                <w:color w:val="auto"/>
                <w:sz w:val="24"/>
                <w:szCs w:val="24"/>
                <w:highlight w:val="none"/>
              </w:rPr>
            </w:pPr>
          </w:p>
          <w:p w14:paraId="0EC21191">
            <w:pPr>
              <w:spacing w:before="62" w:line="230" w:lineRule="auto"/>
              <w:ind w:left="15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5304" w:type="dxa"/>
            <w:gridSpan w:val="4"/>
            <w:vAlign w:val="top"/>
          </w:tcPr>
          <w:p w14:paraId="76A61080">
            <w:pPr>
              <w:pStyle w:val="22"/>
              <w:spacing w:line="257" w:lineRule="auto"/>
              <w:rPr>
                <w:rFonts w:hint="eastAsia" w:ascii="宋体" w:hAnsi="宋体" w:eastAsia="宋体" w:cs="宋体"/>
                <w:color w:val="auto"/>
                <w:sz w:val="24"/>
                <w:szCs w:val="24"/>
                <w:highlight w:val="none"/>
              </w:rPr>
            </w:pPr>
          </w:p>
          <w:p w14:paraId="1A81F5E2">
            <w:pPr>
              <w:spacing w:before="61" w:line="228" w:lineRule="auto"/>
              <w:ind w:left="1765"/>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证明材料原件名称</w:t>
            </w:r>
          </w:p>
        </w:tc>
        <w:tc>
          <w:tcPr>
            <w:tcW w:w="1771" w:type="dxa"/>
            <w:gridSpan w:val="2"/>
            <w:vAlign w:val="top"/>
          </w:tcPr>
          <w:p w14:paraId="0177F328">
            <w:pPr>
              <w:pStyle w:val="22"/>
              <w:spacing w:line="256" w:lineRule="auto"/>
              <w:rPr>
                <w:rFonts w:hint="eastAsia" w:ascii="宋体" w:hAnsi="宋体" w:eastAsia="宋体" w:cs="宋体"/>
                <w:color w:val="auto"/>
                <w:sz w:val="24"/>
                <w:szCs w:val="24"/>
                <w:highlight w:val="none"/>
              </w:rPr>
            </w:pPr>
          </w:p>
          <w:p w14:paraId="456665A1">
            <w:pPr>
              <w:spacing w:before="62" w:line="230" w:lineRule="auto"/>
              <w:ind w:left="66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单位</w:t>
            </w:r>
          </w:p>
        </w:tc>
        <w:tc>
          <w:tcPr>
            <w:tcW w:w="1637" w:type="dxa"/>
            <w:vAlign w:val="top"/>
          </w:tcPr>
          <w:p w14:paraId="41F7CEAC">
            <w:pPr>
              <w:pStyle w:val="22"/>
              <w:spacing w:line="256" w:lineRule="auto"/>
              <w:rPr>
                <w:rFonts w:hint="eastAsia" w:ascii="宋体" w:hAnsi="宋体" w:eastAsia="宋体" w:cs="宋体"/>
                <w:color w:val="auto"/>
                <w:sz w:val="24"/>
                <w:szCs w:val="24"/>
                <w:highlight w:val="none"/>
              </w:rPr>
            </w:pPr>
          </w:p>
          <w:p w14:paraId="09C47EB1">
            <w:pPr>
              <w:spacing w:before="62" w:line="229" w:lineRule="auto"/>
              <w:ind w:left="59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数量</w:t>
            </w:r>
          </w:p>
        </w:tc>
      </w:tr>
      <w:tr w14:paraId="46502B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6FF8B91C">
            <w:pPr>
              <w:spacing w:before="287" w:line="184" w:lineRule="auto"/>
              <w:ind w:left="3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304" w:type="dxa"/>
            <w:gridSpan w:val="4"/>
            <w:vAlign w:val="top"/>
          </w:tcPr>
          <w:p w14:paraId="28B25A0D">
            <w:pPr>
              <w:pStyle w:val="22"/>
              <w:rPr>
                <w:rFonts w:hint="eastAsia" w:ascii="宋体" w:hAnsi="宋体" w:eastAsia="宋体" w:cs="宋体"/>
                <w:color w:val="auto"/>
                <w:sz w:val="24"/>
                <w:szCs w:val="24"/>
                <w:highlight w:val="none"/>
              </w:rPr>
            </w:pPr>
          </w:p>
        </w:tc>
        <w:tc>
          <w:tcPr>
            <w:tcW w:w="1771" w:type="dxa"/>
            <w:gridSpan w:val="2"/>
            <w:vAlign w:val="top"/>
          </w:tcPr>
          <w:p w14:paraId="4F42E60F">
            <w:pPr>
              <w:pStyle w:val="22"/>
              <w:rPr>
                <w:rFonts w:hint="eastAsia" w:ascii="宋体" w:hAnsi="宋体" w:eastAsia="宋体" w:cs="宋体"/>
                <w:color w:val="auto"/>
                <w:sz w:val="24"/>
                <w:szCs w:val="24"/>
                <w:highlight w:val="none"/>
              </w:rPr>
            </w:pPr>
          </w:p>
        </w:tc>
        <w:tc>
          <w:tcPr>
            <w:tcW w:w="1637" w:type="dxa"/>
            <w:vAlign w:val="top"/>
          </w:tcPr>
          <w:p w14:paraId="3C09D08F">
            <w:pPr>
              <w:pStyle w:val="22"/>
              <w:rPr>
                <w:rFonts w:hint="eastAsia" w:ascii="宋体" w:hAnsi="宋体" w:eastAsia="宋体" w:cs="宋体"/>
                <w:color w:val="auto"/>
                <w:sz w:val="24"/>
                <w:szCs w:val="24"/>
                <w:highlight w:val="none"/>
              </w:rPr>
            </w:pPr>
          </w:p>
        </w:tc>
      </w:tr>
      <w:tr w14:paraId="12E321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5B0FF1CC">
            <w:pPr>
              <w:spacing w:before="288" w:line="183" w:lineRule="auto"/>
              <w:ind w:left="3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304" w:type="dxa"/>
            <w:gridSpan w:val="4"/>
            <w:vAlign w:val="top"/>
          </w:tcPr>
          <w:p w14:paraId="0D3F050A">
            <w:pPr>
              <w:pStyle w:val="22"/>
              <w:rPr>
                <w:rFonts w:hint="eastAsia" w:ascii="宋体" w:hAnsi="宋体" w:eastAsia="宋体" w:cs="宋体"/>
                <w:color w:val="auto"/>
                <w:sz w:val="24"/>
                <w:szCs w:val="24"/>
                <w:highlight w:val="none"/>
              </w:rPr>
            </w:pPr>
          </w:p>
        </w:tc>
        <w:tc>
          <w:tcPr>
            <w:tcW w:w="1771" w:type="dxa"/>
            <w:gridSpan w:val="2"/>
            <w:vAlign w:val="top"/>
          </w:tcPr>
          <w:p w14:paraId="745FD79F">
            <w:pPr>
              <w:pStyle w:val="22"/>
              <w:rPr>
                <w:rFonts w:hint="eastAsia" w:ascii="宋体" w:hAnsi="宋体" w:eastAsia="宋体" w:cs="宋体"/>
                <w:color w:val="auto"/>
                <w:sz w:val="24"/>
                <w:szCs w:val="24"/>
                <w:highlight w:val="none"/>
              </w:rPr>
            </w:pPr>
          </w:p>
        </w:tc>
        <w:tc>
          <w:tcPr>
            <w:tcW w:w="1637" w:type="dxa"/>
            <w:vAlign w:val="top"/>
          </w:tcPr>
          <w:p w14:paraId="2EFE754E">
            <w:pPr>
              <w:pStyle w:val="22"/>
              <w:rPr>
                <w:rFonts w:hint="eastAsia" w:ascii="宋体" w:hAnsi="宋体" w:eastAsia="宋体" w:cs="宋体"/>
                <w:color w:val="auto"/>
                <w:sz w:val="24"/>
                <w:szCs w:val="24"/>
                <w:highlight w:val="none"/>
              </w:rPr>
            </w:pPr>
          </w:p>
        </w:tc>
      </w:tr>
      <w:tr w14:paraId="5A6E4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DF57AC7">
            <w:pPr>
              <w:spacing w:before="287" w:line="183" w:lineRule="auto"/>
              <w:ind w:left="30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5304" w:type="dxa"/>
            <w:gridSpan w:val="4"/>
            <w:vAlign w:val="top"/>
          </w:tcPr>
          <w:p w14:paraId="54C3FBF3">
            <w:pPr>
              <w:pStyle w:val="22"/>
              <w:rPr>
                <w:rFonts w:hint="eastAsia" w:ascii="宋体" w:hAnsi="宋体" w:eastAsia="宋体" w:cs="宋体"/>
                <w:color w:val="auto"/>
                <w:sz w:val="24"/>
                <w:szCs w:val="24"/>
                <w:highlight w:val="none"/>
              </w:rPr>
            </w:pPr>
          </w:p>
        </w:tc>
        <w:tc>
          <w:tcPr>
            <w:tcW w:w="1771" w:type="dxa"/>
            <w:gridSpan w:val="2"/>
            <w:vAlign w:val="top"/>
          </w:tcPr>
          <w:p w14:paraId="40E0E057">
            <w:pPr>
              <w:pStyle w:val="22"/>
              <w:rPr>
                <w:rFonts w:hint="eastAsia" w:ascii="宋体" w:hAnsi="宋体" w:eastAsia="宋体" w:cs="宋体"/>
                <w:color w:val="auto"/>
                <w:sz w:val="24"/>
                <w:szCs w:val="24"/>
                <w:highlight w:val="none"/>
              </w:rPr>
            </w:pPr>
          </w:p>
        </w:tc>
        <w:tc>
          <w:tcPr>
            <w:tcW w:w="1637" w:type="dxa"/>
            <w:vAlign w:val="top"/>
          </w:tcPr>
          <w:p w14:paraId="28B42581">
            <w:pPr>
              <w:pStyle w:val="22"/>
              <w:rPr>
                <w:rFonts w:hint="eastAsia" w:ascii="宋体" w:hAnsi="宋体" w:eastAsia="宋体" w:cs="宋体"/>
                <w:color w:val="auto"/>
                <w:sz w:val="24"/>
                <w:szCs w:val="24"/>
                <w:highlight w:val="none"/>
              </w:rPr>
            </w:pPr>
          </w:p>
        </w:tc>
      </w:tr>
      <w:tr w14:paraId="582BAE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C0A2F9F">
            <w:pPr>
              <w:pStyle w:val="22"/>
              <w:spacing w:line="348" w:lineRule="auto"/>
              <w:rPr>
                <w:rFonts w:hint="eastAsia" w:ascii="宋体" w:hAnsi="宋体" w:eastAsia="宋体" w:cs="宋体"/>
                <w:color w:val="auto"/>
                <w:sz w:val="24"/>
                <w:szCs w:val="24"/>
                <w:highlight w:val="none"/>
              </w:rPr>
            </w:pPr>
          </w:p>
          <w:p w14:paraId="4F527954">
            <w:pPr>
              <w:spacing w:before="78" w:line="99" w:lineRule="exact"/>
              <w:ind w:left="186"/>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w:t>
            </w:r>
          </w:p>
        </w:tc>
        <w:tc>
          <w:tcPr>
            <w:tcW w:w="5304" w:type="dxa"/>
            <w:gridSpan w:val="4"/>
            <w:vAlign w:val="top"/>
          </w:tcPr>
          <w:p w14:paraId="47EB6644">
            <w:pPr>
              <w:pStyle w:val="22"/>
              <w:rPr>
                <w:rFonts w:hint="eastAsia" w:ascii="宋体" w:hAnsi="宋体" w:eastAsia="宋体" w:cs="宋体"/>
                <w:color w:val="auto"/>
                <w:sz w:val="24"/>
                <w:szCs w:val="24"/>
                <w:highlight w:val="none"/>
              </w:rPr>
            </w:pPr>
          </w:p>
        </w:tc>
        <w:tc>
          <w:tcPr>
            <w:tcW w:w="1771" w:type="dxa"/>
            <w:gridSpan w:val="2"/>
            <w:vAlign w:val="top"/>
          </w:tcPr>
          <w:p w14:paraId="6D54D719">
            <w:pPr>
              <w:pStyle w:val="22"/>
              <w:rPr>
                <w:rFonts w:hint="eastAsia" w:ascii="宋体" w:hAnsi="宋体" w:eastAsia="宋体" w:cs="宋体"/>
                <w:color w:val="auto"/>
                <w:sz w:val="24"/>
                <w:szCs w:val="24"/>
                <w:highlight w:val="none"/>
              </w:rPr>
            </w:pPr>
          </w:p>
        </w:tc>
        <w:tc>
          <w:tcPr>
            <w:tcW w:w="1637" w:type="dxa"/>
            <w:vAlign w:val="top"/>
          </w:tcPr>
          <w:p w14:paraId="75E6A05C">
            <w:pPr>
              <w:pStyle w:val="22"/>
              <w:rPr>
                <w:rFonts w:hint="eastAsia" w:ascii="宋体" w:hAnsi="宋体" w:eastAsia="宋体" w:cs="宋体"/>
                <w:color w:val="auto"/>
                <w:sz w:val="24"/>
                <w:szCs w:val="24"/>
                <w:highlight w:val="none"/>
              </w:rPr>
            </w:pPr>
          </w:p>
        </w:tc>
      </w:tr>
      <w:tr w14:paraId="3E5430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vAlign w:val="top"/>
          </w:tcPr>
          <w:p w14:paraId="6D36533C">
            <w:pPr>
              <w:pStyle w:val="22"/>
              <w:spacing w:line="274" w:lineRule="auto"/>
              <w:rPr>
                <w:rFonts w:hint="eastAsia" w:ascii="宋体" w:hAnsi="宋体" w:eastAsia="宋体" w:cs="宋体"/>
                <w:color w:val="auto"/>
                <w:sz w:val="24"/>
                <w:szCs w:val="24"/>
                <w:highlight w:val="none"/>
              </w:rPr>
            </w:pPr>
          </w:p>
          <w:p w14:paraId="198C1B4E">
            <w:pPr>
              <w:pStyle w:val="22"/>
              <w:spacing w:line="275" w:lineRule="auto"/>
              <w:rPr>
                <w:rFonts w:hint="eastAsia" w:ascii="宋体" w:hAnsi="宋体" w:eastAsia="宋体" w:cs="宋体"/>
                <w:color w:val="auto"/>
                <w:sz w:val="24"/>
                <w:szCs w:val="24"/>
                <w:highlight w:val="none"/>
              </w:rPr>
            </w:pPr>
          </w:p>
          <w:p w14:paraId="161C02DA">
            <w:pPr>
              <w:pStyle w:val="22"/>
              <w:spacing w:line="275" w:lineRule="auto"/>
              <w:rPr>
                <w:rFonts w:hint="eastAsia" w:ascii="宋体" w:hAnsi="宋体" w:eastAsia="宋体" w:cs="宋体"/>
                <w:color w:val="auto"/>
                <w:sz w:val="24"/>
                <w:szCs w:val="24"/>
                <w:highlight w:val="none"/>
              </w:rPr>
            </w:pPr>
          </w:p>
          <w:p w14:paraId="57AB557F">
            <w:pPr>
              <w:spacing w:before="62" w:line="233" w:lineRule="auto"/>
              <w:ind w:left="2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注意：</w:t>
            </w:r>
          </w:p>
        </w:tc>
        <w:tc>
          <w:tcPr>
            <w:tcW w:w="8712" w:type="dxa"/>
            <w:gridSpan w:val="7"/>
            <w:vAlign w:val="top"/>
          </w:tcPr>
          <w:p w14:paraId="57B0800F">
            <w:pPr>
              <w:spacing w:before="148"/>
              <w:ind w:left="111" w:right="107"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该表一式两份，两份表格投标人均需如实填写各项内容，两份表格的填写内容应一致。一</w:t>
            </w:r>
            <w:r>
              <w:rPr>
                <w:rFonts w:hint="eastAsia" w:ascii="宋体" w:hAnsi="宋体" w:eastAsia="宋体" w:cs="宋体"/>
                <w:color w:val="auto"/>
                <w:spacing w:val="9"/>
                <w:sz w:val="24"/>
                <w:szCs w:val="24"/>
                <w:highlight w:val="none"/>
              </w:rPr>
              <w:t>份贴于装纳原件的文件袋（箱</w:t>
            </w:r>
            <w:r>
              <w:rPr>
                <w:rFonts w:hint="eastAsia" w:ascii="宋体" w:hAnsi="宋体" w:eastAsia="宋体" w:cs="宋体"/>
                <w:color w:val="auto"/>
                <w:spacing w:val="20"/>
                <w:sz w:val="24"/>
                <w:szCs w:val="24"/>
                <w:highlight w:val="none"/>
              </w:rPr>
              <w:t>），</w:t>
            </w:r>
            <w:r>
              <w:rPr>
                <w:rFonts w:hint="eastAsia" w:ascii="宋体" w:hAnsi="宋体" w:eastAsia="宋体" w:cs="宋体"/>
                <w:color w:val="auto"/>
                <w:spacing w:val="9"/>
                <w:sz w:val="24"/>
                <w:szCs w:val="24"/>
                <w:highlight w:val="none"/>
              </w:rPr>
              <w:t>一份在递交文件袋（箱）时由招标代理机构、投标人签字后交招标代理机构。招标代理机构仅代签收装纳原件的文件袋（箱</w:t>
            </w:r>
            <w:r>
              <w:rPr>
                <w:rFonts w:hint="eastAsia" w:ascii="宋体" w:hAnsi="宋体" w:eastAsia="宋体" w:cs="宋体"/>
                <w:color w:val="auto"/>
                <w:spacing w:val="19"/>
                <w:sz w:val="24"/>
                <w:szCs w:val="24"/>
                <w:highlight w:val="none"/>
              </w:rPr>
              <w:t>），</w:t>
            </w:r>
            <w:r>
              <w:rPr>
                <w:rFonts w:hint="eastAsia" w:ascii="宋体" w:hAnsi="宋体" w:eastAsia="宋体" w:cs="宋体"/>
                <w:color w:val="auto"/>
                <w:spacing w:val="9"/>
                <w:sz w:val="24"/>
                <w:szCs w:val="24"/>
                <w:highlight w:val="none"/>
              </w:rPr>
              <w:t>而不对文件袋（箱）中资</w:t>
            </w:r>
            <w:r>
              <w:rPr>
                <w:rFonts w:hint="eastAsia" w:ascii="宋体" w:hAnsi="宋体" w:eastAsia="宋体" w:cs="宋体"/>
                <w:color w:val="auto"/>
                <w:spacing w:val="5"/>
                <w:sz w:val="24"/>
                <w:szCs w:val="24"/>
                <w:highlight w:val="none"/>
              </w:rPr>
              <w:t>料的数量、</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内容及真实性负责。</w:t>
            </w:r>
          </w:p>
        </w:tc>
      </w:tr>
      <w:tr w14:paraId="016EDA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vAlign w:val="top"/>
          </w:tcPr>
          <w:p w14:paraId="0440D7A1">
            <w:pPr>
              <w:pStyle w:val="22"/>
              <w:spacing w:line="240" w:lineRule="auto"/>
              <w:rPr>
                <w:rFonts w:hint="eastAsia" w:ascii="宋体" w:hAnsi="宋体" w:eastAsia="宋体" w:cs="宋体"/>
                <w:color w:val="auto"/>
                <w:sz w:val="24"/>
                <w:szCs w:val="24"/>
                <w:highlight w:val="none"/>
              </w:rPr>
            </w:pPr>
          </w:p>
          <w:p w14:paraId="107CC9BB">
            <w:pPr>
              <w:spacing w:before="61" w:line="240" w:lineRule="auto"/>
              <w:ind w:left="760" w:right="153" w:hanging="600"/>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接收原件经办人</w:t>
            </w:r>
          </w:p>
          <w:p w14:paraId="6D1AB722">
            <w:pPr>
              <w:spacing w:before="61" w:line="240" w:lineRule="auto"/>
              <w:ind w:left="760" w:right="153" w:hanging="6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(招标</w:t>
            </w:r>
            <w:r>
              <w:rPr>
                <w:rFonts w:hint="eastAsia" w:ascii="宋体" w:hAnsi="宋体" w:eastAsia="宋体" w:cs="宋体"/>
                <w:color w:val="auto"/>
                <w:spacing w:val="3"/>
                <w:sz w:val="24"/>
                <w:szCs w:val="24"/>
                <w:highlight w:val="none"/>
              </w:rPr>
              <w:t>代理)：</w:t>
            </w:r>
          </w:p>
        </w:tc>
        <w:tc>
          <w:tcPr>
            <w:tcW w:w="1725" w:type="dxa"/>
            <w:vAlign w:val="top"/>
          </w:tcPr>
          <w:p w14:paraId="396C35BA">
            <w:pPr>
              <w:pStyle w:val="22"/>
              <w:rPr>
                <w:rFonts w:hint="eastAsia" w:ascii="宋体" w:hAnsi="宋体" w:eastAsia="宋体" w:cs="宋体"/>
                <w:color w:val="auto"/>
                <w:sz w:val="24"/>
                <w:szCs w:val="24"/>
                <w:highlight w:val="none"/>
              </w:rPr>
            </w:pPr>
          </w:p>
        </w:tc>
        <w:tc>
          <w:tcPr>
            <w:tcW w:w="1683" w:type="dxa"/>
            <w:gridSpan w:val="2"/>
            <w:vAlign w:val="top"/>
          </w:tcPr>
          <w:p w14:paraId="5328A3CB">
            <w:pPr>
              <w:pStyle w:val="22"/>
              <w:spacing w:line="288" w:lineRule="auto"/>
              <w:rPr>
                <w:rFonts w:hint="eastAsia" w:ascii="宋体" w:hAnsi="宋体" w:eastAsia="宋体" w:cs="宋体"/>
                <w:color w:val="auto"/>
                <w:sz w:val="24"/>
                <w:szCs w:val="24"/>
                <w:highlight w:val="none"/>
              </w:rPr>
            </w:pPr>
          </w:p>
          <w:p w14:paraId="0C2B5A86">
            <w:pPr>
              <w:pStyle w:val="22"/>
              <w:spacing w:line="289" w:lineRule="auto"/>
              <w:rPr>
                <w:rFonts w:hint="eastAsia" w:ascii="宋体" w:hAnsi="宋体" w:eastAsia="宋体" w:cs="宋体"/>
                <w:color w:val="auto"/>
                <w:sz w:val="24"/>
                <w:szCs w:val="24"/>
                <w:highlight w:val="none"/>
              </w:rPr>
            </w:pPr>
          </w:p>
          <w:p w14:paraId="06A559B5">
            <w:pPr>
              <w:spacing w:before="62" w:line="229" w:lineRule="auto"/>
              <w:ind w:left="315"/>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接收时间：</w:t>
            </w:r>
          </w:p>
        </w:tc>
        <w:tc>
          <w:tcPr>
            <w:tcW w:w="3408" w:type="dxa"/>
            <w:gridSpan w:val="3"/>
            <w:vAlign w:val="top"/>
          </w:tcPr>
          <w:p w14:paraId="655901F3">
            <w:pPr>
              <w:pStyle w:val="22"/>
              <w:spacing w:line="288" w:lineRule="auto"/>
              <w:rPr>
                <w:rFonts w:hint="eastAsia" w:ascii="宋体" w:hAnsi="宋体" w:eastAsia="宋体" w:cs="宋体"/>
                <w:color w:val="auto"/>
                <w:sz w:val="24"/>
                <w:szCs w:val="24"/>
                <w:highlight w:val="none"/>
              </w:rPr>
            </w:pPr>
          </w:p>
          <w:p w14:paraId="0F1E1751">
            <w:pPr>
              <w:pStyle w:val="22"/>
              <w:spacing w:line="289" w:lineRule="auto"/>
              <w:rPr>
                <w:rFonts w:hint="eastAsia" w:ascii="宋体" w:hAnsi="宋体" w:eastAsia="宋体" w:cs="宋体"/>
                <w:color w:val="auto"/>
                <w:sz w:val="24"/>
                <w:szCs w:val="24"/>
                <w:highlight w:val="none"/>
              </w:rPr>
            </w:pPr>
          </w:p>
          <w:p w14:paraId="3ABE9DD0">
            <w:pPr>
              <w:spacing w:before="62" w:line="229" w:lineRule="auto"/>
              <w:ind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分</w:t>
            </w:r>
          </w:p>
        </w:tc>
      </w:tr>
      <w:tr w14:paraId="76534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vAlign w:val="top"/>
          </w:tcPr>
          <w:p w14:paraId="453382FD">
            <w:pPr>
              <w:spacing w:before="155" w:line="240" w:lineRule="auto"/>
              <w:ind w:left="861" w:right="153" w:hanging="699"/>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退还原件接收人</w:t>
            </w:r>
          </w:p>
          <w:p w14:paraId="4CBD4052">
            <w:pPr>
              <w:spacing w:before="155" w:line="240" w:lineRule="auto"/>
              <w:ind w:left="861" w:right="153" w:hanging="69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w:t>
            </w:r>
            <w:r>
              <w:rPr>
                <w:rFonts w:hint="eastAsia" w:ascii="宋体" w:hAnsi="宋体" w:eastAsia="宋体" w:cs="宋体"/>
                <w:color w:val="auto"/>
                <w:spacing w:val="2"/>
                <w:sz w:val="24"/>
                <w:szCs w:val="24"/>
                <w:highlight w:val="none"/>
              </w:rPr>
              <w:t>人)：</w:t>
            </w:r>
          </w:p>
        </w:tc>
        <w:tc>
          <w:tcPr>
            <w:tcW w:w="1725" w:type="dxa"/>
            <w:vAlign w:val="top"/>
          </w:tcPr>
          <w:p w14:paraId="2C206521">
            <w:pPr>
              <w:pStyle w:val="22"/>
              <w:rPr>
                <w:rFonts w:hint="eastAsia" w:ascii="宋体" w:hAnsi="宋体" w:eastAsia="宋体" w:cs="宋体"/>
                <w:color w:val="auto"/>
                <w:sz w:val="24"/>
                <w:szCs w:val="24"/>
                <w:highlight w:val="none"/>
              </w:rPr>
            </w:pPr>
          </w:p>
        </w:tc>
        <w:tc>
          <w:tcPr>
            <w:tcW w:w="1683" w:type="dxa"/>
            <w:gridSpan w:val="2"/>
            <w:vAlign w:val="top"/>
          </w:tcPr>
          <w:p w14:paraId="7AC1377A">
            <w:pPr>
              <w:pStyle w:val="22"/>
              <w:spacing w:line="336" w:lineRule="auto"/>
              <w:rPr>
                <w:rFonts w:hint="eastAsia" w:ascii="宋体" w:hAnsi="宋体" w:eastAsia="宋体" w:cs="宋体"/>
                <w:color w:val="auto"/>
                <w:sz w:val="24"/>
                <w:szCs w:val="24"/>
                <w:highlight w:val="none"/>
              </w:rPr>
            </w:pPr>
          </w:p>
          <w:p w14:paraId="1E023FA8">
            <w:pPr>
              <w:spacing w:before="61" w:line="231" w:lineRule="auto"/>
              <w:ind w:left="31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退还时间：</w:t>
            </w:r>
          </w:p>
        </w:tc>
        <w:tc>
          <w:tcPr>
            <w:tcW w:w="3408" w:type="dxa"/>
            <w:gridSpan w:val="3"/>
            <w:vAlign w:val="top"/>
          </w:tcPr>
          <w:p w14:paraId="209D4A82">
            <w:pPr>
              <w:pStyle w:val="22"/>
              <w:spacing w:line="335" w:lineRule="auto"/>
              <w:rPr>
                <w:rFonts w:hint="eastAsia" w:ascii="宋体" w:hAnsi="宋体" w:eastAsia="宋体" w:cs="宋体"/>
                <w:color w:val="auto"/>
                <w:sz w:val="24"/>
                <w:szCs w:val="24"/>
                <w:highlight w:val="none"/>
              </w:rPr>
            </w:pPr>
          </w:p>
          <w:p w14:paraId="459BFBAC">
            <w:pPr>
              <w:spacing w:before="62" w:line="229" w:lineRule="auto"/>
              <w:ind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分</w:t>
            </w:r>
          </w:p>
        </w:tc>
      </w:tr>
    </w:tbl>
    <w:p w14:paraId="5303C8CD">
      <w:pPr>
        <w:rPr>
          <w:rFonts w:hint="eastAsia" w:ascii="宋体" w:hAnsi="宋体" w:eastAsia="宋体" w:cs="宋体"/>
          <w:b/>
          <w:bCs/>
          <w:color w:val="auto"/>
          <w:spacing w:val="-3"/>
          <w:sz w:val="24"/>
          <w:szCs w:val="24"/>
          <w:highlight w:val="none"/>
        </w:rPr>
      </w:pPr>
      <w:bookmarkStart w:id="271" w:name="bookmark107"/>
      <w:bookmarkEnd w:id="271"/>
      <w:r>
        <w:rPr>
          <w:rFonts w:hint="eastAsia" w:ascii="宋体" w:hAnsi="宋体" w:eastAsia="宋体" w:cs="宋体"/>
          <w:b/>
          <w:bCs/>
          <w:color w:val="auto"/>
          <w:spacing w:val="-3"/>
          <w:sz w:val="24"/>
          <w:szCs w:val="24"/>
          <w:highlight w:val="none"/>
        </w:rPr>
        <w:br w:type="page"/>
      </w:r>
    </w:p>
    <w:p w14:paraId="03CDC3FA">
      <w:pPr>
        <w:keepNext w:val="0"/>
        <w:keepLines w:val="0"/>
        <w:pageBreakBefore w:val="0"/>
        <w:widowControl w:val="0"/>
        <w:kinsoku/>
        <w:wordWrap/>
        <w:overflowPunct/>
        <w:topLinePunct w:val="0"/>
        <w:autoSpaceDE/>
        <w:autoSpaceDN/>
        <w:bidi w:val="0"/>
        <w:adjustRightInd/>
        <w:snapToGrid/>
        <w:spacing w:line="380" w:lineRule="exact"/>
        <w:jc w:val="left"/>
        <w:textAlignment w:val="auto"/>
        <w:outlineLvl w:val="1"/>
        <w:rPr>
          <w:rFonts w:hint="eastAsia" w:ascii="宋体" w:hAnsi="宋体" w:eastAsia="宋体" w:cs="宋体"/>
          <w:b/>
          <w:bCs w:val="0"/>
          <w:color w:val="auto"/>
          <w:highlight w:val="none"/>
          <w:lang w:val="en-US" w:eastAsia="zh-CN"/>
        </w:rPr>
      </w:pPr>
      <w:bookmarkStart w:id="272" w:name="_Toc7940"/>
      <w:bookmarkStart w:id="273" w:name="_Toc3970"/>
      <w:r>
        <w:rPr>
          <w:rStyle w:val="21"/>
          <w:rFonts w:hint="eastAsia" w:ascii="Times New Roman" w:hAnsi="宋体" w:eastAsia="宋体" w:cs="Times New Roman"/>
          <w:b/>
          <w:bCs/>
          <w:color w:val="auto"/>
          <w:kern w:val="0"/>
          <w:sz w:val="21"/>
          <w:szCs w:val="21"/>
          <w:highlight w:val="none"/>
          <w:lang w:val="en-US" w:eastAsia="zh-CN" w:bidi="ar-SA"/>
        </w:rPr>
        <w:t>格式十六 助力项目承诺书</w:t>
      </w:r>
      <w:bookmarkEnd w:id="272"/>
      <w:bookmarkEnd w:id="273"/>
    </w:p>
    <w:p w14:paraId="2E72D9B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助力项目承诺书</w:t>
      </w:r>
    </w:p>
    <w:p w14:paraId="779F35DF">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color w:val="auto"/>
          <w:sz w:val="24"/>
          <w:szCs w:val="24"/>
          <w:highlight w:val="none"/>
        </w:rPr>
      </w:pPr>
    </w:p>
    <w:p w14:paraId="7FFEEAF0">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致招标人：</w:t>
      </w:r>
      <w:r>
        <w:rPr>
          <w:rFonts w:hint="eastAsia" w:ascii="宋体" w:hAnsi="宋体" w:eastAsia="宋体" w:cs="宋体"/>
          <w:color w:val="auto"/>
          <w:sz w:val="21"/>
          <w:szCs w:val="21"/>
          <w:highlight w:val="none"/>
          <w:u w:val="single"/>
        </w:rPr>
        <w:t xml:space="preserve">                      </w:t>
      </w:r>
    </w:p>
    <w:p w14:paraId="237769D0">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kern w:val="2"/>
          <w:sz w:val="21"/>
          <w:szCs w:val="21"/>
          <w:highlight w:val="none"/>
          <w:vertAlign w:val="baseline"/>
          <w:lang w:val="en-US" w:eastAsia="zh-CN" w:bidi="ar-SA"/>
        </w:rPr>
        <w:t>为落实省委、省政府关于实施“百县千镇万村高质量发展工程”（以下简称“百千</w:t>
      </w:r>
      <w:r>
        <w:rPr>
          <w:rFonts w:hint="eastAsia" w:ascii="宋体" w:hAnsi="宋体" w:eastAsia="宋体" w:cs="宋体"/>
          <w:color w:val="auto"/>
          <w:sz w:val="21"/>
          <w:szCs w:val="21"/>
          <w:highlight w:val="none"/>
          <w:u w:val="none"/>
          <w:lang w:val="en-US" w:eastAsia="zh-CN"/>
        </w:rPr>
        <w:t>万工程”）工作部署以及</w:t>
      </w:r>
      <w:r>
        <w:rPr>
          <w:rFonts w:hint="eastAsia" w:ascii="宋体" w:hAnsi="宋体" w:eastAsia="宋体" w:cs="宋体"/>
          <w:b w:val="0"/>
          <w:bCs w:val="0"/>
          <w:i w:val="0"/>
          <w:iCs w:val="0"/>
          <w:color w:val="auto"/>
          <w:kern w:val="2"/>
          <w:sz w:val="21"/>
          <w:szCs w:val="21"/>
          <w:highlight w:val="none"/>
          <w:vertAlign w:val="baseline"/>
          <w:lang w:val="en-US" w:eastAsia="zh-CN" w:bidi="ar-SA"/>
        </w:rPr>
        <w:t>省“百千万工程”指挥部关于建筑业企业“微利＋公益”参与“百千万工程”建设方式和《广东省“百县千镇万村高质量发展工程”指挥部城镇建设专班办公室印发关于推动建筑业央企助力“百千万工程”工作指引的通知》（粤城镇建设</w:t>
      </w:r>
      <w:r>
        <w:rPr>
          <w:rFonts w:hint="eastAsia" w:ascii="宋体" w:hAnsi="宋体" w:eastAsia="宋体" w:cs="宋体"/>
          <w:b w:val="0"/>
          <w:bCs w:val="0"/>
          <w:i w:val="0"/>
          <w:iCs w:val="0"/>
          <w:color w:val="auto"/>
          <w:kern w:val="0"/>
          <w:sz w:val="21"/>
          <w:szCs w:val="21"/>
          <w:highlight w:val="none"/>
          <w:vertAlign w:val="baseline"/>
          <w:lang w:val="en-US" w:eastAsia="zh-CN" w:bidi="ar-SA"/>
        </w:rPr>
        <w:t>〔2024〕11号</w:t>
      </w:r>
      <w:r>
        <w:rPr>
          <w:rFonts w:hint="eastAsia" w:ascii="宋体" w:hAnsi="宋体" w:eastAsia="宋体" w:cs="宋体"/>
          <w:b w:val="0"/>
          <w:bCs w:val="0"/>
          <w:i w:val="0"/>
          <w:iCs w:val="0"/>
          <w:color w:val="auto"/>
          <w:kern w:val="2"/>
          <w:sz w:val="21"/>
          <w:szCs w:val="21"/>
          <w:highlight w:val="none"/>
          <w:vertAlign w:val="baseline"/>
          <w:lang w:val="en-US" w:eastAsia="zh-CN" w:bidi="ar-SA"/>
        </w:rPr>
        <w:t>）等工作要求，我公司将按要求完成中标项目的同时，自愿利用</w:t>
      </w:r>
      <w:r>
        <w:rPr>
          <w:rFonts w:hint="eastAsia" w:ascii="宋体" w:hAnsi="宋体" w:eastAsia="宋体" w:cs="宋体"/>
          <w:color w:val="auto"/>
          <w:sz w:val="21"/>
          <w:szCs w:val="21"/>
          <w:highlight w:val="none"/>
          <w:lang w:val="en-US" w:eastAsia="zh-CN"/>
        </w:rPr>
        <w:t>本企业的合理利润，积极做好</w:t>
      </w:r>
      <w:r>
        <w:rPr>
          <w:rFonts w:hint="eastAsia" w:ascii="宋体" w:hAnsi="宋体" w:eastAsia="宋体" w:cs="宋体"/>
          <w:color w:val="auto"/>
          <w:sz w:val="21"/>
          <w:szCs w:val="21"/>
          <w:highlight w:val="none"/>
          <w:u w:val="none"/>
          <w:lang w:val="en-US" w:eastAsia="zh-CN"/>
        </w:rPr>
        <w:t>助力项目建设，就此</w:t>
      </w:r>
      <w:r>
        <w:rPr>
          <w:rFonts w:hint="eastAsia" w:ascii="宋体" w:hAnsi="宋体" w:eastAsia="宋体" w:cs="宋体"/>
          <w:color w:val="auto"/>
          <w:sz w:val="21"/>
          <w:szCs w:val="21"/>
          <w:highlight w:val="none"/>
        </w:rPr>
        <w:t>我方承诺如下：</w:t>
      </w:r>
    </w:p>
    <w:p w14:paraId="160D487A">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color w:val="auto"/>
          <w:sz w:val="21"/>
          <w:szCs w:val="21"/>
          <w:highlight w:val="none"/>
        </w:rPr>
        <w:t>我方愿以</w:t>
      </w:r>
      <w:r>
        <w:rPr>
          <w:rFonts w:hint="eastAsia" w:ascii="宋体" w:hAnsi="宋体" w:eastAsia="宋体" w:cs="宋体"/>
          <w:b w:val="0"/>
          <w:bCs w:val="0"/>
          <w:i w:val="0"/>
          <w:iCs w:val="0"/>
          <w:color w:val="auto"/>
          <w:kern w:val="2"/>
          <w:sz w:val="21"/>
          <w:szCs w:val="21"/>
          <w:highlight w:val="none"/>
          <w:vertAlign w:val="baseline"/>
          <w:lang w:val="en-US" w:eastAsia="zh-CN" w:bidi="ar-SA"/>
        </w:rPr>
        <w:t>本项</w:t>
      </w:r>
      <w:r>
        <w:rPr>
          <w:rFonts w:hint="eastAsia" w:ascii="宋体" w:hAnsi="宋体" w:eastAsia="宋体" w:cs="宋体"/>
          <w:color w:val="auto"/>
          <w:sz w:val="21"/>
          <w:szCs w:val="21"/>
          <w:highlight w:val="none"/>
          <w:u w:val="none"/>
          <w:lang w:val="en-US" w:eastAsia="zh-CN"/>
        </w:rPr>
        <w:t>目施工最高投标限价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%的资金，用于助力“百千万工程”中的公益性项目建设，具体实施助力项目从各级“百千万工程”指挥部提供的项目建设清单（项目库）中选取。</w:t>
      </w:r>
    </w:p>
    <w:p w14:paraId="6D4BD435">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2、如我方中标，承诺完成助力项目建设所用的资金是本企业的自有资金，不使用中标项目内的资金作为助力项目建设资金。</w:t>
      </w:r>
    </w:p>
    <w:p w14:paraId="5F5CD34F">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如我方中标，在中标项目发出中标通知书之日起至签订中标项目承包合同前，我方将按要求与助力项目业主单位按招标文件要求签订助力协议书，确定具体助力项目、投资额度、工期进度和质量标准等内容（含折算助力项目投资金额中的预扣减或扣减额处理办法）。</w:t>
      </w:r>
    </w:p>
    <w:p w14:paraId="7593AE19">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4、如我方中标，我方将按照协议书要求做好助力项目建设工作，按时保质保量完成“百千万工程”助力任务并移交整个工程，确保助力项目质量达到合格标准，并承诺本工程的保修期按有关规定及双方签署的协议要求执行。同时，按规定做好助力项目结算工作。</w:t>
      </w:r>
    </w:p>
    <w:p w14:paraId="3C429EAE">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5、如我方中标，将严格履行助力协议。招标人或助力项目业主单位发现我方有未按协议书履行投标助力承诺行为的，愿接受有关部门对我方进行诚信扣分及将有关失信行为上传信用广东和信用中国等诚信平台；对于有严重违反投标承诺，影响助力项目建设质量、进度或损害公共利益的，我方将接受依法依规作出的处理。</w:t>
      </w:r>
    </w:p>
    <w:p w14:paraId="0837154E">
      <w:pPr>
        <w:pStyle w:val="5"/>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color w:val="auto"/>
          <w:sz w:val="21"/>
          <w:szCs w:val="21"/>
          <w:highlight w:val="none"/>
        </w:rPr>
        <w:t>我方同意在投标人须知规定的投标有效期内严格遵守本企业投标文件的各项承诺，如有违约，愿承担相应违约责任。</w:t>
      </w:r>
    </w:p>
    <w:p w14:paraId="7F0EB558">
      <w:pPr>
        <w:pStyle w:val="5"/>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p>
    <w:p w14:paraId="34D07D34">
      <w:pPr>
        <w:pStyle w:val="5"/>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p>
    <w:p w14:paraId="2FBF64B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(盖电子印章）</w:t>
      </w:r>
    </w:p>
    <w:p w14:paraId="67F748B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p>
    <w:p w14:paraId="1B3E4D6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（电子签名</w:t>
      </w:r>
      <w:r>
        <w:rPr>
          <w:rFonts w:hint="eastAsia" w:ascii="宋体" w:hAnsi="宋体" w:eastAsia="宋体" w:cs="宋体"/>
          <w:color w:val="auto"/>
          <w:sz w:val="21"/>
          <w:szCs w:val="21"/>
          <w:highlight w:val="none"/>
          <w:lang w:eastAsia="zh-CN"/>
        </w:rPr>
        <w:t>或</w:t>
      </w:r>
      <w:r>
        <w:rPr>
          <w:rFonts w:hint="eastAsia" w:ascii="宋体" w:hAnsi="宋体" w:eastAsia="宋体" w:cs="宋体"/>
          <w:color w:val="auto"/>
          <w:sz w:val="21"/>
          <w:szCs w:val="21"/>
          <w:highlight w:val="none"/>
        </w:rPr>
        <w:t>盖电子印章）</w:t>
      </w:r>
    </w:p>
    <w:p w14:paraId="5D83872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p>
    <w:p w14:paraId="5272D2C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3074528A">
      <w:pPr>
        <w:keepNext w:val="0"/>
        <w:keepLines w:val="0"/>
        <w:pageBreakBefore w:val="0"/>
        <w:widowControl w:val="0"/>
        <w:kinsoku/>
        <w:wordWrap/>
        <w:overflowPunct/>
        <w:topLinePunct w:val="0"/>
        <w:autoSpaceDE/>
        <w:autoSpaceDN/>
        <w:bidi w:val="0"/>
        <w:adjustRightInd/>
        <w:snapToGrid/>
        <w:spacing w:line="300" w:lineRule="exact"/>
        <w:textAlignment w:val="auto"/>
        <w:outlineLvl w:val="9"/>
        <w:rPr>
          <w:rFonts w:hint="eastAsia" w:ascii="宋体" w:hAnsi="宋体" w:eastAsia="宋体" w:cs="宋体"/>
          <w:color w:val="auto"/>
          <w:sz w:val="21"/>
          <w:szCs w:val="21"/>
          <w:highlight w:val="none"/>
          <w:lang w:eastAsia="zh-CN"/>
        </w:rPr>
      </w:pPr>
    </w:p>
    <w:p w14:paraId="2BF39472">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注：上述承诺书中的企业社会贡献最高投标限价百分比要使用阿拉伯数字填报，不得填报负值，企业社会贡献没有填报任何数字或填报负值的按无企业社会贡献处理，但不作无效投标处理。</w:t>
      </w:r>
    </w:p>
    <w:p w14:paraId="56BC3E48">
      <w:pPr>
        <w:pStyle w:val="40"/>
        <w:ind w:left="0" w:leftChars="0" w:firstLine="0" w:firstLineChars="0"/>
        <w:rPr>
          <w:rStyle w:val="44"/>
          <w:rFonts w:hint="eastAsia" w:ascii="宋体" w:hAnsi="宋体" w:eastAsia="宋体" w:cs="宋体"/>
          <w:bCs/>
          <w:color w:val="auto"/>
          <w:kern w:val="2"/>
          <w:sz w:val="21"/>
          <w:szCs w:val="21"/>
          <w:highlight w:val="none"/>
        </w:rPr>
      </w:pPr>
    </w:p>
    <w:p w14:paraId="09B15C70">
      <w:pPr>
        <w:pStyle w:val="46"/>
        <w:snapToGrid w:val="0"/>
        <w:spacing w:line="440" w:lineRule="exact"/>
        <w:outlineLvl w:val="1"/>
        <w:rPr>
          <w:rStyle w:val="21"/>
          <w:rFonts w:hint="eastAsia" w:ascii="Times New Roman" w:hAnsi="宋体" w:eastAsia="宋体" w:cs="Times New Roman"/>
          <w:b/>
          <w:bCs/>
          <w:color w:val="auto"/>
          <w:sz w:val="21"/>
          <w:szCs w:val="21"/>
          <w:highlight w:val="none"/>
          <w:lang w:val="en-US" w:eastAsia="zh-CN"/>
        </w:rPr>
      </w:pPr>
      <w:r>
        <w:rPr>
          <w:rStyle w:val="44"/>
          <w:rFonts w:hint="eastAsia" w:ascii="宋体" w:hAnsi="宋体" w:eastAsia="宋体" w:cs="宋体"/>
          <w:bCs/>
          <w:color w:val="auto"/>
          <w:kern w:val="2"/>
          <w:sz w:val="21"/>
          <w:szCs w:val="21"/>
          <w:highlight w:val="none"/>
        </w:rPr>
        <w:br w:type="page"/>
      </w:r>
      <w:bookmarkStart w:id="274" w:name="_Toc26911"/>
      <w:bookmarkStart w:id="275" w:name="_Toc26323"/>
      <w:r>
        <w:rPr>
          <w:rStyle w:val="21"/>
          <w:rFonts w:hint="eastAsia" w:ascii="Times New Roman" w:hAnsi="宋体" w:eastAsia="宋体" w:cs="Times New Roman"/>
          <w:b/>
          <w:bCs/>
          <w:color w:val="auto"/>
          <w:sz w:val="21"/>
          <w:szCs w:val="21"/>
          <w:highlight w:val="none"/>
          <w:lang w:eastAsia="zh-CN"/>
        </w:rPr>
        <w:t>格式十</w:t>
      </w:r>
      <w:r>
        <w:rPr>
          <w:rStyle w:val="21"/>
          <w:rFonts w:hint="eastAsia" w:ascii="Times New Roman" w:hAnsi="宋体" w:cs="Times New Roman"/>
          <w:b/>
          <w:bCs/>
          <w:color w:val="auto"/>
          <w:sz w:val="21"/>
          <w:szCs w:val="21"/>
          <w:highlight w:val="none"/>
          <w:lang w:val="en-US" w:eastAsia="zh-CN"/>
        </w:rPr>
        <w:t xml:space="preserve">七  </w:t>
      </w:r>
      <w:r>
        <w:rPr>
          <w:rStyle w:val="21"/>
          <w:rFonts w:hint="eastAsia" w:ascii="Times New Roman" w:hAnsi="宋体" w:eastAsia="宋体" w:cs="Times New Roman"/>
          <w:b/>
          <w:bCs/>
          <w:color w:val="auto"/>
          <w:sz w:val="21"/>
          <w:szCs w:val="21"/>
          <w:highlight w:val="none"/>
          <w:lang w:val="en-US" w:eastAsia="zh-CN"/>
        </w:rPr>
        <w:t>定标因素评审资料</w:t>
      </w:r>
      <w:bookmarkEnd w:id="274"/>
      <w:bookmarkEnd w:id="275"/>
    </w:p>
    <w:p w14:paraId="1FBABC69">
      <w:pPr>
        <w:spacing w:line="500" w:lineRule="exact"/>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24"/>
          <w:szCs w:val="24"/>
          <w:highlight w:val="none"/>
          <w:lang w:eastAsia="zh-CN"/>
        </w:rPr>
        <w:t>定标因素评审资料</w:t>
      </w:r>
    </w:p>
    <w:p w14:paraId="6109F8B3">
      <w:pPr>
        <w:jc w:val="left"/>
        <w:rPr>
          <w:rFonts w:hint="eastAsia" w:ascii="宋体" w:hAnsi="宋体" w:eastAsia="宋体" w:cs="宋体"/>
          <w:color w:val="auto"/>
          <w:sz w:val="24"/>
          <w:highlight w:val="none"/>
          <w:lang w:eastAsia="zh-CN"/>
        </w:rPr>
      </w:pPr>
    </w:p>
    <w:p w14:paraId="53BC4F7B">
      <w:pPr>
        <w:pStyle w:val="40"/>
        <w:ind w:left="0" w:leftChars="0" w:firstLine="0" w:firstLineChars="0"/>
        <w:rPr>
          <w:rStyle w:val="44"/>
          <w:rFonts w:hint="eastAsia" w:ascii="宋体" w:hAnsi="宋体" w:eastAsia="宋体" w:cs="宋体"/>
          <w:b/>
          <w:bCs/>
          <w:color w:val="auto"/>
          <w:kern w:val="2"/>
          <w:sz w:val="24"/>
          <w:szCs w:val="24"/>
          <w:highlight w:val="none"/>
        </w:rPr>
      </w:pPr>
      <w:r>
        <w:rPr>
          <w:rFonts w:hint="eastAsia" w:ascii="宋体" w:hAnsi="宋体" w:eastAsia="宋体" w:cs="宋体"/>
          <w:b/>
          <w:bCs/>
          <w:color w:val="auto"/>
          <w:sz w:val="24"/>
          <w:szCs w:val="24"/>
          <w:highlight w:val="none"/>
          <w:lang w:val="en-US" w:eastAsia="zh-CN"/>
        </w:rPr>
        <w:t>投标人根据“</w:t>
      </w:r>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章 第</w:t>
      </w: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节 定标</w:t>
      </w:r>
      <w:r>
        <w:rPr>
          <w:rFonts w:hint="eastAsia" w:ascii="宋体" w:hAnsi="宋体" w:eastAsia="宋体" w:cs="宋体"/>
          <w:b/>
          <w:bCs/>
          <w:color w:val="auto"/>
          <w:sz w:val="24"/>
          <w:szCs w:val="24"/>
          <w:highlight w:val="none"/>
          <w:lang w:eastAsia="zh-CN"/>
        </w:rPr>
        <w:t>规定</w:t>
      </w:r>
      <w:r>
        <w:rPr>
          <w:rFonts w:hint="eastAsia" w:ascii="宋体" w:hAnsi="宋体" w:eastAsia="宋体" w:cs="宋体"/>
          <w:b/>
          <w:bCs/>
          <w:color w:val="auto"/>
          <w:sz w:val="24"/>
          <w:szCs w:val="24"/>
          <w:highlight w:val="none"/>
          <w:lang w:val="en-US" w:eastAsia="zh-CN"/>
        </w:rPr>
        <w:t>及细则”载明的</w:t>
      </w:r>
      <w:r>
        <w:rPr>
          <w:rFonts w:hint="eastAsia" w:ascii="宋体" w:hAnsi="宋体" w:eastAsia="宋体" w:cs="宋体"/>
          <w:b/>
          <w:bCs/>
          <w:color w:val="auto"/>
          <w:sz w:val="24"/>
          <w:szCs w:val="24"/>
          <w:highlight w:val="none"/>
          <w:lang w:eastAsia="zh-CN"/>
        </w:rPr>
        <w:t>定标因素，</w:t>
      </w:r>
      <w:r>
        <w:rPr>
          <w:rFonts w:hint="eastAsia" w:ascii="宋体" w:hAnsi="宋体" w:eastAsia="宋体" w:cs="宋体"/>
          <w:b/>
          <w:bCs/>
          <w:color w:val="auto"/>
          <w:sz w:val="24"/>
          <w:szCs w:val="24"/>
          <w:highlight w:val="none"/>
          <w:lang w:val="en-US" w:eastAsia="zh-CN"/>
        </w:rPr>
        <w:t>提交</w:t>
      </w:r>
      <w:r>
        <w:rPr>
          <w:rFonts w:hint="eastAsia" w:ascii="宋体" w:hAnsi="宋体" w:eastAsia="宋体" w:cs="宋体"/>
          <w:b/>
          <w:bCs/>
          <w:color w:val="auto"/>
          <w:sz w:val="24"/>
          <w:szCs w:val="24"/>
          <w:highlight w:val="none"/>
          <w:lang w:eastAsia="zh-CN"/>
        </w:rPr>
        <w:t>评审资料。</w:t>
      </w:r>
    </w:p>
    <w:p w14:paraId="14C25B53">
      <w:pPr>
        <w:spacing w:before="78" w:line="219" w:lineRule="auto"/>
        <w:jc w:val="center"/>
        <w:outlineLvl w:val="1"/>
        <w:rPr>
          <w:rFonts w:hint="eastAsia" w:ascii="宋体" w:hAnsi="宋体" w:eastAsia="宋体" w:cs="宋体"/>
          <w:b/>
          <w:bCs/>
          <w:color w:val="auto"/>
          <w:spacing w:val="-3"/>
          <w:sz w:val="24"/>
          <w:szCs w:val="24"/>
          <w:highlight w:val="none"/>
        </w:rPr>
      </w:pPr>
    </w:p>
    <w:p w14:paraId="7A6AD313">
      <w:pPr>
        <w:spacing w:before="78" w:line="219" w:lineRule="auto"/>
        <w:jc w:val="center"/>
        <w:outlineLvl w:val="1"/>
        <w:rPr>
          <w:rFonts w:hint="eastAsia" w:ascii="宋体" w:hAnsi="宋体" w:eastAsia="宋体" w:cs="宋体"/>
          <w:b/>
          <w:bCs/>
          <w:color w:val="auto"/>
          <w:spacing w:val="-3"/>
          <w:sz w:val="24"/>
          <w:szCs w:val="24"/>
          <w:highlight w:val="none"/>
        </w:rPr>
      </w:pPr>
    </w:p>
    <w:p w14:paraId="2495B873">
      <w:pPr>
        <w:spacing w:before="78" w:line="219" w:lineRule="auto"/>
        <w:jc w:val="center"/>
        <w:outlineLvl w:val="1"/>
        <w:rPr>
          <w:rFonts w:hint="eastAsia" w:ascii="宋体" w:hAnsi="宋体" w:eastAsia="宋体" w:cs="宋体"/>
          <w:b/>
          <w:bCs/>
          <w:color w:val="auto"/>
          <w:spacing w:val="-3"/>
          <w:sz w:val="24"/>
          <w:szCs w:val="24"/>
          <w:highlight w:val="none"/>
        </w:rPr>
      </w:pPr>
    </w:p>
    <w:p w14:paraId="7F14BE6C">
      <w:pPr>
        <w:spacing w:before="78" w:line="219" w:lineRule="auto"/>
        <w:jc w:val="center"/>
        <w:outlineLvl w:val="1"/>
        <w:rPr>
          <w:rFonts w:hint="eastAsia" w:ascii="宋体" w:hAnsi="宋体" w:eastAsia="宋体" w:cs="宋体"/>
          <w:b/>
          <w:bCs/>
          <w:color w:val="auto"/>
          <w:spacing w:val="-3"/>
          <w:sz w:val="24"/>
          <w:szCs w:val="24"/>
          <w:highlight w:val="none"/>
        </w:rPr>
      </w:pPr>
    </w:p>
    <w:p w14:paraId="48FF3C2F">
      <w:pPr>
        <w:spacing w:before="78" w:line="219" w:lineRule="auto"/>
        <w:jc w:val="center"/>
        <w:outlineLvl w:val="1"/>
        <w:rPr>
          <w:rFonts w:hint="eastAsia" w:ascii="宋体" w:hAnsi="宋体" w:eastAsia="宋体" w:cs="宋体"/>
          <w:b/>
          <w:bCs/>
          <w:color w:val="auto"/>
          <w:spacing w:val="-3"/>
          <w:sz w:val="24"/>
          <w:szCs w:val="24"/>
          <w:highlight w:val="none"/>
        </w:rPr>
      </w:pPr>
    </w:p>
    <w:p w14:paraId="2290D916">
      <w:pPr>
        <w:spacing w:before="78" w:line="219" w:lineRule="auto"/>
        <w:jc w:val="center"/>
        <w:outlineLvl w:val="1"/>
        <w:rPr>
          <w:rFonts w:hint="eastAsia" w:ascii="宋体" w:hAnsi="宋体" w:eastAsia="宋体" w:cs="宋体"/>
          <w:b/>
          <w:bCs/>
          <w:color w:val="auto"/>
          <w:spacing w:val="-3"/>
          <w:sz w:val="24"/>
          <w:szCs w:val="24"/>
          <w:highlight w:val="none"/>
        </w:rPr>
      </w:pPr>
    </w:p>
    <w:p w14:paraId="391FCD36">
      <w:pPr>
        <w:spacing w:before="78" w:line="219" w:lineRule="auto"/>
        <w:jc w:val="center"/>
        <w:outlineLvl w:val="1"/>
        <w:rPr>
          <w:rFonts w:hint="eastAsia" w:ascii="宋体" w:hAnsi="宋体" w:eastAsia="宋体" w:cs="宋体"/>
          <w:b/>
          <w:bCs/>
          <w:color w:val="auto"/>
          <w:spacing w:val="-3"/>
          <w:sz w:val="24"/>
          <w:szCs w:val="24"/>
          <w:highlight w:val="none"/>
        </w:rPr>
      </w:pPr>
    </w:p>
    <w:p w14:paraId="3C6BB66F">
      <w:pPr>
        <w:spacing w:before="78" w:line="219" w:lineRule="auto"/>
        <w:jc w:val="center"/>
        <w:outlineLvl w:val="1"/>
        <w:rPr>
          <w:rFonts w:hint="eastAsia" w:ascii="宋体" w:hAnsi="宋体" w:eastAsia="宋体" w:cs="宋体"/>
          <w:b/>
          <w:bCs/>
          <w:color w:val="auto"/>
          <w:spacing w:val="-3"/>
          <w:sz w:val="24"/>
          <w:szCs w:val="24"/>
          <w:highlight w:val="none"/>
        </w:rPr>
      </w:pPr>
    </w:p>
    <w:p w14:paraId="2E4A244E">
      <w:pPr>
        <w:spacing w:before="78" w:line="219" w:lineRule="auto"/>
        <w:jc w:val="center"/>
        <w:outlineLvl w:val="1"/>
        <w:rPr>
          <w:rFonts w:hint="eastAsia" w:ascii="宋体" w:hAnsi="宋体" w:eastAsia="宋体" w:cs="宋体"/>
          <w:b/>
          <w:bCs/>
          <w:color w:val="auto"/>
          <w:spacing w:val="-3"/>
          <w:sz w:val="24"/>
          <w:szCs w:val="24"/>
          <w:highlight w:val="none"/>
        </w:rPr>
      </w:pPr>
    </w:p>
    <w:p w14:paraId="765F7C6C">
      <w:pPr>
        <w:spacing w:before="78" w:line="219" w:lineRule="auto"/>
        <w:jc w:val="center"/>
        <w:outlineLvl w:val="1"/>
        <w:rPr>
          <w:rFonts w:hint="eastAsia" w:ascii="宋体" w:hAnsi="宋体" w:eastAsia="宋体" w:cs="宋体"/>
          <w:b/>
          <w:bCs/>
          <w:color w:val="auto"/>
          <w:spacing w:val="-3"/>
          <w:sz w:val="24"/>
          <w:szCs w:val="24"/>
          <w:highlight w:val="none"/>
        </w:rPr>
      </w:pPr>
    </w:p>
    <w:p w14:paraId="23EB9E71">
      <w:pPr>
        <w:spacing w:before="78" w:line="219" w:lineRule="auto"/>
        <w:jc w:val="center"/>
        <w:outlineLvl w:val="1"/>
        <w:rPr>
          <w:rFonts w:hint="eastAsia" w:ascii="宋体" w:hAnsi="宋体" w:eastAsia="宋体" w:cs="宋体"/>
          <w:b/>
          <w:bCs/>
          <w:color w:val="auto"/>
          <w:spacing w:val="-3"/>
          <w:sz w:val="24"/>
          <w:szCs w:val="24"/>
          <w:highlight w:val="none"/>
        </w:rPr>
      </w:pPr>
    </w:p>
    <w:p w14:paraId="15AA33D0">
      <w:pPr>
        <w:spacing w:before="78" w:line="219" w:lineRule="auto"/>
        <w:jc w:val="center"/>
        <w:outlineLvl w:val="1"/>
        <w:rPr>
          <w:rFonts w:hint="eastAsia" w:ascii="宋体" w:hAnsi="宋体" w:eastAsia="宋体" w:cs="宋体"/>
          <w:b/>
          <w:bCs/>
          <w:color w:val="auto"/>
          <w:spacing w:val="-3"/>
          <w:sz w:val="24"/>
          <w:szCs w:val="24"/>
          <w:highlight w:val="none"/>
        </w:rPr>
      </w:pPr>
    </w:p>
    <w:p w14:paraId="7B279407">
      <w:pPr>
        <w:spacing w:before="78" w:line="219" w:lineRule="auto"/>
        <w:jc w:val="center"/>
        <w:outlineLvl w:val="1"/>
        <w:rPr>
          <w:rFonts w:hint="eastAsia" w:ascii="宋体" w:hAnsi="宋体" w:eastAsia="宋体" w:cs="宋体"/>
          <w:b/>
          <w:bCs/>
          <w:color w:val="auto"/>
          <w:spacing w:val="-3"/>
          <w:sz w:val="24"/>
          <w:szCs w:val="24"/>
          <w:highlight w:val="none"/>
        </w:rPr>
      </w:pPr>
    </w:p>
    <w:p w14:paraId="2574C13D">
      <w:pPr>
        <w:spacing w:before="78" w:line="219" w:lineRule="auto"/>
        <w:jc w:val="center"/>
        <w:outlineLvl w:val="1"/>
        <w:rPr>
          <w:rFonts w:hint="eastAsia" w:ascii="宋体" w:hAnsi="宋体" w:eastAsia="宋体" w:cs="宋体"/>
          <w:b/>
          <w:bCs/>
          <w:color w:val="auto"/>
          <w:spacing w:val="-3"/>
          <w:sz w:val="24"/>
          <w:szCs w:val="24"/>
          <w:highlight w:val="none"/>
        </w:rPr>
      </w:pPr>
    </w:p>
    <w:p w14:paraId="7BC7ADD0">
      <w:pPr>
        <w:spacing w:before="78" w:line="219" w:lineRule="auto"/>
        <w:jc w:val="center"/>
        <w:outlineLvl w:val="1"/>
        <w:rPr>
          <w:rFonts w:hint="eastAsia" w:ascii="宋体" w:hAnsi="宋体" w:eastAsia="宋体" w:cs="宋体"/>
          <w:b/>
          <w:bCs/>
          <w:color w:val="auto"/>
          <w:spacing w:val="-3"/>
          <w:sz w:val="24"/>
          <w:szCs w:val="24"/>
          <w:highlight w:val="none"/>
        </w:rPr>
      </w:pPr>
    </w:p>
    <w:p w14:paraId="2E2C18EC">
      <w:pPr>
        <w:spacing w:before="78" w:line="219" w:lineRule="auto"/>
        <w:jc w:val="center"/>
        <w:outlineLvl w:val="1"/>
        <w:rPr>
          <w:rFonts w:hint="eastAsia" w:ascii="宋体" w:hAnsi="宋体" w:eastAsia="宋体" w:cs="宋体"/>
          <w:b/>
          <w:bCs/>
          <w:color w:val="auto"/>
          <w:spacing w:val="-3"/>
          <w:sz w:val="24"/>
          <w:szCs w:val="24"/>
          <w:highlight w:val="none"/>
        </w:rPr>
      </w:pPr>
    </w:p>
    <w:p w14:paraId="4B756AD1">
      <w:pPr>
        <w:spacing w:before="78" w:line="219" w:lineRule="auto"/>
        <w:jc w:val="center"/>
        <w:outlineLvl w:val="1"/>
        <w:rPr>
          <w:rFonts w:hint="eastAsia" w:ascii="宋体" w:hAnsi="宋体" w:eastAsia="宋体" w:cs="宋体"/>
          <w:b/>
          <w:bCs/>
          <w:color w:val="auto"/>
          <w:spacing w:val="-3"/>
          <w:sz w:val="24"/>
          <w:szCs w:val="24"/>
          <w:highlight w:val="none"/>
        </w:rPr>
      </w:pPr>
    </w:p>
    <w:p w14:paraId="053E6982">
      <w:pPr>
        <w:spacing w:before="78" w:line="219" w:lineRule="auto"/>
        <w:jc w:val="center"/>
        <w:outlineLvl w:val="1"/>
        <w:rPr>
          <w:rFonts w:hint="eastAsia" w:ascii="宋体" w:hAnsi="宋体" w:eastAsia="宋体" w:cs="宋体"/>
          <w:b/>
          <w:bCs/>
          <w:color w:val="auto"/>
          <w:spacing w:val="-3"/>
          <w:sz w:val="24"/>
          <w:szCs w:val="24"/>
          <w:highlight w:val="none"/>
        </w:rPr>
      </w:pPr>
    </w:p>
    <w:p w14:paraId="7870DAE2">
      <w:pPr>
        <w:spacing w:before="78" w:line="219" w:lineRule="auto"/>
        <w:jc w:val="center"/>
        <w:outlineLvl w:val="1"/>
        <w:rPr>
          <w:rFonts w:hint="eastAsia" w:ascii="宋体" w:hAnsi="宋体" w:eastAsia="宋体" w:cs="宋体"/>
          <w:b/>
          <w:bCs/>
          <w:color w:val="auto"/>
          <w:spacing w:val="-3"/>
          <w:sz w:val="24"/>
          <w:szCs w:val="24"/>
          <w:highlight w:val="none"/>
        </w:rPr>
      </w:pPr>
    </w:p>
    <w:p w14:paraId="4F14D8C4">
      <w:pPr>
        <w:spacing w:before="78" w:line="219" w:lineRule="auto"/>
        <w:jc w:val="center"/>
        <w:outlineLvl w:val="1"/>
        <w:rPr>
          <w:rFonts w:hint="eastAsia" w:ascii="宋体" w:hAnsi="宋体" w:eastAsia="宋体" w:cs="宋体"/>
          <w:b/>
          <w:bCs/>
          <w:color w:val="auto"/>
          <w:spacing w:val="-3"/>
          <w:sz w:val="24"/>
          <w:szCs w:val="24"/>
          <w:highlight w:val="none"/>
        </w:rPr>
      </w:pPr>
    </w:p>
    <w:p w14:paraId="35A8BC8A">
      <w:pPr>
        <w:spacing w:before="78" w:line="219" w:lineRule="auto"/>
        <w:jc w:val="center"/>
        <w:outlineLvl w:val="1"/>
        <w:rPr>
          <w:rFonts w:hint="eastAsia" w:ascii="宋体" w:hAnsi="宋体" w:eastAsia="宋体" w:cs="宋体"/>
          <w:b/>
          <w:bCs/>
          <w:color w:val="auto"/>
          <w:spacing w:val="-3"/>
          <w:sz w:val="24"/>
          <w:szCs w:val="24"/>
          <w:highlight w:val="none"/>
        </w:rPr>
      </w:pPr>
    </w:p>
    <w:p w14:paraId="27FBC262">
      <w:pPr>
        <w:spacing w:before="78" w:line="219" w:lineRule="auto"/>
        <w:jc w:val="center"/>
        <w:outlineLvl w:val="1"/>
        <w:rPr>
          <w:rFonts w:hint="eastAsia" w:ascii="宋体" w:hAnsi="宋体" w:eastAsia="宋体" w:cs="宋体"/>
          <w:b/>
          <w:bCs/>
          <w:color w:val="auto"/>
          <w:spacing w:val="-3"/>
          <w:sz w:val="24"/>
          <w:szCs w:val="24"/>
          <w:highlight w:val="none"/>
        </w:rPr>
      </w:pPr>
    </w:p>
    <w:p w14:paraId="6CBE51BC">
      <w:pPr>
        <w:spacing w:before="78" w:line="219" w:lineRule="auto"/>
        <w:jc w:val="center"/>
        <w:outlineLvl w:val="1"/>
        <w:rPr>
          <w:rFonts w:hint="eastAsia" w:ascii="宋体" w:hAnsi="宋体" w:eastAsia="宋体" w:cs="宋体"/>
          <w:b/>
          <w:bCs/>
          <w:color w:val="auto"/>
          <w:spacing w:val="-3"/>
          <w:sz w:val="24"/>
          <w:szCs w:val="24"/>
          <w:highlight w:val="none"/>
        </w:rPr>
      </w:pPr>
    </w:p>
    <w:p w14:paraId="360EE02A">
      <w:pPr>
        <w:spacing w:before="78" w:line="219" w:lineRule="auto"/>
        <w:jc w:val="center"/>
        <w:outlineLvl w:val="1"/>
        <w:rPr>
          <w:rFonts w:hint="eastAsia" w:ascii="宋体" w:hAnsi="宋体" w:eastAsia="宋体" w:cs="宋体"/>
          <w:b/>
          <w:bCs/>
          <w:color w:val="auto"/>
          <w:spacing w:val="-3"/>
          <w:sz w:val="24"/>
          <w:szCs w:val="24"/>
          <w:highlight w:val="none"/>
        </w:rPr>
      </w:pPr>
    </w:p>
    <w:p w14:paraId="76926CBB">
      <w:pPr>
        <w:spacing w:before="78" w:line="219" w:lineRule="auto"/>
        <w:jc w:val="center"/>
        <w:outlineLvl w:val="1"/>
        <w:rPr>
          <w:rFonts w:hint="eastAsia" w:ascii="宋体" w:hAnsi="宋体" w:eastAsia="宋体" w:cs="宋体"/>
          <w:b/>
          <w:bCs/>
          <w:color w:val="auto"/>
          <w:spacing w:val="-3"/>
          <w:sz w:val="24"/>
          <w:szCs w:val="24"/>
          <w:highlight w:val="none"/>
        </w:rPr>
      </w:pPr>
    </w:p>
    <w:p w14:paraId="750F22B2">
      <w:pPr>
        <w:spacing w:before="78" w:line="219" w:lineRule="auto"/>
        <w:jc w:val="center"/>
        <w:outlineLvl w:val="1"/>
        <w:rPr>
          <w:rFonts w:hint="eastAsia" w:ascii="宋体" w:hAnsi="宋体" w:eastAsia="宋体" w:cs="宋体"/>
          <w:b/>
          <w:bCs/>
          <w:color w:val="auto"/>
          <w:spacing w:val="-3"/>
          <w:sz w:val="24"/>
          <w:szCs w:val="24"/>
          <w:highlight w:val="none"/>
        </w:rPr>
      </w:pPr>
    </w:p>
    <w:p w14:paraId="0E614BAE">
      <w:pPr>
        <w:spacing w:before="78" w:line="219" w:lineRule="auto"/>
        <w:jc w:val="center"/>
        <w:outlineLvl w:val="1"/>
        <w:rPr>
          <w:rFonts w:hint="eastAsia" w:ascii="宋体" w:hAnsi="宋体" w:eastAsia="宋体" w:cs="宋体"/>
          <w:b/>
          <w:bCs/>
          <w:color w:val="auto"/>
          <w:spacing w:val="-3"/>
          <w:sz w:val="24"/>
          <w:szCs w:val="24"/>
          <w:highlight w:val="none"/>
        </w:rPr>
      </w:pPr>
    </w:p>
    <w:p w14:paraId="657A2391">
      <w:pPr>
        <w:spacing w:before="78" w:line="219" w:lineRule="auto"/>
        <w:jc w:val="center"/>
        <w:outlineLvl w:val="1"/>
        <w:rPr>
          <w:rFonts w:hint="eastAsia" w:ascii="宋体" w:hAnsi="宋体" w:eastAsia="宋体" w:cs="宋体"/>
          <w:b/>
          <w:bCs/>
          <w:color w:val="auto"/>
          <w:spacing w:val="-3"/>
          <w:sz w:val="24"/>
          <w:szCs w:val="24"/>
          <w:highlight w:val="none"/>
        </w:rPr>
      </w:pPr>
    </w:p>
    <w:p w14:paraId="20392549">
      <w:pPr>
        <w:spacing w:before="78" w:line="219" w:lineRule="auto"/>
        <w:jc w:val="center"/>
        <w:outlineLvl w:val="1"/>
        <w:rPr>
          <w:rFonts w:hint="eastAsia" w:ascii="宋体" w:hAnsi="宋体" w:eastAsia="宋体" w:cs="宋体"/>
          <w:b/>
          <w:bCs/>
          <w:color w:val="auto"/>
          <w:spacing w:val="-3"/>
          <w:sz w:val="24"/>
          <w:szCs w:val="24"/>
          <w:highlight w:val="none"/>
        </w:rPr>
      </w:pPr>
    </w:p>
    <w:p w14:paraId="3E85AE23">
      <w:pPr>
        <w:spacing w:before="78" w:line="219" w:lineRule="auto"/>
        <w:jc w:val="center"/>
        <w:outlineLvl w:val="1"/>
        <w:rPr>
          <w:rFonts w:hint="eastAsia" w:ascii="宋体" w:hAnsi="宋体" w:eastAsia="宋体" w:cs="宋体"/>
          <w:b/>
          <w:bCs/>
          <w:color w:val="auto"/>
          <w:spacing w:val="-3"/>
          <w:sz w:val="24"/>
          <w:szCs w:val="24"/>
          <w:highlight w:val="none"/>
        </w:rPr>
      </w:pPr>
    </w:p>
    <w:p w14:paraId="3E68A076">
      <w:pPr>
        <w:spacing w:before="78" w:line="219" w:lineRule="auto"/>
        <w:jc w:val="center"/>
        <w:outlineLvl w:val="1"/>
        <w:rPr>
          <w:rFonts w:hint="eastAsia" w:ascii="宋体" w:hAnsi="宋体" w:eastAsia="宋体" w:cs="宋体"/>
          <w:b/>
          <w:bCs/>
          <w:color w:val="auto"/>
          <w:spacing w:val="-3"/>
          <w:sz w:val="24"/>
          <w:szCs w:val="24"/>
          <w:highlight w:val="none"/>
        </w:rPr>
      </w:pPr>
    </w:p>
    <w:p w14:paraId="6F5EA10B">
      <w:pPr>
        <w:spacing w:before="78" w:line="219" w:lineRule="auto"/>
        <w:jc w:val="center"/>
        <w:outlineLvl w:val="1"/>
        <w:rPr>
          <w:rFonts w:hint="eastAsia" w:ascii="宋体" w:hAnsi="宋体" w:eastAsia="宋体" w:cs="宋体"/>
          <w:b/>
          <w:bCs/>
          <w:color w:val="auto"/>
          <w:spacing w:val="-3"/>
          <w:sz w:val="24"/>
          <w:szCs w:val="24"/>
          <w:highlight w:val="none"/>
        </w:rPr>
      </w:pPr>
    </w:p>
    <w:p w14:paraId="0C629BAA">
      <w:pPr>
        <w:spacing w:before="78" w:line="219" w:lineRule="auto"/>
        <w:jc w:val="center"/>
        <w:outlineLvl w:val="1"/>
        <w:rPr>
          <w:rFonts w:hint="eastAsia" w:ascii="宋体" w:hAnsi="宋体" w:eastAsia="宋体" w:cs="宋体"/>
          <w:b/>
          <w:bCs/>
          <w:color w:val="auto"/>
          <w:spacing w:val="-3"/>
          <w:sz w:val="24"/>
          <w:szCs w:val="24"/>
          <w:highlight w:val="none"/>
        </w:rPr>
      </w:pPr>
    </w:p>
    <w:p w14:paraId="3C9DA96F">
      <w:pPr>
        <w:spacing w:before="78" w:line="219" w:lineRule="auto"/>
        <w:jc w:val="center"/>
        <w:outlineLvl w:val="1"/>
        <w:rPr>
          <w:rFonts w:hint="eastAsia" w:ascii="宋体" w:hAnsi="宋体" w:eastAsia="宋体" w:cs="宋体"/>
          <w:color w:val="auto"/>
          <w:highlight w:val="none"/>
        </w:rPr>
      </w:pPr>
      <w:bookmarkStart w:id="276" w:name="_Toc10482"/>
      <w:r>
        <w:rPr>
          <w:rFonts w:hint="eastAsia" w:ascii="宋体" w:hAnsi="宋体" w:eastAsia="宋体" w:cs="宋体"/>
          <w:b/>
          <w:bCs/>
          <w:color w:val="auto"/>
          <w:spacing w:val="-3"/>
          <w:sz w:val="24"/>
          <w:szCs w:val="24"/>
          <w:highlight w:val="none"/>
        </w:rPr>
        <w:t>第七章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建设工程施工合同</w:t>
      </w:r>
      <w:bookmarkEnd w:id="276"/>
    </w:p>
    <w:p w14:paraId="179363DD">
      <w:pPr>
        <w:pStyle w:val="5"/>
        <w:spacing w:line="257" w:lineRule="auto"/>
        <w:rPr>
          <w:rFonts w:hint="eastAsia" w:ascii="宋体" w:hAnsi="宋体" w:eastAsia="宋体" w:cs="宋体"/>
          <w:color w:val="auto"/>
          <w:highlight w:val="none"/>
        </w:rPr>
      </w:pPr>
    </w:p>
    <w:p w14:paraId="6DEC5D22">
      <w:pPr>
        <w:spacing w:before="78" w:line="324" w:lineRule="auto"/>
        <w:ind w:firstLine="480"/>
        <w:rPr>
          <w:rFonts w:hint="eastAsia" w:ascii="宋体" w:hAnsi="宋体" w:eastAsia="宋体" w:cs="宋体"/>
          <w:color w:val="auto"/>
          <w:spacing w:val="-1"/>
          <w:sz w:val="24"/>
          <w:szCs w:val="24"/>
          <w:highlight w:val="none"/>
        </w:rPr>
      </w:pP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按</w:t>
      </w:r>
      <w:r>
        <w:rPr>
          <w:rFonts w:hint="eastAsia" w:ascii="宋体" w:hAnsi="宋体" w:eastAsia="宋体" w:cs="宋体"/>
          <w:color w:val="auto"/>
          <w:spacing w:val="-3"/>
          <w:sz w:val="24"/>
          <w:szCs w:val="24"/>
          <w:highlight w:val="none"/>
          <w:lang w:val="en-US" w:eastAsia="zh-CN"/>
        </w:rPr>
        <w:t>韶关市武江区住房和城乡建设局</w:t>
      </w:r>
      <w:r>
        <w:rPr>
          <w:rFonts w:hint="eastAsia" w:ascii="宋体" w:hAnsi="宋体" w:eastAsia="宋体" w:cs="宋体"/>
          <w:color w:val="auto"/>
          <w:spacing w:val="-3"/>
          <w:sz w:val="24"/>
          <w:szCs w:val="24"/>
          <w:highlight w:val="none"/>
        </w:rPr>
        <w:t>《建设工程施工合同示范文本（房屋建筑和市政工程）》（WJ-2026-0227）执行</w:t>
      </w:r>
      <w:r>
        <w:rPr>
          <w:rFonts w:hint="eastAsia" w:ascii="宋体" w:hAnsi="宋体" w:eastAsia="宋体" w:cs="宋体"/>
          <w:color w:val="auto"/>
          <w:spacing w:val="-1"/>
          <w:sz w:val="24"/>
          <w:szCs w:val="24"/>
          <w:highlight w:val="none"/>
        </w:rPr>
        <w:t>。</w:t>
      </w:r>
    </w:p>
    <w:p w14:paraId="132FFBFC">
      <w:pPr>
        <w:spacing w:before="78" w:line="324" w:lineRule="auto"/>
        <w:ind w:firstLine="48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□《广东省建设工程标准施工合同》（2009 年版）或《建设工程施工合同 （示范文本）》（GF—2017—0201）执行</w:t>
      </w:r>
    </w:p>
    <w:p w14:paraId="4BB447BE">
      <w:pPr>
        <w:rPr>
          <w:rFonts w:hint="eastAsia" w:ascii="宋体" w:hAnsi="宋体" w:eastAsia="宋体" w:cs="宋体"/>
          <w:color w:val="auto"/>
          <w:highlight w:val="none"/>
        </w:rPr>
      </w:pPr>
    </w:p>
    <w:sectPr>
      <w:footerReference r:id="rId26"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KSOF6B657194">
    <w:panose1 w:val="02020500000000000000"/>
    <w:charset w:val="88"/>
    <w:family w:val="auto"/>
    <w:pitch w:val="default"/>
    <w:sig w:usb0="00000001" w:usb1="00000000" w:usb2="00000000" w:usb3="00000000" w:csb0="0010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303BF">
    <w:pPr>
      <w:pStyle w:val="9"/>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34BA4">
    <w:pPr>
      <w:pStyle w:val="9"/>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6616AD">
                          <w:pPr>
                            <w:pStyle w:val="9"/>
                          </w:pPr>
                          <w:r>
                            <w:fldChar w:fldCharType="begin"/>
                          </w:r>
                          <w:r>
                            <w:instrText xml:space="preserve"> PAGE  \* MERGEFORMAT </w:instrText>
                          </w:r>
                          <w:r>
                            <w:fldChar w:fldCharType="separate"/>
                          </w:r>
                          <w:r>
                            <w:t>81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nmGe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4d8ctTvz84/v55+/zr28E&#10;fShQH6DGvMeAmWm48QMmz35AZ+Y9qGjzFxkRjKO8p4u8ckhE5Eer5WpVYUhgbL4gPnt6HiKkO+kt&#10;yUZDI86vyMqP95DG1DklV3P+VhtTZmjcXw7EzB6Wex97zFYadsNEaOfbE/LpcfQNdbjplJiPDpXN&#10;WzIbcTZ2s3EIUe+7ska5HoQPh4RNlN5yhRF2KowzK+ym/cpL8fxesp7+qc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p5hnvIAQAAmwMAAA4AAAAAAAAAAQAgAAAAHgEAAGRycy9lMm9Eb2Mu&#10;eG1sUEsFBgAAAAAGAAYAWQEAAFgFAAAAAA==&#10;">
              <v:fill on="f" focussize="0,0"/>
              <v:stroke on="f"/>
              <v:imagedata o:title=""/>
              <o:lock v:ext="edit" aspectratio="f"/>
              <v:textbox inset="0mm,0mm,0mm,0mm" style="mso-fit-shape-to-text:t;">
                <w:txbxContent>
                  <w:p w14:paraId="5B6616AD">
                    <w:pPr>
                      <w:pStyle w:val="9"/>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A5013">
    <w:pPr>
      <w:pStyle w:val="9"/>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5E7166">
                          <w:pPr>
                            <w:pStyle w:val="9"/>
                          </w:pPr>
                          <w:r>
                            <w:fldChar w:fldCharType="begin"/>
                          </w:r>
                          <w:r>
                            <w:instrText xml:space="preserve"> PAGE  \* MERGEFORMAT </w:instrText>
                          </w:r>
                          <w:r>
                            <w:fldChar w:fldCharType="separate"/>
                          </w:r>
                          <w:r>
                            <w:t>83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nvssk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e+yyQEAAJsDAAAOAAAAAAAAAAEAIAAAAB4BAABkcnMvZTJvRG9j&#10;LnhtbFBLBQYAAAAABgAGAFkBAABZBQAAAAA=&#10;">
              <v:fill on="f" focussize="0,0"/>
              <v:stroke on="f"/>
              <v:imagedata o:title=""/>
              <o:lock v:ext="edit" aspectratio="f"/>
              <v:textbox inset="0mm,0mm,0mm,0mm" style="mso-fit-shape-to-text:t;">
                <w:txbxContent>
                  <w:p w14:paraId="6E5E7166">
                    <w:pPr>
                      <w:pStyle w:val="9"/>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E90E9">
    <w:pPr>
      <w:pStyle w:val="9"/>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EFCB23">
                          <w:pPr>
                            <w:pStyle w:val="9"/>
                          </w:pPr>
                          <w:r>
                            <w:fldChar w:fldCharType="begin"/>
                          </w:r>
                          <w:r>
                            <w:instrText xml:space="preserve"> PAGE  \* MERGEFORMAT </w:instrText>
                          </w:r>
                          <w:r>
                            <w:fldChar w:fldCharType="separate"/>
                          </w:r>
                          <w:r>
                            <w:t>84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6BEFCB23">
                    <w:pPr>
                      <w:pStyle w:val="9"/>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73186">
    <w:pPr>
      <w:pStyle w:val="9"/>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B5328D">
                          <w:pPr>
                            <w:pStyle w:val="9"/>
                          </w:pPr>
                          <w:r>
                            <w:fldChar w:fldCharType="begin"/>
                          </w:r>
                          <w:r>
                            <w:instrText xml:space="preserve"> PAGE  \* MERGEFORMAT </w:instrText>
                          </w:r>
                          <w:r>
                            <w:fldChar w:fldCharType="separate"/>
                          </w:r>
                          <w:r>
                            <w:t>85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05B5328D">
                    <w:pPr>
                      <w:pStyle w:val="9"/>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79E83">
    <w:pPr>
      <w:pStyle w:val="9"/>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8DD399">
                          <w:pPr>
                            <w:pStyle w:val="9"/>
                          </w:pPr>
                          <w:r>
                            <w:fldChar w:fldCharType="begin"/>
                          </w:r>
                          <w:r>
                            <w:instrText xml:space="preserve"> PAGE  \* MERGEFORMAT </w:instrText>
                          </w:r>
                          <w:r>
                            <w:fldChar w:fldCharType="separate"/>
                          </w:r>
                          <w:r>
                            <w:t>86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14:paraId="7B8DD399">
                    <w:pPr>
                      <w:pStyle w:val="9"/>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10808">
    <w:pPr>
      <w:pStyle w:val="9"/>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382479">
                          <w:pPr>
                            <w:pStyle w:val="9"/>
                          </w:pPr>
                          <w:r>
                            <w:fldChar w:fldCharType="begin"/>
                          </w:r>
                          <w:r>
                            <w:instrText xml:space="preserve"> PAGE  \* MERGEFORMAT </w:instrText>
                          </w:r>
                          <w:r>
                            <w:fldChar w:fldCharType="separate"/>
                          </w:r>
                          <w:r>
                            <w:t>89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41382479">
                    <w:pPr>
                      <w:pStyle w:val="9"/>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0FA81">
    <w:pPr>
      <w:pStyle w:val="9"/>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92879A">
                          <w:pPr>
                            <w:pStyle w:val="9"/>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2692879A">
                    <w:pPr>
                      <w:pStyle w:val="9"/>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1A343">
    <w:pPr>
      <w:pStyle w:val="9"/>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B21017">
                          <w:pPr>
                            <w:pStyle w:val="9"/>
                          </w:pPr>
                          <w:r>
                            <w:fldChar w:fldCharType="begin"/>
                          </w:r>
                          <w:r>
                            <w:instrText xml:space="preserve"> PAGE  \* MERGEFORMAT </w:instrText>
                          </w:r>
                          <w:r>
                            <w:fldChar w:fldCharType="separate"/>
                          </w:r>
                          <w:r>
                            <w:t>91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4BB21017">
                    <w:pPr>
                      <w:pStyle w:val="9"/>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DCA71">
    <w:pPr>
      <w:pStyle w:val="9"/>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53BFF6">
                          <w:pPr>
                            <w:pStyle w:val="9"/>
                          </w:pPr>
                          <w:r>
                            <w:fldChar w:fldCharType="begin"/>
                          </w:r>
                          <w:r>
                            <w:instrText xml:space="preserve"> PAGE  \* MERGEFORMAT </w:instrText>
                          </w:r>
                          <w:r>
                            <w:fldChar w:fldCharType="separate"/>
                          </w:r>
                          <w:r>
                            <w:t>93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3953BFF6">
                    <w:pPr>
                      <w:pStyle w:val="9"/>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DDC36">
    <w:pPr>
      <w:pStyle w:val="9"/>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12D34B">
                          <w:pPr>
                            <w:pStyle w:val="9"/>
                          </w:pPr>
                          <w:r>
                            <w:fldChar w:fldCharType="begin"/>
                          </w:r>
                          <w:r>
                            <w:instrText xml:space="preserve"> PAGE  \* MERGEFORMAT </w:instrText>
                          </w:r>
                          <w:r>
                            <w:fldChar w:fldCharType="separate"/>
                          </w:r>
                          <w:r>
                            <w:t>94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A12D34B">
                    <w:pPr>
                      <w:pStyle w:val="9"/>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D07F9">
    <w:pPr>
      <w:pStyle w:val="9"/>
    </w:pPr>
    <w:r>
      <w:rPr>
        <w:sz w:val="18"/>
      </w:rPr>
      <mc:AlternateContent>
        <mc:Choice Requires="wps">
          <w:drawing>
            <wp:anchor distT="0" distB="0" distL="114300" distR="114300" simplePos="0" relativeHeight="251679744" behindDoc="0" locked="0" layoutInCell="1" allowOverlap="1">
              <wp:simplePos x="0" y="0"/>
              <wp:positionH relativeFrom="margin">
                <wp:posOffset>3024505</wp:posOffset>
              </wp:positionH>
              <wp:positionV relativeFrom="paragraph">
                <wp:posOffset>-589280</wp:posOffset>
              </wp:positionV>
              <wp:extent cx="133350" cy="339725"/>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33350" cy="339725"/>
                      </a:xfrm>
                      <a:prstGeom prst="rect">
                        <a:avLst/>
                      </a:prstGeom>
                      <a:noFill/>
                      <a:ln>
                        <a:noFill/>
                      </a:ln>
                    </wps:spPr>
                    <wps:txbx>
                      <w:txbxContent>
                        <w:p w14:paraId="5A3393F2">
                          <w:pPr>
                            <w:pStyle w:val="9"/>
                          </w:pPr>
                          <w:r>
                            <w:fldChar w:fldCharType="begin"/>
                          </w:r>
                          <w:r>
                            <w:instrText xml:space="preserve"> PAGE  \* MERGEFORMAT </w:instrText>
                          </w:r>
                          <w:r>
                            <w:fldChar w:fldCharType="separate"/>
                          </w:r>
                          <w:r>
                            <w:t>1</w:t>
                          </w:r>
                          <w:r>
                            <w:fldChar w:fldCharType="end"/>
                          </w:r>
                        </w:p>
                      </w:txbxContent>
                    </wps:txbx>
                    <wps:bodyPr lIns="0" tIns="0" rIns="0" bIns="0" upright="0"/>
                  </wps:wsp>
                </a:graphicData>
              </a:graphic>
            </wp:anchor>
          </w:drawing>
        </mc:Choice>
        <mc:Fallback>
          <w:pict>
            <v:shape id="_x0000_s1026" o:spid="_x0000_s1026" o:spt="202" type="#_x0000_t202" style="position:absolute;left:0pt;margin-left:238.15pt;margin-top:-46.4pt;height:26.75pt;width:10.5pt;mso-position-horizontal-relative:margin;z-index:251679744;mso-width-relative:page;mso-height-relative:page;" filled="f" stroked="f" coordsize="21600,21600" o:gfxdata="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B79DX2QAAAAsBAAAPAAAAAAAAAAEAIAAAACIAAABkcnMvZG93bnJldi54bWxQSwEC&#10;FAAUAAAACACHTuJACW6KoLoBAABzAwAADgAAAAAAAAABACAAAAAoAQAAZHJzL2Uyb0RvYy54bWxQ&#10;SwUGAAAAAAYABgBZAQAAVAUAAAAA&#10;">
              <v:fill on="f" focussize="0,0"/>
              <v:stroke on="f"/>
              <v:imagedata o:title=""/>
              <o:lock v:ext="edit" aspectratio="f"/>
              <v:textbox inset="0mm,0mm,0mm,0mm">
                <w:txbxContent>
                  <w:p w14:paraId="5A3393F2">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5BB37">
    <w:pPr>
      <w:pStyle w:val="9"/>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DDC229">
                          <w:pPr>
                            <w:pStyle w:val="9"/>
                          </w:pPr>
                          <w:r>
                            <w:fldChar w:fldCharType="begin"/>
                          </w:r>
                          <w:r>
                            <w:instrText xml:space="preserve"> PAGE  \* MERGEFORMAT </w:instrText>
                          </w:r>
                          <w:r>
                            <w:fldChar w:fldCharType="separate"/>
                          </w:r>
                          <w:r>
                            <w:t>102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7DDC229">
                    <w:pPr>
                      <w:pStyle w:val="9"/>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D0199">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6448F3">
                          <w:pPr>
                            <w:pStyle w:val="9"/>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WErUc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zpM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WErUcoBAACbAwAADgAAAAAAAAABACAAAAAeAQAAZHJzL2Uyb0Rv&#10;Yy54bWxQSwUGAAAAAAYABgBZAQAAWgUAAAAA&#10;">
              <v:fill on="f" focussize="0,0"/>
              <v:stroke on="f"/>
              <v:imagedata o:title=""/>
              <o:lock v:ext="edit" aspectratio="f"/>
              <v:textbox inset="0mm,0mm,0mm,0mm" style="mso-fit-shape-to-text:t;">
                <w:txbxContent>
                  <w:p w14:paraId="676448F3">
                    <w:pPr>
                      <w:pStyle w:val="9"/>
                    </w:pPr>
                    <w:r>
                      <w:fldChar w:fldCharType="begin"/>
                    </w:r>
                    <w:r>
                      <w:instrText xml:space="preserve"> PAGE  \* MERGEFORMAT </w:instrText>
                    </w:r>
                    <w:r>
                      <w:fldChar w:fldCharType="separate"/>
                    </w:r>
                    <w:r>
                      <w:t>5</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7FF26">
    <w:pPr>
      <w:pStyle w:val="9"/>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119CC0">
                          <w:pPr>
                            <w:pStyle w:val="9"/>
                          </w:pPr>
                          <w:r>
                            <w:fldChar w:fldCharType="begin"/>
                          </w:r>
                          <w:r>
                            <w:instrText xml:space="preserve"> PAGE  \* MERGEFORMAT </w:instrText>
                          </w:r>
                          <w:r>
                            <w:fldChar w:fldCharType="separate"/>
                          </w:r>
                          <w:r>
                            <w:t>44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kHiCcoBAACb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dvKHHc4sTPP3+cf/05//5O&#10;0IcC9QFqzLsNmJmG937AtZn9gM7Me1DR5i8yIhhHeU8XeeWQiMiPVsvVqsKQwNh8QXx2/zxESB+k&#10;tyQbDY04vyIrP36CNKbOKbma8zfamDJD4/5zIGb2sNz72GO20rAbJkI7356QT4+jb6jDTafEfHSo&#10;bN6S2YizsZuNQ4h635U1yvUgvDskbKL0liuMsFNhnFlhN+1XXop/7yXr/p/a/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BkHiCcoBAACbAwAADgAAAAAAAAABACAAAAAeAQAAZHJzL2Uyb0Rv&#10;Yy54bWxQSwUGAAAAAAYABgBZAQAAWgUAAAAA&#10;">
              <v:fill on="f" focussize="0,0"/>
              <v:stroke on="f"/>
              <v:imagedata o:title=""/>
              <o:lock v:ext="edit" aspectratio="f"/>
              <v:textbox inset="0mm,0mm,0mm,0mm" style="mso-fit-shape-to-text:t;">
                <w:txbxContent>
                  <w:p w14:paraId="1F119CC0">
                    <w:pPr>
                      <w:pStyle w:val="9"/>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59332">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D5F1FB">
                          <w:pPr>
                            <w:pStyle w:val="9"/>
                          </w:pPr>
                          <w:r>
                            <w:fldChar w:fldCharType="begin"/>
                          </w:r>
                          <w:r>
                            <w:instrText xml:space="preserve"> PAGE  \* MERGEFORMAT </w:instrText>
                          </w:r>
                          <w:r>
                            <w:fldChar w:fldCharType="separate"/>
                          </w:r>
                          <w:r>
                            <w:t>47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3JIMk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wcQ9SHrqxRrgfh9piwidJbrjDCToVxZoXdtF95KR7fS9bDP7X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LckgyQEAAJsDAAAOAAAAAAAAAAEAIAAAAB4BAABkcnMvZTJvRG9j&#10;LnhtbFBLBQYAAAAABgAGAFkBAABZBQAAAAA=&#10;">
              <v:fill on="f" focussize="0,0"/>
              <v:stroke on="f"/>
              <v:imagedata o:title=""/>
              <o:lock v:ext="edit" aspectratio="f"/>
              <v:textbox inset="0mm,0mm,0mm,0mm" style="mso-fit-shape-to-text:t;">
                <w:txbxContent>
                  <w:p w14:paraId="3BD5F1FB">
                    <w:pPr>
                      <w:pStyle w:val="9"/>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4C173">
    <w:pPr>
      <w:pStyle w:val="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ED13CE">
                          <w:pPr>
                            <w:pStyle w:val="9"/>
                          </w:pPr>
                          <w:r>
                            <w:fldChar w:fldCharType="begin"/>
                          </w:r>
                          <w:r>
                            <w:instrText xml:space="preserve"> PAGE  \* MERGEFORMAT </w:instrText>
                          </w:r>
                          <w:r>
                            <w:fldChar w:fldCharType="separate"/>
                          </w:r>
                          <w:r>
                            <w:t>50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4M8c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DV2iJI5bnPj5x/fzz9/nX98I&#10;+lCgPkCNeY8BM9Nw4wdcm9kP6My8BxVt/iIjgnHEOl3klUMiIj9aLVerCkMCY/MF8dnT8xAh3Ulv&#10;STYaGnF+RVZ+vIc0ps4puZrzt9qYMkPj/nIgZvaw3PvYY7bSsBsmQjvfnpBPj6NvqMNNp8R8dKgs&#10;9pdmI87GbjYOIep9V9Yo14Pw4ZCwidJbrjDCToVxZoXdtF95KZ7fS9bT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TgzxyQEAAJsDAAAOAAAAAAAAAAEAIAAAAB4BAABkcnMvZTJvRG9j&#10;LnhtbFBLBQYAAAAABgAGAFkBAABZBQAAAAA=&#10;">
              <v:fill on="f" focussize="0,0"/>
              <v:stroke on="f"/>
              <v:imagedata o:title=""/>
              <o:lock v:ext="edit" aspectratio="f"/>
              <v:textbox inset="0mm,0mm,0mm,0mm" style="mso-fit-shape-to-text:t;">
                <w:txbxContent>
                  <w:p w14:paraId="0AED13CE">
                    <w:pPr>
                      <w:pStyle w:val="9"/>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DCA5A">
    <w:pPr>
      <w:pStyle w:val="9"/>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319613">
                          <w:pPr>
                            <w:pStyle w:val="9"/>
                          </w:pPr>
                          <w:r>
                            <w:fldChar w:fldCharType="begin"/>
                          </w:r>
                          <w:r>
                            <w:instrText xml:space="preserve"> PAGE  \* MERGEFORMAT </w:instrText>
                          </w:r>
                          <w:r>
                            <w:fldChar w:fldCharType="separate"/>
                          </w:r>
                          <w:r>
                            <w:t>78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0AeM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ctrShy3OPHzzx/nX3/Ov78T&#10;9KFAfYAa8x4CZqbhgx9wbWY/oDPzHlS0+YuMCMZR3tNFXjkkIvKj1XK1qjAkMDZfEJ89Pg8R0kfp&#10;LclGQyPOr8jKj3eQxtQ5JVdz/lYbU2Zo3H8OxMwelnsfe8xWGnbDRGjn2xPy6XH0DXW46ZSYTw6V&#10;zVsyG3E2drNxCFHvu7JGuR6E94eETZTecoURdiqMMyvspv3KS/HvvWQ9/lO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DQB4yQEAAJsDAAAOAAAAAAAAAAEAIAAAAB4BAABkcnMvZTJvRG9j&#10;LnhtbFBLBQYAAAAABgAGAFkBAABZBQAAAAA=&#10;">
              <v:fill on="f" focussize="0,0"/>
              <v:stroke on="f"/>
              <v:imagedata o:title=""/>
              <o:lock v:ext="edit" aspectratio="f"/>
              <v:textbox inset="0mm,0mm,0mm,0mm" style="mso-fit-shape-to-text:t;">
                <w:txbxContent>
                  <w:p w14:paraId="78319613">
                    <w:pPr>
                      <w:pStyle w:val="9"/>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FDE00">
    <w:pPr>
      <w:pStyle w:val="9"/>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4DAE0F">
                          <w:pPr>
                            <w:pStyle w:val="9"/>
                          </w:pPr>
                          <w:r>
                            <w:fldChar w:fldCharType="begin"/>
                          </w:r>
                          <w:r>
                            <w:instrText xml:space="preserve"> PAGE  \* MERGEFORMAT </w:instrText>
                          </w:r>
                          <w:r>
                            <w:fldChar w:fldCharType="separate"/>
                          </w:r>
                          <w:r>
                            <w:t>79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14:paraId="214DAE0F">
                    <w:pPr>
                      <w:pStyle w:val="9"/>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3E019">
    <w:pPr>
      <w:pStyle w:val="9"/>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567FB9">
                          <w:pPr>
                            <w:pStyle w:val="9"/>
                          </w:pPr>
                          <w:r>
                            <w:fldChar w:fldCharType="begin"/>
                          </w:r>
                          <w:r>
                            <w:instrText xml:space="preserve"> PAGE  \* MERGEFORMAT </w:instrText>
                          </w:r>
                          <w:r>
                            <w:fldChar w:fldCharType="separate"/>
                          </w:r>
                          <w:r>
                            <w:t>80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vRG8k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1DiHrflTXK9SC8Oy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9EbyQEAAJsDAAAOAAAAAAAAAAEAIAAAAB4BAABkcnMvZTJvRG9j&#10;LnhtbFBLBQYAAAAABgAGAFkBAABZBQAAAAA=&#10;">
              <v:fill on="f" focussize="0,0"/>
              <v:stroke on="f"/>
              <v:imagedata o:title=""/>
              <o:lock v:ext="edit" aspectratio="f"/>
              <v:textbox inset="0mm,0mm,0mm,0mm" style="mso-fit-shape-to-text:t;">
                <w:txbxContent>
                  <w:p w14:paraId="29567FB9">
                    <w:pPr>
                      <w:pStyle w:val="9"/>
                    </w:pPr>
                    <w:r>
                      <w:fldChar w:fldCharType="begin"/>
                    </w:r>
                    <w:r>
                      <w:instrText xml:space="preserve"> PAGE  \* MERGEFORMAT </w:instrText>
                    </w:r>
                    <w:r>
                      <w:fldChar w:fldCharType="separate"/>
                    </w:r>
                    <w:r>
                      <w:t>80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BD73E">
    <w:pPr>
      <w:pStyle w:val="5"/>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60057">
    <w:pPr>
      <w:pStyle w:val="5"/>
      <w:spacing w:line="50"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01CC2">
    <w:pPr>
      <w:pStyle w:val="5"/>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88046">
    <w:pPr>
      <w:pStyle w:val="5"/>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C9BDCA"/>
    <w:multiLevelType w:val="singleLevel"/>
    <w:tmpl w:val="E6C9BDCA"/>
    <w:lvl w:ilvl="0" w:tentative="0">
      <w:start w:val="1"/>
      <w:numFmt w:val="decimal"/>
      <w:suff w:val="nothing"/>
      <w:lvlText w:val="（%1）"/>
      <w:lvlJc w:val="left"/>
    </w:lvl>
  </w:abstractNum>
  <w:abstractNum w:abstractNumId="1">
    <w:nsid w:val="2A188D02"/>
    <w:multiLevelType w:val="multilevel"/>
    <w:tmpl w:val="2A188D02"/>
    <w:lvl w:ilvl="0" w:tentative="0">
      <w:start w:val="1"/>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2">
    <w:nsid w:val="609EB8A8"/>
    <w:multiLevelType w:val="singleLevel"/>
    <w:tmpl w:val="609EB8A8"/>
    <w:lvl w:ilvl="0" w:tentative="0">
      <w:start w:val="1"/>
      <w:numFmt w:val="decimal"/>
      <w:lvlText w:val="%1."/>
      <w:lvlJc w:val="left"/>
      <w:pPr>
        <w:tabs>
          <w:tab w:val="left" w:pos="312"/>
        </w:tabs>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ZmUxYzUwZTk0YWQ4OWIxZDY5YjRhZmIwMjUzNzMifQ=="/>
  </w:docVars>
  <w:rsids>
    <w:rsidRoot w:val="4F582EF7"/>
    <w:rsid w:val="00072C34"/>
    <w:rsid w:val="00473031"/>
    <w:rsid w:val="00824069"/>
    <w:rsid w:val="00D61DC8"/>
    <w:rsid w:val="01276505"/>
    <w:rsid w:val="013F232E"/>
    <w:rsid w:val="014C6B51"/>
    <w:rsid w:val="018B7D8A"/>
    <w:rsid w:val="01B6213A"/>
    <w:rsid w:val="01BE1198"/>
    <w:rsid w:val="01E25ABE"/>
    <w:rsid w:val="01EE7C08"/>
    <w:rsid w:val="01FD63CC"/>
    <w:rsid w:val="02337D11"/>
    <w:rsid w:val="023B3D55"/>
    <w:rsid w:val="024F6BF1"/>
    <w:rsid w:val="02BF0C55"/>
    <w:rsid w:val="02F13018"/>
    <w:rsid w:val="031418F0"/>
    <w:rsid w:val="034D5F3F"/>
    <w:rsid w:val="0358304C"/>
    <w:rsid w:val="03661A20"/>
    <w:rsid w:val="039E06FB"/>
    <w:rsid w:val="04021749"/>
    <w:rsid w:val="04B67F25"/>
    <w:rsid w:val="04BF763A"/>
    <w:rsid w:val="04E2157A"/>
    <w:rsid w:val="04EF43C3"/>
    <w:rsid w:val="050B1B91"/>
    <w:rsid w:val="055E6E53"/>
    <w:rsid w:val="056C5F91"/>
    <w:rsid w:val="05D4768F"/>
    <w:rsid w:val="05E67124"/>
    <w:rsid w:val="05E732EC"/>
    <w:rsid w:val="05EC614B"/>
    <w:rsid w:val="062235DD"/>
    <w:rsid w:val="063C112F"/>
    <w:rsid w:val="06856661"/>
    <w:rsid w:val="069B537E"/>
    <w:rsid w:val="06A9654F"/>
    <w:rsid w:val="06C70A28"/>
    <w:rsid w:val="06C929F2"/>
    <w:rsid w:val="06CA23DC"/>
    <w:rsid w:val="06D05B2E"/>
    <w:rsid w:val="06DD024B"/>
    <w:rsid w:val="07001B9F"/>
    <w:rsid w:val="07133987"/>
    <w:rsid w:val="07520C39"/>
    <w:rsid w:val="07A1396F"/>
    <w:rsid w:val="07A71DAB"/>
    <w:rsid w:val="07B92A66"/>
    <w:rsid w:val="07DE24CD"/>
    <w:rsid w:val="086230FE"/>
    <w:rsid w:val="088C763C"/>
    <w:rsid w:val="08CD7283"/>
    <w:rsid w:val="08E41D65"/>
    <w:rsid w:val="08EB6C4F"/>
    <w:rsid w:val="092D5890"/>
    <w:rsid w:val="09377CD6"/>
    <w:rsid w:val="0963211F"/>
    <w:rsid w:val="09724BB7"/>
    <w:rsid w:val="09C807D3"/>
    <w:rsid w:val="09F06AB0"/>
    <w:rsid w:val="09FA34EB"/>
    <w:rsid w:val="09FF4A68"/>
    <w:rsid w:val="0A62467A"/>
    <w:rsid w:val="0A7D4664"/>
    <w:rsid w:val="0A87732E"/>
    <w:rsid w:val="0ACF3DEB"/>
    <w:rsid w:val="0AD33307"/>
    <w:rsid w:val="0AE05E8C"/>
    <w:rsid w:val="0AF3628F"/>
    <w:rsid w:val="0B3866B7"/>
    <w:rsid w:val="0B9E41C6"/>
    <w:rsid w:val="0BC6217A"/>
    <w:rsid w:val="0BD240F7"/>
    <w:rsid w:val="0BE301C1"/>
    <w:rsid w:val="0C120997"/>
    <w:rsid w:val="0C2A7A8F"/>
    <w:rsid w:val="0C2B1A59"/>
    <w:rsid w:val="0C4153D2"/>
    <w:rsid w:val="0C49746F"/>
    <w:rsid w:val="0C597D15"/>
    <w:rsid w:val="0CA07D76"/>
    <w:rsid w:val="0CA27F6D"/>
    <w:rsid w:val="0CF14A50"/>
    <w:rsid w:val="0D03679A"/>
    <w:rsid w:val="0D3B3F1D"/>
    <w:rsid w:val="0D4F62D4"/>
    <w:rsid w:val="0D7C38BD"/>
    <w:rsid w:val="0DCB0DFD"/>
    <w:rsid w:val="0DCE22AF"/>
    <w:rsid w:val="0DF525DE"/>
    <w:rsid w:val="0DF61CE0"/>
    <w:rsid w:val="0DF86616"/>
    <w:rsid w:val="0E1E1875"/>
    <w:rsid w:val="0E460DCC"/>
    <w:rsid w:val="0E684952"/>
    <w:rsid w:val="0E86353F"/>
    <w:rsid w:val="0E8E37ED"/>
    <w:rsid w:val="0EAF2E14"/>
    <w:rsid w:val="0EDB59B8"/>
    <w:rsid w:val="0F1C2D99"/>
    <w:rsid w:val="0F6F04DC"/>
    <w:rsid w:val="105858FC"/>
    <w:rsid w:val="106C3AC2"/>
    <w:rsid w:val="108403E2"/>
    <w:rsid w:val="109275A9"/>
    <w:rsid w:val="10C15734"/>
    <w:rsid w:val="10C44237"/>
    <w:rsid w:val="10C761F4"/>
    <w:rsid w:val="11164A85"/>
    <w:rsid w:val="1122342A"/>
    <w:rsid w:val="114F1E9C"/>
    <w:rsid w:val="11533574"/>
    <w:rsid w:val="11785740"/>
    <w:rsid w:val="117A3266"/>
    <w:rsid w:val="11862732"/>
    <w:rsid w:val="118F278E"/>
    <w:rsid w:val="119D4F21"/>
    <w:rsid w:val="11A47985"/>
    <w:rsid w:val="11AC40AD"/>
    <w:rsid w:val="11C12C43"/>
    <w:rsid w:val="11C67A56"/>
    <w:rsid w:val="11D80D88"/>
    <w:rsid w:val="12474DCB"/>
    <w:rsid w:val="12527641"/>
    <w:rsid w:val="126805E3"/>
    <w:rsid w:val="12C30F58"/>
    <w:rsid w:val="12E7492B"/>
    <w:rsid w:val="12E74FC1"/>
    <w:rsid w:val="12F27F6E"/>
    <w:rsid w:val="13C92283"/>
    <w:rsid w:val="14141B79"/>
    <w:rsid w:val="14411E32"/>
    <w:rsid w:val="1457788F"/>
    <w:rsid w:val="14760C96"/>
    <w:rsid w:val="14882C02"/>
    <w:rsid w:val="14D013EF"/>
    <w:rsid w:val="150A2744"/>
    <w:rsid w:val="150D2643"/>
    <w:rsid w:val="15115C90"/>
    <w:rsid w:val="15235081"/>
    <w:rsid w:val="155A4F75"/>
    <w:rsid w:val="15763D45"/>
    <w:rsid w:val="15853F88"/>
    <w:rsid w:val="15A45AE5"/>
    <w:rsid w:val="15D97B34"/>
    <w:rsid w:val="15DC13FE"/>
    <w:rsid w:val="15E038B4"/>
    <w:rsid w:val="16005D04"/>
    <w:rsid w:val="160E0085"/>
    <w:rsid w:val="162E6E4D"/>
    <w:rsid w:val="16443E43"/>
    <w:rsid w:val="16737FC1"/>
    <w:rsid w:val="16C17241"/>
    <w:rsid w:val="16CB00C0"/>
    <w:rsid w:val="16CB4A2F"/>
    <w:rsid w:val="1722468F"/>
    <w:rsid w:val="173C4B1A"/>
    <w:rsid w:val="17726DD2"/>
    <w:rsid w:val="17C50FB3"/>
    <w:rsid w:val="18226406"/>
    <w:rsid w:val="182A472E"/>
    <w:rsid w:val="18602A8A"/>
    <w:rsid w:val="190B3062"/>
    <w:rsid w:val="1963464B"/>
    <w:rsid w:val="197764F6"/>
    <w:rsid w:val="1981143D"/>
    <w:rsid w:val="19BC1F42"/>
    <w:rsid w:val="1A3A6836"/>
    <w:rsid w:val="1A584D7E"/>
    <w:rsid w:val="1A5B5BFF"/>
    <w:rsid w:val="1A5D1977"/>
    <w:rsid w:val="1AC50DC4"/>
    <w:rsid w:val="1ADC0499"/>
    <w:rsid w:val="1AE57555"/>
    <w:rsid w:val="1B0A266C"/>
    <w:rsid w:val="1B656D35"/>
    <w:rsid w:val="1B6A170F"/>
    <w:rsid w:val="1B745FC1"/>
    <w:rsid w:val="1B8D003A"/>
    <w:rsid w:val="1BD3299D"/>
    <w:rsid w:val="1BEC4D61"/>
    <w:rsid w:val="1C2A3ADB"/>
    <w:rsid w:val="1C324211"/>
    <w:rsid w:val="1C512E14"/>
    <w:rsid w:val="1C5632C7"/>
    <w:rsid w:val="1C7F3E27"/>
    <w:rsid w:val="1C872CDB"/>
    <w:rsid w:val="1D880AB9"/>
    <w:rsid w:val="1DA27862"/>
    <w:rsid w:val="1DE11B57"/>
    <w:rsid w:val="1E206F43"/>
    <w:rsid w:val="1E3B5B2B"/>
    <w:rsid w:val="1E491296"/>
    <w:rsid w:val="1E4F7829"/>
    <w:rsid w:val="1E5D49E3"/>
    <w:rsid w:val="1E7D4396"/>
    <w:rsid w:val="1E994221"/>
    <w:rsid w:val="1EDA5344"/>
    <w:rsid w:val="1EE13915"/>
    <w:rsid w:val="1EE461C3"/>
    <w:rsid w:val="1F077682"/>
    <w:rsid w:val="1F487665"/>
    <w:rsid w:val="1F683A66"/>
    <w:rsid w:val="1F875754"/>
    <w:rsid w:val="1FFE32B4"/>
    <w:rsid w:val="2020237A"/>
    <w:rsid w:val="20515ADA"/>
    <w:rsid w:val="20801F1B"/>
    <w:rsid w:val="208A4B48"/>
    <w:rsid w:val="209669C5"/>
    <w:rsid w:val="20B16579"/>
    <w:rsid w:val="20C37337"/>
    <w:rsid w:val="20CB1F07"/>
    <w:rsid w:val="20F6072B"/>
    <w:rsid w:val="21090925"/>
    <w:rsid w:val="21244F9D"/>
    <w:rsid w:val="213D3171"/>
    <w:rsid w:val="222C2B90"/>
    <w:rsid w:val="22457E73"/>
    <w:rsid w:val="22837AA1"/>
    <w:rsid w:val="22884FD6"/>
    <w:rsid w:val="228A4478"/>
    <w:rsid w:val="22F866E1"/>
    <w:rsid w:val="23213C5D"/>
    <w:rsid w:val="232C2DD6"/>
    <w:rsid w:val="2331574F"/>
    <w:rsid w:val="233953DA"/>
    <w:rsid w:val="235B72E4"/>
    <w:rsid w:val="23931F66"/>
    <w:rsid w:val="23C465C3"/>
    <w:rsid w:val="241801A6"/>
    <w:rsid w:val="24262DDA"/>
    <w:rsid w:val="2446643F"/>
    <w:rsid w:val="24521E21"/>
    <w:rsid w:val="246102B6"/>
    <w:rsid w:val="24782AD4"/>
    <w:rsid w:val="248726E0"/>
    <w:rsid w:val="249C3951"/>
    <w:rsid w:val="24DB3BC4"/>
    <w:rsid w:val="24FA6740"/>
    <w:rsid w:val="25004979"/>
    <w:rsid w:val="25243F0A"/>
    <w:rsid w:val="2535226A"/>
    <w:rsid w:val="253A7C36"/>
    <w:rsid w:val="254C2D14"/>
    <w:rsid w:val="256D06AE"/>
    <w:rsid w:val="2582242A"/>
    <w:rsid w:val="259D2ECD"/>
    <w:rsid w:val="25A55F80"/>
    <w:rsid w:val="25B20381"/>
    <w:rsid w:val="25E62821"/>
    <w:rsid w:val="25F25669"/>
    <w:rsid w:val="260B04D9"/>
    <w:rsid w:val="264763B7"/>
    <w:rsid w:val="2672726E"/>
    <w:rsid w:val="26734FA1"/>
    <w:rsid w:val="26881A92"/>
    <w:rsid w:val="268B2A3A"/>
    <w:rsid w:val="268B3DAD"/>
    <w:rsid w:val="26962499"/>
    <w:rsid w:val="26A61FB0"/>
    <w:rsid w:val="27035E88"/>
    <w:rsid w:val="272A1B90"/>
    <w:rsid w:val="27415C62"/>
    <w:rsid w:val="27B65EBB"/>
    <w:rsid w:val="27CA47C6"/>
    <w:rsid w:val="282B4E63"/>
    <w:rsid w:val="28884063"/>
    <w:rsid w:val="28884FF7"/>
    <w:rsid w:val="289A5B44"/>
    <w:rsid w:val="289F315B"/>
    <w:rsid w:val="28D472A8"/>
    <w:rsid w:val="29017971"/>
    <w:rsid w:val="290F389D"/>
    <w:rsid w:val="2962542C"/>
    <w:rsid w:val="299E36C0"/>
    <w:rsid w:val="29CC6CA4"/>
    <w:rsid w:val="2A485E4D"/>
    <w:rsid w:val="2A846AAC"/>
    <w:rsid w:val="2A8D5961"/>
    <w:rsid w:val="2B367172"/>
    <w:rsid w:val="2B7314CC"/>
    <w:rsid w:val="2B784A6E"/>
    <w:rsid w:val="2B9A7B07"/>
    <w:rsid w:val="2BA07916"/>
    <w:rsid w:val="2BAE2033"/>
    <w:rsid w:val="2BB37649"/>
    <w:rsid w:val="2BC9037C"/>
    <w:rsid w:val="2BFD3113"/>
    <w:rsid w:val="2C0003B4"/>
    <w:rsid w:val="2C1005F7"/>
    <w:rsid w:val="2C15160E"/>
    <w:rsid w:val="2C44430E"/>
    <w:rsid w:val="2C4F172C"/>
    <w:rsid w:val="2C9C00DD"/>
    <w:rsid w:val="2CA156F3"/>
    <w:rsid w:val="2D906B09"/>
    <w:rsid w:val="2D9C5EBB"/>
    <w:rsid w:val="2DD973AC"/>
    <w:rsid w:val="2DFB1659"/>
    <w:rsid w:val="2E0221C2"/>
    <w:rsid w:val="2E611B70"/>
    <w:rsid w:val="2E9A689E"/>
    <w:rsid w:val="2ECB6A58"/>
    <w:rsid w:val="2EDD4BB1"/>
    <w:rsid w:val="2EE93382"/>
    <w:rsid w:val="2F01185F"/>
    <w:rsid w:val="2F0E5872"/>
    <w:rsid w:val="2F2729AC"/>
    <w:rsid w:val="2F3C0F4C"/>
    <w:rsid w:val="2F4705EB"/>
    <w:rsid w:val="2FB82F9F"/>
    <w:rsid w:val="2FE418AC"/>
    <w:rsid w:val="2FE5383E"/>
    <w:rsid w:val="2FEA4C7F"/>
    <w:rsid w:val="301601A6"/>
    <w:rsid w:val="30330D58"/>
    <w:rsid w:val="3037089D"/>
    <w:rsid w:val="30EA3353"/>
    <w:rsid w:val="31013C49"/>
    <w:rsid w:val="312319EF"/>
    <w:rsid w:val="313C778B"/>
    <w:rsid w:val="318F6462"/>
    <w:rsid w:val="321A2D0F"/>
    <w:rsid w:val="32382656"/>
    <w:rsid w:val="324D664C"/>
    <w:rsid w:val="3267118D"/>
    <w:rsid w:val="32870EE7"/>
    <w:rsid w:val="32BE6EB2"/>
    <w:rsid w:val="32C7154E"/>
    <w:rsid w:val="33156D5E"/>
    <w:rsid w:val="3317207A"/>
    <w:rsid w:val="331A6B7B"/>
    <w:rsid w:val="331F2052"/>
    <w:rsid w:val="333554DB"/>
    <w:rsid w:val="33396D39"/>
    <w:rsid w:val="33643EF5"/>
    <w:rsid w:val="338A47C4"/>
    <w:rsid w:val="33D80BF4"/>
    <w:rsid w:val="33D939C5"/>
    <w:rsid w:val="33F77F81"/>
    <w:rsid w:val="34254482"/>
    <w:rsid w:val="346F257B"/>
    <w:rsid w:val="3481446E"/>
    <w:rsid w:val="348C4EDB"/>
    <w:rsid w:val="348F605A"/>
    <w:rsid w:val="34E716B6"/>
    <w:rsid w:val="3505113E"/>
    <w:rsid w:val="35233259"/>
    <w:rsid w:val="35357321"/>
    <w:rsid w:val="355115AF"/>
    <w:rsid w:val="359F2BE0"/>
    <w:rsid w:val="35AE6CC5"/>
    <w:rsid w:val="35FC399A"/>
    <w:rsid w:val="362A675A"/>
    <w:rsid w:val="36B60605"/>
    <w:rsid w:val="36DB3EF8"/>
    <w:rsid w:val="36DB7A54"/>
    <w:rsid w:val="36EC39E0"/>
    <w:rsid w:val="37484E0B"/>
    <w:rsid w:val="37647A49"/>
    <w:rsid w:val="37704640"/>
    <w:rsid w:val="37704A11"/>
    <w:rsid w:val="37C45ACE"/>
    <w:rsid w:val="37DF2D89"/>
    <w:rsid w:val="37E335F2"/>
    <w:rsid w:val="3835053A"/>
    <w:rsid w:val="386B727B"/>
    <w:rsid w:val="38BE1535"/>
    <w:rsid w:val="38CA7D80"/>
    <w:rsid w:val="39194863"/>
    <w:rsid w:val="391D7376"/>
    <w:rsid w:val="392B4CC2"/>
    <w:rsid w:val="39403E21"/>
    <w:rsid w:val="397A7B42"/>
    <w:rsid w:val="399A1E48"/>
    <w:rsid w:val="39B4157B"/>
    <w:rsid w:val="39D55A01"/>
    <w:rsid w:val="39DA2245"/>
    <w:rsid w:val="3A104D75"/>
    <w:rsid w:val="3A344D97"/>
    <w:rsid w:val="3A4C2C68"/>
    <w:rsid w:val="3A4D1A2B"/>
    <w:rsid w:val="3A5244D1"/>
    <w:rsid w:val="3A5E69D2"/>
    <w:rsid w:val="3B2C2F74"/>
    <w:rsid w:val="3B3415C4"/>
    <w:rsid w:val="3B345984"/>
    <w:rsid w:val="3B351E28"/>
    <w:rsid w:val="3B4F53C1"/>
    <w:rsid w:val="3B626996"/>
    <w:rsid w:val="3B694A1D"/>
    <w:rsid w:val="3B6C6BA3"/>
    <w:rsid w:val="3B78218B"/>
    <w:rsid w:val="3BAE3989"/>
    <w:rsid w:val="3BB15227"/>
    <w:rsid w:val="3BF02721"/>
    <w:rsid w:val="3BFA0A8A"/>
    <w:rsid w:val="3C242530"/>
    <w:rsid w:val="3C4165AB"/>
    <w:rsid w:val="3CCA02B2"/>
    <w:rsid w:val="3CD613E9"/>
    <w:rsid w:val="3CE62383"/>
    <w:rsid w:val="3CEC7A2A"/>
    <w:rsid w:val="3D0433A8"/>
    <w:rsid w:val="3D0F69B6"/>
    <w:rsid w:val="3D2959BD"/>
    <w:rsid w:val="3D3219D3"/>
    <w:rsid w:val="3D3474F8"/>
    <w:rsid w:val="3DCE35B6"/>
    <w:rsid w:val="3DD136B5"/>
    <w:rsid w:val="3DD5344F"/>
    <w:rsid w:val="3E0F3EB7"/>
    <w:rsid w:val="3E2609B2"/>
    <w:rsid w:val="3E76426F"/>
    <w:rsid w:val="3E7F6463"/>
    <w:rsid w:val="3E962D65"/>
    <w:rsid w:val="3ECB4852"/>
    <w:rsid w:val="3EEB0292"/>
    <w:rsid w:val="3F281B00"/>
    <w:rsid w:val="3F6A7BC7"/>
    <w:rsid w:val="3F930BE9"/>
    <w:rsid w:val="3F952DC8"/>
    <w:rsid w:val="3FE15005"/>
    <w:rsid w:val="3FE77469"/>
    <w:rsid w:val="400E2C48"/>
    <w:rsid w:val="407E19EB"/>
    <w:rsid w:val="40ED6D01"/>
    <w:rsid w:val="41216845"/>
    <w:rsid w:val="413A36FE"/>
    <w:rsid w:val="4176014F"/>
    <w:rsid w:val="4213220D"/>
    <w:rsid w:val="4235270E"/>
    <w:rsid w:val="423F17DF"/>
    <w:rsid w:val="42461BF0"/>
    <w:rsid w:val="424C7A58"/>
    <w:rsid w:val="425F37A8"/>
    <w:rsid w:val="427179B7"/>
    <w:rsid w:val="428D039F"/>
    <w:rsid w:val="429E2362"/>
    <w:rsid w:val="42FC0E58"/>
    <w:rsid w:val="43077F25"/>
    <w:rsid w:val="4310792B"/>
    <w:rsid w:val="43621354"/>
    <w:rsid w:val="436D5ED7"/>
    <w:rsid w:val="437454B8"/>
    <w:rsid w:val="43947908"/>
    <w:rsid w:val="43AA0EDA"/>
    <w:rsid w:val="43D25E53"/>
    <w:rsid w:val="43E25FC1"/>
    <w:rsid w:val="440138A0"/>
    <w:rsid w:val="44246EDE"/>
    <w:rsid w:val="44692B43"/>
    <w:rsid w:val="447C65C0"/>
    <w:rsid w:val="448742A8"/>
    <w:rsid w:val="44875C56"/>
    <w:rsid w:val="44983428"/>
    <w:rsid w:val="44AB152B"/>
    <w:rsid w:val="44B325BC"/>
    <w:rsid w:val="44C47D79"/>
    <w:rsid w:val="451A208F"/>
    <w:rsid w:val="453273D9"/>
    <w:rsid w:val="45433394"/>
    <w:rsid w:val="45877724"/>
    <w:rsid w:val="458A0FC3"/>
    <w:rsid w:val="458D2861"/>
    <w:rsid w:val="45BB3260"/>
    <w:rsid w:val="46092999"/>
    <w:rsid w:val="4612476D"/>
    <w:rsid w:val="468F5CB4"/>
    <w:rsid w:val="46957C1F"/>
    <w:rsid w:val="46C027C2"/>
    <w:rsid w:val="4743767B"/>
    <w:rsid w:val="474820C5"/>
    <w:rsid w:val="474855C4"/>
    <w:rsid w:val="475B13E7"/>
    <w:rsid w:val="47777325"/>
    <w:rsid w:val="47DD7AD0"/>
    <w:rsid w:val="47E70FBB"/>
    <w:rsid w:val="47F02414"/>
    <w:rsid w:val="48021647"/>
    <w:rsid w:val="481D611E"/>
    <w:rsid w:val="48221986"/>
    <w:rsid w:val="48367BDF"/>
    <w:rsid w:val="48B545A9"/>
    <w:rsid w:val="48D34790"/>
    <w:rsid w:val="48ED18F0"/>
    <w:rsid w:val="48F826E7"/>
    <w:rsid w:val="49290AF3"/>
    <w:rsid w:val="4929464F"/>
    <w:rsid w:val="494C6C0E"/>
    <w:rsid w:val="4955379A"/>
    <w:rsid w:val="498C348F"/>
    <w:rsid w:val="49C34AA3"/>
    <w:rsid w:val="49DA3B9B"/>
    <w:rsid w:val="49DA528B"/>
    <w:rsid w:val="49FA4012"/>
    <w:rsid w:val="49FA5FEB"/>
    <w:rsid w:val="4A4F4589"/>
    <w:rsid w:val="4A5573E4"/>
    <w:rsid w:val="4A62606A"/>
    <w:rsid w:val="4A712751"/>
    <w:rsid w:val="4AB643D1"/>
    <w:rsid w:val="4AF87271"/>
    <w:rsid w:val="4B036BFD"/>
    <w:rsid w:val="4B380D6F"/>
    <w:rsid w:val="4B3A1029"/>
    <w:rsid w:val="4B555BCF"/>
    <w:rsid w:val="4B5A3EB8"/>
    <w:rsid w:val="4B6E0A3F"/>
    <w:rsid w:val="4B771FE9"/>
    <w:rsid w:val="4BBC29D4"/>
    <w:rsid w:val="4C3C0B3D"/>
    <w:rsid w:val="4C443C2D"/>
    <w:rsid w:val="4C560DCF"/>
    <w:rsid w:val="4C723258"/>
    <w:rsid w:val="4CB608EF"/>
    <w:rsid w:val="4D0E072B"/>
    <w:rsid w:val="4D0F1621"/>
    <w:rsid w:val="4D24354A"/>
    <w:rsid w:val="4D4E6D7A"/>
    <w:rsid w:val="4D9A1FBF"/>
    <w:rsid w:val="4DCE1F8B"/>
    <w:rsid w:val="4DF94F37"/>
    <w:rsid w:val="4E0D2791"/>
    <w:rsid w:val="4E265601"/>
    <w:rsid w:val="4E2A6045"/>
    <w:rsid w:val="4E437F61"/>
    <w:rsid w:val="4E4E19C6"/>
    <w:rsid w:val="4EB40E5E"/>
    <w:rsid w:val="4F1A33B7"/>
    <w:rsid w:val="4F411EB6"/>
    <w:rsid w:val="4F582EF7"/>
    <w:rsid w:val="4FBA24A4"/>
    <w:rsid w:val="4FBB7FCB"/>
    <w:rsid w:val="4FD64115"/>
    <w:rsid w:val="50100316"/>
    <w:rsid w:val="502A41CA"/>
    <w:rsid w:val="50377300"/>
    <w:rsid w:val="50983373"/>
    <w:rsid w:val="50AB5953"/>
    <w:rsid w:val="50D60C20"/>
    <w:rsid w:val="51183927"/>
    <w:rsid w:val="511D1137"/>
    <w:rsid w:val="5135755A"/>
    <w:rsid w:val="51574F11"/>
    <w:rsid w:val="5167040A"/>
    <w:rsid w:val="517B73AD"/>
    <w:rsid w:val="518A5306"/>
    <w:rsid w:val="51983548"/>
    <w:rsid w:val="51AB3D3B"/>
    <w:rsid w:val="51BD3D23"/>
    <w:rsid w:val="51D04201"/>
    <w:rsid w:val="51DA0BDC"/>
    <w:rsid w:val="51DC4954"/>
    <w:rsid w:val="51EF7C55"/>
    <w:rsid w:val="521A27DD"/>
    <w:rsid w:val="52534816"/>
    <w:rsid w:val="52634928"/>
    <w:rsid w:val="528742DD"/>
    <w:rsid w:val="52A0414F"/>
    <w:rsid w:val="53277999"/>
    <w:rsid w:val="53987EBC"/>
    <w:rsid w:val="53A35FB7"/>
    <w:rsid w:val="53A95638"/>
    <w:rsid w:val="53CE4770"/>
    <w:rsid w:val="53E24E44"/>
    <w:rsid w:val="53F94527"/>
    <w:rsid w:val="54014B46"/>
    <w:rsid w:val="54297BF9"/>
    <w:rsid w:val="5472334E"/>
    <w:rsid w:val="54DB5397"/>
    <w:rsid w:val="550348EE"/>
    <w:rsid w:val="5554525E"/>
    <w:rsid w:val="555D5DAC"/>
    <w:rsid w:val="5563097D"/>
    <w:rsid w:val="556F4EE2"/>
    <w:rsid w:val="55D21BD3"/>
    <w:rsid w:val="56312D95"/>
    <w:rsid w:val="564725B8"/>
    <w:rsid w:val="56652099"/>
    <w:rsid w:val="56680EAC"/>
    <w:rsid w:val="56843C9F"/>
    <w:rsid w:val="569B3338"/>
    <w:rsid w:val="56A40209"/>
    <w:rsid w:val="56F5281F"/>
    <w:rsid w:val="573E766F"/>
    <w:rsid w:val="5765355C"/>
    <w:rsid w:val="57690BD0"/>
    <w:rsid w:val="576F0018"/>
    <w:rsid w:val="57C15E41"/>
    <w:rsid w:val="57CA1153"/>
    <w:rsid w:val="57E46E53"/>
    <w:rsid w:val="580118E9"/>
    <w:rsid w:val="5808505F"/>
    <w:rsid w:val="580E253F"/>
    <w:rsid w:val="58254B7B"/>
    <w:rsid w:val="584A495B"/>
    <w:rsid w:val="584B22BE"/>
    <w:rsid w:val="5892758E"/>
    <w:rsid w:val="58947716"/>
    <w:rsid w:val="58A65CBC"/>
    <w:rsid w:val="58B66C06"/>
    <w:rsid w:val="58C779E0"/>
    <w:rsid w:val="5909228A"/>
    <w:rsid w:val="59154BEF"/>
    <w:rsid w:val="593A16EF"/>
    <w:rsid w:val="59CA7788"/>
    <w:rsid w:val="5A1B6236"/>
    <w:rsid w:val="5A2E712E"/>
    <w:rsid w:val="5A2F2D66"/>
    <w:rsid w:val="5A6D6164"/>
    <w:rsid w:val="5A86004F"/>
    <w:rsid w:val="5A8938AD"/>
    <w:rsid w:val="5AAE69DB"/>
    <w:rsid w:val="5AF0582F"/>
    <w:rsid w:val="5AF947C9"/>
    <w:rsid w:val="5B1B6AA6"/>
    <w:rsid w:val="5B224E28"/>
    <w:rsid w:val="5B24512C"/>
    <w:rsid w:val="5B7D7A78"/>
    <w:rsid w:val="5BA65FD3"/>
    <w:rsid w:val="5BAF7B56"/>
    <w:rsid w:val="5BD91F04"/>
    <w:rsid w:val="5BDB5C7C"/>
    <w:rsid w:val="5BF611E3"/>
    <w:rsid w:val="5C0E6052"/>
    <w:rsid w:val="5C313AEE"/>
    <w:rsid w:val="5C86208C"/>
    <w:rsid w:val="5CAC7619"/>
    <w:rsid w:val="5D131446"/>
    <w:rsid w:val="5D331AE8"/>
    <w:rsid w:val="5D656145"/>
    <w:rsid w:val="5D7C18C6"/>
    <w:rsid w:val="5DA14CA4"/>
    <w:rsid w:val="5DA779D9"/>
    <w:rsid w:val="5DC84953"/>
    <w:rsid w:val="5DDC3F2E"/>
    <w:rsid w:val="5DDF30A2"/>
    <w:rsid w:val="5E9E23A9"/>
    <w:rsid w:val="5EAC56AE"/>
    <w:rsid w:val="5EDA0A8B"/>
    <w:rsid w:val="5F0537AA"/>
    <w:rsid w:val="5F162912"/>
    <w:rsid w:val="5F20072A"/>
    <w:rsid w:val="5F2117F1"/>
    <w:rsid w:val="5F27754A"/>
    <w:rsid w:val="5F2B3E04"/>
    <w:rsid w:val="5F46072B"/>
    <w:rsid w:val="5F760F40"/>
    <w:rsid w:val="5F8B1768"/>
    <w:rsid w:val="5FD96977"/>
    <w:rsid w:val="5FE21584"/>
    <w:rsid w:val="5FE82E26"/>
    <w:rsid w:val="5FF3691B"/>
    <w:rsid w:val="5FFF5CB2"/>
    <w:rsid w:val="60161979"/>
    <w:rsid w:val="60673F83"/>
    <w:rsid w:val="606E1F64"/>
    <w:rsid w:val="609E5FA7"/>
    <w:rsid w:val="60C253E7"/>
    <w:rsid w:val="60CE0912"/>
    <w:rsid w:val="60CE0B25"/>
    <w:rsid w:val="61555832"/>
    <w:rsid w:val="618F343D"/>
    <w:rsid w:val="61A30FEA"/>
    <w:rsid w:val="61D513C0"/>
    <w:rsid w:val="61D5316E"/>
    <w:rsid w:val="61D67CE4"/>
    <w:rsid w:val="61DB6D9C"/>
    <w:rsid w:val="61EF4230"/>
    <w:rsid w:val="6200643D"/>
    <w:rsid w:val="623C3CCB"/>
    <w:rsid w:val="62724828"/>
    <w:rsid w:val="6277131B"/>
    <w:rsid w:val="62894736"/>
    <w:rsid w:val="62E41162"/>
    <w:rsid w:val="62EC69C1"/>
    <w:rsid w:val="63520F1A"/>
    <w:rsid w:val="636E0BBA"/>
    <w:rsid w:val="63964B41"/>
    <w:rsid w:val="63994A58"/>
    <w:rsid w:val="646C600B"/>
    <w:rsid w:val="647C3D75"/>
    <w:rsid w:val="64B27796"/>
    <w:rsid w:val="64CC5E52"/>
    <w:rsid w:val="64DA0DFC"/>
    <w:rsid w:val="64E831B8"/>
    <w:rsid w:val="64FD5E87"/>
    <w:rsid w:val="65785BCE"/>
    <w:rsid w:val="658C3A08"/>
    <w:rsid w:val="658D4138"/>
    <w:rsid w:val="65A319AD"/>
    <w:rsid w:val="65B768E4"/>
    <w:rsid w:val="66043DF1"/>
    <w:rsid w:val="660B7840"/>
    <w:rsid w:val="661D46CA"/>
    <w:rsid w:val="66887A48"/>
    <w:rsid w:val="66B94E0C"/>
    <w:rsid w:val="66BB1AFB"/>
    <w:rsid w:val="66CF7EED"/>
    <w:rsid w:val="66E83943"/>
    <w:rsid w:val="670F317A"/>
    <w:rsid w:val="673232A1"/>
    <w:rsid w:val="673D6A15"/>
    <w:rsid w:val="67851681"/>
    <w:rsid w:val="67960780"/>
    <w:rsid w:val="682E5386"/>
    <w:rsid w:val="683726A5"/>
    <w:rsid w:val="683A1F7D"/>
    <w:rsid w:val="684B23DC"/>
    <w:rsid w:val="68576EF7"/>
    <w:rsid w:val="6874548F"/>
    <w:rsid w:val="68817FE2"/>
    <w:rsid w:val="688D47A2"/>
    <w:rsid w:val="689043A1"/>
    <w:rsid w:val="68CD623B"/>
    <w:rsid w:val="68DB72BC"/>
    <w:rsid w:val="68FD36D6"/>
    <w:rsid w:val="69562DE6"/>
    <w:rsid w:val="695E105C"/>
    <w:rsid w:val="696012B6"/>
    <w:rsid w:val="69642093"/>
    <w:rsid w:val="69793390"/>
    <w:rsid w:val="69C02956"/>
    <w:rsid w:val="69CA6B08"/>
    <w:rsid w:val="69F97B76"/>
    <w:rsid w:val="6A042666"/>
    <w:rsid w:val="6A9736F0"/>
    <w:rsid w:val="6AF830B1"/>
    <w:rsid w:val="6B1715B7"/>
    <w:rsid w:val="6B2C2051"/>
    <w:rsid w:val="6B3233DF"/>
    <w:rsid w:val="6B680BAF"/>
    <w:rsid w:val="6B6C68F1"/>
    <w:rsid w:val="6B9D4684"/>
    <w:rsid w:val="6BA17D14"/>
    <w:rsid w:val="6BBB33D4"/>
    <w:rsid w:val="6BCC55E2"/>
    <w:rsid w:val="6BD44D33"/>
    <w:rsid w:val="6BEA8026"/>
    <w:rsid w:val="6C0C5BDB"/>
    <w:rsid w:val="6C3D08A3"/>
    <w:rsid w:val="6C6770B8"/>
    <w:rsid w:val="6C845EBC"/>
    <w:rsid w:val="6CA339A6"/>
    <w:rsid w:val="6CA41CC8"/>
    <w:rsid w:val="6CC20E82"/>
    <w:rsid w:val="6CD26C28"/>
    <w:rsid w:val="6CF3436B"/>
    <w:rsid w:val="6CF7293C"/>
    <w:rsid w:val="6D056FFD"/>
    <w:rsid w:val="6D443964"/>
    <w:rsid w:val="6D5B6316"/>
    <w:rsid w:val="6D6D7EDA"/>
    <w:rsid w:val="6D9143ED"/>
    <w:rsid w:val="6DC74A88"/>
    <w:rsid w:val="6DD724DA"/>
    <w:rsid w:val="6DDC0B81"/>
    <w:rsid w:val="6DEA2117"/>
    <w:rsid w:val="6E041063"/>
    <w:rsid w:val="6E0C6BA8"/>
    <w:rsid w:val="6E4C538F"/>
    <w:rsid w:val="6E8C1058"/>
    <w:rsid w:val="6EBF142E"/>
    <w:rsid w:val="6ED722D3"/>
    <w:rsid w:val="6EE175F6"/>
    <w:rsid w:val="6F24190C"/>
    <w:rsid w:val="6F7C2E7B"/>
    <w:rsid w:val="6F976446"/>
    <w:rsid w:val="6FC36D9E"/>
    <w:rsid w:val="6FE70C3C"/>
    <w:rsid w:val="70076BE8"/>
    <w:rsid w:val="70852D97"/>
    <w:rsid w:val="70A47AAD"/>
    <w:rsid w:val="70AE40C7"/>
    <w:rsid w:val="70C25205"/>
    <w:rsid w:val="70DA254F"/>
    <w:rsid w:val="70E51DA8"/>
    <w:rsid w:val="70F20FE3"/>
    <w:rsid w:val="71174B27"/>
    <w:rsid w:val="71946BA2"/>
    <w:rsid w:val="71A843FB"/>
    <w:rsid w:val="71C97895"/>
    <w:rsid w:val="721E450C"/>
    <w:rsid w:val="7256750B"/>
    <w:rsid w:val="7262278F"/>
    <w:rsid w:val="72D73D3D"/>
    <w:rsid w:val="72EC6569"/>
    <w:rsid w:val="73394BB6"/>
    <w:rsid w:val="73397A01"/>
    <w:rsid w:val="736A253A"/>
    <w:rsid w:val="73A429A0"/>
    <w:rsid w:val="73AC2D59"/>
    <w:rsid w:val="73BE1CB4"/>
    <w:rsid w:val="73EC5B91"/>
    <w:rsid w:val="73FC458A"/>
    <w:rsid w:val="742E7E7F"/>
    <w:rsid w:val="747B5DF7"/>
    <w:rsid w:val="74C002E8"/>
    <w:rsid w:val="74CF1255"/>
    <w:rsid w:val="74E7523A"/>
    <w:rsid w:val="74FB54A4"/>
    <w:rsid w:val="751A7B05"/>
    <w:rsid w:val="75220020"/>
    <w:rsid w:val="755522F8"/>
    <w:rsid w:val="755E2DEF"/>
    <w:rsid w:val="75611CC1"/>
    <w:rsid w:val="759527DF"/>
    <w:rsid w:val="75A03D67"/>
    <w:rsid w:val="75DD731F"/>
    <w:rsid w:val="7621652A"/>
    <w:rsid w:val="76265AC6"/>
    <w:rsid w:val="763A2EF5"/>
    <w:rsid w:val="76407FE1"/>
    <w:rsid w:val="76642085"/>
    <w:rsid w:val="768014A2"/>
    <w:rsid w:val="7682438C"/>
    <w:rsid w:val="768857E3"/>
    <w:rsid w:val="768D4B1F"/>
    <w:rsid w:val="769D2054"/>
    <w:rsid w:val="76C31EDD"/>
    <w:rsid w:val="76EC2FDC"/>
    <w:rsid w:val="77060EB2"/>
    <w:rsid w:val="77120FDD"/>
    <w:rsid w:val="775C2950"/>
    <w:rsid w:val="77610F13"/>
    <w:rsid w:val="778C37F8"/>
    <w:rsid w:val="779C230C"/>
    <w:rsid w:val="779D7E32"/>
    <w:rsid w:val="77A92C7B"/>
    <w:rsid w:val="77B12E34"/>
    <w:rsid w:val="77D46CD2"/>
    <w:rsid w:val="77D83D50"/>
    <w:rsid w:val="781D0CC1"/>
    <w:rsid w:val="7823193A"/>
    <w:rsid w:val="782E61C7"/>
    <w:rsid w:val="783B33E4"/>
    <w:rsid w:val="7844130F"/>
    <w:rsid w:val="78534B66"/>
    <w:rsid w:val="785B3F75"/>
    <w:rsid w:val="787B0197"/>
    <w:rsid w:val="787E1A12"/>
    <w:rsid w:val="78BE10F6"/>
    <w:rsid w:val="78CA4C57"/>
    <w:rsid w:val="78D05144"/>
    <w:rsid w:val="78D43D28"/>
    <w:rsid w:val="78DD2BDC"/>
    <w:rsid w:val="792E5466"/>
    <w:rsid w:val="79435553"/>
    <w:rsid w:val="794672BF"/>
    <w:rsid w:val="79E263BE"/>
    <w:rsid w:val="7A064282"/>
    <w:rsid w:val="7A3C1D44"/>
    <w:rsid w:val="7A9E283F"/>
    <w:rsid w:val="7AC77F2D"/>
    <w:rsid w:val="7ACB4CB6"/>
    <w:rsid w:val="7ADD5362"/>
    <w:rsid w:val="7B036E36"/>
    <w:rsid w:val="7B0E3521"/>
    <w:rsid w:val="7B1A0118"/>
    <w:rsid w:val="7B31160A"/>
    <w:rsid w:val="7B62386D"/>
    <w:rsid w:val="7B6E2211"/>
    <w:rsid w:val="7BAD0A4E"/>
    <w:rsid w:val="7BB00E61"/>
    <w:rsid w:val="7BD227A0"/>
    <w:rsid w:val="7BF12E1F"/>
    <w:rsid w:val="7BFD7CAE"/>
    <w:rsid w:val="7C1822AA"/>
    <w:rsid w:val="7C7C731A"/>
    <w:rsid w:val="7C85264B"/>
    <w:rsid w:val="7CA06753"/>
    <w:rsid w:val="7CB43242"/>
    <w:rsid w:val="7CB61824"/>
    <w:rsid w:val="7CBD69D7"/>
    <w:rsid w:val="7CC76395"/>
    <w:rsid w:val="7CEF2EDE"/>
    <w:rsid w:val="7D1961AD"/>
    <w:rsid w:val="7D4F7E21"/>
    <w:rsid w:val="7D7A30EF"/>
    <w:rsid w:val="7D9D293A"/>
    <w:rsid w:val="7DA51A4B"/>
    <w:rsid w:val="7E0B01EB"/>
    <w:rsid w:val="7E1E7F1F"/>
    <w:rsid w:val="7E321E60"/>
    <w:rsid w:val="7E390B0F"/>
    <w:rsid w:val="7E493D4F"/>
    <w:rsid w:val="7E5356EF"/>
    <w:rsid w:val="7E881DA7"/>
    <w:rsid w:val="7E894498"/>
    <w:rsid w:val="7E9B65C0"/>
    <w:rsid w:val="7F060C17"/>
    <w:rsid w:val="7F0C421B"/>
    <w:rsid w:val="7F2F766E"/>
    <w:rsid w:val="7F3D58B7"/>
    <w:rsid w:val="7F6B3277"/>
    <w:rsid w:val="7F7C3A97"/>
    <w:rsid w:val="7F9051D5"/>
    <w:rsid w:val="7F9C372F"/>
    <w:rsid w:val="7FE01204"/>
    <w:rsid w:val="7FFA67D9"/>
    <w:rsid w:val="7FFB9374"/>
    <w:rsid w:val="7FFC4290"/>
    <w:rsid w:val="DFBBF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2"/>
    <w:basedOn w:val="1"/>
    <w:next w:val="1"/>
    <w:link w:val="44"/>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3">
    <w:name w:val="heading 4"/>
    <w:basedOn w:val="1"/>
    <w:next w:val="1"/>
    <w:qFormat/>
    <w:uiPriority w:val="0"/>
    <w:pPr>
      <w:keepNext/>
      <w:keepLines/>
      <w:spacing w:line="374" w:lineRule="auto"/>
      <w:outlineLvl w:val="3"/>
    </w:pPr>
    <w:rPr>
      <w:rFonts w:ascii="Arial" w:hAnsi="Arial"/>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annotation text"/>
    <w:basedOn w:val="1"/>
    <w:next w:val="1"/>
    <w:qFormat/>
    <w:uiPriority w:val="0"/>
    <w:pPr>
      <w:adjustRightInd w:val="0"/>
      <w:spacing w:line="360" w:lineRule="atLeast"/>
      <w:jc w:val="left"/>
      <w:textAlignment w:val="baseline"/>
    </w:pPr>
    <w:rPr>
      <w:kern w:val="0"/>
    </w:rPr>
  </w:style>
  <w:style w:type="paragraph" w:styleId="5">
    <w:name w:val="Body Text"/>
    <w:basedOn w:val="1"/>
    <w:next w:val="6"/>
    <w:semiHidden/>
    <w:qFormat/>
    <w:uiPriority w:val="0"/>
    <w:rPr>
      <w:rFonts w:ascii="Arial" w:hAnsi="Arial" w:eastAsia="Arial" w:cs="Arial"/>
      <w:sz w:val="21"/>
      <w:szCs w:val="21"/>
      <w:lang w:val="en-US" w:eastAsia="en-US" w:bidi="ar-SA"/>
    </w:rPr>
  </w:style>
  <w:style w:type="paragraph" w:styleId="6">
    <w:name w:val="Body Text 2"/>
    <w:basedOn w:val="1"/>
    <w:next w:val="5"/>
    <w:qFormat/>
    <w:uiPriority w:val="0"/>
    <w:pPr>
      <w:spacing w:line="500" w:lineRule="exact"/>
    </w:pPr>
    <w:rPr>
      <w:rFonts w:ascii="宋体" w:hAnsi="Times New Roman" w:eastAsia="宋体" w:cs="Times New Roman"/>
      <w:sz w:val="24"/>
    </w:rPr>
  </w:style>
  <w:style w:type="paragraph" w:styleId="7">
    <w:name w:val="toc 3"/>
    <w:basedOn w:val="1"/>
    <w:next w:val="1"/>
    <w:qFormat/>
    <w:uiPriority w:val="0"/>
    <w:pPr>
      <w:ind w:left="840" w:leftChars="400"/>
    </w:pPr>
  </w:style>
  <w:style w:type="paragraph" w:styleId="8">
    <w:name w:val="Plain Text"/>
    <w:basedOn w:val="1"/>
    <w:qFormat/>
    <w:uiPriority w:val="0"/>
    <w:rPr>
      <w:rFonts w:ascii="宋体" w:hAnsi="Courier New"/>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Body Text First Indent"/>
    <w:basedOn w:val="5"/>
    <w:qFormat/>
    <w:uiPriority w:val="99"/>
    <w:pPr>
      <w:spacing w:line="240" w:lineRule="auto"/>
      <w:ind w:firstLine="420" w:firstLineChars="100"/>
    </w:pPr>
    <w:rPr>
      <w:rFonts w:ascii="Times New Roman" w:cs="Times New Roman"/>
      <w:sz w:val="20"/>
      <w:szCs w:val="20"/>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Emphasis"/>
    <w:basedOn w:val="16"/>
    <w:qFormat/>
    <w:uiPriority w:val="0"/>
    <w:rPr>
      <w:i/>
    </w:rPr>
  </w:style>
  <w:style w:type="paragraph" w:customStyle="1" w:styleId="19">
    <w:name w:val="Default"/>
    <w:unhideWhenUsed/>
    <w:qFormat/>
    <w:uiPriority w:val="99"/>
    <w:pPr>
      <w:widowControl w:val="0"/>
      <w:autoSpaceDE w:val="0"/>
      <w:autoSpaceDN w:val="0"/>
      <w:adjustRightInd w:val="0"/>
    </w:pPr>
    <w:rPr>
      <w:rFonts w:hint="eastAsia" w:ascii="Arial Unicode MS" w:hAnsi="Arial Unicode MS" w:eastAsia="Arial Unicode MS" w:cs="Times New Roman"/>
      <w:color w:val="000000"/>
      <w:sz w:val="24"/>
      <w:lang w:val="en-US" w:eastAsia="zh-CN" w:bidi="ar-SA"/>
    </w:rPr>
  </w:style>
  <w:style w:type="paragraph" w:customStyle="1" w:styleId="20">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21">
    <w:name w:val="NormalCharacter"/>
    <w:qFormat/>
    <w:uiPriority w:val="99"/>
  </w:style>
  <w:style w:type="paragraph" w:customStyle="1" w:styleId="22">
    <w:name w:val="Table Text"/>
    <w:basedOn w:val="1"/>
    <w:semiHidden/>
    <w:qFormat/>
    <w:uiPriority w:val="0"/>
    <w:rPr>
      <w:rFonts w:ascii="Arial" w:hAnsi="Arial" w:eastAsia="Arial" w:cs="Arial"/>
      <w:sz w:val="21"/>
      <w:szCs w:val="21"/>
      <w:lang w:val="en-US" w:eastAsia="en-US" w:bidi="ar-SA"/>
    </w:rPr>
  </w:style>
  <w:style w:type="paragraph" w:customStyle="1" w:styleId="23">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正文缩进1"/>
    <w:basedOn w:val="1"/>
    <w:qFormat/>
    <w:uiPriority w:val="0"/>
    <w:pPr>
      <w:widowControl/>
      <w:ind w:firstLine="420"/>
      <w:jc w:val="left"/>
    </w:pPr>
    <w:rPr>
      <w:kern w:val="0"/>
    </w:rPr>
  </w:style>
  <w:style w:type="paragraph" w:customStyle="1" w:styleId="25">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26">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7">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8">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9">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0">
    <w:name w:val="Heading2"/>
    <w:basedOn w:val="1"/>
    <w:next w:val="1"/>
    <w:qFormat/>
    <w:uiPriority w:val="99"/>
    <w:pPr>
      <w:jc w:val="left"/>
    </w:pPr>
    <w:rPr>
      <w:kern w:val="0"/>
    </w:rPr>
  </w:style>
  <w:style w:type="paragraph" w:customStyle="1" w:styleId="31">
    <w:name w:val="AnnotationText"/>
    <w:basedOn w:val="1"/>
    <w:qFormat/>
    <w:uiPriority w:val="99"/>
    <w:pPr>
      <w:spacing w:line="360" w:lineRule="atLeast"/>
      <w:jc w:val="left"/>
    </w:pPr>
    <w:rPr>
      <w:kern w:val="0"/>
    </w:rPr>
  </w:style>
  <w:style w:type="paragraph" w:customStyle="1" w:styleId="32">
    <w:name w:val="UserStyle_44"/>
    <w:basedOn w:val="33"/>
    <w:qFormat/>
    <w:uiPriority w:val="99"/>
    <w:rPr>
      <w:sz w:val="24"/>
      <w:szCs w:val="24"/>
    </w:rPr>
  </w:style>
  <w:style w:type="paragraph" w:customStyle="1" w:styleId="33">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4">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35">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36">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37">
    <w:name w:val="BodyText"/>
    <w:basedOn w:val="1"/>
    <w:next w:val="38"/>
    <w:qFormat/>
    <w:uiPriority w:val="99"/>
    <w:pPr>
      <w:spacing w:after="120"/>
    </w:pPr>
  </w:style>
  <w:style w:type="paragraph" w:customStyle="1" w:styleId="38">
    <w:name w:val="BodyText2"/>
    <w:basedOn w:val="1"/>
    <w:qFormat/>
    <w:uiPriority w:val="99"/>
    <w:pPr>
      <w:spacing w:line="500" w:lineRule="exact"/>
    </w:pPr>
  </w:style>
  <w:style w:type="paragraph" w:customStyle="1" w:styleId="39">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0">
    <w:name w:val="正文缩进 New"/>
    <w:basedOn w:val="41"/>
    <w:qFormat/>
    <w:uiPriority w:val="0"/>
    <w:pPr>
      <w:widowControl/>
      <w:ind w:firstLine="420"/>
      <w:jc w:val="left"/>
    </w:pPr>
    <w:rPr>
      <w:kern w:val="0"/>
      <w:sz w:val="20"/>
    </w:rPr>
  </w:style>
  <w:style w:type="paragraph" w:customStyle="1" w:styleId="41">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2">
    <w:name w:val="正文文本 New"/>
    <w:basedOn w:val="1"/>
    <w:qFormat/>
    <w:uiPriority w:val="0"/>
    <w:pPr>
      <w:spacing w:after="120" w:line="360" w:lineRule="auto"/>
    </w:pPr>
    <w:rPr>
      <w:rFonts w:ascii="宋体" w:hAnsi="Times New Roman" w:eastAsia="宋体" w:cs="Times New Roman"/>
      <w:sz w:val="24"/>
      <w:szCs w:val="20"/>
    </w:rPr>
  </w:style>
  <w:style w:type="character" w:customStyle="1" w:styleId="43">
    <w:name w:val="正文文本 (2) + 间距 0 pt3"/>
    <w:basedOn w:val="16"/>
    <w:qFormat/>
    <w:uiPriority w:val="0"/>
    <w:rPr>
      <w:rFonts w:ascii="MingLiU" w:hAnsi="Times New Roman" w:eastAsia="MingLiU" w:cs="MingLiU"/>
      <w:spacing w:val="0"/>
      <w:sz w:val="22"/>
      <w:szCs w:val="22"/>
      <w:u w:val="none"/>
    </w:rPr>
  </w:style>
  <w:style w:type="character" w:customStyle="1" w:styleId="44">
    <w:name w:val="标题 2 字符"/>
    <w:link w:val="2"/>
    <w:qFormat/>
    <w:uiPriority w:val="0"/>
    <w:rPr>
      <w:rFonts w:hint="eastAsia" w:ascii="宋体" w:hAnsi="宋体" w:eastAsia="宋体" w:cs="宋体"/>
      <w:b/>
      <w:bCs/>
      <w:kern w:val="0"/>
      <w:sz w:val="36"/>
      <w:szCs w:val="36"/>
      <w:lang w:val="en-US" w:eastAsia="zh-CN" w:bidi="ar"/>
    </w:rPr>
  </w:style>
  <w:style w:type="paragraph" w:customStyle="1" w:styleId="45">
    <w:name w:val="标题 3 New New"/>
    <w:basedOn w:val="40"/>
    <w:next w:val="40"/>
    <w:qFormat/>
    <w:uiPriority w:val="0"/>
    <w:pPr>
      <w:keepNext/>
      <w:keepLines/>
      <w:spacing w:before="120" w:beforeLines="0" w:beforeAutospacing="0" w:after="120" w:afterLines="0" w:afterAutospacing="0"/>
      <w:jc w:val="center"/>
      <w:outlineLvl w:val="2"/>
    </w:pPr>
    <w:rPr>
      <w:rFonts w:ascii="Times New Roman" w:hAnsi="Times New Roman" w:eastAsia="宋体" w:cs="Times New Roman"/>
      <w:sz w:val="24"/>
    </w:rPr>
  </w:style>
  <w:style w:type="paragraph" w:customStyle="1" w:styleId="46">
    <w:name w:val="UserStyle_76"/>
    <w:basedOn w:val="47"/>
    <w:qFormat/>
    <w:uiPriority w:val="99"/>
    <w:pPr>
      <w:ind w:firstLine="420"/>
      <w:jc w:val="left"/>
    </w:pPr>
    <w:rPr>
      <w:kern w:val="0"/>
      <w:sz w:val="20"/>
      <w:szCs w:val="20"/>
    </w:rPr>
  </w:style>
  <w:style w:type="paragraph" w:customStyle="1" w:styleId="47">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8">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9">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9" Type="http://schemas.openxmlformats.org/officeDocument/2006/relationships/fontTable" Target="fontTable.xml"/><Relationship Id="rId58" Type="http://schemas.openxmlformats.org/officeDocument/2006/relationships/numbering" Target="numbering.xml"/><Relationship Id="rId57" Type="http://schemas.openxmlformats.org/officeDocument/2006/relationships/customXml" Target="../customXml/item1.xml"/><Relationship Id="rId56" Type="http://schemas.openxmlformats.org/officeDocument/2006/relationships/image" Target="media/image17.png"/><Relationship Id="rId55" Type="http://schemas.openxmlformats.org/officeDocument/2006/relationships/image" Target="media/image16.jpeg"/><Relationship Id="rId54" Type="http://schemas.openxmlformats.org/officeDocument/2006/relationships/image" Target="media/image15.png"/><Relationship Id="rId53" Type="http://schemas.openxmlformats.org/officeDocument/2006/relationships/image" Target="media/image14.png"/><Relationship Id="rId52" Type="http://schemas.openxmlformats.org/officeDocument/2006/relationships/image" Target="media/image13.wmf"/><Relationship Id="rId51" Type="http://schemas.openxmlformats.org/officeDocument/2006/relationships/oleObject" Target="embeddings/oleObject12.bin"/><Relationship Id="rId50" Type="http://schemas.openxmlformats.org/officeDocument/2006/relationships/image" Target="media/image12.wmf"/><Relationship Id="rId5" Type="http://schemas.openxmlformats.org/officeDocument/2006/relationships/footer" Target="footer1.xml"/><Relationship Id="rId49" Type="http://schemas.openxmlformats.org/officeDocument/2006/relationships/oleObject" Target="embeddings/oleObject11.bin"/><Relationship Id="rId48" Type="http://schemas.openxmlformats.org/officeDocument/2006/relationships/image" Target="media/image11.wmf"/><Relationship Id="rId47" Type="http://schemas.openxmlformats.org/officeDocument/2006/relationships/oleObject" Target="embeddings/oleObject10.bin"/><Relationship Id="rId46" Type="http://schemas.openxmlformats.org/officeDocument/2006/relationships/image" Target="media/image10.wmf"/><Relationship Id="rId45" Type="http://schemas.openxmlformats.org/officeDocument/2006/relationships/oleObject" Target="embeddings/oleObject9.bin"/><Relationship Id="rId44" Type="http://schemas.openxmlformats.org/officeDocument/2006/relationships/image" Target="media/image9.wmf"/><Relationship Id="rId43" Type="http://schemas.openxmlformats.org/officeDocument/2006/relationships/oleObject" Target="embeddings/oleObject8.bin"/><Relationship Id="rId42" Type="http://schemas.openxmlformats.org/officeDocument/2006/relationships/image" Target="media/image8.wmf"/><Relationship Id="rId41" Type="http://schemas.openxmlformats.org/officeDocument/2006/relationships/oleObject" Target="embeddings/oleObject7.bin"/><Relationship Id="rId40" Type="http://schemas.openxmlformats.org/officeDocument/2006/relationships/image" Target="media/image7.wmf"/><Relationship Id="rId4" Type="http://schemas.openxmlformats.org/officeDocument/2006/relationships/header" Target="header2.xml"/><Relationship Id="rId39" Type="http://schemas.openxmlformats.org/officeDocument/2006/relationships/oleObject" Target="embeddings/oleObject6.bin"/><Relationship Id="rId38" Type="http://schemas.openxmlformats.org/officeDocument/2006/relationships/image" Target="media/image6.wmf"/><Relationship Id="rId37" Type="http://schemas.openxmlformats.org/officeDocument/2006/relationships/oleObject" Target="embeddings/oleObject5.bin"/><Relationship Id="rId36" Type="http://schemas.openxmlformats.org/officeDocument/2006/relationships/image" Target="media/image5.wmf"/><Relationship Id="rId35" Type="http://schemas.openxmlformats.org/officeDocument/2006/relationships/oleObject" Target="embeddings/oleObject4.bin"/><Relationship Id="rId34" Type="http://schemas.openxmlformats.org/officeDocument/2006/relationships/image" Target="media/image4.wmf"/><Relationship Id="rId33" Type="http://schemas.openxmlformats.org/officeDocument/2006/relationships/oleObject" Target="embeddings/oleObject3.bin"/><Relationship Id="rId32" Type="http://schemas.openxmlformats.org/officeDocument/2006/relationships/image" Target="media/image3.wmf"/><Relationship Id="rId31" Type="http://schemas.openxmlformats.org/officeDocument/2006/relationships/oleObject" Target="embeddings/oleObject2.bin"/><Relationship Id="rId30" Type="http://schemas.openxmlformats.org/officeDocument/2006/relationships/image" Target="media/image2.wmf"/><Relationship Id="rId3" Type="http://schemas.openxmlformats.org/officeDocument/2006/relationships/header" Target="header1.xml"/><Relationship Id="rId29" Type="http://schemas.openxmlformats.org/officeDocument/2006/relationships/oleObject" Target="embeddings/oleObject1.bin"/><Relationship Id="rId28" Type="http://schemas.openxmlformats.org/officeDocument/2006/relationships/image" Target="media/image1.png"/><Relationship Id="rId27" Type="http://schemas.openxmlformats.org/officeDocument/2006/relationships/theme" Target="theme/theme1.xml"/><Relationship Id="rId26" Type="http://schemas.openxmlformats.org/officeDocument/2006/relationships/footer" Target="footer20.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96</Pages>
  <Words>850</Words>
  <Characters>926</Characters>
  <Lines>0</Lines>
  <Paragraphs>0</Paragraphs>
  <TotalTime>28</TotalTime>
  <ScaleCrop>false</ScaleCrop>
  <LinksUpToDate>false</LinksUpToDate>
  <CharactersWithSpaces>1113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2024-09-28T20:36:00Z</dcterms:created>
  <dc:creator>Administrator</dc:creator>
  <cp:lastModifiedBy>WPS_1481086387</cp:lastModifiedBy>
  <cp:lastPrinted>2026-08-28T06:30:00Z</cp:lastPrinted>
  <dcterms:modified xsi:type="dcterms:W3CDTF">2026-08-31T02:47:27Z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A93DD4565CDD412C9F747943CCD7F110_13</vt:lpwstr>
  </property>
  <property fmtid="{D5CDD505-2E9C-101B-9397-08002B2CF9AE}" pid="4" name="KSOTemplateDocerSaveRecord">
    <vt:lpwstr>eyJoZGlkIjoiNGJjNjJjMGVlYTViMGNhMTYzYTVlMTk2M2NhNTMxOTEiLCJ1c2VySWQiOiIyNTUzNTE1MTMifQ==</vt:lpwstr>
  </property>
</Properties>
</file>