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64F70">
      <w:pPr>
        <w:rPr>
          <w:rFonts w:hint="eastAsia" w:cs="宋体" w:asciiTheme="majorEastAsia" w:hAnsiTheme="majorEastAsia" w:eastAsiaTheme="majorEastAsia"/>
          <w:b/>
          <w:color w:val="auto"/>
          <w:sz w:val="28"/>
          <w:highlight w:val="none"/>
          <w:lang w:eastAsia="zh-CN"/>
        </w:rPr>
      </w:pPr>
      <w:r>
        <w:rPr>
          <w:rFonts w:hint="eastAsia" w:cs="宋体" w:asciiTheme="majorEastAsia" w:hAnsiTheme="majorEastAsia" w:eastAsiaTheme="majorEastAsia"/>
          <w:b/>
          <w:color w:val="auto"/>
          <w:sz w:val="28"/>
          <w:highlight w:val="none"/>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222250</wp:posOffset>
            </wp:positionV>
            <wp:extent cx="6106795" cy="8713470"/>
            <wp:effectExtent l="0" t="0" r="8255" b="11430"/>
            <wp:wrapSquare wrapText="bothSides"/>
            <wp:docPr id="2" name="图片 2" descr="招标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标文件封面"/>
                    <pic:cNvPicPr>
                      <a:picLocks noChangeAspect="1"/>
                    </pic:cNvPicPr>
                  </pic:nvPicPr>
                  <pic:blipFill>
                    <a:blip r:embed="rId6"/>
                    <a:stretch>
                      <a:fillRect/>
                    </a:stretch>
                  </pic:blipFill>
                  <pic:spPr>
                    <a:xfrm>
                      <a:off x="0" y="0"/>
                      <a:ext cx="6106795" cy="8713470"/>
                    </a:xfrm>
                    <a:prstGeom prst="rect">
                      <a:avLst/>
                    </a:prstGeom>
                  </pic:spPr>
                </pic:pic>
              </a:graphicData>
            </a:graphic>
          </wp:anchor>
        </w:drawing>
      </w:r>
      <w:r>
        <w:rPr>
          <w:rFonts w:hint="eastAsia" w:cs="宋体" w:asciiTheme="majorEastAsia" w:hAnsiTheme="majorEastAsia" w:eastAsiaTheme="majorEastAsia"/>
          <w:b/>
          <w:color w:val="auto"/>
          <w:sz w:val="28"/>
          <w:highlight w:val="none"/>
        </w:rPr>
        <w:br w:type="page"/>
      </w:r>
    </w:p>
    <w:p w14:paraId="2714CF58">
      <w:pPr>
        <w:rPr>
          <w:rFonts w:hint="eastAsia" w:cs="宋体" w:asciiTheme="majorEastAsia" w:hAnsiTheme="majorEastAsia" w:eastAsiaTheme="majorEastAsia"/>
          <w:b/>
          <w:color w:val="auto"/>
          <w:sz w:val="28"/>
          <w:highlight w:val="none"/>
        </w:rPr>
      </w:pPr>
      <w:r>
        <w:rPr>
          <w:rFonts w:hint="eastAsia" w:cs="宋体" w:asciiTheme="majorEastAsia" w:hAnsiTheme="majorEastAsia" w:eastAsiaTheme="majorEastAsia"/>
          <w:b/>
          <w:color w:val="auto"/>
          <w:sz w:val="28"/>
          <w:highlight w:val="none"/>
        </w:rPr>
        <w:br w:type="page"/>
      </w:r>
    </w:p>
    <w:p w14:paraId="6CE10CC0">
      <w:pPr>
        <w:jc w:val="center"/>
        <w:rPr>
          <w:rFonts w:hint="eastAsia" w:cs="宋体" w:asciiTheme="majorEastAsia" w:hAnsiTheme="majorEastAsia" w:eastAsiaTheme="majorEastAsia"/>
          <w:b/>
          <w:color w:val="auto"/>
          <w:sz w:val="28"/>
          <w:highlight w:val="none"/>
        </w:rPr>
      </w:pPr>
      <w:r>
        <w:rPr>
          <w:rFonts w:hint="eastAsia" w:cs="宋体" w:asciiTheme="majorEastAsia" w:hAnsiTheme="majorEastAsia" w:eastAsiaTheme="majorEastAsia"/>
          <w:b/>
          <w:color w:val="auto"/>
          <w:sz w:val="28"/>
          <w:highlight w:val="none"/>
        </w:rPr>
        <w:t>目录</w:t>
      </w:r>
    </w:p>
    <w:p w14:paraId="1813E2F3">
      <w:pPr>
        <w:pStyle w:val="15"/>
        <w:tabs>
          <w:tab w:val="right" w:leader="dot" w:pos="9660"/>
        </w:tabs>
      </w:pPr>
      <w:r>
        <w:rPr>
          <w:rFonts w:hint="eastAsia" w:ascii="宋体" w:hAnsi="宋体" w:cs="宋体"/>
          <w:caps/>
          <w:color w:val="auto"/>
          <w:szCs w:val="24"/>
          <w:highlight w:val="none"/>
        </w:rPr>
        <w:fldChar w:fldCharType="begin"/>
      </w:r>
      <w:r>
        <w:rPr>
          <w:rFonts w:hint="eastAsia" w:ascii="宋体" w:hAnsi="宋体" w:cs="宋体"/>
          <w:caps/>
          <w:color w:val="auto"/>
          <w:szCs w:val="24"/>
          <w:highlight w:val="none"/>
        </w:rPr>
        <w:instrText xml:space="preserve">TOC \o "1-3" \h \z \u</w:instrText>
      </w:r>
      <w:r>
        <w:rPr>
          <w:rFonts w:hint="eastAsia" w:ascii="宋体" w:hAnsi="宋体" w:cs="宋体"/>
          <w:caps/>
          <w:color w:val="auto"/>
          <w:szCs w:val="24"/>
          <w:highlight w:val="none"/>
        </w:rPr>
        <w:fldChar w:fldCharType="separate"/>
      </w:r>
      <w:r>
        <w:rPr>
          <w:rFonts w:hint="eastAsia" w:ascii="宋体" w:hAnsi="宋体" w:cs="宋体"/>
          <w:caps/>
          <w:color w:val="auto"/>
          <w:szCs w:val="24"/>
          <w:highlight w:val="none"/>
        </w:rPr>
        <w:fldChar w:fldCharType="begin"/>
      </w:r>
      <w:r>
        <w:rPr>
          <w:rFonts w:hint="eastAsia" w:ascii="宋体" w:hAnsi="宋体" w:cs="宋体"/>
          <w:caps/>
          <w:szCs w:val="24"/>
          <w:highlight w:val="none"/>
        </w:rPr>
        <w:instrText xml:space="preserve"> HYPERLINK \l _Toc1552 </w:instrText>
      </w:r>
      <w:r>
        <w:rPr>
          <w:rFonts w:hint="eastAsia" w:ascii="宋体" w:hAnsi="宋体" w:cs="宋体"/>
          <w:caps/>
          <w:szCs w:val="24"/>
          <w:highlight w:val="none"/>
        </w:rPr>
        <w:fldChar w:fldCharType="separate"/>
      </w:r>
      <w:r>
        <w:rPr>
          <w:rFonts w:hint="eastAsia" w:cs="宋体" w:asciiTheme="majorEastAsia" w:hAnsiTheme="majorEastAsia" w:eastAsiaTheme="majorEastAsia"/>
          <w:szCs w:val="84"/>
          <w:highlight w:val="none"/>
        </w:rPr>
        <w:t>第一卷</w:t>
      </w:r>
      <w:r>
        <w:tab/>
      </w:r>
      <w:r>
        <w:fldChar w:fldCharType="begin"/>
      </w:r>
      <w:r>
        <w:instrText xml:space="preserve"> PAGEREF _Toc1552 \h </w:instrText>
      </w:r>
      <w:r>
        <w:fldChar w:fldCharType="separate"/>
      </w:r>
      <w:r>
        <w:t>- 1 -</w:t>
      </w:r>
      <w:r>
        <w:fldChar w:fldCharType="end"/>
      </w:r>
      <w:r>
        <w:rPr>
          <w:rFonts w:hint="eastAsia" w:ascii="宋体" w:hAnsi="宋体" w:cs="宋体"/>
          <w:caps/>
          <w:color w:val="auto"/>
          <w:szCs w:val="24"/>
          <w:highlight w:val="none"/>
        </w:rPr>
        <w:fldChar w:fldCharType="end"/>
      </w:r>
    </w:p>
    <w:p w14:paraId="365C7E14">
      <w:pPr>
        <w:pStyle w:val="15"/>
        <w:tabs>
          <w:tab w:val="right" w:leader="dot" w:pos="9660"/>
        </w:tabs>
      </w:pPr>
      <w:r>
        <w:rPr>
          <w:rFonts w:hint="eastAsia" w:ascii="宋体" w:hAnsi="宋体" w:cs="宋体"/>
          <w:caps/>
          <w:color w:val="auto"/>
          <w:szCs w:val="24"/>
          <w:highlight w:val="none"/>
        </w:rPr>
        <w:fldChar w:fldCharType="begin"/>
      </w:r>
      <w:r>
        <w:rPr>
          <w:rFonts w:hint="eastAsia" w:ascii="宋体" w:hAnsi="宋体" w:cs="宋体"/>
          <w:caps/>
          <w:szCs w:val="24"/>
          <w:highlight w:val="none"/>
        </w:rPr>
        <w:instrText xml:space="preserve"> HYPERLINK \l _Toc10649 </w:instrText>
      </w:r>
      <w:r>
        <w:rPr>
          <w:rFonts w:hint="eastAsia" w:ascii="宋体" w:hAnsi="宋体" w:cs="宋体"/>
          <w:caps/>
          <w:szCs w:val="24"/>
          <w:highlight w:val="none"/>
        </w:rPr>
        <w:fldChar w:fldCharType="separate"/>
      </w:r>
      <w:r>
        <w:rPr>
          <w:rFonts w:hint="eastAsia" w:cs="宋体" w:asciiTheme="majorEastAsia" w:hAnsiTheme="majorEastAsia" w:eastAsiaTheme="majorEastAsia"/>
          <w:highlight w:val="none"/>
        </w:rPr>
        <w:t>第一章 招标公告</w:t>
      </w:r>
      <w:r>
        <w:tab/>
      </w:r>
      <w:r>
        <w:fldChar w:fldCharType="begin"/>
      </w:r>
      <w:r>
        <w:instrText xml:space="preserve"> PAGEREF _Toc10649 \h </w:instrText>
      </w:r>
      <w:r>
        <w:fldChar w:fldCharType="separate"/>
      </w:r>
      <w:r>
        <w:t>- 2 -</w:t>
      </w:r>
      <w:r>
        <w:fldChar w:fldCharType="end"/>
      </w:r>
      <w:r>
        <w:rPr>
          <w:rFonts w:hint="eastAsia" w:ascii="宋体" w:hAnsi="宋体" w:cs="宋体"/>
          <w:caps/>
          <w:color w:val="auto"/>
          <w:szCs w:val="24"/>
          <w:highlight w:val="none"/>
        </w:rPr>
        <w:fldChar w:fldCharType="end"/>
      </w:r>
    </w:p>
    <w:p w14:paraId="2A05FDCA">
      <w:pPr>
        <w:pStyle w:val="15"/>
        <w:tabs>
          <w:tab w:val="right" w:leader="dot" w:pos="9660"/>
        </w:tabs>
      </w:pPr>
      <w:r>
        <w:rPr>
          <w:rFonts w:hint="eastAsia" w:ascii="宋体" w:hAnsi="宋体" w:cs="宋体"/>
          <w:caps/>
          <w:color w:val="auto"/>
          <w:szCs w:val="24"/>
          <w:highlight w:val="none"/>
        </w:rPr>
        <w:fldChar w:fldCharType="begin"/>
      </w:r>
      <w:r>
        <w:rPr>
          <w:rFonts w:hint="eastAsia" w:ascii="宋体" w:hAnsi="宋体" w:cs="宋体"/>
          <w:caps/>
          <w:szCs w:val="24"/>
          <w:highlight w:val="none"/>
        </w:rPr>
        <w:instrText xml:space="preserve"> HYPERLINK \l _Toc31839 </w:instrText>
      </w:r>
      <w:r>
        <w:rPr>
          <w:rFonts w:hint="eastAsia" w:ascii="宋体" w:hAnsi="宋体" w:cs="宋体"/>
          <w:caps/>
          <w:szCs w:val="24"/>
          <w:highlight w:val="none"/>
        </w:rPr>
        <w:fldChar w:fldCharType="separate"/>
      </w:r>
      <w:r>
        <w:rPr>
          <w:rFonts w:hint="eastAsia" w:cs="宋体" w:asciiTheme="majorEastAsia" w:hAnsiTheme="majorEastAsia" w:eastAsiaTheme="majorEastAsia"/>
          <w:highlight w:val="none"/>
        </w:rPr>
        <w:t>第二章  投标人须知</w:t>
      </w:r>
      <w:r>
        <w:tab/>
      </w:r>
      <w:r>
        <w:fldChar w:fldCharType="begin"/>
      </w:r>
      <w:r>
        <w:instrText xml:space="preserve"> PAGEREF _Toc31839 \h </w:instrText>
      </w:r>
      <w:r>
        <w:fldChar w:fldCharType="separate"/>
      </w:r>
      <w:r>
        <w:t>- 8 -</w:t>
      </w:r>
      <w:r>
        <w:fldChar w:fldCharType="end"/>
      </w:r>
      <w:r>
        <w:rPr>
          <w:rFonts w:hint="eastAsia" w:ascii="宋体" w:hAnsi="宋体" w:cs="宋体"/>
          <w:caps/>
          <w:color w:val="auto"/>
          <w:szCs w:val="24"/>
          <w:highlight w:val="none"/>
        </w:rPr>
        <w:fldChar w:fldCharType="end"/>
      </w:r>
    </w:p>
    <w:p w14:paraId="5DF8E48C">
      <w:pPr>
        <w:pStyle w:val="15"/>
        <w:tabs>
          <w:tab w:val="right" w:leader="dot" w:pos="9660"/>
        </w:tabs>
      </w:pPr>
      <w:r>
        <w:rPr>
          <w:rFonts w:hint="eastAsia" w:ascii="宋体" w:hAnsi="宋体" w:cs="宋体"/>
          <w:caps/>
          <w:color w:val="auto"/>
          <w:szCs w:val="24"/>
          <w:highlight w:val="none"/>
        </w:rPr>
        <w:fldChar w:fldCharType="begin"/>
      </w:r>
      <w:r>
        <w:rPr>
          <w:rFonts w:hint="eastAsia" w:ascii="宋体" w:hAnsi="宋体" w:cs="宋体"/>
          <w:caps/>
          <w:szCs w:val="24"/>
          <w:highlight w:val="none"/>
        </w:rPr>
        <w:instrText xml:space="preserve"> HYPERLINK \l _Toc30 </w:instrText>
      </w:r>
      <w:r>
        <w:rPr>
          <w:rFonts w:hint="eastAsia" w:ascii="宋体" w:hAnsi="宋体" w:cs="宋体"/>
          <w:caps/>
          <w:szCs w:val="24"/>
          <w:highlight w:val="none"/>
        </w:rPr>
        <w:fldChar w:fldCharType="separate"/>
      </w:r>
      <w:r>
        <w:rPr>
          <w:rFonts w:hint="eastAsia" w:cs="宋体" w:asciiTheme="majorEastAsia" w:hAnsiTheme="majorEastAsia" w:eastAsiaTheme="majorEastAsia"/>
          <w:highlight w:val="none"/>
        </w:rPr>
        <w:t>第三章 评标办法</w:t>
      </w:r>
      <w:r>
        <w:tab/>
      </w:r>
      <w:r>
        <w:fldChar w:fldCharType="begin"/>
      </w:r>
      <w:r>
        <w:instrText xml:space="preserve"> PAGEREF _Toc30 \h </w:instrText>
      </w:r>
      <w:r>
        <w:fldChar w:fldCharType="separate"/>
      </w:r>
      <w:r>
        <w:t>- 24 -</w:t>
      </w:r>
      <w:r>
        <w:fldChar w:fldCharType="end"/>
      </w:r>
      <w:r>
        <w:rPr>
          <w:rFonts w:hint="eastAsia" w:ascii="宋体" w:hAnsi="宋体" w:cs="宋体"/>
          <w:caps/>
          <w:color w:val="auto"/>
          <w:szCs w:val="24"/>
          <w:highlight w:val="none"/>
        </w:rPr>
        <w:fldChar w:fldCharType="end"/>
      </w:r>
    </w:p>
    <w:p w14:paraId="7EA77199">
      <w:pPr>
        <w:pStyle w:val="15"/>
        <w:tabs>
          <w:tab w:val="right" w:leader="dot" w:pos="9660"/>
        </w:tabs>
      </w:pPr>
      <w:r>
        <w:rPr>
          <w:rFonts w:hint="eastAsia" w:ascii="宋体" w:hAnsi="宋体" w:cs="宋体"/>
          <w:caps/>
          <w:color w:val="auto"/>
          <w:szCs w:val="24"/>
          <w:highlight w:val="none"/>
        </w:rPr>
        <w:fldChar w:fldCharType="begin"/>
      </w:r>
      <w:r>
        <w:rPr>
          <w:rFonts w:hint="eastAsia" w:ascii="宋体" w:hAnsi="宋体" w:cs="宋体"/>
          <w:caps/>
          <w:szCs w:val="24"/>
          <w:highlight w:val="none"/>
        </w:rPr>
        <w:instrText xml:space="preserve"> HYPERLINK \l _Toc9242 </w:instrText>
      </w:r>
      <w:r>
        <w:rPr>
          <w:rFonts w:hint="eastAsia" w:ascii="宋体" w:hAnsi="宋体" w:cs="宋体"/>
          <w:caps/>
          <w:szCs w:val="24"/>
          <w:highlight w:val="none"/>
        </w:rPr>
        <w:fldChar w:fldCharType="separate"/>
      </w:r>
      <w:r>
        <w:rPr>
          <w:rFonts w:hint="eastAsia" w:cs="宋体" w:asciiTheme="majorEastAsia" w:hAnsiTheme="majorEastAsia" w:eastAsiaTheme="majorEastAsia"/>
          <w:highlight w:val="none"/>
        </w:rPr>
        <w:t>第四章 合同条款及格式</w:t>
      </w:r>
      <w:r>
        <w:tab/>
      </w:r>
      <w:r>
        <w:fldChar w:fldCharType="begin"/>
      </w:r>
      <w:r>
        <w:instrText xml:space="preserve"> PAGEREF _Toc9242 \h </w:instrText>
      </w:r>
      <w:r>
        <w:fldChar w:fldCharType="separate"/>
      </w:r>
      <w:r>
        <w:t>- 32 -</w:t>
      </w:r>
      <w:r>
        <w:fldChar w:fldCharType="end"/>
      </w:r>
      <w:r>
        <w:rPr>
          <w:rFonts w:hint="eastAsia" w:ascii="宋体" w:hAnsi="宋体" w:cs="宋体"/>
          <w:caps/>
          <w:color w:val="auto"/>
          <w:szCs w:val="24"/>
          <w:highlight w:val="none"/>
        </w:rPr>
        <w:fldChar w:fldCharType="end"/>
      </w:r>
    </w:p>
    <w:p w14:paraId="6D908224">
      <w:pPr>
        <w:pStyle w:val="15"/>
        <w:tabs>
          <w:tab w:val="right" w:leader="dot" w:pos="9660"/>
        </w:tabs>
      </w:pPr>
      <w:r>
        <w:rPr>
          <w:rFonts w:hint="eastAsia" w:ascii="宋体" w:hAnsi="宋体" w:cs="宋体"/>
          <w:caps/>
          <w:color w:val="auto"/>
          <w:szCs w:val="24"/>
          <w:highlight w:val="none"/>
        </w:rPr>
        <w:fldChar w:fldCharType="begin"/>
      </w:r>
      <w:r>
        <w:rPr>
          <w:rFonts w:hint="eastAsia" w:ascii="宋体" w:hAnsi="宋体" w:cs="宋体"/>
          <w:caps/>
          <w:szCs w:val="24"/>
          <w:highlight w:val="none"/>
        </w:rPr>
        <w:instrText xml:space="preserve"> HYPERLINK \l _Toc42 </w:instrText>
      </w:r>
      <w:r>
        <w:rPr>
          <w:rFonts w:hint="eastAsia" w:ascii="宋体" w:hAnsi="宋体" w:cs="宋体"/>
          <w:caps/>
          <w:szCs w:val="24"/>
          <w:highlight w:val="none"/>
        </w:rPr>
        <w:fldChar w:fldCharType="separate"/>
      </w:r>
      <w:r>
        <w:rPr>
          <w:rFonts w:hint="eastAsia" w:cs="宋体" w:asciiTheme="majorEastAsia" w:hAnsiTheme="majorEastAsia" w:eastAsiaTheme="majorEastAsia"/>
          <w:highlight w:val="none"/>
        </w:rPr>
        <w:t>第五章 工程量清单</w:t>
      </w:r>
      <w:r>
        <w:tab/>
      </w:r>
      <w:r>
        <w:fldChar w:fldCharType="begin"/>
      </w:r>
      <w:r>
        <w:instrText xml:space="preserve"> PAGEREF _Toc42 \h </w:instrText>
      </w:r>
      <w:r>
        <w:fldChar w:fldCharType="separate"/>
      </w:r>
      <w:r>
        <w:t>- 90 -</w:t>
      </w:r>
      <w:r>
        <w:fldChar w:fldCharType="end"/>
      </w:r>
      <w:r>
        <w:rPr>
          <w:rFonts w:hint="eastAsia" w:ascii="宋体" w:hAnsi="宋体" w:cs="宋体"/>
          <w:caps/>
          <w:color w:val="auto"/>
          <w:szCs w:val="24"/>
          <w:highlight w:val="none"/>
        </w:rPr>
        <w:fldChar w:fldCharType="end"/>
      </w:r>
    </w:p>
    <w:p w14:paraId="5A92A480">
      <w:pPr>
        <w:pStyle w:val="15"/>
        <w:tabs>
          <w:tab w:val="right" w:leader="dot" w:pos="9660"/>
        </w:tabs>
      </w:pPr>
      <w:r>
        <w:rPr>
          <w:rFonts w:hint="eastAsia" w:ascii="宋体" w:hAnsi="宋体" w:cs="宋体"/>
          <w:caps/>
          <w:color w:val="auto"/>
          <w:szCs w:val="24"/>
          <w:highlight w:val="none"/>
        </w:rPr>
        <w:fldChar w:fldCharType="begin"/>
      </w:r>
      <w:r>
        <w:rPr>
          <w:rFonts w:hint="eastAsia" w:ascii="宋体" w:hAnsi="宋体" w:cs="宋体"/>
          <w:caps/>
          <w:szCs w:val="24"/>
          <w:highlight w:val="none"/>
        </w:rPr>
        <w:instrText xml:space="preserve"> HYPERLINK \l _Toc21218 </w:instrText>
      </w:r>
      <w:r>
        <w:rPr>
          <w:rFonts w:hint="eastAsia" w:ascii="宋体" w:hAnsi="宋体" w:cs="宋体"/>
          <w:caps/>
          <w:szCs w:val="24"/>
          <w:highlight w:val="none"/>
        </w:rPr>
        <w:fldChar w:fldCharType="separate"/>
      </w:r>
      <w:r>
        <w:rPr>
          <w:rFonts w:hint="eastAsia" w:cs="宋体" w:asciiTheme="majorEastAsia" w:hAnsiTheme="majorEastAsia" w:eastAsiaTheme="majorEastAsia"/>
          <w:szCs w:val="84"/>
          <w:highlight w:val="none"/>
        </w:rPr>
        <w:t>第二卷</w:t>
      </w:r>
      <w:r>
        <w:tab/>
      </w:r>
      <w:r>
        <w:fldChar w:fldCharType="begin"/>
      </w:r>
      <w:r>
        <w:instrText xml:space="preserve"> PAGEREF _Toc21218 \h </w:instrText>
      </w:r>
      <w:r>
        <w:fldChar w:fldCharType="separate"/>
      </w:r>
      <w:r>
        <w:t>- 91 -</w:t>
      </w:r>
      <w:r>
        <w:fldChar w:fldCharType="end"/>
      </w:r>
      <w:r>
        <w:rPr>
          <w:rFonts w:hint="eastAsia" w:ascii="宋体" w:hAnsi="宋体" w:cs="宋体"/>
          <w:caps/>
          <w:color w:val="auto"/>
          <w:szCs w:val="24"/>
          <w:highlight w:val="none"/>
        </w:rPr>
        <w:fldChar w:fldCharType="end"/>
      </w:r>
    </w:p>
    <w:p w14:paraId="5537D118">
      <w:pPr>
        <w:pStyle w:val="15"/>
        <w:tabs>
          <w:tab w:val="right" w:leader="dot" w:pos="9660"/>
        </w:tabs>
      </w:pPr>
      <w:r>
        <w:rPr>
          <w:rFonts w:hint="eastAsia" w:ascii="宋体" w:hAnsi="宋体" w:cs="宋体"/>
          <w:caps/>
          <w:color w:val="auto"/>
          <w:szCs w:val="24"/>
          <w:highlight w:val="none"/>
        </w:rPr>
        <w:fldChar w:fldCharType="begin"/>
      </w:r>
      <w:r>
        <w:rPr>
          <w:rFonts w:hint="eastAsia" w:ascii="宋体" w:hAnsi="宋体" w:cs="宋体"/>
          <w:caps/>
          <w:szCs w:val="24"/>
          <w:highlight w:val="none"/>
        </w:rPr>
        <w:instrText xml:space="preserve"> HYPERLINK \l _Toc10548 </w:instrText>
      </w:r>
      <w:r>
        <w:rPr>
          <w:rFonts w:hint="eastAsia" w:ascii="宋体" w:hAnsi="宋体" w:cs="宋体"/>
          <w:caps/>
          <w:szCs w:val="24"/>
          <w:highlight w:val="none"/>
        </w:rPr>
        <w:fldChar w:fldCharType="separate"/>
      </w:r>
      <w:r>
        <w:rPr>
          <w:rFonts w:hint="eastAsia" w:cs="宋体" w:asciiTheme="majorEastAsia" w:hAnsiTheme="majorEastAsia" w:eastAsiaTheme="majorEastAsia"/>
          <w:highlight w:val="none"/>
        </w:rPr>
        <w:t>第六章 图纸（招标图纸）</w:t>
      </w:r>
      <w:r>
        <w:tab/>
      </w:r>
      <w:r>
        <w:fldChar w:fldCharType="begin"/>
      </w:r>
      <w:r>
        <w:instrText xml:space="preserve"> PAGEREF _Toc10548 \h </w:instrText>
      </w:r>
      <w:r>
        <w:fldChar w:fldCharType="separate"/>
      </w:r>
      <w:r>
        <w:t>- 92 -</w:t>
      </w:r>
      <w:r>
        <w:fldChar w:fldCharType="end"/>
      </w:r>
      <w:r>
        <w:rPr>
          <w:rFonts w:hint="eastAsia" w:ascii="宋体" w:hAnsi="宋体" w:cs="宋体"/>
          <w:caps/>
          <w:color w:val="auto"/>
          <w:szCs w:val="24"/>
          <w:highlight w:val="none"/>
        </w:rPr>
        <w:fldChar w:fldCharType="end"/>
      </w:r>
    </w:p>
    <w:p w14:paraId="5CAF847B">
      <w:pPr>
        <w:pStyle w:val="15"/>
        <w:tabs>
          <w:tab w:val="right" w:leader="dot" w:pos="9660"/>
        </w:tabs>
      </w:pPr>
      <w:r>
        <w:rPr>
          <w:rFonts w:hint="eastAsia" w:ascii="宋体" w:hAnsi="宋体" w:cs="宋体"/>
          <w:caps/>
          <w:color w:val="auto"/>
          <w:szCs w:val="24"/>
          <w:highlight w:val="none"/>
        </w:rPr>
        <w:fldChar w:fldCharType="begin"/>
      </w:r>
      <w:r>
        <w:rPr>
          <w:rFonts w:hint="eastAsia" w:ascii="宋体" w:hAnsi="宋体" w:cs="宋体"/>
          <w:caps/>
          <w:szCs w:val="24"/>
          <w:highlight w:val="none"/>
        </w:rPr>
        <w:instrText xml:space="preserve"> HYPERLINK \l _Toc28989 </w:instrText>
      </w:r>
      <w:r>
        <w:rPr>
          <w:rFonts w:hint="eastAsia" w:ascii="宋体" w:hAnsi="宋体" w:cs="宋体"/>
          <w:caps/>
          <w:szCs w:val="24"/>
          <w:highlight w:val="none"/>
        </w:rPr>
        <w:fldChar w:fldCharType="separate"/>
      </w:r>
      <w:r>
        <w:rPr>
          <w:rFonts w:hint="eastAsia" w:cs="宋体" w:asciiTheme="majorEastAsia" w:hAnsiTheme="majorEastAsia" w:eastAsiaTheme="majorEastAsia"/>
          <w:szCs w:val="84"/>
          <w:highlight w:val="none"/>
        </w:rPr>
        <w:t>第三卷</w:t>
      </w:r>
      <w:r>
        <w:tab/>
      </w:r>
      <w:r>
        <w:fldChar w:fldCharType="begin"/>
      </w:r>
      <w:r>
        <w:instrText xml:space="preserve"> PAGEREF _Toc28989 \h </w:instrText>
      </w:r>
      <w:r>
        <w:fldChar w:fldCharType="separate"/>
      </w:r>
      <w:r>
        <w:t>- 93 -</w:t>
      </w:r>
      <w:r>
        <w:fldChar w:fldCharType="end"/>
      </w:r>
      <w:r>
        <w:rPr>
          <w:rFonts w:hint="eastAsia" w:ascii="宋体" w:hAnsi="宋体" w:cs="宋体"/>
          <w:caps/>
          <w:color w:val="auto"/>
          <w:szCs w:val="24"/>
          <w:highlight w:val="none"/>
        </w:rPr>
        <w:fldChar w:fldCharType="end"/>
      </w:r>
    </w:p>
    <w:p w14:paraId="3CF30A76">
      <w:pPr>
        <w:pStyle w:val="15"/>
        <w:tabs>
          <w:tab w:val="right" w:leader="dot" w:pos="9660"/>
        </w:tabs>
      </w:pPr>
      <w:r>
        <w:rPr>
          <w:rFonts w:hint="eastAsia" w:ascii="宋体" w:hAnsi="宋体" w:cs="宋体"/>
          <w:caps/>
          <w:color w:val="auto"/>
          <w:szCs w:val="24"/>
          <w:highlight w:val="none"/>
        </w:rPr>
        <w:fldChar w:fldCharType="begin"/>
      </w:r>
      <w:r>
        <w:rPr>
          <w:rFonts w:hint="eastAsia" w:ascii="宋体" w:hAnsi="宋体" w:cs="宋体"/>
          <w:caps/>
          <w:szCs w:val="24"/>
          <w:highlight w:val="none"/>
        </w:rPr>
        <w:instrText xml:space="preserve"> HYPERLINK \l _Toc21715 </w:instrText>
      </w:r>
      <w:r>
        <w:rPr>
          <w:rFonts w:hint="eastAsia" w:ascii="宋体" w:hAnsi="宋体" w:cs="宋体"/>
          <w:caps/>
          <w:szCs w:val="24"/>
          <w:highlight w:val="none"/>
        </w:rPr>
        <w:fldChar w:fldCharType="separate"/>
      </w:r>
      <w:r>
        <w:rPr>
          <w:rFonts w:hint="eastAsia" w:cs="宋体" w:asciiTheme="majorEastAsia" w:hAnsiTheme="majorEastAsia" w:eastAsiaTheme="majorEastAsia"/>
          <w:highlight w:val="none"/>
        </w:rPr>
        <w:t>第七章 技术标准和要求（合同技术条款）</w:t>
      </w:r>
      <w:r>
        <w:tab/>
      </w:r>
      <w:r>
        <w:fldChar w:fldCharType="begin"/>
      </w:r>
      <w:r>
        <w:instrText xml:space="preserve"> PAGEREF _Toc21715 \h </w:instrText>
      </w:r>
      <w:r>
        <w:fldChar w:fldCharType="separate"/>
      </w:r>
      <w:r>
        <w:t>- 94 -</w:t>
      </w:r>
      <w:r>
        <w:fldChar w:fldCharType="end"/>
      </w:r>
      <w:r>
        <w:rPr>
          <w:rFonts w:hint="eastAsia" w:ascii="宋体" w:hAnsi="宋体" w:cs="宋体"/>
          <w:caps/>
          <w:color w:val="auto"/>
          <w:szCs w:val="24"/>
          <w:highlight w:val="none"/>
        </w:rPr>
        <w:fldChar w:fldCharType="end"/>
      </w:r>
    </w:p>
    <w:p w14:paraId="3A134A80">
      <w:pPr>
        <w:pStyle w:val="15"/>
        <w:tabs>
          <w:tab w:val="right" w:leader="dot" w:pos="9660"/>
        </w:tabs>
      </w:pPr>
      <w:r>
        <w:rPr>
          <w:rFonts w:hint="eastAsia" w:ascii="宋体" w:hAnsi="宋体" w:cs="宋体"/>
          <w:caps/>
          <w:color w:val="auto"/>
          <w:szCs w:val="24"/>
          <w:highlight w:val="none"/>
        </w:rPr>
        <w:fldChar w:fldCharType="begin"/>
      </w:r>
      <w:r>
        <w:rPr>
          <w:rFonts w:hint="eastAsia" w:ascii="宋体" w:hAnsi="宋体" w:cs="宋体"/>
          <w:caps/>
          <w:szCs w:val="24"/>
          <w:highlight w:val="none"/>
        </w:rPr>
        <w:instrText xml:space="preserve"> HYPERLINK \l _Toc24813 </w:instrText>
      </w:r>
      <w:r>
        <w:rPr>
          <w:rFonts w:hint="eastAsia" w:ascii="宋体" w:hAnsi="宋体" w:cs="宋体"/>
          <w:caps/>
          <w:szCs w:val="24"/>
          <w:highlight w:val="none"/>
        </w:rPr>
        <w:fldChar w:fldCharType="separate"/>
      </w:r>
      <w:r>
        <w:rPr>
          <w:rFonts w:hint="eastAsia" w:cs="宋体" w:asciiTheme="majorEastAsia" w:hAnsiTheme="majorEastAsia" w:eastAsiaTheme="majorEastAsia"/>
          <w:szCs w:val="84"/>
          <w:highlight w:val="none"/>
        </w:rPr>
        <w:t>第 四 卷</w:t>
      </w:r>
      <w:r>
        <w:tab/>
      </w:r>
      <w:r>
        <w:fldChar w:fldCharType="begin"/>
      </w:r>
      <w:r>
        <w:instrText xml:space="preserve"> PAGEREF _Toc24813 \h </w:instrText>
      </w:r>
      <w:r>
        <w:fldChar w:fldCharType="separate"/>
      </w:r>
      <w:r>
        <w:t>- 95 -</w:t>
      </w:r>
      <w:r>
        <w:fldChar w:fldCharType="end"/>
      </w:r>
      <w:r>
        <w:rPr>
          <w:rFonts w:hint="eastAsia" w:ascii="宋体" w:hAnsi="宋体" w:cs="宋体"/>
          <w:caps/>
          <w:color w:val="auto"/>
          <w:szCs w:val="24"/>
          <w:highlight w:val="none"/>
        </w:rPr>
        <w:fldChar w:fldCharType="end"/>
      </w:r>
    </w:p>
    <w:p w14:paraId="526720DF">
      <w:pPr>
        <w:pStyle w:val="15"/>
        <w:tabs>
          <w:tab w:val="right" w:leader="dot" w:pos="9660"/>
        </w:tabs>
      </w:pPr>
      <w:r>
        <w:rPr>
          <w:rFonts w:hint="eastAsia" w:ascii="宋体" w:hAnsi="宋体" w:cs="宋体"/>
          <w:caps/>
          <w:color w:val="auto"/>
          <w:szCs w:val="24"/>
          <w:highlight w:val="none"/>
        </w:rPr>
        <w:fldChar w:fldCharType="begin"/>
      </w:r>
      <w:r>
        <w:rPr>
          <w:rFonts w:hint="eastAsia" w:ascii="宋体" w:hAnsi="宋体" w:cs="宋体"/>
          <w:caps/>
          <w:szCs w:val="24"/>
          <w:highlight w:val="none"/>
        </w:rPr>
        <w:instrText xml:space="preserve"> HYPERLINK \l _Toc6718 </w:instrText>
      </w:r>
      <w:r>
        <w:rPr>
          <w:rFonts w:hint="eastAsia" w:ascii="宋体" w:hAnsi="宋体" w:cs="宋体"/>
          <w:caps/>
          <w:szCs w:val="24"/>
          <w:highlight w:val="none"/>
        </w:rPr>
        <w:fldChar w:fldCharType="separate"/>
      </w:r>
      <w:r>
        <w:rPr>
          <w:rFonts w:hint="eastAsia" w:cs="宋体" w:asciiTheme="majorEastAsia" w:hAnsiTheme="majorEastAsia" w:eastAsiaTheme="majorEastAsia"/>
          <w:highlight w:val="none"/>
        </w:rPr>
        <w:t>第八章 投标文件格式</w:t>
      </w:r>
      <w:r>
        <w:tab/>
      </w:r>
      <w:r>
        <w:fldChar w:fldCharType="begin"/>
      </w:r>
      <w:r>
        <w:instrText xml:space="preserve"> PAGEREF _Toc6718 \h </w:instrText>
      </w:r>
      <w:r>
        <w:fldChar w:fldCharType="separate"/>
      </w:r>
      <w:r>
        <w:t>- 96 -</w:t>
      </w:r>
      <w:r>
        <w:fldChar w:fldCharType="end"/>
      </w:r>
      <w:r>
        <w:rPr>
          <w:rFonts w:hint="eastAsia" w:ascii="宋体" w:hAnsi="宋体" w:cs="宋体"/>
          <w:caps/>
          <w:color w:val="auto"/>
          <w:szCs w:val="24"/>
          <w:highlight w:val="none"/>
        </w:rPr>
        <w:fldChar w:fldCharType="end"/>
      </w:r>
    </w:p>
    <w:p w14:paraId="346A52C7">
      <w:pPr>
        <w:tabs>
          <w:tab w:val="right" w:leader="dot" w:pos="9638"/>
        </w:tabs>
        <w:spacing w:before="120" w:after="120" w:line="360" w:lineRule="auto"/>
        <w:jc w:val="left"/>
        <w:rPr>
          <w:rFonts w:hint="eastAsia" w:cs="宋体" w:asciiTheme="majorEastAsia" w:hAnsiTheme="majorEastAsia" w:eastAsiaTheme="majorEastAsia"/>
          <w:b/>
          <w:caps/>
          <w:color w:val="auto"/>
          <w:sz w:val="20"/>
          <w:highlight w:val="none"/>
        </w:rPr>
      </w:pPr>
      <w:r>
        <w:rPr>
          <w:rFonts w:hint="eastAsia" w:ascii="宋体" w:hAnsi="宋体" w:cs="宋体"/>
          <w:caps/>
          <w:color w:val="auto"/>
          <w:szCs w:val="24"/>
          <w:highlight w:val="none"/>
        </w:rPr>
        <w:fldChar w:fldCharType="end"/>
      </w:r>
    </w:p>
    <w:p w14:paraId="13D301C7">
      <w:pPr>
        <w:tabs>
          <w:tab w:val="right" w:leader="dot" w:pos="9638"/>
        </w:tabs>
        <w:spacing w:before="120" w:after="120"/>
        <w:jc w:val="left"/>
        <w:rPr>
          <w:rFonts w:hint="eastAsia" w:asciiTheme="majorEastAsia" w:hAnsiTheme="majorEastAsia" w:eastAsiaTheme="majorEastAsia"/>
          <w:b/>
          <w:caps/>
          <w:color w:val="auto"/>
          <w:sz w:val="20"/>
          <w:highlight w:val="none"/>
        </w:rPr>
      </w:pPr>
    </w:p>
    <w:p w14:paraId="0DE28DD4">
      <w:pPr>
        <w:ind w:firstLine="2824"/>
        <w:rPr>
          <w:rFonts w:hint="eastAsia" w:cs="宋体" w:asciiTheme="majorEastAsia" w:hAnsiTheme="majorEastAsia" w:eastAsiaTheme="majorEastAsia"/>
          <w:color w:val="auto"/>
          <w:sz w:val="84"/>
          <w:highlight w:val="none"/>
        </w:rPr>
      </w:pPr>
    </w:p>
    <w:p w14:paraId="47987566">
      <w:pPr>
        <w:spacing w:line="360" w:lineRule="auto"/>
        <w:jc w:val="center"/>
        <w:outlineLvl w:val="0"/>
        <w:rPr>
          <w:rFonts w:hint="eastAsia" w:cs="宋体" w:asciiTheme="majorEastAsia" w:hAnsiTheme="majorEastAsia" w:eastAsiaTheme="majorEastAsia"/>
          <w:color w:val="auto"/>
          <w:sz w:val="84"/>
          <w:highlight w:val="none"/>
        </w:rPr>
        <w:sectPr>
          <w:footerReference r:id="rId3" w:type="default"/>
          <w:pgSz w:w="11906" w:h="16838"/>
          <w:pgMar w:top="1020" w:right="1066" w:bottom="918" w:left="1180" w:header="851" w:footer="992" w:gutter="0"/>
          <w:pgNumType w:start="1"/>
          <w:cols w:space="425" w:num="1"/>
          <w:docGrid w:type="lines" w:linePitch="312" w:charSpace="0"/>
        </w:sectPr>
      </w:pPr>
    </w:p>
    <w:p w14:paraId="1FFBFAD2">
      <w:pPr>
        <w:pStyle w:val="39"/>
        <w:rPr>
          <w:rFonts w:hint="eastAsia" w:cs="宋体" w:asciiTheme="majorEastAsia" w:hAnsiTheme="majorEastAsia" w:eastAsiaTheme="majorEastAsia"/>
          <w:b/>
          <w:color w:val="auto"/>
          <w:sz w:val="84"/>
          <w:highlight w:val="none"/>
        </w:rPr>
      </w:pPr>
    </w:p>
    <w:p w14:paraId="1DDAC9C6">
      <w:pPr>
        <w:pStyle w:val="39"/>
        <w:rPr>
          <w:rFonts w:hint="eastAsia" w:cs="宋体" w:asciiTheme="majorEastAsia" w:hAnsiTheme="majorEastAsia" w:eastAsiaTheme="majorEastAsia"/>
          <w:b/>
          <w:color w:val="auto"/>
          <w:sz w:val="84"/>
          <w:highlight w:val="none"/>
        </w:rPr>
      </w:pPr>
    </w:p>
    <w:p w14:paraId="0E599866">
      <w:pPr>
        <w:pStyle w:val="39"/>
        <w:rPr>
          <w:rFonts w:hint="eastAsia" w:cs="宋体" w:asciiTheme="majorEastAsia" w:hAnsiTheme="majorEastAsia" w:eastAsiaTheme="majorEastAsia"/>
          <w:b/>
          <w:color w:val="auto"/>
          <w:sz w:val="84"/>
          <w:highlight w:val="none"/>
        </w:rPr>
      </w:pPr>
    </w:p>
    <w:p w14:paraId="755A33BF">
      <w:pPr>
        <w:pStyle w:val="39"/>
        <w:rPr>
          <w:rFonts w:hint="eastAsia" w:cs="宋体" w:asciiTheme="majorEastAsia" w:hAnsiTheme="majorEastAsia" w:eastAsiaTheme="majorEastAsia"/>
          <w:b/>
          <w:color w:val="auto"/>
          <w:sz w:val="84"/>
          <w:highlight w:val="none"/>
        </w:rPr>
      </w:pPr>
    </w:p>
    <w:p w14:paraId="76EA21A1">
      <w:pPr>
        <w:pStyle w:val="39"/>
        <w:rPr>
          <w:rFonts w:hint="eastAsia" w:cs="宋体" w:asciiTheme="majorEastAsia" w:hAnsiTheme="majorEastAsia" w:eastAsiaTheme="majorEastAsia"/>
          <w:b/>
          <w:color w:val="auto"/>
          <w:sz w:val="84"/>
          <w:highlight w:val="none"/>
        </w:rPr>
      </w:pPr>
    </w:p>
    <w:p w14:paraId="682A468F">
      <w:pPr>
        <w:spacing w:line="360" w:lineRule="auto"/>
        <w:jc w:val="center"/>
        <w:outlineLvl w:val="0"/>
        <w:rPr>
          <w:rFonts w:hint="eastAsia" w:cs="宋体" w:asciiTheme="majorEastAsia" w:hAnsiTheme="majorEastAsia" w:eastAsiaTheme="majorEastAsia"/>
          <w:color w:val="auto"/>
          <w:sz w:val="84"/>
          <w:szCs w:val="84"/>
          <w:highlight w:val="none"/>
        </w:rPr>
      </w:pPr>
      <w:bookmarkStart w:id="0" w:name="_Toc1552"/>
      <w:r>
        <w:rPr>
          <w:rFonts w:hint="eastAsia" w:cs="宋体" w:asciiTheme="majorEastAsia" w:hAnsiTheme="majorEastAsia" w:eastAsiaTheme="majorEastAsia"/>
          <w:color w:val="auto"/>
          <w:sz w:val="84"/>
          <w:szCs w:val="84"/>
          <w:highlight w:val="none"/>
        </w:rPr>
        <w:t>第一卷</w:t>
      </w:r>
      <w:bookmarkEnd w:id="0"/>
    </w:p>
    <w:p w14:paraId="4374064C">
      <w:pPr>
        <w:pStyle w:val="18"/>
        <w:jc w:val="both"/>
        <w:outlineLvl w:val="9"/>
        <w:rPr>
          <w:rFonts w:hint="eastAsia" w:cs="宋体" w:asciiTheme="majorEastAsia" w:hAnsiTheme="majorEastAsia" w:eastAsiaTheme="majorEastAsia"/>
          <w:color w:val="auto"/>
          <w:highlight w:val="none"/>
        </w:rPr>
      </w:pPr>
    </w:p>
    <w:p w14:paraId="719DBC10">
      <w:pPr>
        <w:pStyle w:val="18"/>
        <w:jc w:val="both"/>
        <w:outlineLvl w:val="9"/>
        <w:rPr>
          <w:rFonts w:hint="eastAsia" w:cs="宋体" w:asciiTheme="majorEastAsia" w:hAnsiTheme="majorEastAsia" w:eastAsiaTheme="majorEastAsia"/>
          <w:color w:val="auto"/>
          <w:highlight w:val="none"/>
        </w:rPr>
      </w:pPr>
    </w:p>
    <w:p w14:paraId="621E4987">
      <w:pPr>
        <w:pStyle w:val="18"/>
        <w:jc w:val="both"/>
        <w:outlineLvl w:val="9"/>
        <w:rPr>
          <w:rFonts w:hint="eastAsia" w:cs="宋体" w:asciiTheme="majorEastAsia" w:hAnsiTheme="majorEastAsia" w:eastAsiaTheme="majorEastAsia"/>
          <w:color w:val="auto"/>
          <w:highlight w:val="none"/>
        </w:rPr>
      </w:pPr>
    </w:p>
    <w:p w14:paraId="79876749">
      <w:pPr>
        <w:pStyle w:val="18"/>
        <w:jc w:val="both"/>
        <w:outlineLvl w:val="9"/>
        <w:rPr>
          <w:rFonts w:hint="eastAsia" w:cs="宋体" w:asciiTheme="majorEastAsia" w:hAnsiTheme="majorEastAsia" w:eastAsiaTheme="majorEastAsia"/>
          <w:color w:val="auto"/>
          <w:highlight w:val="none"/>
        </w:rPr>
      </w:pPr>
    </w:p>
    <w:p w14:paraId="243CF9D3">
      <w:pPr>
        <w:pStyle w:val="18"/>
        <w:jc w:val="both"/>
        <w:outlineLvl w:val="9"/>
        <w:rPr>
          <w:rFonts w:hint="eastAsia" w:cs="宋体" w:asciiTheme="majorEastAsia" w:hAnsiTheme="majorEastAsia" w:eastAsiaTheme="majorEastAsia"/>
          <w:color w:val="auto"/>
          <w:highlight w:val="none"/>
        </w:rPr>
      </w:pPr>
    </w:p>
    <w:p w14:paraId="036B0A88">
      <w:pPr>
        <w:pStyle w:val="18"/>
        <w:jc w:val="both"/>
        <w:outlineLvl w:val="9"/>
        <w:rPr>
          <w:rFonts w:hint="eastAsia" w:cs="宋体" w:asciiTheme="majorEastAsia" w:hAnsiTheme="majorEastAsia" w:eastAsiaTheme="majorEastAsia"/>
          <w:color w:val="auto"/>
          <w:highlight w:val="none"/>
        </w:rPr>
      </w:pPr>
    </w:p>
    <w:p w14:paraId="3EA933F7">
      <w:pPr>
        <w:pStyle w:val="18"/>
        <w:jc w:val="both"/>
        <w:outlineLvl w:val="9"/>
        <w:rPr>
          <w:rFonts w:hint="eastAsia" w:cs="宋体" w:asciiTheme="majorEastAsia" w:hAnsiTheme="majorEastAsia" w:eastAsiaTheme="majorEastAsia"/>
          <w:color w:val="auto"/>
          <w:highlight w:val="none"/>
        </w:rPr>
      </w:pPr>
    </w:p>
    <w:p w14:paraId="713E300A">
      <w:pPr>
        <w:pStyle w:val="18"/>
        <w:rPr>
          <w:rFonts w:hint="eastAsia" w:cs="宋体" w:asciiTheme="majorEastAsia" w:hAnsiTheme="majorEastAsia" w:eastAsiaTheme="majorEastAsia"/>
          <w:color w:val="auto"/>
          <w:highlight w:val="none"/>
        </w:rPr>
        <w:sectPr>
          <w:footerReference r:id="rId4" w:type="default"/>
          <w:pgSz w:w="11906" w:h="16838"/>
          <w:pgMar w:top="1134" w:right="1134" w:bottom="1134" w:left="1134" w:header="851" w:footer="992" w:gutter="0"/>
          <w:pgNumType w:fmt="numberInDash" w:start="1"/>
          <w:cols w:space="425" w:num="1"/>
          <w:docGrid w:type="lines" w:linePitch="312" w:charSpace="0"/>
        </w:sectPr>
      </w:pPr>
    </w:p>
    <w:p w14:paraId="0E299E9B">
      <w:pPr>
        <w:pStyle w:val="18"/>
        <w:rPr>
          <w:rFonts w:hint="eastAsia" w:cs="宋体" w:asciiTheme="majorEastAsia" w:hAnsiTheme="majorEastAsia" w:eastAsiaTheme="majorEastAsia"/>
          <w:color w:val="auto"/>
          <w:highlight w:val="none"/>
        </w:rPr>
      </w:pPr>
      <w:bookmarkStart w:id="1" w:name="_Toc10649"/>
      <w:r>
        <w:rPr>
          <w:rFonts w:hint="eastAsia" w:cs="宋体" w:asciiTheme="majorEastAsia" w:hAnsiTheme="majorEastAsia" w:eastAsiaTheme="majorEastAsia"/>
          <w:color w:val="auto"/>
          <w:highlight w:val="none"/>
        </w:rPr>
        <w:t>第一章 招标公告</w:t>
      </w:r>
      <w:bookmarkEnd w:id="1"/>
    </w:p>
    <w:p w14:paraId="1460E849">
      <w:pPr>
        <w:spacing w:line="360" w:lineRule="auto"/>
        <w:jc w:val="left"/>
        <w:rPr>
          <w:rFonts w:hint="eastAsia" w:ascii="宋体" w:hAnsi="宋体" w:cs="宋体"/>
          <w:b/>
          <w:color w:val="auto"/>
          <w:sz w:val="22"/>
          <w:highlight w:val="none"/>
        </w:rPr>
      </w:pPr>
      <w:r>
        <w:rPr>
          <w:rFonts w:hint="eastAsia" w:ascii="宋体" w:hAnsi="宋体" w:cs="宋体"/>
          <w:b/>
          <w:color w:val="auto"/>
          <w:sz w:val="22"/>
          <w:highlight w:val="none"/>
        </w:rPr>
        <w:t>一、招标条件</w:t>
      </w:r>
    </w:p>
    <w:p w14:paraId="207B6309">
      <w:pPr>
        <w:wordWrap w:val="0"/>
        <w:spacing w:line="360" w:lineRule="auto"/>
        <w:ind w:firstLine="440" w:firstLineChars="200"/>
        <w:jc w:val="left"/>
        <w:rPr>
          <w:rFonts w:hint="eastAsia" w:ascii="宋体" w:hAnsi="宋体" w:cs="宋体"/>
          <w:b/>
          <w:color w:val="auto"/>
          <w:sz w:val="22"/>
          <w:highlight w:val="none"/>
          <w:shd w:val="clear" w:color="auto" w:fill="FFFFFF"/>
        </w:rPr>
      </w:pPr>
      <w:r>
        <w:rPr>
          <w:rFonts w:hint="eastAsia" w:ascii="宋体" w:hAnsi="宋体" w:cs="宋体"/>
          <w:color w:val="auto"/>
          <w:sz w:val="22"/>
          <w:highlight w:val="none"/>
        </w:rPr>
        <w:t>本招标项目名称</w:t>
      </w:r>
      <w:r>
        <w:rPr>
          <w:rFonts w:hint="eastAsia" w:ascii="宋体" w:hAnsi="宋体" w:cs="宋体"/>
          <w:color w:val="auto"/>
          <w:sz w:val="22"/>
          <w:highlight w:val="none"/>
          <w:u w:val="single"/>
          <w:lang w:eastAsia="zh-CN"/>
        </w:rPr>
        <w:t>翁源县龙仙镇老隆山水山洪沟治理工程施工（第二次）</w:t>
      </w:r>
      <w:r>
        <w:rPr>
          <w:rFonts w:hint="eastAsia" w:ascii="宋体" w:hAnsi="宋体" w:cs="宋体"/>
          <w:color w:val="auto"/>
          <w:sz w:val="22"/>
          <w:highlight w:val="none"/>
        </w:rPr>
        <w:t>，经</w:t>
      </w:r>
      <w:r>
        <w:rPr>
          <w:rFonts w:hint="eastAsia" w:ascii="宋体" w:hAnsi="宋体" w:cs="宋体"/>
          <w:color w:val="auto"/>
          <w:sz w:val="22"/>
          <w:highlight w:val="none"/>
          <w:u w:val="single"/>
        </w:rPr>
        <w:t>翁源县发展和改革局关于翁源县龙仙镇老隆山水山洪沟治理工程项目初步设计概算的批复（翁发改投审〔2026〕16号）</w:t>
      </w:r>
      <w:r>
        <w:rPr>
          <w:rFonts w:hint="eastAsia" w:ascii="宋体" w:hAnsi="宋体" w:cs="宋体"/>
          <w:color w:val="auto"/>
          <w:sz w:val="22"/>
          <w:highlight w:val="none"/>
        </w:rPr>
        <w:t>文核准招标，项目代码为</w:t>
      </w:r>
      <w:r>
        <w:rPr>
          <w:rFonts w:hint="eastAsia" w:ascii="宋体" w:hAnsi="宋体" w:cs="宋体"/>
          <w:color w:val="auto"/>
          <w:sz w:val="22"/>
          <w:highlight w:val="none"/>
          <w:u w:val="single"/>
        </w:rPr>
        <w:t>2602-440229-04-01-210148</w:t>
      </w:r>
      <w:r>
        <w:rPr>
          <w:rFonts w:hint="eastAsia" w:ascii="宋体" w:hAnsi="宋体" w:cs="宋体"/>
          <w:color w:val="auto"/>
          <w:sz w:val="22"/>
          <w:highlight w:val="none"/>
        </w:rPr>
        <w:t>，建设资金来源</w:t>
      </w:r>
      <w:r>
        <w:rPr>
          <w:rFonts w:hint="eastAsia" w:ascii="宋体" w:hAnsi="宋体" w:cs="宋体"/>
          <w:snapToGrid w:val="0"/>
          <w:color w:val="auto"/>
          <w:kern w:val="0"/>
          <w:sz w:val="22"/>
          <w:highlight w:val="none"/>
          <w:u w:val="single"/>
        </w:rPr>
        <w:t>由上级专项资金以及一般专项债解决，不足部分由县级财政统筹解决。</w:t>
      </w:r>
      <w:r>
        <w:rPr>
          <w:rFonts w:hint="eastAsia" w:ascii="宋体" w:hAnsi="宋体" w:cs="宋体"/>
          <w:color w:val="auto"/>
          <w:sz w:val="22"/>
          <w:highlight w:val="none"/>
        </w:rPr>
        <w:t>项目业主为</w:t>
      </w:r>
      <w:r>
        <w:rPr>
          <w:rFonts w:hint="eastAsia" w:ascii="宋体" w:hAnsi="宋体" w:cs="宋体"/>
          <w:color w:val="auto"/>
          <w:sz w:val="22"/>
          <w:highlight w:val="none"/>
          <w:u w:val="single"/>
        </w:rPr>
        <w:t>翁源县水利水电工程建设管理中心</w:t>
      </w:r>
      <w:r>
        <w:rPr>
          <w:rFonts w:hint="eastAsia" w:ascii="宋体" w:hAnsi="宋体" w:cs="宋体"/>
          <w:color w:val="auto"/>
          <w:sz w:val="22"/>
          <w:highlight w:val="none"/>
        </w:rPr>
        <w:t>。招标代理机构为</w:t>
      </w:r>
      <w:r>
        <w:rPr>
          <w:rFonts w:hint="eastAsia" w:ascii="宋体" w:hAnsi="宋体" w:cs="宋体"/>
          <w:color w:val="auto"/>
          <w:sz w:val="22"/>
          <w:highlight w:val="none"/>
          <w:u w:val="single"/>
        </w:rPr>
        <w:t>中投德创建工有限公司</w:t>
      </w:r>
      <w:r>
        <w:rPr>
          <w:rFonts w:hint="eastAsia" w:ascii="宋体" w:hAnsi="宋体" w:cs="宋体"/>
          <w:color w:val="auto"/>
          <w:sz w:val="22"/>
          <w:highlight w:val="none"/>
        </w:rPr>
        <w:t>，项目已具备招标条件，现对该项目进行公开招标。</w:t>
      </w:r>
    </w:p>
    <w:p w14:paraId="68F67FD2">
      <w:pPr>
        <w:spacing w:line="360" w:lineRule="auto"/>
        <w:rPr>
          <w:rFonts w:hint="eastAsia" w:ascii="宋体" w:hAnsi="宋体" w:cs="宋体"/>
          <w:color w:val="auto"/>
          <w:sz w:val="22"/>
          <w:highlight w:val="none"/>
          <w:shd w:val="clear" w:color="auto" w:fill="FFFFFF"/>
        </w:rPr>
      </w:pPr>
      <w:r>
        <w:rPr>
          <w:rFonts w:hint="eastAsia" w:ascii="宋体" w:hAnsi="宋体" w:cs="宋体"/>
          <w:b/>
          <w:color w:val="auto"/>
          <w:sz w:val="22"/>
          <w:highlight w:val="none"/>
          <w:shd w:val="clear" w:color="auto" w:fill="FFFFFF"/>
        </w:rPr>
        <w:t>二、项目概况及招标范围：</w:t>
      </w:r>
    </w:p>
    <w:p w14:paraId="49FE964C">
      <w:pPr>
        <w:pStyle w:val="6"/>
        <w:spacing w:line="360" w:lineRule="auto"/>
        <w:ind w:firstLine="440" w:firstLineChars="200"/>
        <w:rPr>
          <w:rFonts w:hint="eastAsia" w:hAnsi="宋体" w:cs="宋体"/>
          <w:color w:val="auto"/>
          <w:sz w:val="22"/>
          <w:szCs w:val="22"/>
          <w:highlight w:val="none"/>
          <w:u w:val="single"/>
        </w:rPr>
      </w:pPr>
      <w:r>
        <w:rPr>
          <w:rFonts w:hint="eastAsia" w:hAnsi="宋体" w:cs="宋体"/>
          <w:color w:val="auto"/>
          <w:sz w:val="22"/>
          <w:szCs w:val="22"/>
          <w:highlight w:val="none"/>
        </w:rPr>
        <w:t>2.1建设内容及规模：</w:t>
      </w:r>
    </w:p>
    <w:p w14:paraId="4E07BDF1">
      <w:pPr>
        <w:pStyle w:val="6"/>
        <w:spacing w:line="360" w:lineRule="auto"/>
        <w:ind w:firstLine="440" w:firstLineChars="200"/>
        <w:rPr>
          <w:rFonts w:hint="eastAsia" w:hAnsi="宋体" w:cs="宋体"/>
          <w:color w:val="auto"/>
          <w:sz w:val="22"/>
          <w:szCs w:val="22"/>
          <w:highlight w:val="none"/>
          <w:u w:val="single"/>
        </w:rPr>
      </w:pPr>
      <w:r>
        <w:rPr>
          <w:rFonts w:hint="eastAsia" w:hAnsi="宋体" w:cs="宋体"/>
          <w:color w:val="auto"/>
          <w:sz w:val="22"/>
          <w:szCs w:val="22"/>
          <w:highlight w:val="none"/>
          <w:u w:val="single"/>
        </w:rPr>
        <w:t>治理河长为3.10km；清淤长3.0km；新建护岸长3.29km（其中新建C20仰斜式埋石砼护岸2.10km，新建生态砌块挡墙护岸1.19km）；新建透水砖步道0.68km；新建下河步级6座；新建排水涵管7座。设置山洪灾害预警监测设备1套；界桩14座。</w:t>
      </w:r>
    </w:p>
    <w:p w14:paraId="2C3B1B4F">
      <w:pPr>
        <w:pStyle w:val="6"/>
        <w:spacing w:line="360" w:lineRule="auto"/>
        <w:ind w:firstLine="440" w:firstLineChars="200"/>
        <w:rPr>
          <w:rFonts w:hint="eastAsia" w:hAnsi="宋体" w:cs="宋体"/>
          <w:color w:val="auto"/>
          <w:sz w:val="22"/>
          <w:szCs w:val="22"/>
          <w:highlight w:val="none"/>
          <w:u w:val="single"/>
        </w:rPr>
      </w:pPr>
      <w:r>
        <w:rPr>
          <w:rFonts w:hint="eastAsia" w:hAnsi="宋体" w:cs="宋体"/>
          <w:color w:val="auto"/>
          <w:sz w:val="22"/>
          <w:szCs w:val="22"/>
          <w:highlight w:val="none"/>
        </w:rPr>
        <w:t>2.2本工程建设地点位于：</w:t>
      </w:r>
      <w:r>
        <w:rPr>
          <w:rFonts w:hint="eastAsia" w:hAnsi="宋体" w:cs="宋体"/>
          <w:color w:val="auto"/>
          <w:sz w:val="22"/>
          <w:szCs w:val="22"/>
          <w:highlight w:val="none"/>
          <w:u w:val="single"/>
        </w:rPr>
        <w:t>翁源县龙仙镇</w:t>
      </w:r>
    </w:p>
    <w:p w14:paraId="06B06A50">
      <w:pPr>
        <w:pStyle w:val="6"/>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2.3标段划分：</w:t>
      </w:r>
      <w:r>
        <w:rPr>
          <w:rFonts w:hint="eastAsia" w:hAnsi="宋体" w:cs="宋体"/>
          <w:color w:val="auto"/>
          <w:sz w:val="22"/>
          <w:szCs w:val="22"/>
          <w:highlight w:val="none"/>
          <w:u w:val="single"/>
        </w:rPr>
        <w:t>本次施工招标设1个标段。</w:t>
      </w:r>
    </w:p>
    <w:p w14:paraId="7C0793B5">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2.4招标范围：</w:t>
      </w:r>
      <w:r>
        <w:rPr>
          <w:rFonts w:hint="eastAsia" w:ascii="宋体" w:hAnsi="宋体" w:cs="宋体"/>
          <w:color w:val="auto"/>
          <w:sz w:val="22"/>
          <w:highlight w:val="none"/>
          <w:u w:val="single"/>
        </w:rPr>
        <w:t>工程量清单及施工图设计文件范围内的工程施工。</w:t>
      </w:r>
    </w:p>
    <w:p w14:paraId="17132C83">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2.5计划工期：</w:t>
      </w:r>
      <w:r>
        <w:rPr>
          <w:rFonts w:hint="eastAsia" w:ascii="宋体" w:hAnsi="宋体" w:cs="宋体"/>
          <w:color w:val="auto"/>
          <w:sz w:val="22"/>
          <w:highlight w:val="none"/>
          <w:u w:val="single"/>
        </w:rPr>
        <w:t>275日历天</w:t>
      </w:r>
    </w:p>
    <w:p w14:paraId="584DBF53">
      <w:pPr>
        <w:spacing w:line="360" w:lineRule="auto"/>
        <w:ind w:firstLine="440" w:firstLineChars="200"/>
        <w:rPr>
          <w:rFonts w:hint="eastAsia" w:ascii="宋体" w:hAnsi="宋体" w:cs="宋体"/>
          <w:color w:val="auto"/>
          <w:kern w:val="0"/>
          <w:sz w:val="22"/>
          <w:highlight w:val="none"/>
          <w:u w:val="single"/>
        </w:rPr>
      </w:pPr>
      <w:r>
        <w:rPr>
          <w:rFonts w:hint="eastAsia" w:ascii="宋体" w:hAnsi="宋体" w:cs="宋体"/>
          <w:color w:val="auto"/>
          <w:kern w:val="0"/>
          <w:sz w:val="22"/>
          <w:highlight w:val="none"/>
        </w:rPr>
        <w:t>2.6项目总投资：</w:t>
      </w:r>
      <w:r>
        <w:rPr>
          <w:rFonts w:hint="eastAsia" w:ascii="宋体" w:hAnsi="宋体" w:cs="宋体"/>
          <w:color w:val="auto"/>
          <w:kern w:val="0"/>
          <w:sz w:val="22"/>
          <w:highlight w:val="none"/>
          <w:u w:val="single"/>
        </w:rPr>
        <w:t>项目概算总投资1266.21万元，其中工程部分静态投资1206.30万元，包含建筑工程962.24万元、施工临时工程75.49万元、独立费用111.13万元、预备费57.44万元；专项工程静态投资59.91万元，包含建设征地移民补偿费15.59万元，水土保持工程费28.57万元，环境保护工程费15.75万元。</w:t>
      </w:r>
    </w:p>
    <w:p w14:paraId="3334A29C">
      <w:pPr>
        <w:spacing w:line="360" w:lineRule="auto"/>
        <w:jc w:val="left"/>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三、投标人资格要求</w:t>
      </w:r>
    </w:p>
    <w:p w14:paraId="1618554A">
      <w:pPr>
        <w:spacing w:line="360" w:lineRule="auto"/>
        <w:ind w:firstLine="330" w:firstLineChars="150"/>
        <w:rPr>
          <w:rFonts w:hint="eastAsia" w:ascii="宋体" w:hAnsi="宋体" w:cs="宋体"/>
          <w:bCs/>
          <w:color w:val="auto"/>
          <w:sz w:val="22"/>
          <w:highlight w:val="none"/>
        </w:rPr>
      </w:pPr>
      <w:r>
        <w:rPr>
          <w:rFonts w:hint="eastAsia" w:ascii="宋体" w:hAnsi="宋体" w:cs="宋体"/>
          <w:bCs/>
          <w:color w:val="auto"/>
          <w:sz w:val="22"/>
          <w:highlight w:val="none"/>
        </w:rPr>
        <w:t>3.1投标人资格要求</w:t>
      </w:r>
    </w:p>
    <w:p w14:paraId="74C4E60E">
      <w:pPr>
        <w:spacing w:line="360" w:lineRule="auto"/>
        <w:ind w:firstLine="330" w:firstLineChars="150"/>
        <w:rPr>
          <w:rFonts w:hint="eastAsia" w:ascii="宋体" w:hAnsi="宋体" w:cs="宋体"/>
          <w:color w:val="auto"/>
          <w:sz w:val="22"/>
          <w:highlight w:val="none"/>
        </w:rPr>
      </w:pPr>
      <w:r>
        <w:rPr>
          <w:rFonts w:hint="eastAsia" w:ascii="宋体" w:hAnsi="宋体" w:cs="宋体"/>
          <w:color w:val="auto"/>
          <w:sz w:val="22"/>
          <w:highlight w:val="none"/>
        </w:rPr>
        <w:t>（1）投标人必须具备</w:t>
      </w:r>
      <w:r>
        <w:rPr>
          <w:rFonts w:hint="eastAsia" w:ascii="宋体" w:hAnsi="宋体" w:cs="宋体"/>
          <w:b/>
          <w:bCs/>
          <w:color w:val="auto"/>
          <w:sz w:val="22"/>
          <w:highlight w:val="none"/>
        </w:rPr>
        <w:t>水利水电工程施工总承包三级以上(含三级)资质</w:t>
      </w:r>
      <w:r>
        <w:rPr>
          <w:rFonts w:hint="eastAsia" w:ascii="宋体" w:hAnsi="宋体" w:cs="宋体"/>
          <w:color w:val="auto"/>
          <w:sz w:val="22"/>
          <w:highlight w:val="none"/>
        </w:rPr>
        <w:t>；</w:t>
      </w:r>
    </w:p>
    <w:p w14:paraId="67EE2E32">
      <w:pPr>
        <w:spacing w:line="360" w:lineRule="auto"/>
        <w:ind w:firstLine="330" w:firstLineChars="150"/>
        <w:rPr>
          <w:rFonts w:hint="eastAsia" w:ascii="宋体" w:hAnsi="宋体" w:cs="宋体"/>
          <w:color w:val="auto"/>
          <w:sz w:val="22"/>
          <w:highlight w:val="none"/>
        </w:rPr>
      </w:pPr>
      <w:r>
        <w:rPr>
          <w:rFonts w:hint="eastAsia" w:ascii="宋体" w:hAnsi="宋体" w:cs="宋体"/>
          <w:color w:val="auto"/>
          <w:sz w:val="22"/>
          <w:highlight w:val="none"/>
        </w:rPr>
        <w:t xml:space="preserve">（2）具有有效的营业执照、具有有效的安全生产许可证、具有有效的资质证书（投标人的企业相关证书到期的，必须将相关文件附在该证书后面中，证明在开标日继续有效。因推行电子证照，可提供营业执照、资质证书、安全生产许可证实时网页查询页）； </w:t>
      </w:r>
    </w:p>
    <w:p w14:paraId="4DD50DDD">
      <w:pPr>
        <w:spacing w:line="360" w:lineRule="auto"/>
        <w:ind w:firstLine="330" w:firstLineChars="150"/>
        <w:rPr>
          <w:rFonts w:hint="eastAsia" w:ascii="宋体" w:hAnsi="宋体" w:cs="宋体"/>
          <w:i/>
          <w:iCs/>
          <w:color w:val="auto"/>
          <w:sz w:val="22"/>
          <w:highlight w:val="none"/>
        </w:rPr>
      </w:pPr>
      <w:r>
        <w:rPr>
          <w:rFonts w:hint="eastAsia" w:ascii="宋体" w:hAnsi="宋体" w:cs="宋体"/>
          <w:color w:val="auto"/>
          <w:sz w:val="22"/>
          <w:highlight w:val="none"/>
        </w:rPr>
        <w:t>（3）投标人拟派项目经理为在本单位注册的</w:t>
      </w:r>
      <w:r>
        <w:rPr>
          <w:rFonts w:hint="eastAsia" w:ascii="宋体" w:hAnsi="宋体" w:cs="宋体"/>
          <w:b/>
          <w:bCs/>
          <w:color w:val="auto"/>
          <w:sz w:val="22"/>
          <w:highlight w:val="none"/>
        </w:rPr>
        <w:t>“水利水电工程”</w:t>
      </w:r>
      <w:r>
        <w:rPr>
          <w:rFonts w:hint="eastAsia" w:ascii="宋体" w:hAnsi="宋体" w:cs="宋体"/>
          <w:color w:val="auto"/>
          <w:sz w:val="22"/>
          <w:highlight w:val="none"/>
        </w:rPr>
        <w:t>专业二级以上（含二级）注册建造师，应持有住建部门印发的在使用有效期内的有效电子注册证书（根据广东省住房和城乡建设厅（粤建市函〔2023〕469号）文件精神，二级注册建造师可随注册企业在全国范围内执业），同时须具备水利行政主管部门颁发的安全生产考核合格证书(B证)</w:t>
      </w:r>
      <w:r>
        <w:rPr>
          <w:rFonts w:hint="eastAsia" w:ascii="宋体" w:hAnsi="宋体" w:cs="宋体"/>
          <w:color w:val="auto"/>
          <w:kern w:val="0"/>
          <w:sz w:val="22"/>
          <w:highlight w:val="none"/>
        </w:rPr>
        <w:t>，提供近3个月（其中必须有2026年1月）社保证明（如为退休人员无社会保险关系证明的，则需提供其退休证及返聘证明）及有效的居民身份证，且未担任其他在建（包括已列为其他项目第一中标候选人、已中标未开工或已建成未竣工）建设工程项目</w:t>
      </w:r>
      <w:r>
        <w:rPr>
          <w:rFonts w:hint="eastAsia" w:ascii="宋体" w:hAnsi="宋体" w:cs="宋体"/>
          <w:b/>
          <w:bCs/>
          <w:color w:val="auto"/>
          <w:kern w:val="0"/>
          <w:sz w:val="22"/>
          <w:highlight w:val="none"/>
        </w:rPr>
        <w:t>（提供承诺函，格式自拟）</w:t>
      </w:r>
      <w:r>
        <w:rPr>
          <w:rFonts w:hint="eastAsia" w:ascii="宋体" w:hAnsi="宋体" w:cs="宋体"/>
          <w:color w:val="auto"/>
          <w:kern w:val="0"/>
          <w:sz w:val="22"/>
          <w:highlight w:val="none"/>
        </w:rPr>
        <w:t>；</w:t>
      </w:r>
    </w:p>
    <w:p w14:paraId="167F35DD">
      <w:pPr>
        <w:spacing w:line="360" w:lineRule="auto"/>
        <w:ind w:firstLine="385" w:firstLineChars="175"/>
        <w:rPr>
          <w:rFonts w:hint="eastAsia" w:ascii="宋体" w:hAnsi="宋体" w:cs="宋体"/>
          <w:color w:val="auto"/>
          <w:sz w:val="22"/>
          <w:highlight w:val="none"/>
        </w:rPr>
      </w:pPr>
      <w:bookmarkStart w:id="2" w:name="_Toc48665586"/>
      <w:r>
        <w:rPr>
          <w:rFonts w:hint="eastAsia" w:ascii="宋体" w:hAnsi="宋体" w:cs="宋体"/>
          <w:color w:val="auto"/>
          <w:sz w:val="22"/>
          <w:highlight w:val="none"/>
        </w:rPr>
        <w:t>（4）</w:t>
      </w:r>
      <w:bookmarkEnd w:id="2"/>
      <w:r>
        <w:rPr>
          <w:rFonts w:hint="eastAsia" w:ascii="宋体" w:hAnsi="宋体" w:cs="宋体"/>
          <w:color w:val="auto"/>
          <w:sz w:val="22"/>
          <w:highlight w:val="none"/>
        </w:rPr>
        <w:t>拟投入本项目的技术负责人必须具备</w:t>
      </w:r>
      <w:r>
        <w:rPr>
          <w:rFonts w:hint="eastAsia" w:ascii="宋体" w:hAnsi="宋体" w:cs="宋体"/>
          <w:b/>
          <w:bCs/>
          <w:color w:val="auto"/>
          <w:sz w:val="22"/>
          <w:highlight w:val="none"/>
          <w:u w:val="single"/>
        </w:rPr>
        <w:t>水利水电类</w:t>
      </w:r>
      <w:r>
        <w:rPr>
          <w:rFonts w:hint="eastAsia" w:ascii="宋体" w:hAnsi="宋体" w:cs="宋体"/>
          <w:color w:val="auto"/>
          <w:sz w:val="22"/>
          <w:highlight w:val="none"/>
        </w:rPr>
        <w:t>相关专业中级以上（含中级）技术职</w:t>
      </w:r>
      <w:r>
        <w:rPr>
          <w:rFonts w:hint="eastAsia" w:ascii="宋体" w:hAnsi="宋体" w:cs="宋体"/>
          <w:color w:val="auto"/>
          <w:kern w:val="0"/>
          <w:sz w:val="22"/>
          <w:highlight w:val="none"/>
        </w:rPr>
        <w:t>称，提供近3个月（其中必须有2026年1月）社保证明（如为退休人员无社会保险关系证明的，则需提供其退休证及返聘证明）及有效的居民身份证；</w:t>
      </w:r>
    </w:p>
    <w:p w14:paraId="4E69D120">
      <w:pPr>
        <w:spacing w:line="360" w:lineRule="auto"/>
        <w:ind w:firstLine="330" w:firstLineChars="150"/>
        <w:rPr>
          <w:rFonts w:hint="eastAsia" w:ascii="宋体" w:hAnsi="宋体" w:cs="宋体"/>
          <w:color w:val="auto"/>
          <w:sz w:val="22"/>
          <w:highlight w:val="none"/>
        </w:rPr>
      </w:pPr>
      <w:bookmarkStart w:id="3" w:name="_Toc48665587"/>
      <w:r>
        <w:rPr>
          <w:rFonts w:hint="eastAsia" w:ascii="宋体" w:hAnsi="宋体" w:cs="宋体"/>
          <w:color w:val="auto"/>
          <w:sz w:val="22"/>
          <w:highlight w:val="none"/>
        </w:rPr>
        <w:t>（5）</w:t>
      </w:r>
      <w:bookmarkEnd w:id="3"/>
      <w:r>
        <w:rPr>
          <w:rFonts w:hint="eastAsia" w:ascii="宋体" w:hAnsi="宋体" w:cs="宋体"/>
          <w:color w:val="auto"/>
          <w:sz w:val="22"/>
          <w:highlight w:val="none"/>
        </w:rPr>
        <w:t>投标人拟委派担任本项目的专职安全生产管理人员，须具有水利行政主管部门颁发的有效的安全生产考核合格证书(C证)且不少于1人，提供近3个月（其中必须有</w:t>
      </w:r>
      <w:r>
        <w:rPr>
          <w:rFonts w:hint="eastAsia" w:ascii="宋体" w:hAnsi="宋体" w:cs="宋体"/>
          <w:color w:val="auto"/>
          <w:kern w:val="0"/>
          <w:sz w:val="22"/>
          <w:highlight w:val="none"/>
        </w:rPr>
        <w:t>2026年1月</w:t>
      </w:r>
      <w:r>
        <w:rPr>
          <w:rFonts w:hint="eastAsia" w:ascii="宋体" w:hAnsi="宋体" w:cs="宋体"/>
          <w:color w:val="auto"/>
          <w:sz w:val="22"/>
          <w:highlight w:val="none"/>
        </w:rPr>
        <w:t>）社保证明（如为退休人员无社会保险关系证明的，则需提供其退休证及返聘证明）及有效的居民身份证。</w:t>
      </w:r>
    </w:p>
    <w:p w14:paraId="2974E1E5">
      <w:pPr>
        <w:spacing w:line="360" w:lineRule="auto"/>
        <w:ind w:firstLine="330" w:firstLineChars="150"/>
        <w:rPr>
          <w:rFonts w:hint="eastAsia" w:ascii="宋体" w:hAnsi="宋体" w:cs="宋体"/>
          <w:color w:val="auto"/>
          <w:sz w:val="22"/>
          <w:highlight w:val="none"/>
        </w:rPr>
      </w:pPr>
      <w:r>
        <w:rPr>
          <w:rFonts w:hint="eastAsia" w:ascii="宋体" w:hAnsi="宋体" w:cs="宋体"/>
          <w:color w:val="auto"/>
          <w:sz w:val="22"/>
          <w:highlight w:val="none"/>
        </w:rPr>
        <w:t>3.2 本次招标</w:t>
      </w:r>
      <w:r>
        <w:rPr>
          <w:rFonts w:hint="eastAsia" w:ascii="宋体" w:hAnsi="宋体" w:cs="宋体"/>
          <w:b/>
          <w:bCs/>
          <w:color w:val="auto"/>
          <w:sz w:val="22"/>
          <w:highlight w:val="none"/>
        </w:rPr>
        <w:t>不接受</w:t>
      </w:r>
      <w:r>
        <w:rPr>
          <w:rFonts w:hint="eastAsia" w:ascii="宋体" w:hAnsi="宋体" w:cs="宋体"/>
          <w:color w:val="auto"/>
          <w:sz w:val="22"/>
          <w:highlight w:val="none"/>
        </w:rPr>
        <w:t>联合体投标。</w:t>
      </w:r>
    </w:p>
    <w:p w14:paraId="7D8C4C6A">
      <w:pPr>
        <w:spacing w:line="360" w:lineRule="auto"/>
        <w:ind w:firstLine="330" w:firstLineChars="150"/>
        <w:rPr>
          <w:rFonts w:hint="eastAsia" w:ascii="宋体" w:hAnsi="宋体" w:cs="宋体"/>
          <w:color w:val="auto"/>
          <w:sz w:val="22"/>
          <w:highlight w:val="none"/>
        </w:rPr>
      </w:pPr>
      <w:r>
        <w:rPr>
          <w:rFonts w:hint="eastAsia" w:ascii="宋体" w:hAnsi="宋体" w:cs="宋体"/>
          <w:color w:val="auto"/>
          <w:sz w:val="22"/>
          <w:highlight w:val="none"/>
        </w:rPr>
        <w:t>3.3本次招标实行资格后审，资格审查的具体要求见招标文件，资格后审不合格的投标人的投标文件将按废标处理。</w:t>
      </w:r>
    </w:p>
    <w:p w14:paraId="6005EBFC">
      <w:pPr>
        <w:spacing w:line="360" w:lineRule="auto"/>
        <w:rPr>
          <w:rFonts w:hint="eastAsia" w:ascii="宋体" w:hAnsi="宋体" w:cs="宋体"/>
          <w:b/>
          <w:bCs/>
          <w:color w:val="auto"/>
          <w:sz w:val="22"/>
          <w:highlight w:val="none"/>
        </w:rPr>
      </w:pPr>
      <w:r>
        <w:rPr>
          <w:rFonts w:hint="eastAsia" w:ascii="宋体" w:hAnsi="宋体" w:cs="宋体"/>
          <w:b/>
          <w:bCs/>
          <w:color w:val="auto"/>
          <w:sz w:val="22"/>
          <w:highlight w:val="none"/>
        </w:rPr>
        <w:t>四、报名及招标文件的获取</w:t>
      </w:r>
    </w:p>
    <w:p w14:paraId="5C462212">
      <w:pPr>
        <w:wordWrap w:val="0"/>
        <w:autoSpaceDN w:val="0"/>
        <w:spacing w:line="360" w:lineRule="auto"/>
        <w:ind w:firstLine="442" w:firstLineChars="200"/>
        <w:rPr>
          <w:rFonts w:hint="eastAsia" w:ascii="宋体" w:hAnsi="宋体" w:cs="宋体"/>
          <w:snapToGrid w:val="0"/>
          <w:color w:val="auto"/>
          <w:kern w:val="0"/>
          <w:sz w:val="22"/>
          <w:highlight w:val="none"/>
        </w:rPr>
      </w:pPr>
      <w:r>
        <w:rPr>
          <w:rFonts w:hint="eastAsia" w:ascii="宋体" w:hAnsi="宋体" w:cs="宋体"/>
          <w:b/>
          <w:bCs/>
          <w:snapToGrid w:val="0"/>
          <w:color w:val="auto"/>
          <w:kern w:val="0"/>
          <w:sz w:val="22"/>
          <w:highlight w:val="none"/>
        </w:rPr>
        <w:t>4.1</w:t>
      </w:r>
      <w:r>
        <w:rPr>
          <w:rFonts w:hint="eastAsia" w:ascii="宋体" w:hAnsi="宋体" w:cs="宋体"/>
          <w:snapToGrid w:val="0"/>
          <w:color w:val="auto"/>
          <w:kern w:val="0"/>
          <w:sz w:val="22"/>
          <w:highlight w:val="none"/>
        </w:rPr>
        <w:t xml:space="preserve"> 本次招标实行网上获取招标文件和电子投标。本项目招标文件随招标公告一并在全国公共资源交易平台（广东省·韶关市）（https://ygp.gdzwfw.gov.cn/ggzy-portal/#/440200/index）网站发布。招标文件一经在全国公共资源交易平台（广东省·韶关市）发布，视为发售投标人，招标文件及相关附件由投标人自行在全国公共资源交易平台（广东省·韶关市）网站下载。请于招标文件获取期间，招标文件获取期间与招标公告发布时间一致，投标人须登录全国公共资源交易平台（广东省·韶关市）（https://ygp.gdzwfw.gov.cn/ggzy-portal/#/440200/index），使用新建设工程交易系统进行下载招标文件及相关附件，并于电子投标截止时间前完成电子投标。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496736DE">
      <w:pPr>
        <w:autoSpaceDN w:val="0"/>
        <w:spacing w:line="360" w:lineRule="auto"/>
        <w:ind w:firstLine="442" w:firstLineChars="200"/>
        <w:rPr>
          <w:rFonts w:hint="eastAsia" w:ascii="宋体" w:hAnsi="宋体" w:cs="宋体"/>
          <w:snapToGrid w:val="0"/>
          <w:color w:val="auto"/>
          <w:kern w:val="0"/>
          <w:sz w:val="22"/>
          <w:highlight w:val="none"/>
        </w:rPr>
      </w:pPr>
      <w:r>
        <w:rPr>
          <w:rFonts w:hint="eastAsia" w:ascii="宋体" w:hAnsi="宋体" w:cs="宋体"/>
          <w:b/>
          <w:bCs/>
          <w:snapToGrid w:val="0"/>
          <w:color w:val="auto"/>
          <w:kern w:val="0"/>
          <w:sz w:val="22"/>
          <w:highlight w:val="none"/>
        </w:rPr>
        <w:t>4.2</w:t>
      </w:r>
      <w:r>
        <w:rPr>
          <w:rFonts w:hint="eastAsia" w:ascii="宋体" w:hAnsi="宋体" w:cs="宋体"/>
          <w:snapToGrid w:val="0"/>
          <w:color w:val="auto"/>
          <w:kern w:val="0"/>
          <w:sz w:val="22"/>
          <w:highlight w:val="none"/>
        </w:rPr>
        <w:t xml:space="preserve"> 只有申领了数字证书（CA）、“粤企签”或GDCA/SZCA/NETCA等符合法律法规规定的电子印章，并在交易系统中完成企业信息数据入库的投标人，方可使用交易系统获取招标文件和电子投标。首次在韶关市参与建设工程招标投标活动的投标人，必须在平台系统上传企业相关资料办理企业入库事宜。投标人可登录广东省公共资源交易平台（韶关市）（https://ygp.gdzwfw.gov.cn/ggzy-portal/#/440200/index）或韶关市公共资源交易一体化平台（http://portal.ythpt.sg.gov.cn）了解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631BD1B8">
      <w:pPr>
        <w:autoSpaceDN w:val="0"/>
        <w:spacing w:line="360" w:lineRule="auto"/>
        <w:ind w:firstLine="440" w:firstLineChars="200"/>
        <w:rPr>
          <w:rFonts w:hint="eastAsia" w:ascii="宋体" w:hAnsi="宋体" w:cs="宋体"/>
          <w:snapToGrid w:val="0"/>
          <w:color w:val="auto"/>
          <w:kern w:val="0"/>
          <w:sz w:val="22"/>
          <w:highlight w:val="none"/>
        </w:rPr>
      </w:pPr>
      <w:r>
        <w:rPr>
          <w:rFonts w:hint="eastAsia" w:ascii="宋体" w:hAnsi="宋体" w:cs="宋体"/>
          <w:snapToGrid w:val="0"/>
          <w:color w:val="auto"/>
          <w:kern w:val="0"/>
          <w:sz w:val="22"/>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5E5288BF">
      <w:pPr>
        <w:autoSpaceDN w:val="0"/>
        <w:spacing w:line="360" w:lineRule="auto"/>
        <w:ind w:firstLine="442" w:firstLineChars="200"/>
        <w:rPr>
          <w:rFonts w:hint="eastAsia" w:ascii="宋体" w:hAnsi="宋体" w:cs="宋体"/>
          <w:color w:val="auto"/>
          <w:kern w:val="0"/>
          <w:sz w:val="22"/>
          <w:highlight w:val="none"/>
        </w:rPr>
      </w:pPr>
      <w:r>
        <w:rPr>
          <w:rFonts w:hint="eastAsia" w:ascii="宋体" w:hAnsi="宋体" w:cs="宋体"/>
          <w:b/>
          <w:bCs/>
          <w:snapToGrid w:val="0"/>
          <w:color w:val="auto"/>
          <w:kern w:val="0"/>
          <w:sz w:val="22"/>
          <w:highlight w:val="none"/>
        </w:rPr>
        <w:t>4.3</w:t>
      </w:r>
      <w:r>
        <w:rPr>
          <w:rFonts w:hint="eastAsia" w:ascii="宋体" w:hAnsi="宋体" w:cs="宋体"/>
          <w:color w:val="auto"/>
          <w:kern w:val="0"/>
          <w:sz w:val="22"/>
          <w:highlight w:val="none"/>
        </w:rPr>
        <w:t xml:space="preserve"> 投标保证</w:t>
      </w:r>
    </w:p>
    <w:p w14:paraId="6C7A5DFD">
      <w:pPr>
        <w:autoSpaceDN w:val="0"/>
        <w:spacing w:line="360" w:lineRule="auto"/>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4.3.1 </w:t>
      </w:r>
      <w:r>
        <w:rPr>
          <w:rFonts w:hint="eastAsia" w:ascii="宋体" w:hAnsi="宋体" w:cs="宋体"/>
          <w:b/>
          <w:bCs/>
          <w:color w:val="auto"/>
          <w:kern w:val="0"/>
          <w:sz w:val="22"/>
          <w:highlight w:val="none"/>
        </w:rPr>
        <w:t>投标保证金额为人民币：</w:t>
      </w:r>
      <w:r>
        <w:rPr>
          <w:rFonts w:hint="eastAsia" w:ascii="宋体" w:hAnsi="宋体" w:cs="宋体"/>
          <w:b/>
          <w:bCs/>
          <w:color w:val="auto"/>
          <w:kern w:val="0"/>
          <w:sz w:val="22"/>
          <w:highlight w:val="none"/>
          <w:u w:val="single"/>
        </w:rPr>
        <w:t>100000.00元。</w:t>
      </w:r>
    </w:p>
    <w:p w14:paraId="00C52827">
      <w:pPr>
        <w:pStyle w:val="43"/>
        <w:widowControl/>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4.3.2 </w:t>
      </w:r>
      <w:r>
        <w:rPr>
          <w:rFonts w:hint="eastAsia" w:ascii="宋体" w:hAnsi="宋体" w:cs="宋体"/>
          <w:color w:val="auto"/>
          <w:sz w:val="22"/>
          <w:szCs w:val="22"/>
          <w:highlight w:val="none"/>
        </w:rPr>
        <w:t>投标保证的形式包括投投标保证金、投标保证担保、投标保证保险三种，由投标人自主选择。</w:t>
      </w:r>
    </w:p>
    <w:p w14:paraId="2588BB95">
      <w:pPr>
        <w:pStyle w:val="43"/>
        <w:widowControl/>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采用投标保证金的，投标人在建设工程交易获取招标文件完毕后，即可在系统申请缴纳投标保证金，获取本次招标投标保证金缴纳账号。投标人必须于投标保证金到账截止时间（见“重要事项时间地点一览表”）前，从其基本账户将投标保证金转账到指定的缴纳账号。逾期到账的、从非投标人基本账户转出的，其投标无效。</w:t>
      </w:r>
    </w:p>
    <w:p w14:paraId="7C8EA805">
      <w:pPr>
        <w:pStyle w:val="43"/>
        <w:widowControl/>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（2）采用投标保证担保的，投标人应提交有效的银行保函，银行保函的有效期不得短于投标有效期。投标人必须在投标保证担保截止时间（</w:t>
      </w:r>
      <w:r>
        <w:rPr>
          <w:rFonts w:hint="eastAsia" w:ascii="宋体" w:hAnsi="宋体" w:cs="宋体"/>
          <w:color w:val="auto"/>
          <w:spacing w:val="2"/>
          <w:sz w:val="22"/>
          <w:szCs w:val="22"/>
          <w:highlight w:val="none"/>
        </w:rPr>
        <w:t>详</w:t>
      </w:r>
      <w:r>
        <w:rPr>
          <w:rFonts w:hint="eastAsia" w:ascii="宋体" w:hAnsi="宋体" w:cs="宋体"/>
          <w:color w:val="auto"/>
          <w:sz w:val="22"/>
          <w:szCs w:val="22"/>
          <w:highlight w:val="none"/>
        </w:rPr>
        <w:t>见“重要事项时间地点一览表”）前，使用工程建设交易系统完成网上办理电子保函。</w:t>
      </w:r>
    </w:p>
    <w:p w14:paraId="09EC49AD">
      <w:pPr>
        <w:wordWrap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（3）采用投标保证保险的，投标人须在投标保证保险投保截止时间（</w:t>
      </w:r>
      <w:r>
        <w:rPr>
          <w:rFonts w:hint="eastAsia" w:ascii="宋体" w:hAnsi="宋体" w:cs="宋体"/>
          <w:color w:val="auto"/>
          <w:spacing w:val="2"/>
          <w:sz w:val="22"/>
          <w:highlight w:val="none"/>
        </w:rPr>
        <w:t>详</w:t>
      </w:r>
      <w:r>
        <w:rPr>
          <w:rFonts w:hint="eastAsia" w:ascii="宋体" w:hAnsi="宋体" w:cs="宋体"/>
          <w:color w:val="auto"/>
          <w:sz w:val="22"/>
          <w:highlight w:val="none"/>
        </w:rPr>
        <w:t>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2207DB72">
      <w:pPr>
        <w:autoSpaceDN w:val="0"/>
        <w:spacing w:line="360" w:lineRule="auto"/>
        <w:ind w:firstLine="440" w:firstLineChars="200"/>
        <w:rPr>
          <w:rFonts w:hint="eastAsia" w:ascii="宋体" w:hAnsi="宋体" w:cs="宋体"/>
          <w:color w:val="auto"/>
          <w:kern w:val="0"/>
          <w:sz w:val="22"/>
          <w:highlight w:val="none"/>
        </w:rPr>
      </w:pPr>
      <w:r>
        <w:rPr>
          <w:rFonts w:hint="eastAsia" w:ascii="宋体" w:hAnsi="宋体" w:cs="宋体"/>
          <w:color w:val="auto"/>
          <w:sz w:val="22"/>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01F7263C">
      <w:pPr>
        <w:autoSpaceDN w:val="0"/>
        <w:spacing w:line="360" w:lineRule="auto"/>
        <w:ind w:firstLine="442" w:firstLineChars="200"/>
        <w:rPr>
          <w:rFonts w:hint="eastAsia" w:ascii="宋体" w:hAnsi="宋体" w:cs="宋体"/>
          <w:color w:val="auto"/>
          <w:sz w:val="22"/>
          <w:highlight w:val="none"/>
        </w:rPr>
      </w:pPr>
      <w:r>
        <w:rPr>
          <w:rFonts w:hint="eastAsia" w:ascii="宋体" w:hAnsi="宋体" w:cs="宋体"/>
          <w:b/>
          <w:bCs/>
          <w:color w:val="auto"/>
          <w:sz w:val="22"/>
          <w:highlight w:val="none"/>
        </w:rPr>
        <w:t>4.4</w:t>
      </w:r>
      <w:r>
        <w:rPr>
          <w:rFonts w:hint="eastAsia" w:ascii="宋体" w:hAnsi="宋体" w:cs="宋体"/>
          <w:color w:val="auto"/>
          <w:sz w:val="22"/>
          <w:highlight w:val="none"/>
        </w:rPr>
        <w:t xml:space="preserve"> 若投标人因自身原因未能正确完成招标文件获取、电子投标、缴纳投标保证的，其投标无效。</w:t>
      </w:r>
    </w:p>
    <w:p w14:paraId="3B59264A">
      <w:pPr>
        <w:autoSpaceDN w:val="0"/>
        <w:spacing w:line="360" w:lineRule="auto"/>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rPr>
        <w:t>4.5</w:t>
      </w:r>
      <w:r>
        <w:rPr>
          <w:rFonts w:hint="eastAsia" w:ascii="宋体" w:hAnsi="宋体" w:cs="宋体"/>
          <w:color w:val="auto"/>
          <w:kern w:val="0"/>
          <w:sz w:val="22"/>
          <w:highlight w:val="none"/>
        </w:rPr>
        <w:t xml:space="preserve"> 本项目不接受有在建（包括已列为其他项目第一中标候选人、已中标未开工或已建成未竣工）的建造师作为项目经理，经查实有以上情形的，招标人有权没收其投标保证，并按相关法律法规处理。</w:t>
      </w:r>
    </w:p>
    <w:p w14:paraId="23A2F15B">
      <w:pPr>
        <w:autoSpaceDN w:val="0"/>
        <w:spacing w:line="360" w:lineRule="auto"/>
        <w:ind w:firstLine="442" w:firstLineChars="200"/>
        <w:rPr>
          <w:rFonts w:hint="eastAsia" w:ascii="宋体" w:hAnsi="宋体" w:cs="宋体"/>
          <w:color w:val="auto"/>
          <w:sz w:val="22"/>
          <w:highlight w:val="none"/>
        </w:rPr>
      </w:pPr>
      <w:r>
        <w:rPr>
          <w:rFonts w:hint="eastAsia" w:ascii="宋体" w:hAnsi="宋体" w:cs="宋体"/>
          <w:b/>
          <w:bCs/>
          <w:color w:val="auto"/>
          <w:sz w:val="22"/>
          <w:highlight w:val="none"/>
        </w:rPr>
        <w:t>4.6</w:t>
      </w:r>
      <w:r>
        <w:rPr>
          <w:rFonts w:hint="eastAsia" w:ascii="宋体" w:hAnsi="宋体" w:cs="宋体"/>
          <w:color w:val="auto"/>
          <w:sz w:val="22"/>
          <w:highlight w:val="none"/>
        </w:rPr>
        <w:t xml:space="preserve"> 获取招标文件的方式：可直接在平台中获取招标文件等资料。</w:t>
      </w:r>
    </w:p>
    <w:p w14:paraId="30C53A9F">
      <w:pPr>
        <w:autoSpaceDN w:val="0"/>
        <w:spacing w:line="360" w:lineRule="auto"/>
        <w:ind w:firstLine="442" w:firstLineChars="200"/>
        <w:rPr>
          <w:rFonts w:hint="eastAsia" w:ascii="宋体" w:hAnsi="宋体" w:cs="宋体"/>
          <w:color w:val="auto"/>
          <w:sz w:val="22"/>
          <w:highlight w:val="none"/>
        </w:rPr>
      </w:pPr>
      <w:r>
        <w:rPr>
          <w:rFonts w:hint="eastAsia" w:ascii="宋体" w:hAnsi="宋体" w:cs="宋体"/>
          <w:b/>
          <w:bCs/>
          <w:color w:val="auto"/>
          <w:sz w:val="22"/>
          <w:highlight w:val="none"/>
        </w:rPr>
        <w:t>4.7</w:t>
      </w:r>
      <w:r>
        <w:rPr>
          <w:rFonts w:hint="eastAsia" w:ascii="宋体" w:hAnsi="宋体" w:cs="宋体"/>
          <w:color w:val="auto"/>
          <w:sz w:val="22"/>
          <w:highlight w:val="none"/>
        </w:rPr>
        <w:t xml:space="preserve"> 投标保证金缴纳截止时间到期后，若建设工程交易系统显示成功缴纳投标保证金的投标人数量少于3家时，招标人将取消于次日召开的项目开标会，重新组织招标。投标人可在投标保证金缴纳截止时间起至电子投标截止时间前自行登录全国公共资源交易平台（广东省·韶关市）（https://ygp.gdzwfw.gov.cn/ggzy-portal/#/440200/index）查询是否发布了取消项目开标会的相关信息。</w:t>
      </w:r>
    </w:p>
    <w:p w14:paraId="0535E735">
      <w:pPr>
        <w:autoSpaceDN w:val="0"/>
        <w:spacing w:line="360" w:lineRule="auto"/>
        <w:rPr>
          <w:rFonts w:hint="eastAsia" w:ascii="宋体" w:hAnsi="宋体" w:cs="宋体"/>
          <w:b/>
          <w:bCs/>
          <w:color w:val="auto"/>
          <w:sz w:val="22"/>
          <w:highlight w:val="none"/>
        </w:rPr>
      </w:pPr>
      <w:r>
        <w:rPr>
          <w:rFonts w:hint="eastAsia" w:ascii="宋体" w:hAnsi="宋体" w:cs="宋体"/>
          <w:b/>
          <w:bCs/>
          <w:color w:val="auto"/>
          <w:sz w:val="22"/>
          <w:highlight w:val="none"/>
        </w:rPr>
        <w:t>五、招标文件的获取、提问和答疑</w:t>
      </w:r>
    </w:p>
    <w:p w14:paraId="4D1500D6">
      <w:pPr>
        <w:wordWrap w:val="0"/>
        <w:autoSpaceDN w:val="0"/>
        <w:spacing w:line="360" w:lineRule="auto"/>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5.1招标文件随本公告一并公开发布，投标人可登录广东省招标投标监管网（http://zbtb.gd.gov.cn）或</w:t>
      </w:r>
      <w:r>
        <w:rPr>
          <w:rFonts w:hint="eastAsia" w:ascii="宋体" w:hAnsi="宋体" w:cs="宋体"/>
          <w:snapToGrid w:val="0"/>
          <w:color w:val="auto"/>
          <w:kern w:val="0"/>
          <w:sz w:val="22"/>
          <w:highlight w:val="none"/>
        </w:rPr>
        <w:t>全国公共资源交易平台（广东省·韶关市）（https://ygp.gdzwfw.gov.cn/ggzy-portal/#/440200/index）</w:t>
      </w:r>
      <w:r>
        <w:rPr>
          <w:rFonts w:hint="eastAsia" w:ascii="宋体" w:hAnsi="宋体" w:cs="宋体"/>
          <w:color w:val="auto"/>
          <w:sz w:val="22"/>
          <w:highlight w:val="none"/>
        </w:rPr>
        <w:t>免费下载。投标人在建设工程交易系统获取招标文件完毕后，即可在系统内免费下载本工程</w:t>
      </w:r>
      <w:r>
        <w:rPr>
          <w:rFonts w:hint="eastAsia" w:ascii="宋体" w:hAnsi="宋体" w:cs="宋体"/>
          <w:color w:val="auto"/>
          <w:sz w:val="22"/>
          <w:highlight w:val="none"/>
          <w:u w:val="single"/>
        </w:rPr>
        <w:t>施工图、招标控制价等资料</w:t>
      </w:r>
      <w:r>
        <w:rPr>
          <w:rFonts w:hint="eastAsia" w:ascii="宋体" w:hAnsi="宋体" w:cs="宋体"/>
          <w:color w:val="auto"/>
          <w:sz w:val="22"/>
          <w:highlight w:val="none"/>
        </w:rPr>
        <w:t>。</w:t>
      </w:r>
    </w:p>
    <w:p w14:paraId="70EF6094">
      <w:pPr>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5.2 投标人若对招标文件（含施工图、招标控制价）有疑问，应在提问截止时间（详见招标公告</w:t>
      </w:r>
      <w:r>
        <w:rPr>
          <w:rFonts w:hint="eastAsia" w:ascii="宋体" w:hAnsi="宋体" w:cs="宋体"/>
          <w:color w:val="auto"/>
          <w:kern w:val="0"/>
          <w:sz w:val="22"/>
          <w:highlight w:val="none"/>
        </w:rPr>
        <w:t>“重要事项时间地点一览表”</w:t>
      </w:r>
      <w:r>
        <w:rPr>
          <w:rFonts w:hint="eastAsia" w:ascii="宋体" w:hAnsi="宋体" w:cs="宋体"/>
          <w:color w:val="auto"/>
          <w:sz w:val="22"/>
          <w:highlight w:val="none"/>
        </w:rPr>
        <w:t>）前使用建设工程交易系统提出问题。未在指定时间前、未采用指定方式提出的，招标人不予受理。</w:t>
      </w:r>
    </w:p>
    <w:p w14:paraId="6AC544A0">
      <w:pPr>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5.3 招标人在提问截止时间（详见招标公告</w:t>
      </w:r>
      <w:r>
        <w:rPr>
          <w:rFonts w:hint="eastAsia" w:ascii="宋体" w:hAnsi="宋体" w:cs="宋体"/>
          <w:color w:val="auto"/>
          <w:kern w:val="0"/>
          <w:sz w:val="22"/>
          <w:highlight w:val="none"/>
        </w:rPr>
        <w:t>“重要事项时间地点一览表”</w:t>
      </w:r>
      <w:r>
        <w:rPr>
          <w:rFonts w:hint="eastAsia" w:ascii="宋体" w:hAnsi="宋体" w:cs="宋体"/>
          <w:color w:val="auto"/>
          <w:sz w:val="22"/>
          <w:highlight w:val="none"/>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4AA2D80C">
      <w:pPr>
        <w:autoSpaceDN w:val="0"/>
        <w:spacing w:line="360" w:lineRule="auto"/>
        <w:ind w:firstLine="440" w:firstLineChars="200"/>
        <w:rPr>
          <w:rFonts w:hint="eastAsia" w:ascii="宋体" w:hAnsi="宋体" w:cs="宋体"/>
          <w:b/>
          <w:bCs/>
          <w:color w:val="auto"/>
          <w:sz w:val="22"/>
          <w:highlight w:val="none"/>
        </w:rPr>
      </w:pPr>
      <w:r>
        <w:rPr>
          <w:rFonts w:hint="eastAsia" w:ascii="宋体" w:hAnsi="宋体" w:cs="宋体"/>
          <w:color w:val="auto"/>
          <w:sz w:val="22"/>
          <w:highlight w:val="none"/>
        </w:rPr>
        <w:t>5.4招标人对招标文件所作的答疑（或修改）公告，构成招标文件的组成部分。</w:t>
      </w:r>
    </w:p>
    <w:p w14:paraId="6E355364">
      <w:pPr>
        <w:autoSpaceDN w:val="0"/>
        <w:spacing w:line="360" w:lineRule="auto"/>
        <w:rPr>
          <w:rFonts w:hint="eastAsia" w:ascii="宋体" w:hAnsi="宋体" w:cs="宋体"/>
          <w:b/>
          <w:bCs/>
          <w:color w:val="auto"/>
          <w:sz w:val="22"/>
          <w:highlight w:val="none"/>
        </w:rPr>
      </w:pPr>
      <w:r>
        <w:rPr>
          <w:rFonts w:hint="eastAsia" w:ascii="宋体" w:hAnsi="宋体" w:cs="宋体"/>
          <w:b/>
          <w:bCs/>
          <w:color w:val="auto"/>
          <w:sz w:val="22"/>
          <w:highlight w:val="none"/>
        </w:rPr>
        <w:t>六、</w:t>
      </w:r>
      <w:r>
        <w:rPr>
          <w:rFonts w:hint="eastAsia" w:ascii="宋体" w:hAnsi="宋体" w:cs="宋体"/>
          <w:b/>
          <w:bCs/>
          <w:color w:val="auto"/>
          <w:kern w:val="0"/>
          <w:sz w:val="22"/>
          <w:highlight w:val="none"/>
        </w:rPr>
        <w:t>投标文件的递交</w:t>
      </w:r>
    </w:p>
    <w:p w14:paraId="0939B874">
      <w:pPr>
        <w:pStyle w:val="6"/>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6.1投标人必须在规定的截止时间前使用交易系统完成网上获取招标文件、缴纳投标保证和全流程电子投标。只有满足以上所有条件，方为有效投标。</w:t>
      </w:r>
    </w:p>
    <w:p w14:paraId="22DDDC61">
      <w:pPr>
        <w:pStyle w:val="6"/>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6.2投标人可通过交易平台在线办理电子保函、保证保险和投标、下载中标通知书等业务。全流程电子化招标投标项目不再接收纸质投标文件，也不接收纸质保函等单证资料。</w:t>
      </w:r>
    </w:p>
    <w:p w14:paraId="1FDF45D2">
      <w:pPr>
        <w:autoSpaceDN w:val="0"/>
        <w:spacing w:line="360" w:lineRule="auto"/>
        <w:ind w:firstLine="440" w:firstLineChars="200"/>
        <w:rPr>
          <w:rFonts w:hint="eastAsia" w:ascii="宋体" w:hAnsi="宋体" w:cs="宋体"/>
          <w:b/>
          <w:bCs/>
          <w:color w:val="auto"/>
          <w:sz w:val="22"/>
          <w:highlight w:val="none"/>
        </w:rPr>
      </w:pPr>
      <w:r>
        <w:rPr>
          <w:rFonts w:hint="eastAsia" w:ascii="宋体" w:hAnsi="宋体" w:cs="宋体"/>
          <w:color w:val="auto"/>
          <w:sz w:val="22"/>
          <w:highlight w:val="none"/>
        </w:rPr>
        <w:t>6.3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1759B83">
      <w:pPr>
        <w:pStyle w:val="6"/>
        <w:spacing w:line="360" w:lineRule="auto"/>
        <w:rPr>
          <w:rFonts w:hint="eastAsia" w:hAnsi="宋体" w:cs="宋体"/>
          <w:b/>
          <w:bCs/>
          <w:color w:val="auto"/>
          <w:sz w:val="22"/>
          <w:szCs w:val="22"/>
          <w:highlight w:val="none"/>
        </w:rPr>
      </w:pPr>
      <w:r>
        <w:rPr>
          <w:rFonts w:hint="eastAsia" w:hAnsi="宋体" w:cs="宋体"/>
          <w:b/>
          <w:bCs/>
          <w:color w:val="auto"/>
          <w:sz w:val="22"/>
          <w:szCs w:val="22"/>
          <w:highlight w:val="none"/>
        </w:rPr>
        <w:t>七、开标</w:t>
      </w:r>
    </w:p>
    <w:p w14:paraId="7D580991">
      <w:pPr>
        <w:pStyle w:val="6"/>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7.1开标时间和地点：详见招标公告“重要事项时间地点一览表”。</w:t>
      </w:r>
    </w:p>
    <w:p w14:paraId="073E2EC6">
      <w:pPr>
        <w:pStyle w:val="6"/>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7.2本项目为实行全流程电子化招标投标的项目，投标人无须进行现场签到，可登录交易平台及时观看开标实况、提出异议或进行澄清、确认等操作，对开标事项的异议未在开标期间提出的，招标人不予受理。具体详见招标文件和系统操作手册为准。</w:t>
      </w:r>
    </w:p>
    <w:p w14:paraId="435F849F">
      <w:pPr>
        <w:autoSpaceDN w:val="0"/>
        <w:spacing w:line="360" w:lineRule="auto"/>
        <w:ind w:firstLine="385" w:firstLineChars="175"/>
        <w:rPr>
          <w:rFonts w:hint="eastAsia" w:ascii="宋体" w:hAnsi="宋体" w:cs="宋体"/>
          <w:b/>
          <w:bCs/>
          <w:color w:val="auto"/>
          <w:sz w:val="22"/>
          <w:highlight w:val="none"/>
        </w:rPr>
      </w:pPr>
      <w:r>
        <w:rPr>
          <w:rFonts w:hint="eastAsia" w:ascii="宋体" w:hAnsi="宋体" w:cs="宋体"/>
          <w:color w:val="auto"/>
          <w:sz w:val="22"/>
          <w:highlight w:val="none"/>
        </w:rPr>
        <w:t>7.3开标前24小时，若建设工程交易系统显示缴纳投标保证（包括投标保证金、投标保证担保、投标保证保险）的投标人数量不足3个时，招标人将取消原定于次日召开的开标活动。投标人可在投标保证缴纳截止时间（详见招标公告“重要事项时间地点一览表”）至电子投标截止时间（详见招标公告“重要事项时间地点一览表”）期间登录全国公共资源交易平台（广东省·韶关市）（https://ygp.gdzwfw.gov.cn/ggzy-portal/#/440200/index）查询是否发布了取消开标活动的相关信息。</w:t>
      </w:r>
    </w:p>
    <w:p w14:paraId="3FE4BA93">
      <w:pPr>
        <w:autoSpaceDN w:val="0"/>
        <w:spacing w:line="360" w:lineRule="auto"/>
        <w:rPr>
          <w:rFonts w:hint="eastAsia" w:ascii="宋体" w:hAnsi="宋体" w:cs="宋体"/>
          <w:b/>
          <w:bCs/>
          <w:color w:val="auto"/>
          <w:sz w:val="22"/>
          <w:highlight w:val="none"/>
        </w:rPr>
      </w:pPr>
      <w:r>
        <w:rPr>
          <w:rFonts w:hint="eastAsia" w:ascii="宋体" w:hAnsi="宋体" w:cs="宋体"/>
          <w:b/>
          <w:bCs/>
          <w:color w:val="auto"/>
          <w:sz w:val="22"/>
          <w:highlight w:val="none"/>
        </w:rPr>
        <w:t>八、踏勘现场和投标预备会</w:t>
      </w:r>
    </w:p>
    <w:p w14:paraId="60EF2350">
      <w:pPr>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招标人不组织投标人踏勘现场及召开投标预备会。具体事项见招标文件。</w:t>
      </w:r>
    </w:p>
    <w:p w14:paraId="5BC070E6">
      <w:pPr>
        <w:autoSpaceDN w:val="0"/>
        <w:spacing w:line="360" w:lineRule="auto"/>
        <w:rPr>
          <w:rFonts w:hint="eastAsia" w:ascii="宋体" w:hAnsi="宋体" w:cs="宋体"/>
          <w:b/>
          <w:bCs/>
          <w:color w:val="auto"/>
          <w:sz w:val="22"/>
          <w:highlight w:val="none"/>
        </w:rPr>
      </w:pPr>
      <w:r>
        <w:rPr>
          <w:rFonts w:hint="eastAsia" w:ascii="宋体" w:hAnsi="宋体" w:cs="宋体"/>
          <w:b/>
          <w:bCs/>
          <w:color w:val="auto"/>
          <w:sz w:val="22"/>
          <w:highlight w:val="none"/>
        </w:rPr>
        <w:t>九、发布公告的媒介</w:t>
      </w:r>
    </w:p>
    <w:p w14:paraId="6823E146">
      <w:pPr>
        <w:wordWrap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9.1广东省招标投标监管网</w:t>
      </w:r>
      <w:r>
        <w:rPr>
          <w:rFonts w:hint="eastAsia"/>
          <w:color w:val="auto"/>
          <w:highlight w:val="none"/>
        </w:rPr>
        <w:fldChar w:fldCharType="begin"/>
      </w:r>
      <w:r>
        <w:rPr>
          <w:rFonts w:hint="eastAsia" w:ascii="宋体" w:hAnsi="宋体" w:cs="宋体"/>
          <w:color w:val="auto"/>
          <w:sz w:val="22"/>
          <w:highlight w:val="none"/>
        </w:rPr>
        <w:instrText xml:space="preserve"> HYPERLINK "http://zbtb.gd.gov.cn" </w:instrText>
      </w:r>
      <w:r>
        <w:rPr>
          <w:rFonts w:hint="eastAsia"/>
          <w:color w:val="auto"/>
          <w:highlight w:val="none"/>
        </w:rPr>
        <w:fldChar w:fldCharType="separate"/>
      </w:r>
      <w:r>
        <w:rPr>
          <w:rStyle w:val="22"/>
          <w:rFonts w:hint="eastAsia" w:ascii="宋体" w:hAnsi="宋体" w:eastAsia="宋体" w:cs="宋体"/>
          <w:color w:val="auto"/>
          <w:sz w:val="22"/>
          <w:highlight w:val="none"/>
        </w:rPr>
        <w:t>http://zbtb.gd.gov.cn</w:t>
      </w:r>
      <w:r>
        <w:rPr>
          <w:rStyle w:val="22"/>
          <w:rFonts w:hint="eastAsia" w:ascii="宋体" w:hAnsi="宋体" w:eastAsia="宋体" w:cs="宋体"/>
          <w:color w:val="auto"/>
          <w:sz w:val="22"/>
          <w:highlight w:val="none"/>
        </w:rPr>
        <w:fldChar w:fldCharType="end"/>
      </w:r>
      <w:r>
        <w:rPr>
          <w:rFonts w:hint="eastAsia" w:ascii="宋体" w:hAnsi="宋体" w:cs="宋体"/>
          <w:color w:val="auto"/>
          <w:sz w:val="22"/>
          <w:highlight w:val="none"/>
        </w:rPr>
        <w:t>；</w:t>
      </w:r>
    </w:p>
    <w:p w14:paraId="73ADFC60">
      <w:pPr>
        <w:wordWrap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9.2 全国公共资源交易平台（广东省·韶关市）（https://ygp.gdzwfw.gov.cn/ggzy-portal/#/440200/index）。</w:t>
      </w:r>
    </w:p>
    <w:p w14:paraId="5251A599">
      <w:pPr>
        <w:spacing w:line="360" w:lineRule="auto"/>
        <w:rPr>
          <w:rFonts w:hint="eastAsia" w:ascii="宋体" w:hAnsi="宋体" w:cs="宋体"/>
          <w:color w:val="auto"/>
          <w:sz w:val="22"/>
          <w:highlight w:val="none"/>
          <w:shd w:val="clear" w:color="auto" w:fill="FFFFFF"/>
        </w:rPr>
      </w:pPr>
      <w:r>
        <w:rPr>
          <w:rFonts w:hint="eastAsia" w:ascii="宋体" w:hAnsi="宋体" w:cs="宋体"/>
          <w:b/>
          <w:bCs/>
          <w:color w:val="auto"/>
          <w:sz w:val="22"/>
          <w:highlight w:val="none"/>
        </w:rPr>
        <w:t>十、联系方式</w:t>
      </w:r>
    </w:p>
    <w:p w14:paraId="4DE17BDE">
      <w:pPr>
        <w:spacing w:line="360" w:lineRule="auto"/>
        <w:ind w:firstLine="385" w:firstLineChars="175"/>
        <w:rPr>
          <w:rFonts w:hint="eastAsia" w:ascii="宋体" w:hAnsi="宋体" w:cs="宋体"/>
          <w:color w:val="auto"/>
          <w:sz w:val="22"/>
          <w:highlight w:val="none"/>
        </w:rPr>
      </w:pPr>
      <w:r>
        <w:rPr>
          <w:rFonts w:hint="eastAsia" w:ascii="宋体" w:hAnsi="宋体" w:cs="宋体"/>
          <w:color w:val="auto"/>
          <w:sz w:val="22"/>
          <w:highlight w:val="none"/>
        </w:rPr>
        <w:t>10.1招标人联系方式</w:t>
      </w:r>
    </w:p>
    <w:p w14:paraId="547EB83E">
      <w:pPr>
        <w:spacing w:line="360" w:lineRule="auto"/>
        <w:ind w:firstLine="385" w:firstLineChars="175"/>
        <w:rPr>
          <w:rFonts w:hint="eastAsia" w:ascii="宋体" w:hAnsi="宋体" w:cs="宋体"/>
          <w:color w:val="auto"/>
          <w:sz w:val="22"/>
          <w:highlight w:val="none"/>
        </w:rPr>
      </w:pPr>
      <w:r>
        <w:rPr>
          <w:rFonts w:hint="eastAsia" w:ascii="宋体" w:hAnsi="宋体" w:cs="宋体"/>
          <w:color w:val="auto"/>
          <w:sz w:val="22"/>
          <w:highlight w:val="none"/>
        </w:rPr>
        <w:t>招标人：翁源县水利水电工程建设管理中心</w:t>
      </w:r>
    </w:p>
    <w:p w14:paraId="3B1419FB">
      <w:pPr>
        <w:spacing w:line="360" w:lineRule="auto"/>
        <w:ind w:firstLine="385" w:firstLineChars="175"/>
        <w:rPr>
          <w:rFonts w:hint="eastAsia" w:ascii="宋体" w:hAnsi="宋体" w:cs="宋体"/>
          <w:color w:val="auto"/>
          <w:sz w:val="22"/>
          <w:highlight w:val="none"/>
        </w:rPr>
      </w:pPr>
      <w:r>
        <w:rPr>
          <w:rFonts w:hint="eastAsia" w:ascii="宋体" w:hAnsi="宋体" w:cs="宋体"/>
          <w:color w:val="auto"/>
          <w:sz w:val="22"/>
          <w:highlight w:val="none"/>
        </w:rPr>
        <w:t>地  址：翁源县龙仙镇幸福路27号</w:t>
      </w:r>
    </w:p>
    <w:p w14:paraId="0327AB7C">
      <w:pPr>
        <w:spacing w:line="360" w:lineRule="auto"/>
        <w:ind w:firstLine="385" w:firstLineChars="175"/>
        <w:rPr>
          <w:rFonts w:hint="eastAsia" w:ascii="宋体" w:hAnsi="宋体" w:cs="宋体"/>
          <w:color w:val="auto"/>
          <w:sz w:val="22"/>
          <w:highlight w:val="none"/>
        </w:rPr>
      </w:pPr>
      <w:r>
        <w:rPr>
          <w:rFonts w:hint="eastAsia" w:ascii="宋体" w:hAnsi="宋体" w:cs="宋体"/>
          <w:color w:val="auto"/>
          <w:sz w:val="22"/>
          <w:highlight w:val="none"/>
        </w:rPr>
        <w:t xml:space="preserve">联系人：林工 </w:t>
      </w:r>
    </w:p>
    <w:p w14:paraId="1AE35163">
      <w:pPr>
        <w:spacing w:line="360" w:lineRule="auto"/>
        <w:ind w:firstLine="385" w:firstLineChars="175"/>
        <w:rPr>
          <w:rFonts w:hint="eastAsia" w:ascii="宋体" w:hAnsi="宋体" w:cs="宋体"/>
          <w:color w:val="auto"/>
          <w:sz w:val="22"/>
          <w:highlight w:val="none"/>
        </w:rPr>
      </w:pPr>
      <w:r>
        <w:rPr>
          <w:rFonts w:hint="eastAsia" w:ascii="宋体" w:hAnsi="宋体" w:cs="宋体"/>
          <w:color w:val="auto"/>
          <w:sz w:val="22"/>
          <w:highlight w:val="none"/>
        </w:rPr>
        <w:t xml:space="preserve">电  话：13076236209  </w:t>
      </w:r>
    </w:p>
    <w:p w14:paraId="19588D38">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10.2招标代理机构联系方式</w:t>
      </w:r>
    </w:p>
    <w:p w14:paraId="4D0A279B">
      <w:pPr>
        <w:spacing w:line="360" w:lineRule="auto"/>
        <w:ind w:firstLine="385" w:firstLineChars="175"/>
        <w:rPr>
          <w:rFonts w:hint="eastAsia" w:ascii="宋体" w:hAnsi="宋体" w:cs="宋体"/>
          <w:color w:val="auto"/>
          <w:sz w:val="22"/>
          <w:highlight w:val="none"/>
        </w:rPr>
      </w:pPr>
      <w:r>
        <w:rPr>
          <w:rFonts w:hint="eastAsia" w:ascii="宋体" w:hAnsi="宋体" w:cs="宋体"/>
          <w:color w:val="auto"/>
          <w:sz w:val="22"/>
          <w:highlight w:val="none"/>
        </w:rPr>
        <w:t>招标代理机构：中投德创建工有限公司</w:t>
      </w:r>
    </w:p>
    <w:p w14:paraId="544DA78F">
      <w:pPr>
        <w:spacing w:line="360" w:lineRule="auto"/>
        <w:ind w:firstLine="385" w:firstLineChars="175"/>
        <w:rPr>
          <w:rFonts w:hint="eastAsia" w:ascii="宋体" w:hAnsi="宋体" w:cs="宋体"/>
          <w:color w:val="auto"/>
          <w:sz w:val="22"/>
          <w:highlight w:val="none"/>
        </w:rPr>
      </w:pPr>
      <w:r>
        <w:rPr>
          <w:rFonts w:hint="eastAsia" w:ascii="宋体" w:hAnsi="宋体" w:cs="宋体"/>
          <w:color w:val="auto"/>
          <w:sz w:val="22"/>
          <w:highlight w:val="none"/>
        </w:rPr>
        <w:t xml:space="preserve">地  址：韶关市武江区工业东路15号省五建商住小区B座第二层自编204号 </w:t>
      </w:r>
    </w:p>
    <w:p w14:paraId="0FC90680">
      <w:pPr>
        <w:spacing w:line="360" w:lineRule="auto"/>
        <w:ind w:firstLine="385" w:firstLineChars="175"/>
        <w:rPr>
          <w:rFonts w:hint="eastAsia" w:ascii="宋体" w:hAnsi="宋体" w:cs="宋体"/>
          <w:color w:val="auto"/>
          <w:sz w:val="22"/>
          <w:highlight w:val="none"/>
        </w:rPr>
      </w:pPr>
      <w:r>
        <w:rPr>
          <w:rFonts w:hint="eastAsia" w:ascii="宋体" w:hAnsi="宋体" w:cs="宋体"/>
          <w:color w:val="auto"/>
          <w:sz w:val="22"/>
          <w:highlight w:val="none"/>
        </w:rPr>
        <w:t>联系人：程工</w:t>
      </w:r>
    </w:p>
    <w:p w14:paraId="06751648">
      <w:pPr>
        <w:spacing w:line="360" w:lineRule="auto"/>
        <w:ind w:firstLine="385" w:firstLineChars="175"/>
        <w:rPr>
          <w:rFonts w:hint="eastAsia" w:ascii="宋体" w:hAnsi="宋体" w:cs="宋体"/>
          <w:b/>
          <w:bCs/>
          <w:color w:val="auto"/>
          <w:sz w:val="24"/>
          <w:szCs w:val="24"/>
          <w:highlight w:val="none"/>
        </w:rPr>
      </w:pPr>
      <w:r>
        <w:rPr>
          <w:rFonts w:hint="eastAsia" w:ascii="宋体" w:hAnsi="宋体" w:cs="宋体"/>
          <w:color w:val="auto"/>
          <w:sz w:val="22"/>
          <w:highlight w:val="none"/>
        </w:rPr>
        <w:t>电  话：13725157315</w:t>
      </w:r>
      <w:r>
        <w:rPr>
          <w:rFonts w:hint="eastAsia" w:ascii="宋体" w:hAnsi="宋体" w:cs="宋体"/>
          <w:b/>
          <w:bCs/>
          <w:color w:val="auto"/>
          <w:sz w:val="24"/>
          <w:szCs w:val="24"/>
          <w:highlight w:val="none"/>
        </w:rPr>
        <w:br w:type="page"/>
      </w:r>
    </w:p>
    <w:p w14:paraId="5291DE49">
      <w:pPr>
        <w:spacing w:line="360" w:lineRule="auto"/>
        <w:rPr>
          <w:rFonts w:hint="eastAsia" w:ascii="宋体" w:hAnsi="宋体" w:cs="宋体"/>
          <w:b/>
          <w:bCs/>
          <w:color w:val="auto"/>
          <w:sz w:val="22"/>
          <w:highlight w:val="none"/>
        </w:rPr>
      </w:pPr>
      <w:r>
        <w:rPr>
          <w:rFonts w:hint="eastAsia" w:ascii="宋体" w:hAnsi="宋体" w:cs="宋体"/>
          <w:b/>
          <w:bCs/>
          <w:color w:val="auto"/>
          <w:sz w:val="22"/>
          <w:highlight w:val="none"/>
        </w:rPr>
        <w:t>十一、重要事项时间地点一览表</w:t>
      </w:r>
    </w:p>
    <w:tbl>
      <w:tblPr>
        <w:tblStyle w:val="20"/>
        <w:tblW w:w="0" w:type="auto"/>
        <w:tblInd w:w="-2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9"/>
        <w:gridCol w:w="1693"/>
        <w:gridCol w:w="7448"/>
      </w:tblGrid>
      <w:tr w14:paraId="1800E6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6"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384DA526">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bookmarkStart w:id="125" w:name="_GoBack" w:colFirst="2" w:colLast="2"/>
            <w:r>
              <w:rPr>
                <w:rFonts w:hint="eastAsia" w:ascii="宋体" w:hAnsi="宋体" w:cs="宋体"/>
                <w:snapToGrid w:val="0"/>
                <w:color w:val="auto"/>
                <w:kern w:val="0"/>
                <w:sz w:val="22"/>
                <w:szCs w:val="22"/>
                <w:highlight w:val="none"/>
              </w:rPr>
              <w:t>1</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660EDA4A">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招标公告</w:t>
            </w:r>
          </w:p>
          <w:p w14:paraId="3295DD13">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发布时间 </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6ECF451A">
            <w:pPr>
              <w:pStyle w:val="43"/>
              <w:wordWrap w:val="0"/>
              <w:adjustRightInd w:val="0"/>
              <w:snapToGrid w:val="0"/>
              <w:spacing w:line="400" w:lineRule="exact"/>
              <w:ind w:firstLine="200" w:firstLineChars="91"/>
              <w:jc w:val="left"/>
              <w:rPr>
                <w:rFonts w:hint="eastAsia" w:ascii="宋体" w:hAnsi="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2026年</w:t>
            </w:r>
            <w:r>
              <w:rPr>
                <w:rFonts w:hint="eastAsia" w:ascii="宋体" w:hAnsi="宋体" w:eastAsia="宋体" w:cs="宋体"/>
                <w:snapToGrid w:val="0"/>
                <w:color w:val="auto"/>
                <w:kern w:val="0"/>
                <w:sz w:val="22"/>
                <w:highlight w:val="none"/>
                <w:lang w:val="en-US" w:eastAsia="zh-CN"/>
              </w:rPr>
              <w:t>3</w:t>
            </w:r>
            <w:r>
              <w:rPr>
                <w:rFonts w:hint="eastAsia" w:ascii="宋体" w:hAnsi="宋体" w:eastAsia="宋体" w:cs="宋体"/>
                <w:snapToGrid w:val="0"/>
                <w:color w:val="auto"/>
                <w:kern w:val="0"/>
                <w:sz w:val="22"/>
                <w:highlight w:val="none"/>
              </w:rPr>
              <w:t>月</w:t>
            </w:r>
            <w:r>
              <w:rPr>
                <w:rFonts w:hint="eastAsia" w:ascii="宋体" w:hAnsi="宋体" w:eastAsia="宋体" w:cs="宋体"/>
                <w:snapToGrid w:val="0"/>
                <w:color w:val="auto"/>
                <w:kern w:val="0"/>
                <w:sz w:val="22"/>
                <w:highlight w:val="none"/>
                <w:lang w:val="en-US" w:eastAsia="zh-CN"/>
              </w:rPr>
              <w:t>30</w:t>
            </w:r>
            <w:r>
              <w:rPr>
                <w:rFonts w:hint="eastAsia" w:ascii="宋体" w:hAnsi="宋体" w:eastAsia="宋体" w:cs="宋体"/>
                <w:snapToGrid w:val="0"/>
                <w:color w:val="auto"/>
                <w:kern w:val="0"/>
                <w:sz w:val="22"/>
                <w:highlight w:val="none"/>
              </w:rPr>
              <w:t>日</w:t>
            </w:r>
            <w:r>
              <w:rPr>
                <w:rFonts w:hint="eastAsia" w:ascii="宋体" w:hAnsi="宋体" w:eastAsia="宋体" w:cs="宋体"/>
                <w:snapToGrid w:val="0"/>
                <w:color w:val="auto"/>
                <w:kern w:val="0"/>
                <w:sz w:val="22"/>
                <w:highlight w:val="none"/>
                <w:lang w:val="en-US" w:eastAsia="zh-CN"/>
              </w:rPr>
              <w:t>18</w:t>
            </w:r>
            <w:r>
              <w:rPr>
                <w:rFonts w:hint="eastAsia" w:ascii="宋体" w:hAnsi="宋体" w:eastAsia="宋体" w:cs="宋体"/>
                <w:snapToGrid w:val="0"/>
                <w:color w:val="auto"/>
                <w:kern w:val="0"/>
                <w:sz w:val="22"/>
                <w:highlight w:val="none"/>
              </w:rPr>
              <w:t>时</w:t>
            </w:r>
            <w:r>
              <w:rPr>
                <w:rFonts w:hint="eastAsia" w:ascii="宋体" w:hAnsi="宋体" w:eastAsia="宋体" w:cs="宋体"/>
                <w:snapToGrid w:val="0"/>
                <w:color w:val="auto"/>
                <w:kern w:val="0"/>
                <w:sz w:val="22"/>
                <w:highlight w:val="none"/>
                <w:lang w:val="en-US" w:eastAsia="zh-CN"/>
              </w:rPr>
              <w:t>00</w:t>
            </w:r>
            <w:r>
              <w:rPr>
                <w:rFonts w:hint="eastAsia" w:ascii="宋体" w:hAnsi="宋体" w:eastAsia="宋体" w:cs="宋体"/>
                <w:snapToGrid w:val="0"/>
                <w:color w:val="auto"/>
                <w:kern w:val="0"/>
                <w:sz w:val="22"/>
                <w:highlight w:val="none"/>
              </w:rPr>
              <w:t>分</w:t>
            </w:r>
          </w:p>
        </w:tc>
      </w:tr>
      <w:tr w14:paraId="2908DA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7"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5E238AE3">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24F5EE22">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获取招标文件截止时间</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5685A6F0">
            <w:pPr>
              <w:pStyle w:val="43"/>
              <w:wordWrap w:val="0"/>
              <w:adjustRightInd w:val="0"/>
              <w:snapToGrid w:val="0"/>
              <w:spacing w:line="400" w:lineRule="exact"/>
              <w:ind w:firstLine="200" w:firstLineChars="91"/>
              <w:jc w:val="left"/>
              <w:rPr>
                <w:rFonts w:hint="eastAsia" w:ascii="宋体" w:hAnsi="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2026年</w:t>
            </w:r>
            <w:r>
              <w:rPr>
                <w:rFonts w:hint="eastAsia" w:ascii="宋体" w:hAnsi="宋体" w:eastAsia="宋体" w:cs="宋体"/>
                <w:snapToGrid w:val="0"/>
                <w:color w:val="auto"/>
                <w:kern w:val="0"/>
                <w:sz w:val="22"/>
                <w:highlight w:val="none"/>
                <w:lang w:val="en-US" w:eastAsia="zh-CN"/>
              </w:rPr>
              <w:t>4</w:t>
            </w:r>
            <w:r>
              <w:rPr>
                <w:rFonts w:hint="eastAsia" w:ascii="宋体" w:hAnsi="宋体" w:eastAsia="宋体" w:cs="宋体"/>
                <w:snapToGrid w:val="0"/>
                <w:color w:val="auto"/>
                <w:kern w:val="0"/>
                <w:sz w:val="22"/>
                <w:highlight w:val="none"/>
              </w:rPr>
              <w:t>月</w:t>
            </w:r>
            <w:r>
              <w:rPr>
                <w:rFonts w:hint="eastAsia" w:ascii="宋体" w:hAnsi="宋体" w:eastAsia="宋体" w:cs="宋体"/>
                <w:snapToGrid w:val="0"/>
                <w:color w:val="auto"/>
                <w:kern w:val="0"/>
                <w:sz w:val="22"/>
                <w:highlight w:val="none"/>
                <w:lang w:val="en-US" w:eastAsia="zh-CN"/>
              </w:rPr>
              <w:t>22</w:t>
            </w:r>
            <w:r>
              <w:rPr>
                <w:rFonts w:hint="eastAsia" w:ascii="宋体" w:hAnsi="宋体" w:eastAsia="宋体" w:cs="宋体"/>
                <w:snapToGrid w:val="0"/>
                <w:color w:val="auto"/>
                <w:kern w:val="0"/>
                <w:sz w:val="22"/>
                <w:highlight w:val="none"/>
              </w:rPr>
              <w:t>日</w:t>
            </w:r>
            <w:r>
              <w:rPr>
                <w:rFonts w:hint="eastAsia" w:ascii="宋体" w:hAnsi="宋体" w:eastAsia="宋体" w:cs="宋体"/>
                <w:snapToGrid w:val="0"/>
                <w:color w:val="auto"/>
                <w:kern w:val="0"/>
                <w:sz w:val="22"/>
                <w:highlight w:val="none"/>
                <w:lang w:val="en-US" w:eastAsia="zh-CN"/>
              </w:rPr>
              <w:t>09</w:t>
            </w:r>
            <w:r>
              <w:rPr>
                <w:rFonts w:hint="eastAsia" w:ascii="宋体" w:hAnsi="宋体" w:eastAsia="宋体" w:cs="宋体"/>
                <w:snapToGrid w:val="0"/>
                <w:color w:val="auto"/>
                <w:kern w:val="0"/>
                <w:sz w:val="22"/>
                <w:highlight w:val="none"/>
              </w:rPr>
              <w:t>时</w:t>
            </w:r>
            <w:r>
              <w:rPr>
                <w:rFonts w:hint="eastAsia" w:ascii="宋体" w:hAnsi="宋体" w:eastAsia="宋体" w:cs="宋体"/>
                <w:snapToGrid w:val="0"/>
                <w:color w:val="auto"/>
                <w:kern w:val="0"/>
                <w:sz w:val="22"/>
                <w:highlight w:val="none"/>
                <w:lang w:val="en-US" w:eastAsia="zh-CN"/>
              </w:rPr>
              <w:t>30</w:t>
            </w:r>
            <w:r>
              <w:rPr>
                <w:rFonts w:hint="eastAsia" w:ascii="宋体" w:hAnsi="宋体" w:eastAsia="宋体" w:cs="宋体"/>
                <w:snapToGrid w:val="0"/>
                <w:color w:val="auto"/>
                <w:kern w:val="0"/>
                <w:sz w:val="22"/>
                <w:highlight w:val="none"/>
              </w:rPr>
              <w:t>分</w:t>
            </w:r>
          </w:p>
        </w:tc>
      </w:tr>
      <w:tr w14:paraId="67A7D0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2"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7906DA0C">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249917F2">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网上提问</w:t>
            </w:r>
          </w:p>
          <w:p w14:paraId="1B8DB436">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5EDCC2B5">
            <w:pPr>
              <w:pStyle w:val="43"/>
              <w:wordWrap w:val="0"/>
              <w:adjustRightInd w:val="0"/>
              <w:snapToGrid w:val="0"/>
              <w:spacing w:line="400" w:lineRule="exact"/>
              <w:ind w:firstLine="200" w:firstLineChars="91"/>
              <w:jc w:val="left"/>
              <w:rPr>
                <w:rFonts w:hint="eastAsia" w:ascii="宋体" w:hAnsi="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2026年</w:t>
            </w:r>
            <w:r>
              <w:rPr>
                <w:rFonts w:hint="eastAsia" w:ascii="宋体" w:hAnsi="宋体" w:eastAsia="宋体" w:cs="宋体"/>
                <w:snapToGrid w:val="0"/>
                <w:color w:val="auto"/>
                <w:kern w:val="0"/>
                <w:sz w:val="22"/>
                <w:szCs w:val="22"/>
                <w:highlight w:val="none"/>
                <w:lang w:val="en-US" w:eastAsia="zh-CN"/>
              </w:rPr>
              <w:t>4</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lang w:val="en-US" w:eastAsia="zh-CN"/>
              </w:rPr>
              <w:t>12</w:t>
            </w:r>
            <w:r>
              <w:rPr>
                <w:rFonts w:hint="eastAsia" w:ascii="宋体" w:hAnsi="宋体" w:eastAsia="宋体" w:cs="宋体"/>
                <w:snapToGrid w:val="0"/>
                <w:color w:val="auto"/>
                <w:kern w:val="0"/>
                <w:sz w:val="22"/>
                <w:szCs w:val="22"/>
                <w:highlight w:val="none"/>
              </w:rPr>
              <w:t>日16时00分</w:t>
            </w:r>
          </w:p>
        </w:tc>
      </w:tr>
      <w:tr w14:paraId="6A205D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1"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29EED6AC">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4</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057058C8">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网上答疑</w:t>
            </w:r>
          </w:p>
          <w:p w14:paraId="5A49F800">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时间</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487FF3B9">
            <w:pPr>
              <w:pStyle w:val="43"/>
              <w:wordWrap w:val="0"/>
              <w:adjustRightInd w:val="0"/>
              <w:snapToGrid w:val="0"/>
              <w:spacing w:line="400" w:lineRule="exact"/>
              <w:ind w:firstLine="200" w:firstLineChars="91"/>
              <w:jc w:val="left"/>
              <w:rPr>
                <w:rFonts w:hint="eastAsia" w:ascii="宋体" w:hAnsi="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2026年</w:t>
            </w:r>
            <w:r>
              <w:rPr>
                <w:rFonts w:hint="eastAsia" w:ascii="宋体" w:hAnsi="宋体" w:eastAsia="宋体" w:cs="宋体"/>
                <w:snapToGrid w:val="0"/>
                <w:color w:val="auto"/>
                <w:kern w:val="0"/>
                <w:sz w:val="22"/>
                <w:szCs w:val="22"/>
                <w:highlight w:val="none"/>
                <w:lang w:val="en-US" w:eastAsia="zh-CN"/>
              </w:rPr>
              <w:t>4</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lang w:val="en-US" w:eastAsia="zh-CN"/>
              </w:rPr>
              <w:t>12</w:t>
            </w:r>
            <w:r>
              <w:rPr>
                <w:rFonts w:hint="eastAsia" w:ascii="宋体" w:hAnsi="宋体" w:eastAsia="宋体" w:cs="宋体"/>
                <w:snapToGrid w:val="0"/>
                <w:color w:val="auto"/>
                <w:kern w:val="0"/>
                <w:sz w:val="22"/>
                <w:szCs w:val="22"/>
                <w:highlight w:val="none"/>
              </w:rPr>
              <w:t>日16时30分至2026年</w:t>
            </w:r>
            <w:r>
              <w:rPr>
                <w:rFonts w:hint="eastAsia" w:ascii="宋体" w:hAnsi="宋体" w:eastAsia="宋体" w:cs="宋体"/>
                <w:snapToGrid w:val="0"/>
                <w:color w:val="auto"/>
                <w:kern w:val="0"/>
                <w:sz w:val="22"/>
                <w:szCs w:val="22"/>
                <w:highlight w:val="none"/>
                <w:lang w:val="en-US" w:eastAsia="zh-CN"/>
              </w:rPr>
              <w:t>4</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lang w:val="en-US" w:eastAsia="zh-CN"/>
              </w:rPr>
              <w:t>15</w:t>
            </w:r>
            <w:r>
              <w:rPr>
                <w:rFonts w:hint="eastAsia" w:ascii="宋体" w:hAnsi="宋体" w:eastAsia="宋体" w:cs="宋体"/>
                <w:snapToGrid w:val="0"/>
                <w:color w:val="auto"/>
                <w:kern w:val="0"/>
                <w:sz w:val="22"/>
                <w:szCs w:val="22"/>
                <w:highlight w:val="none"/>
              </w:rPr>
              <w:t>日16时00分</w:t>
            </w:r>
          </w:p>
        </w:tc>
      </w:tr>
      <w:tr w14:paraId="7D6A39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67"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2AD50F78">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5</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3277CDD3">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投标保证缴</w:t>
            </w:r>
          </w:p>
          <w:p w14:paraId="3ADFB1EF">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纳截止时间</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3C7C2519">
            <w:pPr>
              <w:pStyle w:val="43"/>
              <w:wordWrap w:val="0"/>
              <w:adjustRightInd w:val="0"/>
              <w:snapToGrid w:val="0"/>
              <w:spacing w:line="400" w:lineRule="exact"/>
              <w:ind w:firstLine="220" w:firstLineChars="1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投标保证金到账截止时间：2026年</w:t>
            </w:r>
            <w:r>
              <w:rPr>
                <w:rFonts w:hint="eastAsia" w:ascii="宋体" w:hAnsi="宋体" w:eastAsia="宋体" w:cs="宋体"/>
                <w:snapToGrid w:val="0"/>
                <w:color w:val="auto"/>
                <w:kern w:val="0"/>
                <w:sz w:val="22"/>
                <w:highlight w:val="none"/>
                <w:lang w:val="en-US" w:eastAsia="zh-CN"/>
              </w:rPr>
              <w:t>4</w:t>
            </w:r>
            <w:r>
              <w:rPr>
                <w:rFonts w:hint="eastAsia" w:ascii="宋体" w:hAnsi="宋体" w:eastAsia="宋体" w:cs="宋体"/>
                <w:snapToGrid w:val="0"/>
                <w:color w:val="auto"/>
                <w:kern w:val="0"/>
                <w:sz w:val="22"/>
                <w:highlight w:val="none"/>
              </w:rPr>
              <w:t>月</w:t>
            </w:r>
            <w:r>
              <w:rPr>
                <w:rFonts w:hint="eastAsia" w:ascii="宋体" w:hAnsi="宋体" w:eastAsia="宋体" w:cs="宋体"/>
                <w:snapToGrid w:val="0"/>
                <w:color w:val="auto"/>
                <w:kern w:val="0"/>
                <w:sz w:val="22"/>
                <w:highlight w:val="none"/>
                <w:lang w:val="en-US" w:eastAsia="zh-CN"/>
              </w:rPr>
              <w:t>21</w:t>
            </w:r>
            <w:r>
              <w:rPr>
                <w:rFonts w:hint="eastAsia" w:ascii="宋体" w:hAnsi="宋体" w:eastAsia="宋体" w:cs="宋体"/>
                <w:snapToGrid w:val="0"/>
                <w:color w:val="auto"/>
                <w:kern w:val="0"/>
                <w:sz w:val="22"/>
                <w:highlight w:val="none"/>
              </w:rPr>
              <w:t>日</w:t>
            </w:r>
            <w:r>
              <w:rPr>
                <w:rFonts w:hint="eastAsia" w:ascii="宋体" w:hAnsi="宋体" w:eastAsia="宋体" w:cs="宋体"/>
                <w:snapToGrid w:val="0"/>
                <w:color w:val="auto"/>
                <w:kern w:val="0"/>
                <w:sz w:val="22"/>
                <w:highlight w:val="none"/>
                <w:lang w:val="en-US" w:eastAsia="zh-CN"/>
              </w:rPr>
              <w:t>09</w:t>
            </w:r>
            <w:r>
              <w:rPr>
                <w:rFonts w:hint="eastAsia" w:ascii="宋体" w:hAnsi="宋体" w:eastAsia="宋体" w:cs="宋体"/>
                <w:snapToGrid w:val="0"/>
                <w:color w:val="auto"/>
                <w:kern w:val="0"/>
                <w:sz w:val="22"/>
                <w:highlight w:val="none"/>
              </w:rPr>
              <w:t>时</w:t>
            </w:r>
            <w:r>
              <w:rPr>
                <w:rFonts w:hint="eastAsia" w:ascii="宋体" w:hAnsi="宋体" w:eastAsia="宋体" w:cs="宋体"/>
                <w:snapToGrid w:val="0"/>
                <w:color w:val="auto"/>
                <w:kern w:val="0"/>
                <w:sz w:val="22"/>
                <w:highlight w:val="none"/>
                <w:lang w:val="en-US" w:eastAsia="zh-CN"/>
              </w:rPr>
              <w:t>30</w:t>
            </w:r>
            <w:r>
              <w:rPr>
                <w:rFonts w:hint="eastAsia" w:ascii="宋体" w:hAnsi="宋体" w:eastAsia="宋体" w:cs="宋体"/>
                <w:snapToGrid w:val="0"/>
                <w:color w:val="auto"/>
                <w:kern w:val="0"/>
                <w:sz w:val="22"/>
                <w:highlight w:val="none"/>
              </w:rPr>
              <w:t>分</w:t>
            </w:r>
            <w:r>
              <w:rPr>
                <w:rFonts w:hint="eastAsia" w:ascii="宋体" w:hAnsi="宋体" w:eastAsia="宋体" w:cs="宋体"/>
                <w:snapToGrid w:val="0"/>
                <w:color w:val="auto"/>
                <w:kern w:val="0"/>
                <w:sz w:val="22"/>
                <w:szCs w:val="22"/>
                <w:highlight w:val="none"/>
              </w:rPr>
              <w:t>；</w:t>
            </w:r>
          </w:p>
          <w:p w14:paraId="773BDCBF">
            <w:pPr>
              <w:pStyle w:val="43"/>
              <w:wordWrap w:val="0"/>
              <w:adjustRightInd w:val="0"/>
              <w:snapToGrid w:val="0"/>
              <w:spacing w:line="400" w:lineRule="exact"/>
              <w:ind w:firstLine="220" w:firstLineChars="1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投标保证担保上传截止时间：2026年</w:t>
            </w:r>
            <w:r>
              <w:rPr>
                <w:rFonts w:hint="eastAsia" w:ascii="宋体" w:hAnsi="宋体" w:eastAsia="宋体" w:cs="宋体"/>
                <w:snapToGrid w:val="0"/>
                <w:color w:val="auto"/>
                <w:kern w:val="0"/>
                <w:sz w:val="22"/>
                <w:highlight w:val="none"/>
                <w:lang w:val="en-US" w:eastAsia="zh-CN"/>
              </w:rPr>
              <w:t>4</w:t>
            </w:r>
            <w:r>
              <w:rPr>
                <w:rFonts w:hint="eastAsia" w:ascii="宋体" w:hAnsi="宋体" w:eastAsia="宋体" w:cs="宋体"/>
                <w:snapToGrid w:val="0"/>
                <w:color w:val="auto"/>
                <w:kern w:val="0"/>
                <w:sz w:val="22"/>
                <w:highlight w:val="none"/>
              </w:rPr>
              <w:t>月</w:t>
            </w:r>
            <w:r>
              <w:rPr>
                <w:rFonts w:hint="eastAsia" w:ascii="宋体" w:hAnsi="宋体" w:eastAsia="宋体" w:cs="宋体"/>
                <w:snapToGrid w:val="0"/>
                <w:color w:val="auto"/>
                <w:kern w:val="0"/>
                <w:sz w:val="22"/>
                <w:highlight w:val="none"/>
                <w:lang w:val="en-US" w:eastAsia="zh-CN"/>
              </w:rPr>
              <w:t>21</w:t>
            </w:r>
            <w:r>
              <w:rPr>
                <w:rFonts w:hint="eastAsia" w:ascii="宋体" w:hAnsi="宋体" w:eastAsia="宋体" w:cs="宋体"/>
                <w:snapToGrid w:val="0"/>
                <w:color w:val="auto"/>
                <w:kern w:val="0"/>
                <w:sz w:val="22"/>
                <w:highlight w:val="none"/>
              </w:rPr>
              <w:t>日</w:t>
            </w:r>
            <w:r>
              <w:rPr>
                <w:rFonts w:hint="eastAsia" w:ascii="宋体" w:hAnsi="宋体" w:eastAsia="宋体" w:cs="宋体"/>
                <w:snapToGrid w:val="0"/>
                <w:color w:val="auto"/>
                <w:kern w:val="0"/>
                <w:sz w:val="22"/>
                <w:highlight w:val="none"/>
                <w:lang w:val="en-US" w:eastAsia="zh-CN"/>
              </w:rPr>
              <w:t>09</w:t>
            </w:r>
            <w:r>
              <w:rPr>
                <w:rFonts w:hint="eastAsia" w:ascii="宋体" w:hAnsi="宋体" w:eastAsia="宋体" w:cs="宋体"/>
                <w:snapToGrid w:val="0"/>
                <w:color w:val="auto"/>
                <w:kern w:val="0"/>
                <w:sz w:val="22"/>
                <w:highlight w:val="none"/>
              </w:rPr>
              <w:t>时</w:t>
            </w:r>
            <w:r>
              <w:rPr>
                <w:rFonts w:hint="eastAsia" w:ascii="宋体" w:hAnsi="宋体" w:eastAsia="宋体" w:cs="宋体"/>
                <w:snapToGrid w:val="0"/>
                <w:color w:val="auto"/>
                <w:kern w:val="0"/>
                <w:sz w:val="22"/>
                <w:highlight w:val="none"/>
                <w:lang w:val="en-US" w:eastAsia="zh-CN"/>
              </w:rPr>
              <w:t>30</w:t>
            </w:r>
            <w:r>
              <w:rPr>
                <w:rFonts w:hint="eastAsia" w:ascii="宋体" w:hAnsi="宋体" w:eastAsia="宋体" w:cs="宋体"/>
                <w:snapToGrid w:val="0"/>
                <w:color w:val="auto"/>
                <w:kern w:val="0"/>
                <w:sz w:val="22"/>
                <w:highlight w:val="none"/>
              </w:rPr>
              <w:t>分</w:t>
            </w:r>
            <w:r>
              <w:rPr>
                <w:rFonts w:hint="eastAsia" w:ascii="宋体" w:hAnsi="宋体" w:eastAsia="宋体" w:cs="宋体"/>
                <w:snapToGrid w:val="0"/>
                <w:color w:val="auto"/>
                <w:kern w:val="0"/>
                <w:sz w:val="22"/>
                <w:szCs w:val="22"/>
                <w:highlight w:val="none"/>
              </w:rPr>
              <w:t>；</w:t>
            </w:r>
          </w:p>
          <w:p w14:paraId="61B81BED">
            <w:pPr>
              <w:pStyle w:val="8"/>
              <w:wordWrap w:val="0"/>
              <w:adjustRightInd w:val="0"/>
              <w:snapToGrid w:val="0"/>
              <w:spacing w:line="400" w:lineRule="exact"/>
              <w:ind w:firstLine="220" w:firstLineChars="100"/>
              <w:rPr>
                <w:rFonts w:hint="eastAsia" w:hAnsi="宋体" w:cs="宋体"/>
                <w:snapToGrid w:val="0"/>
                <w:color w:val="auto"/>
                <w:kern w:val="0"/>
                <w:sz w:val="22"/>
                <w:highlight w:val="none"/>
              </w:rPr>
            </w:pPr>
            <w:r>
              <w:rPr>
                <w:rFonts w:hint="eastAsia" w:ascii="宋体" w:hAnsi="宋体" w:eastAsia="宋体" w:cs="宋体"/>
                <w:snapToGrid w:val="0"/>
                <w:color w:val="auto"/>
                <w:kern w:val="0"/>
                <w:sz w:val="22"/>
                <w:highlight w:val="none"/>
              </w:rPr>
              <w:t>投标保证保险投保截止时间：</w:t>
            </w:r>
            <w:r>
              <w:rPr>
                <w:rFonts w:hint="eastAsia" w:ascii="宋体" w:hAnsi="宋体" w:eastAsia="宋体" w:cs="宋体"/>
                <w:snapToGrid w:val="0"/>
                <w:color w:val="auto"/>
                <w:kern w:val="0"/>
                <w:sz w:val="22"/>
                <w:szCs w:val="22"/>
                <w:highlight w:val="none"/>
              </w:rPr>
              <w:t>2026年</w:t>
            </w:r>
            <w:r>
              <w:rPr>
                <w:rFonts w:hint="eastAsia" w:ascii="宋体" w:hAnsi="宋体" w:eastAsia="宋体" w:cs="宋体"/>
                <w:snapToGrid w:val="0"/>
                <w:color w:val="auto"/>
                <w:kern w:val="0"/>
                <w:sz w:val="22"/>
                <w:highlight w:val="none"/>
                <w:lang w:val="en-US" w:eastAsia="zh-CN"/>
              </w:rPr>
              <w:t>4</w:t>
            </w:r>
            <w:r>
              <w:rPr>
                <w:rFonts w:hint="eastAsia" w:ascii="宋体" w:hAnsi="宋体" w:eastAsia="宋体" w:cs="宋体"/>
                <w:snapToGrid w:val="0"/>
                <w:color w:val="auto"/>
                <w:kern w:val="0"/>
                <w:sz w:val="22"/>
                <w:highlight w:val="none"/>
              </w:rPr>
              <w:t>月</w:t>
            </w:r>
            <w:r>
              <w:rPr>
                <w:rFonts w:hint="eastAsia" w:ascii="宋体" w:hAnsi="宋体" w:eastAsia="宋体" w:cs="宋体"/>
                <w:snapToGrid w:val="0"/>
                <w:color w:val="auto"/>
                <w:kern w:val="0"/>
                <w:sz w:val="22"/>
                <w:highlight w:val="none"/>
                <w:lang w:val="en-US" w:eastAsia="zh-CN"/>
              </w:rPr>
              <w:t>21</w:t>
            </w:r>
            <w:r>
              <w:rPr>
                <w:rFonts w:hint="eastAsia" w:ascii="宋体" w:hAnsi="宋体" w:eastAsia="宋体" w:cs="宋体"/>
                <w:snapToGrid w:val="0"/>
                <w:color w:val="auto"/>
                <w:kern w:val="0"/>
                <w:sz w:val="22"/>
                <w:highlight w:val="none"/>
              </w:rPr>
              <w:t>日</w:t>
            </w:r>
            <w:r>
              <w:rPr>
                <w:rFonts w:hint="eastAsia" w:ascii="宋体" w:hAnsi="宋体" w:eastAsia="宋体" w:cs="宋体"/>
                <w:snapToGrid w:val="0"/>
                <w:color w:val="auto"/>
                <w:kern w:val="0"/>
                <w:sz w:val="22"/>
                <w:highlight w:val="none"/>
                <w:lang w:val="en-US" w:eastAsia="zh-CN"/>
              </w:rPr>
              <w:t>09</w:t>
            </w:r>
            <w:r>
              <w:rPr>
                <w:rFonts w:hint="eastAsia" w:ascii="宋体" w:hAnsi="宋体" w:eastAsia="宋体" w:cs="宋体"/>
                <w:snapToGrid w:val="0"/>
                <w:color w:val="auto"/>
                <w:kern w:val="0"/>
                <w:sz w:val="22"/>
                <w:highlight w:val="none"/>
              </w:rPr>
              <w:t>时</w:t>
            </w:r>
            <w:r>
              <w:rPr>
                <w:rFonts w:hint="eastAsia" w:ascii="宋体" w:hAnsi="宋体" w:eastAsia="宋体" w:cs="宋体"/>
                <w:snapToGrid w:val="0"/>
                <w:color w:val="auto"/>
                <w:kern w:val="0"/>
                <w:sz w:val="22"/>
                <w:highlight w:val="none"/>
                <w:lang w:val="en-US" w:eastAsia="zh-CN"/>
              </w:rPr>
              <w:t>30</w:t>
            </w:r>
            <w:r>
              <w:rPr>
                <w:rFonts w:hint="eastAsia" w:ascii="宋体" w:hAnsi="宋体" w:eastAsia="宋体" w:cs="宋体"/>
                <w:snapToGrid w:val="0"/>
                <w:color w:val="auto"/>
                <w:kern w:val="0"/>
                <w:sz w:val="22"/>
                <w:highlight w:val="none"/>
              </w:rPr>
              <w:t>分。</w:t>
            </w:r>
          </w:p>
        </w:tc>
      </w:tr>
      <w:tr w14:paraId="6FD259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8"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42EC6372">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6</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02C87D89">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电子投标</w:t>
            </w:r>
          </w:p>
          <w:p w14:paraId="25FAFA2C">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2DC1C1CE">
            <w:pPr>
              <w:pStyle w:val="8"/>
              <w:wordWrap w:val="0"/>
              <w:adjustRightInd w:val="0"/>
              <w:snapToGrid w:val="0"/>
              <w:spacing w:line="400" w:lineRule="exact"/>
              <w:ind w:firstLine="200" w:firstLineChars="91"/>
              <w:jc w:val="left"/>
              <w:rPr>
                <w:rFonts w:hint="eastAsia" w:hAnsi="宋体" w:cs="宋体"/>
                <w:snapToGrid w:val="0"/>
                <w:color w:val="auto"/>
                <w:kern w:val="0"/>
                <w:sz w:val="22"/>
                <w:highlight w:val="none"/>
              </w:rPr>
            </w:pPr>
            <w:r>
              <w:rPr>
                <w:rFonts w:hint="eastAsia" w:ascii="宋体" w:hAnsi="宋体" w:eastAsia="宋体" w:cs="宋体"/>
                <w:snapToGrid w:val="0"/>
                <w:color w:val="auto"/>
                <w:kern w:val="0"/>
                <w:sz w:val="22"/>
                <w:highlight w:val="none"/>
              </w:rPr>
              <w:t>2026年</w:t>
            </w:r>
            <w:r>
              <w:rPr>
                <w:rFonts w:hint="eastAsia" w:ascii="宋体" w:hAnsi="宋体" w:eastAsia="宋体" w:cs="宋体"/>
                <w:snapToGrid w:val="0"/>
                <w:color w:val="auto"/>
                <w:kern w:val="0"/>
                <w:sz w:val="22"/>
                <w:highlight w:val="none"/>
                <w:lang w:val="en-US" w:eastAsia="zh-CN"/>
              </w:rPr>
              <w:t>4</w:t>
            </w:r>
            <w:r>
              <w:rPr>
                <w:rFonts w:hint="eastAsia" w:ascii="宋体" w:hAnsi="宋体" w:eastAsia="宋体" w:cs="宋体"/>
                <w:snapToGrid w:val="0"/>
                <w:color w:val="auto"/>
                <w:kern w:val="0"/>
                <w:sz w:val="22"/>
                <w:highlight w:val="none"/>
              </w:rPr>
              <w:t>月</w:t>
            </w:r>
            <w:r>
              <w:rPr>
                <w:rFonts w:hint="eastAsia" w:ascii="宋体" w:hAnsi="宋体" w:eastAsia="宋体" w:cs="宋体"/>
                <w:snapToGrid w:val="0"/>
                <w:color w:val="auto"/>
                <w:kern w:val="0"/>
                <w:sz w:val="22"/>
                <w:highlight w:val="none"/>
                <w:lang w:val="en-US" w:eastAsia="zh-CN"/>
              </w:rPr>
              <w:t>22</w:t>
            </w:r>
            <w:r>
              <w:rPr>
                <w:rFonts w:hint="eastAsia" w:ascii="宋体" w:hAnsi="宋体" w:eastAsia="宋体" w:cs="宋体"/>
                <w:snapToGrid w:val="0"/>
                <w:color w:val="auto"/>
                <w:kern w:val="0"/>
                <w:sz w:val="22"/>
                <w:highlight w:val="none"/>
              </w:rPr>
              <w:t>日</w:t>
            </w:r>
            <w:r>
              <w:rPr>
                <w:rFonts w:hint="eastAsia" w:ascii="宋体" w:hAnsi="宋体" w:eastAsia="宋体" w:cs="宋体"/>
                <w:snapToGrid w:val="0"/>
                <w:color w:val="auto"/>
                <w:kern w:val="0"/>
                <w:sz w:val="22"/>
                <w:highlight w:val="none"/>
                <w:lang w:val="en-US" w:eastAsia="zh-CN"/>
              </w:rPr>
              <w:t>09</w:t>
            </w:r>
            <w:r>
              <w:rPr>
                <w:rFonts w:hint="eastAsia" w:ascii="宋体" w:hAnsi="宋体" w:eastAsia="宋体" w:cs="宋体"/>
                <w:snapToGrid w:val="0"/>
                <w:color w:val="auto"/>
                <w:kern w:val="0"/>
                <w:sz w:val="22"/>
                <w:highlight w:val="none"/>
              </w:rPr>
              <w:t>时</w:t>
            </w:r>
            <w:r>
              <w:rPr>
                <w:rFonts w:hint="eastAsia" w:ascii="宋体" w:hAnsi="宋体" w:eastAsia="宋体" w:cs="宋体"/>
                <w:snapToGrid w:val="0"/>
                <w:color w:val="auto"/>
                <w:kern w:val="0"/>
                <w:sz w:val="22"/>
                <w:highlight w:val="none"/>
                <w:lang w:val="en-US" w:eastAsia="zh-CN"/>
              </w:rPr>
              <w:t>30</w:t>
            </w:r>
            <w:r>
              <w:rPr>
                <w:rFonts w:hint="eastAsia" w:ascii="宋体" w:hAnsi="宋体" w:eastAsia="宋体" w:cs="宋体"/>
                <w:snapToGrid w:val="0"/>
                <w:color w:val="auto"/>
                <w:kern w:val="0"/>
                <w:sz w:val="22"/>
                <w:highlight w:val="none"/>
              </w:rPr>
              <w:t>分</w:t>
            </w:r>
          </w:p>
        </w:tc>
      </w:tr>
      <w:tr w14:paraId="0F2A6B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9"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3C6EEE19">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7</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76823979">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投标相关资料（如有）递交时间</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28D060B6">
            <w:pPr>
              <w:pStyle w:val="8"/>
              <w:wordWrap w:val="0"/>
              <w:adjustRightInd w:val="0"/>
              <w:snapToGrid w:val="0"/>
              <w:spacing w:line="400" w:lineRule="exact"/>
              <w:ind w:firstLine="220" w:firstLineChars="100"/>
              <w:jc w:val="left"/>
              <w:rPr>
                <w:rFonts w:hint="eastAsia" w:hAnsi="宋体" w:cs="宋体"/>
                <w:snapToGrid w:val="0"/>
                <w:color w:val="auto"/>
                <w:kern w:val="0"/>
                <w:sz w:val="22"/>
                <w:highlight w:val="none"/>
              </w:rPr>
            </w:pPr>
            <w:r>
              <w:rPr>
                <w:rFonts w:hint="eastAsia" w:ascii="宋体" w:hAnsi="宋体" w:eastAsia="宋体" w:cs="宋体"/>
                <w:snapToGrid w:val="0"/>
                <w:color w:val="auto"/>
                <w:kern w:val="0"/>
                <w:sz w:val="22"/>
                <w:highlight w:val="none"/>
              </w:rPr>
              <w:t>2026年</w:t>
            </w:r>
            <w:r>
              <w:rPr>
                <w:rFonts w:hint="eastAsia" w:ascii="宋体" w:hAnsi="宋体" w:eastAsia="宋体" w:cs="宋体"/>
                <w:snapToGrid w:val="0"/>
                <w:color w:val="auto"/>
                <w:kern w:val="0"/>
                <w:sz w:val="22"/>
                <w:highlight w:val="none"/>
                <w:lang w:val="en-US" w:eastAsia="zh-CN"/>
              </w:rPr>
              <w:t>4</w:t>
            </w:r>
            <w:r>
              <w:rPr>
                <w:rFonts w:hint="eastAsia" w:ascii="宋体" w:hAnsi="宋体" w:eastAsia="宋体" w:cs="宋体"/>
                <w:snapToGrid w:val="0"/>
                <w:color w:val="auto"/>
                <w:kern w:val="0"/>
                <w:sz w:val="22"/>
                <w:highlight w:val="none"/>
              </w:rPr>
              <w:t>月</w:t>
            </w:r>
            <w:r>
              <w:rPr>
                <w:rFonts w:hint="eastAsia" w:ascii="宋体" w:hAnsi="宋体" w:eastAsia="宋体" w:cs="宋体"/>
                <w:snapToGrid w:val="0"/>
                <w:color w:val="auto"/>
                <w:kern w:val="0"/>
                <w:sz w:val="22"/>
                <w:highlight w:val="none"/>
                <w:lang w:val="en-US" w:eastAsia="zh-CN"/>
              </w:rPr>
              <w:t>22</w:t>
            </w:r>
            <w:r>
              <w:rPr>
                <w:rFonts w:hint="eastAsia" w:ascii="宋体" w:hAnsi="宋体" w:eastAsia="宋体" w:cs="宋体"/>
                <w:snapToGrid w:val="0"/>
                <w:color w:val="auto"/>
                <w:kern w:val="0"/>
                <w:sz w:val="22"/>
                <w:highlight w:val="none"/>
              </w:rPr>
              <w:t>日</w:t>
            </w:r>
            <w:r>
              <w:rPr>
                <w:rFonts w:hint="eastAsia" w:ascii="宋体" w:hAnsi="宋体" w:eastAsia="宋体" w:cs="宋体"/>
                <w:snapToGrid w:val="0"/>
                <w:color w:val="auto"/>
                <w:kern w:val="0"/>
                <w:sz w:val="22"/>
                <w:highlight w:val="none"/>
                <w:lang w:val="en-US" w:eastAsia="zh-CN"/>
              </w:rPr>
              <w:t>09</w:t>
            </w:r>
            <w:r>
              <w:rPr>
                <w:rFonts w:hint="eastAsia" w:ascii="宋体" w:hAnsi="宋体" w:eastAsia="宋体" w:cs="宋体"/>
                <w:snapToGrid w:val="0"/>
                <w:color w:val="auto"/>
                <w:kern w:val="0"/>
                <w:sz w:val="22"/>
                <w:highlight w:val="none"/>
              </w:rPr>
              <w:t>时</w:t>
            </w:r>
            <w:r>
              <w:rPr>
                <w:rFonts w:hint="eastAsia" w:ascii="宋体" w:hAnsi="宋体" w:eastAsia="宋体" w:cs="宋体"/>
                <w:snapToGrid w:val="0"/>
                <w:color w:val="auto"/>
                <w:kern w:val="0"/>
                <w:sz w:val="22"/>
                <w:highlight w:val="none"/>
                <w:lang w:val="en-US" w:eastAsia="zh-CN"/>
              </w:rPr>
              <w:t>00</w:t>
            </w:r>
            <w:r>
              <w:rPr>
                <w:rFonts w:hint="eastAsia" w:ascii="宋体" w:hAnsi="宋体" w:eastAsia="宋体" w:cs="宋体"/>
                <w:snapToGrid w:val="0"/>
                <w:color w:val="auto"/>
                <w:kern w:val="0"/>
                <w:sz w:val="22"/>
                <w:highlight w:val="none"/>
              </w:rPr>
              <w:t>分至2026年</w:t>
            </w:r>
            <w:r>
              <w:rPr>
                <w:rFonts w:hint="eastAsia" w:ascii="宋体" w:hAnsi="宋体" w:eastAsia="宋体" w:cs="宋体"/>
                <w:snapToGrid w:val="0"/>
                <w:color w:val="auto"/>
                <w:kern w:val="0"/>
                <w:sz w:val="22"/>
                <w:highlight w:val="none"/>
                <w:lang w:val="en-US" w:eastAsia="zh-CN"/>
              </w:rPr>
              <w:t>4</w:t>
            </w:r>
            <w:r>
              <w:rPr>
                <w:rFonts w:hint="eastAsia" w:ascii="宋体" w:hAnsi="宋体" w:eastAsia="宋体" w:cs="宋体"/>
                <w:snapToGrid w:val="0"/>
                <w:color w:val="auto"/>
                <w:kern w:val="0"/>
                <w:sz w:val="22"/>
                <w:highlight w:val="none"/>
              </w:rPr>
              <w:t>月</w:t>
            </w:r>
            <w:r>
              <w:rPr>
                <w:rFonts w:hint="eastAsia" w:ascii="宋体" w:hAnsi="宋体" w:eastAsia="宋体" w:cs="宋体"/>
                <w:snapToGrid w:val="0"/>
                <w:color w:val="auto"/>
                <w:kern w:val="0"/>
                <w:sz w:val="22"/>
                <w:highlight w:val="none"/>
                <w:lang w:val="en-US" w:eastAsia="zh-CN"/>
              </w:rPr>
              <w:t>22</w:t>
            </w:r>
            <w:r>
              <w:rPr>
                <w:rFonts w:hint="eastAsia" w:ascii="宋体" w:hAnsi="宋体" w:eastAsia="宋体" w:cs="宋体"/>
                <w:snapToGrid w:val="0"/>
                <w:color w:val="auto"/>
                <w:kern w:val="0"/>
                <w:sz w:val="22"/>
                <w:highlight w:val="none"/>
              </w:rPr>
              <w:t>日</w:t>
            </w:r>
            <w:r>
              <w:rPr>
                <w:rFonts w:hint="eastAsia" w:ascii="宋体" w:hAnsi="宋体" w:eastAsia="宋体" w:cs="宋体"/>
                <w:snapToGrid w:val="0"/>
                <w:color w:val="auto"/>
                <w:kern w:val="0"/>
                <w:sz w:val="22"/>
                <w:highlight w:val="none"/>
                <w:lang w:val="en-US" w:eastAsia="zh-CN"/>
              </w:rPr>
              <w:t>09</w:t>
            </w:r>
            <w:r>
              <w:rPr>
                <w:rFonts w:hint="eastAsia" w:ascii="宋体" w:hAnsi="宋体" w:eastAsia="宋体" w:cs="宋体"/>
                <w:snapToGrid w:val="0"/>
                <w:color w:val="auto"/>
                <w:kern w:val="0"/>
                <w:sz w:val="22"/>
                <w:highlight w:val="none"/>
              </w:rPr>
              <w:t>时</w:t>
            </w:r>
            <w:r>
              <w:rPr>
                <w:rFonts w:hint="eastAsia" w:ascii="宋体" w:hAnsi="宋体" w:eastAsia="宋体" w:cs="宋体"/>
                <w:snapToGrid w:val="0"/>
                <w:color w:val="auto"/>
                <w:kern w:val="0"/>
                <w:sz w:val="22"/>
                <w:highlight w:val="none"/>
                <w:lang w:val="en-US" w:eastAsia="zh-CN"/>
              </w:rPr>
              <w:t>30</w:t>
            </w:r>
            <w:r>
              <w:rPr>
                <w:rFonts w:hint="eastAsia" w:ascii="宋体" w:hAnsi="宋体" w:eastAsia="宋体" w:cs="宋体"/>
                <w:snapToGrid w:val="0"/>
                <w:color w:val="auto"/>
                <w:kern w:val="0"/>
                <w:sz w:val="22"/>
                <w:highlight w:val="none"/>
              </w:rPr>
              <w:t>分</w:t>
            </w:r>
          </w:p>
        </w:tc>
      </w:tr>
      <w:tr w14:paraId="4B4C2C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6"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76C175F2">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8</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2E97C8FE">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投标相关资料（如有）递交地点</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762089C0">
            <w:pPr>
              <w:pStyle w:val="8"/>
              <w:wordWrap w:val="0"/>
              <w:adjustRightInd w:val="0"/>
              <w:snapToGrid w:val="0"/>
              <w:spacing w:line="400" w:lineRule="exact"/>
              <w:ind w:firstLine="220" w:firstLineChars="100"/>
              <w:jc w:val="left"/>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递交场所：韶关市公共资源交易中心翁源分中心</w:t>
            </w:r>
          </w:p>
          <w:p w14:paraId="1870940D">
            <w:pPr>
              <w:pStyle w:val="8"/>
              <w:wordWrap w:val="0"/>
              <w:adjustRightInd w:val="0"/>
              <w:snapToGrid w:val="0"/>
              <w:spacing w:line="400" w:lineRule="exact"/>
              <w:ind w:firstLine="220" w:firstLineChars="100"/>
              <w:jc w:val="left"/>
              <w:rPr>
                <w:rFonts w:hint="eastAsia" w:hAnsi="宋体" w:cs="宋体"/>
                <w:snapToGrid w:val="0"/>
                <w:color w:val="auto"/>
                <w:kern w:val="0"/>
                <w:sz w:val="22"/>
                <w:highlight w:val="none"/>
              </w:rPr>
            </w:pPr>
            <w:r>
              <w:rPr>
                <w:rFonts w:hint="eastAsia" w:ascii="宋体" w:hAnsi="宋体" w:eastAsia="宋体" w:cs="宋体"/>
                <w:snapToGrid w:val="0"/>
                <w:color w:val="auto"/>
                <w:kern w:val="0"/>
                <w:sz w:val="22"/>
                <w:highlight w:val="none"/>
              </w:rPr>
              <w:t>地址：翁源县龙仙镇朝阳路63号韶关市公共资源交易中心翁源分中心，具体开标室以当日现场通知为准。</w:t>
            </w:r>
          </w:p>
        </w:tc>
      </w:tr>
      <w:tr w14:paraId="4CEAED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2"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0066B0B1">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9</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526A13E6">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开标时间 </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7CB7400A">
            <w:pPr>
              <w:pStyle w:val="8"/>
              <w:wordWrap w:val="0"/>
              <w:adjustRightInd w:val="0"/>
              <w:snapToGrid w:val="0"/>
              <w:spacing w:line="400" w:lineRule="exact"/>
              <w:ind w:firstLine="200" w:firstLineChars="91"/>
              <w:jc w:val="left"/>
              <w:rPr>
                <w:rFonts w:hint="eastAsia" w:hAnsi="宋体" w:cs="宋体"/>
                <w:snapToGrid w:val="0"/>
                <w:color w:val="auto"/>
                <w:kern w:val="0"/>
                <w:sz w:val="22"/>
                <w:highlight w:val="none"/>
              </w:rPr>
            </w:pPr>
            <w:r>
              <w:rPr>
                <w:rFonts w:hint="eastAsia" w:ascii="宋体" w:hAnsi="宋体" w:eastAsia="宋体" w:cs="宋体"/>
                <w:snapToGrid w:val="0"/>
                <w:color w:val="auto"/>
                <w:kern w:val="0"/>
                <w:sz w:val="22"/>
                <w:highlight w:val="none"/>
              </w:rPr>
              <w:t>2026年</w:t>
            </w:r>
            <w:r>
              <w:rPr>
                <w:rFonts w:hint="eastAsia" w:ascii="宋体" w:hAnsi="宋体" w:eastAsia="宋体" w:cs="宋体"/>
                <w:snapToGrid w:val="0"/>
                <w:color w:val="auto"/>
                <w:kern w:val="0"/>
                <w:sz w:val="22"/>
                <w:highlight w:val="none"/>
                <w:lang w:val="en-US" w:eastAsia="zh-CN"/>
              </w:rPr>
              <w:t>4</w:t>
            </w:r>
            <w:r>
              <w:rPr>
                <w:rFonts w:hint="eastAsia" w:ascii="宋体" w:hAnsi="宋体" w:eastAsia="宋体" w:cs="宋体"/>
                <w:snapToGrid w:val="0"/>
                <w:color w:val="auto"/>
                <w:kern w:val="0"/>
                <w:sz w:val="22"/>
                <w:highlight w:val="none"/>
              </w:rPr>
              <w:t>月</w:t>
            </w:r>
            <w:r>
              <w:rPr>
                <w:rFonts w:hint="eastAsia" w:ascii="宋体" w:hAnsi="宋体" w:eastAsia="宋体" w:cs="宋体"/>
                <w:snapToGrid w:val="0"/>
                <w:color w:val="auto"/>
                <w:kern w:val="0"/>
                <w:sz w:val="22"/>
                <w:highlight w:val="none"/>
                <w:lang w:val="en-US" w:eastAsia="zh-CN"/>
              </w:rPr>
              <w:t>22</w:t>
            </w:r>
            <w:r>
              <w:rPr>
                <w:rFonts w:hint="eastAsia" w:ascii="宋体" w:hAnsi="宋体" w:eastAsia="宋体" w:cs="宋体"/>
                <w:snapToGrid w:val="0"/>
                <w:color w:val="auto"/>
                <w:kern w:val="0"/>
                <w:sz w:val="22"/>
                <w:highlight w:val="none"/>
              </w:rPr>
              <w:t>日</w:t>
            </w:r>
            <w:r>
              <w:rPr>
                <w:rFonts w:hint="eastAsia" w:ascii="宋体" w:hAnsi="宋体" w:eastAsia="宋体" w:cs="宋体"/>
                <w:snapToGrid w:val="0"/>
                <w:color w:val="auto"/>
                <w:kern w:val="0"/>
                <w:sz w:val="22"/>
                <w:highlight w:val="none"/>
                <w:lang w:val="en-US" w:eastAsia="zh-CN"/>
              </w:rPr>
              <w:t>09</w:t>
            </w:r>
            <w:r>
              <w:rPr>
                <w:rFonts w:hint="eastAsia" w:ascii="宋体" w:hAnsi="宋体" w:eastAsia="宋体" w:cs="宋体"/>
                <w:snapToGrid w:val="0"/>
                <w:color w:val="auto"/>
                <w:kern w:val="0"/>
                <w:sz w:val="22"/>
                <w:highlight w:val="none"/>
              </w:rPr>
              <w:t>时</w:t>
            </w:r>
            <w:r>
              <w:rPr>
                <w:rFonts w:hint="eastAsia" w:ascii="宋体" w:hAnsi="宋体" w:eastAsia="宋体" w:cs="宋体"/>
                <w:snapToGrid w:val="0"/>
                <w:color w:val="auto"/>
                <w:kern w:val="0"/>
                <w:sz w:val="22"/>
                <w:highlight w:val="none"/>
                <w:lang w:val="en-US" w:eastAsia="zh-CN"/>
              </w:rPr>
              <w:t>30</w:t>
            </w:r>
            <w:r>
              <w:rPr>
                <w:rFonts w:hint="eastAsia" w:ascii="宋体" w:hAnsi="宋体" w:eastAsia="宋体" w:cs="宋体"/>
                <w:snapToGrid w:val="0"/>
                <w:color w:val="auto"/>
                <w:kern w:val="0"/>
                <w:sz w:val="22"/>
                <w:highlight w:val="none"/>
              </w:rPr>
              <w:t>分</w:t>
            </w:r>
          </w:p>
        </w:tc>
      </w:tr>
      <w:tr w14:paraId="5B44CB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46"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06879A3B">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10</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5FE03E56">
            <w:pPr>
              <w:pStyle w:val="4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开标地点 </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6CD106CC">
            <w:pPr>
              <w:pStyle w:val="8"/>
              <w:wordWrap w:val="0"/>
              <w:adjustRightInd w:val="0"/>
              <w:snapToGrid w:val="0"/>
              <w:spacing w:line="400" w:lineRule="exact"/>
              <w:ind w:firstLine="220" w:firstLineChars="100"/>
              <w:jc w:val="left"/>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开标场所：韶关市公共资源交易中心翁源分中心</w:t>
            </w:r>
          </w:p>
          <w:p w14:paraId="61BBA808">
            <w:pPr>
              <w:pStyle w:val="8"/>
              <w:wordWrap w:val="0"/>
              <w:adjustRightInd w:val="0"/>
              <w:snapToGrid w:val="0"/>
              <w:spacing w:line="400" w:lineRule="exact"/>
              <w:ind w:firstLine="220" w:firstLineChars="100"/>
              <w:jc w:val="left"/>
              <w:rPr>
                <w:rFonts w:hint="eastAsia" w:hAnsi="宋体" w:cs="宋体"/>
                <w:snapToGrid w:val="0"/>
                <w:color w:val="auto"/>
                <w:kern w:val="0"/>
                <w:sz w:val="22"/>
                <w:highlight w:val="none"/>
              </w:rPr>
            </w:pPr>
            <w:r>
              <w:rPr>
                <w:rFonts w:hint="eastAsia" w:ascii="宋体" w:hAnsi="宋体" w:eastAsia="宋体" w:cs="宋体"/>
                <w:snapToGrid w:val="0"/>
                <w:color w:val="auto"/>
                <w:kern w:val="0"/>
                <w:sz w:val="22"/>
                <w:highlight w:val="none"/>
              </w:rPr>
              <w:t>地址：翁源县龙仙镇朝阳路63号韶关市公共资源交易中心翁源分中心，具体开标室以当日现场通知为准。</w:t>
            </w:r>
          </w:p>
        </w:tc>
      </w:tr>
      <w:bookmarkEnd w:id="125"/>
    </w:tbl>
    <w:p w14:paraId="52BFAA11">
      <w:pPr>
        <w:rPr>
          <w:color w:val="auto"/>
          <w:sz w:val="22"/>
          <w:szCs w:val="24"/>
          <w:highlight w:val="none"/>
        </w:rPr>
      </w:pPr>
    </w:p>
    <w:p w14:paraId="2A0BF6E9">
      <w:pPr>
        <w:ind w:firstLine="440" w:firstLineChars="200"/>
        <w:rPr>
          <w:rFonts w:hint="eastAsia" w:ascii="宋体" w:hAnsi="宋体" w:cs="宋体"/>
          <w:color w:val="auto"/>
          <w:sz w:val="22"/>
          <w:szCs w:val="24"/>
          <w:highlight w:val="none"/>
        </w:rPr>
      </w:pPr>
      <w:r>
        <w:rPr>
          <w:rFonts w:hint="eastAsia" w:ascii="宋体" w:hAnsi="宋体" w:cs="宋体"/>
          <w:color w:val="auto"/>
          <w:sz w:val="22"/>
          <w:szCs w:val="24"/>
          <w:highlight w:val="none"/>
        </w:rPr>
        <w:t>备注：投标人应按有关计划时间安排办理企业CA认证、企业入库等，完成相关手续后自行下载招标文件、资料文件及招标答疑书等。若由于投标人自身原因未能及时取得上述资料的，由此发生的任何责任由投标人自负。</w:t>
      </w:r>
    </w:p>
    <w:p w14:paraId="0E04251E">
      <w:pPr>
        <w:pStyle w:val="18"/>
        <w:spacing w:before="0" w:after="0"/>
        <w:rPr>
          <w:rFonts w:hint="eastAsia" w:cs="宋体" w:asciiTheme="majorEastAsia" w:hAnsiTheme="majorEastAsia" w:eastAsiaTheme="majorEastAsia"/>
          <w:b w:val="0"/>
          <w:color w:val="auto"/>
          <w:highlight w:val="none"/>
        </w:rPr>
      </w:pPr>
      <w:r>
        <w:rPr>
          <w:rFonts w:cs="宋体" w:asciiTheme="majorEastAsia" w:hAnsiTheme="majorEastAsia" w:eastAsiaTheme="majorEastAsia"/>
          <w:color w:val="auto"/>
          <w:highlight w:val="none"/>
        </w:rPr>
        <w:br w:type="page"/>
      </w:r>
      <w:bookmarkStart w:id="4" w:name="_Toc31839"/>
      <w:r>
        <w:rPr>
          <w:rFonts w:hint="eastAsia" w:cs="宋体" w:asciiTheme="majorEastAsia" w:hAnsiTheme="majorEastAsia" w:eastAsiaTheme="majorEastAsia"/>
          <w:color w:val="auto"/>
          <w:highlight w:val="none"/>
        </w:rPr>
        <w:t>第二章  投标人须知</w:t>
      </w:r>
      <w:bookmarkEnd w:id="4"/>
    </w:p>
    <w:p w14:paraId="34B73FFD">
      <w:pPr>
        <w:keepNext/>
        <w:keepLines/>
        <w:spacing w:line="360" w:lineRule="auto"/>
        <w:jc w:val="cente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投标人须知前附表</w:t>
      </w:r>
    </w:p>
    <w:tbl>
      <w:tblPr>
        <w:tblStyle w:val="20"/>
        <w:tblW w:w="10710" w:type="dxa"/>
        <w:jc w:val="center"/>
        <w:tblLayout w:type="autofit"/>
        <w:tblCellMar>
          <w:top w:w="0" w:type="dxa"/>
          <w:left w:w="10" w:type="dxa"/>
          <w:bottom w:w="0" w:type="dxa"/>
          <w:right w:w="10" w:type="dxa"/>
        </w:tblCellMar>
      </w:tblPr>
      <w:tblGrid>
        <w:gridCol w:w="1012"/>
        <w:gridCol w:w="1847"/>
        <w:gridCol w:w="7851"/>
      </w:tblGrid>
      <w:tr w14:paraId="17806C44">
        <w:tblPrEx>
          <w:tblCellMar>
            <w:top w:w="0" w:type="dxa"/>
            <w:left w:w="10" w:type="dxa"/>
            <w:bottom w:w="0" w:type="dxa"/>
            <w:right w:w="10" w:type="dxa"/>
          </w:tblCellMar>
        </w:tblPrEx>
        <w:trPr>
          <w:trHeight w:val="59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F22A18">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条款号</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8C08B4">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条款名称</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C868F5">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编  列  内  容</w:t>
            </w:r>
          </w:p>
        </w:tc>
      </w:tr>
      <w:tr w14:paraId="799B93B6">
        <w:tblPrEx>
          <w:tblCellMar>
            <w:top w:w="0" w:type="dxa"/>
            <w:left w:w="10" w:type="dxa"/>
            <w:bottom w:w="0" w:type="dxa"/>
            <w:right w:w="10" w:type="dxa"/>
          </w:tblCellMar>
        </w:tblPrEx>
        <w:trPr>
          <w:trHeight w:val="45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5B6D84">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1.1.2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0B0677">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招标人</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2BF066">
            <w:pPr>
              <w:spacing w:line="360" w:lineRule="auto"/>
              <w:rPr>
                <w:rFonts w:hint="eastAsia" w:ascii="宋体" w:hAnsi="宋体" w:cs="宋体"/>
                <w:color w:val="auto"/>
                <w:sz w:val="22"/>
                <w:highlight w:val="none"/>
              </w:rPr>
            </w:pPr>
            <w:r>
              <w:rPr>
                <w:rFonts w:hint="eastAsia" w:ascii="宋体" w:hAnsi="宋体" w:cs="宋体"/>
                <w:color w:val="auto"/>
                <w:sz w:val="22"/>
                <w:highlight w:val="none"/>
              </w:rPr>
              <w:t>翁源县水利水电工程建设管理中心</w:t>
            </w:r>
          </w:p>
        </w:tc>
      </w:tr>
      <w:tr w14:paraId="312033A8">
        <w:tblPrEx>
          <w:tblCellMar>
            <w:top w:w="0" w:type="dxa"/>
            <w:left w:w="10" w:type="dxa"/>
            <w:bottom w:w="0" w:type="dxa"/>
            <w:right w:w="10" w:type="dxa"/>
          </w:tblCellMar>
        </w:tblPrEx>
        <w:trPr>
          <w:trHeight w:val="468"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C11DAA">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1.1.3</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9B473F">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招标代理机构</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7E355C">
            <w:pPr>
              <w:spacing w:line="360" w:lineRule="auto"/>
              <w:rPr>
                <w:rFonts w:hint="eastAsia" w:ascii="宋体" w:hAnsi="宋体" w:cs="宋体"/>
                <w:color w:val="auto"/>
                <w:sz w:val="22"/>
                <w:highlight w:val="none"/>
              </w:rPr>
            </w:pPr>
            <w:r>
              <w:rPr>
                <w:rFonts w:hint="eastAsia" w:ascii="宋体" w:hAnsi="宋体" w:cs="宋体"/>
                <w:color w:val="auto"/>
                <w:sz w:val="22"/>
                <w:highlight w:val="none"/>
              </w:rPr>
              <w:t>中投德创建工有限公司</w:t>
            </w:r>
          </w:p>
        </w:tc>
      </w:tr>
      <w:tr w14:paraId="6D19852F">
        <w:tblPrEx>
          <w:tblCellMar>
            <w:top w:w="0" w:type="dxa"/>
            <w:left w:w="10" w:type="dxa"/>
            <w:bottom w:w="0" w:type="dxa"/>
            <w:right w:w="10" w:type="dxa"/>
          </w:tblCellMar>
        </w:tblPrEx>
        <w:trPr>
          <w:trHeight w:val="465"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FA8A81">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1.1.4</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939644">
            <w:pPr>
              <w:spacing w:line="360" w:lineRule="auto"/>
              <w:ind w:left="-90" w:firstLine="90"/>
              <w:jc w:val="center"/>
              <w:rPr>
                <w:rFonts w:hint="eastAsia" w:ascii="宋体" w:hAnsi="宋体" w:cs="宋体"/>
                <w:color w:val="auto"/>
                <w:sz w:val="22"/>
                <w:highlight w:val="none"/>
              </w:rPr>
            </w:pPr>
            <w:r>
              <w:rPr>
                <w:rFonts w:hint="eastAsia" w:ascii="宋体" w:hAnsi="宋体" w:cs="宋体"/>
                <w:color w:val="auto"/>
                <w:sz w:val="22"/>
                <w:highlight w:val="none"/>
              </w:rPr>
              <w:t>项目名称</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9F5DB7">
            <w:pPr>
              <w:spacing w:line="360" w:lineRule="auto"/>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eastAsia="zh-CN"/>
              </w:rPr>
              <w:t>翁源县龙仙镇老隆山水山洪沟治理工程施工（第二次）</w:t>
            </w:r>
          </w:p>
        </w:tc>
      </w:tr>
      <w:tr w14:paraId="03FF61A9">
        <w:tblPrEx>
          <w:tblCellMar>
            <w:top w:w="0" w:type="dxa"/>
            <w:left w:w="10" w:type="dxa"/>
            <w:bottom w:w="0" w:type="dxa"/>
            <w:right w:w="10" w:type="dxa"/>
          </w:tblCellMar>
        </w:tblPrEx>
        <w:trPr>
          <w:trHeight w:val="494"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ED9419">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1.1.5</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4B8A73">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建设地点</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075281">
            <w:pPr>
              <w:spacing w:line="360" w:lineRule="auto"/>
              <w:rPr>
                <w:rFonts w:hint="eastAsia" w:ascii="宋体" w:hAnsi="宋体" w:cs="宋体"/>
                <w:color w:val="auto"/>
                <w:sz w:val="22"/>
                <w:highlight w:val="none"/>
              </w:rPr>
            </w:pPr>
            <w:r>
              <w:rPr>
                <w:rFonts w:hint="eastAsia" w:ascii="宋体" w:hAnsi="宋体" w:cs="宋体"/>
                <w:color w:val="auto"/>
                <w:sz w:val="22"/>
                <w:highlight w:val="none"/>
              </w:rPr>
              <w:t>翁源县龙仙镇</w:t>
            </w:r>
          </w:p>
        </w:tc>
      </w:tr>
      <w:tr w14:paraId="44D18450">
        <w:tblPrEx>
          <w:tblCellMar>
            <w:top w:w="0" w:type="dxa"/>
            <w:left w:w="10" w:type="dxa"/>
            <w:bottom w:w="0" w:type="dxa"/>
            <w:right w:w="10" w:type="dxa"/>
          </w:tblCellMar>
        </w:tblPrEx>
        <w:trPr>
          <w:trHeight w:val="46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158633">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1.1.7</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D4556A">
            <w:pPr>
              <w:spacing w:line="360" w:lineRule="auto"/>
              <w:ind w:left="-90"/>
              <w:jc w:val="center"/>
              <w:rPr>
                <w:rFonts w:hint="eastAsia" w:ascii="宋体" w:hAnsi="宋体" w:cs="宋体"/>
                <w:color w:val="auto"/>
                <w:sz w:val="22"/>
                <w:highlight w:val="none"/>
              </w:rPr>
            </w:pPr>
            <w:r>
              <w:rPr>
                <w:rFonts w:hint="eastAsia" w:ascii="宋体" w:hAnsi="宋体" w:cs="宋体"/>
                <w:color w:val="auto"/>
                <w:sz w:val="22"/>
                <w:highlight w:val="none"/>
              </w:rPr>
              <w:t>设计人</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75E480">
            <w:pPr>
              <w:spacing w:line="360" w:lineRule="auto"/>
              <w:rPr>
                <w:rFonts w:hint="eastAsia" w:ascii="宋体" w:hAnsi="宋体" w:cs="宋体"/>
                <w:color w:val="auto"/>
                <w:sz w:val="22"/>
                <w:highlight w:val="none"/>
              </w:rPr>
            </w:pPr>
            <w:r>
              <w:rPr>
                <w:rFonts w:hint="eastAsia" w:ascii="宋体" w:hAnsi="宋体" w:cs="宋体"/>
                <w:color w:val="auto"/>
                <w:sz w:val="22"/>
                <w:highlight w:val="none"/>
              </w:rPr>
              <w:t>韶关市水利水电勘测设计咨询有限公司</w:t>
            </w:r>
          </w:p>
        </w:tc>
      </w:tr>
      <w:tr w14:paraId="29EF841B">
        <w:tblPrEx>
          <w:tblCellMar>
            <w:top w:w="0" w:type="dxa"/>
            <w:left w:w="10" w:type="dxa"/>
            <w:bottom w:w="0" w:type="dxa"/>
            <w:right w:w="10" w:type="dxa"/>
          </w:tblCellMar>
        </w:tblPrEx>
        <w:trPr>
          <w:trHeight w:val="49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A49587">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1.1.8</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AAA88B">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监理人</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ACD4EA">
            <w:pPr>
              <w:spacing w:line="360" w:lineRule="auto"/>
              <w:rPr>
                <w:rFonts w:hint="eastAsia" w:ascii="宋体" w:hAnsi="宋体" w:cs="宋体"/>
                <w:color w:val="auto"/>
                <w:sz w:val="22"/>
                <w:highlight w:val="none"/>
              </w:rPr>
            </w:pPr>
            <w:r>
              <w:rPr>
                <w:rFonts w:hint="eastAsia" w:ascii="宋体" w:hAnsi="宋体" w:cs="宋体"/>
                <w:color w:val="auto"/>
                <w:sz w:val="22"/>
                <w:highlight w:val="none"/>
              </w:rPr>
              <w:t>待定</w:t>
            </w:r>
          </w:p>
        </w:tc>
      </w:tr>
      <w:tr w14:paraId="7923769A">
        <w:tblPrEx>
          <w:tblCellMar>
            <w:top w:w="0" w:type="dxa"/>
            <w:left w:w="10" w:type="dxa"/>
            <w:bottom w:w="0" w:type="dxa"/>
            <w:right w:w="10" w:type="dxa"/>
          </w:tblCellMar>
        </w:tblPrEx>
        <w:trPr>
          <w:trHeight w:val="384"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B28782">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1.2.1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83A02">
            <w:pPr>
              <w:spacing w:line="360" w:lineRule="auto"/>
              <w:ind w:left="-90"/>
              <w:jc w:val="center"/>
              <w:rPr>
                <w:rFonts w:hint="eastAsia" w:ascii="宋体" w:hAnsi="宋体" w:cs="宋体"/>
                <w:color w:val="auto"/>
                <w:sz w:val="22"/>
                <w:highlight w:val="none"/>
              </w:rPr>
            </w:pPr>
            <w:r>
              <w:rPr>
                <w:rFonts w:hint="eastAsia" w:ascii="宋体" w:hAnsi="宋体" w:cs="宋体"/>
                <w:color w:val="auto"/>
                <w:sz w:val="22"/>
                <w:highlight w:val="none"/>
              </w:rPr>
              <w:t>资金来源</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03238D">
            <w:pPr>
              <w:spacing w:line="360" w:lineRule="auto"/>
              <w:rPr>
                <w:rFonts w:hint="eastAsia" w:ascii="宋体" w:hAnsi="宋体" w:cs="宋体"/>
                <w:color w:val="auto"/>
                <w:sz w:val="22"/>
                <w:highlight w:val="none"/>
              </w:rPr>
            </w:pPr>
            <w:r>
              <w:rPr>
                <w:rFonts w:hint="eastAsia" w:ascii="宋体" w:hAnsi="宋体" w:cs="宋体"/>
                <w:color w:val="auto"/>
                <w:sz w:val="22"/>
                <w:highlight w:val="none"/>
              </w:rPr>
              <w:t>由上级专项资金以及一般专项债解决，不足部分由县级财政统筹解决</w:t>
            </w:r>
          </w:p>
        </w:tc>
      </w:tr>
      <w:tr w14:paraId="49B95F59">
        <w:tblPrEx>
          <w:tblCellMar>
            <w:top w:w="0" w:type="dxa"/>
            <w:left w:w="10" w:type="dxa"/>
            <w:bottom w:w="0" w:type="dxa"/>
            <w:right w:w="10" w:type="dxa"/>
          </w:tblCellMar>
        </w:tblPrEx>
        <w:trPr>
          <w:trHeight w:val="42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29173D">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1.2.2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8E9CB4">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资金落实情况</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2499F8">
            <w:pPr>
              <w:spacing w:line="360" w:lineRule="auto"/>
              <w:ind w:firstLine="120"/>
              <w:rPr>
                <w:rFonts w:hint="eastAsia" w:ascii="宋体" w:hAnsi="宋体" w:cs="宋体"/>
                <w:color w:val="auto"/>
                <w:sz w:val="22"/>
                <w:highlight w:val="none"/>
              </w:rPr>
            </w:pPr>
            <w:r>
              <w:rPr>
                <w:rFonts w:hint="eastAsia" w:ascii="宋体" w:hAnsi="宋体" w:cs="宋体"/>
                <w:color w:val="auto"/>
                <w:sz w:val="22"/>
                <w:highlight w:val="none"/>
              </w:rPr>
              <w:t>已落实</w:t>
            </w:r>
          </w:p>
        </w:tc>
      </w:tr>
      <w:tr w14:paraId="60731277">
        <w:tblPrEx>
          <w:tblCellMar>
            <w:top w:w="0" w:type="dxa"/>
            <w:left w:w="10" w:type="dxa"/>
            <w:bottom w:w="0" w:type="dxa"/>
            <w:right w:w="10" w:type="dxa"/>
          </w:tblCellMar>
        </w:tblPrEx>
        <w:trPr>
          <w:trHeight w:val="512"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8B701F">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1.3.1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68219D">
            <w:pPr>
              <w:spacing w:line="360" w:lineRule="auto"/>
              <w:ind w:left="-90"/>
              <w:jc w:val="center"/>
              <w:rPr>
                <w:rFonts w:hint="eastAsia" w:ascii="宋体" w:hAnsi="宋体" w:cs="宋体"/>
                <w:color w:val="auto"/>
                <w:sz w:val="22"/>
                <w:highlight w:val="none"/>
              </w:rPr>
            </w:pPr>
            <w:r>
              <w:rPr>
                <w:rFonts w:hint="eastAsia" w:ascii="宋体" w:hAnsi="宋体" w:cs="宋体"/>
                <w:color w:val="auto"/>
                <w:sz w:val="22"/>
                <w:highlight w:val="none"/>
              </w:rPr>
              <w:t>招标范围</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9D2217">
            <w:pPr>
              <w:spacing w:line="360" w:lineRule="auto"/>
              <w:rPr>
                <w:rFonts w:hint="eastAsia" w:ascii="宋体" w:hAnsi="宋体" w:cs="宋体"/>
                <w:color w:val="auto"/>
                <w:sz w:val="22"/>
                <w:highlight w:val="none"/>
              </w:rPr>
            </w:pPr>
            <w:r>
              <w:rPr>
                <w:rFonts w:hint="eastAsia" w:ascii="宋体" w:hAnsi="宋体" w:cs="宋体"/>
                <w:color w:val="auto"/>
                <w:sz w:val="22"/>
                <w:highlight w:val="none"/>
              </w:rPr>
              <w:t>工程量清单及施工图设计文件范围内的工程施工</w:t>
            </w:r>
          </w:p>
        </w:tc>
      </w:tr>
      <w:tr w14:paraId="3216B33F">
        <w:tblPrEx>
          <w:tblCellMar>
            <w:top w:w="0" w:type="dxa"/>
            <w:left w:w="10" w:type="dxa"/>
            <w:bottom w:w="0" w:type="dxa"/>
            <w:right w:w="10" w:type="dxa"/>
          </w:tblCellMar>
        </w:tblPrEx>
        <w:trPr>
          <w:trHeight w:val="46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D658FB">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1.3.2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5601AF">
            <w:pPr>
              <w:spacing w:line="360" w:lineRule="auto"/>
              <w:jc w:val="center"/>
              <w:rPr>
                <w:rFonts w:hint="eastAsia" w:ascii="宋体" w:hAnsi="宋体" w:cs="宋体"/>
                <w:color w:val="auto"/>
                <w:sz w:val="22"/>
                <w:highlight w:val="none"/>
              </w:rPr>
            </w:pPr>
            <w:r>
              <w:rPr>
                <w:rFonts w:hint="eastAsia" w:ascii="宋体" w:hAnsi="宋体" w:cs="宋体"/>
                <w:color w:val="auto"/>
                <w:spacing w:val="2"/>
                <w:sz w:val="22"/>
                <w:highlight w:val="none"/>
              </w:rPr>
              <w:t>计划工期</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91F8F3">
            <w:pPr>
              <w:spacing w:line="360" w:lineRule="auto"/>
              <w:rPr>
                <w:rFonts w:hint="eastAsia" w:ascii="宋体" w:hAnsi="宋体" w:cs="宋体"/>
                <w:color w:val="auto"/>
                <w:sz w:val="22"/>
                <w:highlight w:val="none"/>
              </w:rPr>
            </w:pPr>
            <w:r>
              <w:rPr>
                <w:rFonts w:hint="eastAsia" w:ascii="宋体" w:hAnsi="宋体" w:cs="宋体"/>
                <w:color w:val="auto"/>
                <w:sz w:val="22"/>
                <w:highlight w:val="none"/>
              </w:rPr>
              <w:t>275日历天</w:t>
            </w:r>
          </w:p>
        </w:tc>
      </w:tr>
      <w:tr w14:paraId="2239D542">
        <w:tblPrEx>
          <w:tblCellMar>
            <w:top w:w="0" w:type="dxa"/>
            <w:left w:w="10" w:type="dxa"/>
            <w:bottom w:w="0" w:type="dxa"/>
            <w:right w:w="10" w:type="dxa"/>
          </w:tblCellMar>
        </w:tblPrEx>
        <w:trPr>
          <w:trHeight w:val="495"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E1240C">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1.3.3</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667C27">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质量要求</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20B309">
            <w:pPr>
              <w:spacing w:line="360" w:lineRule="auto"/>
              <w:ind w:left="-90" w:firstLine="120"/>
              <w:rPr>
                <w:rFonts w:hint="eastAsia" w:ascii="宋体" w:hAnsi="宋体" w:cs="宋体"/>
                <w:color w:val="auto"/>
                <w:sz w:val="22"/>
                <w:highlight w:val="none"/>
              </w:rPr>
            </w:pPr>
            <w:r>
              <w:rPr>
                <w:rFonts w:hint="eastAsia" w:ascii="宋体" w:hAnsi="宋体" w:cs="宋体"/>
                <w:color w:val="auto"/>
                <w:sz w:val="22"/>
                <w:highlight w:val="none"/>
              </w:rPr>
              <w:t>合格</w:t>
            </w:r>
          </w:p>
        </w:tc>
      </w:tr>
      <w:tr w14:paraId="5539D59A">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5AD7EA">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1.4.1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134F28">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投标人资质条件、能力和信誉</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75DF1A">
            <w:pPr>
              <w:spacing w:line="360" w:lineRule="auto"/>
              <w:ind w:firstLine="330" w:firstLineChars="150"/>
              <w:rPr>
                <w:rFonts w:hint="eastAsia" w:ascii="宋体" w:hAnsi="宋体" w:cs="宋体"/>
                <w:color w:val="auto"/>
                <w:sz w:val="22"/>
                <w:highlight w:val="none"/>
              </w:rPr>
            </w:pPr>
            <w:r>
              <w:rPr>
                <w:rFonts w:hint="eastAsia" w:ascii="宋体" w:hAnsi="宋体" w:cs="宋体"/>
                <w:color w:val="auto"/>
                <w:sz w:val="22"/>
                <w:highlight w:val="none"/>
              </w:rPr>
              <w:t>（1）投标人必须具备</w:t>
            </w:r>
            <w:r>
              <w:rPr>
                <w:rFonts w:hint="eastAsia" w:ascii="宋体" w:hAnsi="宋体" w:cs="宋体"/>
                <w:b/>
                <w:bCs/>
                <w:color w:val="auto"/>
                <w:sz w:val="22"/>
                <w:highlight w:val="none"/>
              </w:rPr>
              <w:t>水利水电工程施工总承包三级以上(含三级)资质</w:t>
            </w:r>
            <w:r>
              <w:rPr>
                <w:rFonts w:hint="eastAsia" w:ascii="宋体" w:hAnsi="宋体" w:cs="宋体"/>
                <w:color w:val="auto"/>
                <w:sz w:val="22"/>
                <w:highlight w:val="none"/>
              </w:rPr>
              <w:t>；</w:t>
            </w:r>
          </w:p>
          <w:p w14:paraId="6CB6D0A8">
            <w:pPr>
              <w:spacing w:line="360" w:lineRule="auto"/>
              <w:ind w:firstLine="330" w:firstLineChars="150"/>
              <w:rPr>
                <w:rFonts w:hint="eastAsia" w:ascii="宋体" w:hAnsi="宋体" w:cs="宋体"/>
                <w:color w:val="auto"/>
                <w:sz w:val="22"/>
                <w:highlight w:val="none"/>
              </w:rPr>
            </w:pPr>
            <w:r>
              <w:rPr>
                <w:rFonts w:hint="eastAsia" w:ascii="宋体" w:hAnsi="宋体" w:cs="宋体"/>
                <w:color w:val="auto"/>
                <w:sz w:val="22"/>
                <w:highlight w:val="none"/>
              </w:rPr>
              <w:t xml:space="preserve">（2）具有有效的营业执照、具有有效的安全生产许可证、具有有效的资质证书（投标人的企业相关证书到期的，必须将相关文件附在该证书后面中，证明在开标日继续有效。因推行电子证照，可提供营业执照、资质证书、安全生产许可证实时网页查询页）； </w:t>
            </w:r>
          </w:p>
          <w:p w14:paraId="0C2E07BC">
            <w:pPr>
              <w:spacing w:line="360" w:lineRule="auto"/>
              <w:ind w:firstLine="330" w:firstLineChars="150"/>
              <w:rPr>
                <w:rFonts w:hint="eastAsia" w:ascii="宋体" w:hAnsi="宋体" w:cs="宋体"/>
                <w:i/>
                <w:iCs/>
                <w:color w:val="auto"/>
                <w:sz w:val="22"/>
                <w:highlight w:val="none"/>
              </w:rPr>
            </w:pPr>
            <w:r>
              <w:rPr>
                <w:rFonts w:hint="eastAsia" w:ascii="宋体" w:hAnsi="宋体" w:cs="宋体"/>
                <w:color w:val="auto"/>
                <w:sz w:val="22"/>
                <w:highlight w:val="none"/>
              </w:rPr>
              <w:t>（3）投标人拟派项目经理为在本单位注册的</w:t>
            </w:r>
            <w:r>
              <w:rPr>
                <w:rFonts w:hint="eastAsia" w:ascii="宋体" w:hAnsi="宋体" w:cs="宋体"/>
                <w:b/>
                <w:bCs/>
                <w:color w:val="auto"/>
                <w:sz w:val="22"/>
                <w:highlight w:val="none"/>
              </w:rPr>
              <w:t>“水利水电工程”</w:t>
            </w:r>
            <w:r>
              <w:rPr>
                <w:rFonts w:hint="eastAsia" w:ascii="宋体" w:hAnsi="宋体" w:cs="宋体"/>
                <w:color w:val="auto"/>
                <w:sz w:val="22"/>
                <w:highlight w:val="none"/>
              </w:rPr>
              <w:t>专业二级以上（含二级）注册建造师，应持有住建部门印发的在使用有效期内的有效电子注册证书（根据广东省住房和城乡建设厅（粤建市函〔2023〕469号）文件精神，二级注册建造师可随注册企业在全国范围内执业），同时须具备水利行政主管部门颁发的安全生产考核合格证书(B证)</w:t>
            </w:r>
            <w:r>
              <w:rPr>
                <w:rFonts w:hint="eastAsia" w:ascii="宋体" w:hAnsi="宋体" w:cs="宋体"/>
                <w:color w:val="auto"/>
                <w:kern w:val="0"/>
                <w:sz w:val="22"/>
                <w:highlight w:val="none"/>
              </w:rPr>
              <w:t>，提供近3个月（其中必须有2026年1月）社保证明（如为退休人员无社会保险关系证明的，则需提供其退休证及返聘证明）及有效的居民身份证，且未担任其他在建（包括已列为其他项目第一中标候选人、已中标未开工或已建成未竣工）建设工程项目</w:t>
            </w:r>
            <w:r>
              <w:rPr>
                <w:rFonts w:hint="eastAsia" w:ascii="宋体" w:hAnsi="宋体" w:cs="宋体"/>
                <w:b/>
                <w:bCs/>
                <w:color w:val="auto"/>
                <w:kern w:val="0"/>
                <w:sz w:val="22"/>
                <w:highlight w:val="none"/>
              </w:rPr>
              <w:t>（提供承诺函，格式自拟）</w:t>
            </w:r>
            <w:r>
              <w:rPr>
                <w:rFonts w:hint="eastAsia" w:ascii="宋体" w:hAnsi="宋体" w:cs="宋体"/>
                <w:color w:val="auto"/>
                <w:kern w:val="0"/>
                <w:sz w:val="22"/>
                <w:highlight w:val="none"/>
              </w:rPr>
              <w:t>；</w:t>
            </w:r>
          </w:p>
          <w:p w14:paraId="35240091">
            <w:pPr>
              <w:spacing w:line="360" w:lineRule="auto"/>
              <w:ind w:firstLine="385" w:firstLineChars="175"/>
              <w:rPr>
                <w:rFonts w:hint="eastAsia" w:ascii="宋体" w:hAnsi="宋体" w:cs="宋体"/>
                <w:color w:val="auto"/>
                <w:sz w:val="22"/>
                <w:highlight w:val="none"/>
              </w:rPr>
            </w:pPr>
            <w:r>
              <w:rPr>
                <w:rFonts w:hint="eastAsia" w:ascii="宋体" w:hAnsi="宋体" w:cs="宋体"/>
                <w:color w:val="auto"/>
                <w:sz w:val="22"/>
                <w:highlight w:val="none"/>
              </w:rPr>
              <w:t>（4）拟投入本项目的技术负责人必须具备</w:t>
            </w:r>
            <w:r>
              <w:rPr>
                <w:rFonts w:hint="eastAsia" w:ascii="宋体" w:hAnsi="宋体" w:cs="宋体"/>
                <w:b/>
                <w:bCs/>
                <w:color w:val="auto"/>
                <w:sz w:val="22"/>
                <w:highlight w:val="none"/>
                <w:u w:val="single"/>
              </w:rPr>
              <w:t>水利水电类</w:t>
            </w:r>
            <w:r>
              <w:rPr>
                <w:rFonts w:hint="eastAsia" w:ascii="宋体" w:hAnsi="宋体" w:cs="宋体"/>
                <w:color w:val="auto"/>
                <w:sz w:val="22"/>
                <w:highlight w:val="none"/>
              </w:rPr>
              <w:t>相关专业中级以上（含中级）技术职</w:t>
            </w:r>
            <w:r>
              <w:rPr>
                <w:rFonts w:hint="eastAsia" w:ascii="宋体" w:hAnsi="宋体" w:cs="宋体"/>
                <w:color w:val="auto"/>
                <w:kern w:val="0"/>
                <w:sz w:val="22"/>
                <w:highlight w:val="none"/>
              </w:rPr>
              <w:t>称，提供近3个月（其中必须有2026年1月）社保证明（如为退休人员无社会保险关系证明的，则需提供其退休证及返聘证明）及有效的居民身份证；</w:t>
            </w:r>
          </w:p>
          <w:p w14:paraId="32A4EF16">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5）投标人拟委派担任本项目的专职安全生产管理人员，须具有水利行政主管部门颁发的有效的安全生产考核合格证书(C证)且不少于1人，提供近3个月（其中必须有2026年1月）社保证明（如为退休人员无社会保险关系证明的，则需提供其退休证及返聘证明）及有效的居民身份证。</w:t>
            </w:r>
          </w:p>
        </w:tc>
      </w:tr>
      <w:tr w14:paraId="275138DB">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0C4D2">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1.4.2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A67D7A">
            <w:pPr>
              <w:spacing w:line="360" w:lineRule="auto"/>
              <w:jc w:val="center"/>
              <w:rPr>
                <w:rFonts w:hint="eastAsia" w:ascii="宋体" w:hAnsi="宋体" w:cs="宋体"/>
                <w:color w:val="auto"/>
                <w:sz w:val="22"/>
                <w:highlight w:val="none"/>
              </w:rPr>
            </w:pPr>
            <w:r>
              <w:rPr>
                <w:rFonts w:hint="eastAsia" w:ascii="宋体" w:hAnsi="宋体" w:cs="宋体"/>
                <w:color w:val="auto"/>
                <w:spacing w:val="2"/>
                <w:sz w:val="22"/>
                <w:highlight w:val="none"/>
              </w:rPr>
              <w:t>是否接受联合体投标</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F44E52">
            <w:pPr>
              <w:spacing w:line="360" w:lineRule="auto"/>
              <w:ind w:firstLine="122"/>
              <w:rPr>
                <w:rFonts w:hint="eastAsia" w:ascii="宋体" w:hAnsi="宋体" w:cs="宋体"/>
                <w:color w:val="auto"/>
                <w:spacing w:val="2"/>
                <w:sz w:val="22"/>
                <w:highlight w:val="none"/>
              </w:rPr>
            </w:pPr>
            <w:r>
              <w:rPr>
                <w:rFonts w:hint="eastAsia" w:ascii="宋体" w:hAnsi="宋体" w:cs="宋体"/>
                <w:color w:val="auto"/>
                <w:spacing w:val="2"/>
                <w:sz w:val="22"/>
                <w:highlight w:val="none"/>
              </w:rPr>
              <w:t>口接受</w:t>
            </w:r>
          </w:p>
          <w:p w14:paraId="648AE586">
            <w:pPr>
              <w:spacing w:line="360" w:lineRule="auto"/>
              <w:ind w:firstLine="122"/>
              <w:rPr>
                <w:rFonts w:hint="eastAsia" w:ascii="宋体" w:hAnsi="宋体" w:cs="宋体"/>
                <w:color w:val="auto"/>
                <w:sz w:val="22"/>
                <w:highlight w:val="none"/>
              </w:rPr>
            </w:pPr>
            <w:r>
              <w:rPr>
                <w:rFonts w:hint="eastAsia" w:ascii="宋体" w:hAnsi="宋体" w:cs="宋体"/>
                <w:color w:val="auto"/>
                <w:spacing w:val="2"/>
                <w:kern w:val="0"/>
                <w:sz w:val="22"/>
                <w:highlight w:val="none"/>
              </w:rPr>
              <w:sym w:font="Wingdings" w:char="F0FE"/>
            </w:r>
            <w:r>
              <w:rPr>
                <w:rFonts w:hint="eastAsia" w:ascii="宋体" w:hAnsi="宋体" w:cs="宋体"/>
                <w:color w:val="auto"/>
                <w:spacing w:val="2"/>
                <w:sz w:val="22"/>
                <w:highlight w:val="none"/>
              </w:rPr>
              <w:t>不接受</w:t>
            </w:r>
          </w:p>
        </w:tc>
      </w:tr>
      <w:tr w14:paraId="67B83185">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6F73E2">
            <w:pPr>
              <w:spacing w:line="360" w:lineRule="auto"/>
              <w:ind w:left="-90"/>
              <w:jc w:val="center"/>
              <w:rPr>
                <w:rFonts w:hint="eastAsia" w:ascii="宋体" w:hAnsi="宋体" w:cs="宋体"/>
                <w:color w:val="auto"/>
                <w:spacing w:val="2"/>
                <w:sz w:val="22"/>
                <w:highlight w:val="none"/>
              </w:rPr>
            </w:pPr>
            <w:r>
              <w:rPr>
                <w:rFonts w:hint="eastAsia" w:ascii="宋体" w:hAnsi="宋体" w:cs="宋体"/>
                <w:color w:val="auto"/>
                <w:spacing w:val="2"/>
                <w:sz w:val="22"/>
                <w:highlight w:val="none"/>
              </w:rPr>
              <w:t>1.5.2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0172ED">
            <w:pPr>
              <w:spacing w:line="360" w:lineRule="auto"/>
              <w:jc w:val="center"/>
              <w:rPr>
                <w:rFonts w:hint="eastAsia" w:ascii="宋体" w:hAnsi="宋体" w:cs="宋体"/>
                <w:color w:val="auto"/>
                <w:spacing w:val="2"/>
                <w:sz w:val="22"/>
                <w:highlight w:val="none"/>
              </w:rPr>
            </w:pPr>
            <w:r>
              <w:rPr>
                <w:rFonts w:hint="eastAsia" w:ascii="宋体" w:hAnsi="宋体" w:cs="宋体"/>
                <w:color w:val="auto"/>
                <w:spacing w:val="2"/>
                <w:sz w:val="22"/>
                <w:highlight w:val="none"/>
              </w:rPr>
              <w:t>其他费用</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2B1583">
            <w:pPr>
              <w:spacing w:line="360" w:lineRule="auto"/>
              <w:rPr>
                <w:rFonts w:hint="eastAsia" w:ascii="宋体" w:hAnsi="宋体" w:cs="宋体"/>
                <w:color w:val="auto"/>
                <w:spacing w:val="2"/>
                <w:sz w:val="22"/>
                <w:highlight w:val="none"/>
              </w:rPr>
            </w:pPr>
            <w:r>
              <w:rPr>
                <w:rFonts w:hint="eastAsia" w:ascii="宋体" w:hAnsi="宋体" w:cs="宋体"/>
                <w:color w:val="auto"/>
                <w:spacing w:val="2"/>
                <w:kern w:val="0"/>
                <w:sz w:val="22"/>
                <w:highlight w:val="none"/>
              </w:rPr>
              <w:t>招标代理费按《招标代理服务收费管理暂行办法》计价格[2002]10号文下浮15%计算，由中标人支付标代理服务费和评标专家酬劳（评标专家酬劳：包括食宿费用、交通费、专家评审劳务费等），投标人在投标报价时综合考虑在内，不单独报价。</w:t>
            </w:r>
          </w:p>
        </w:tc>
      </w:tr>
      <w:tr w14:paraId="0D9196D3">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7F6FA5">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1.9</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6625FD">
            <w:pPr>
              <w:spacing w:line="360" w:lineRule="auto"/>
              <w:jc w:val="center"/>
              <w:rPr>
                <w:rFonts w:hint="eastAsia" w:ascii="宋体" w:hAnsi="宋体" w:cs="宋体"/>
                <w:color w:val="auto"/>
                <w:sz w:val="22"/>
                <w:highlight w:val="none"/>
              </w:rPr>
            </w:pPr>
            <w:r>
              <w:rPr>
                <w:rFonts w:hint="eastAsia" w:ascii="宋体" w:hAnsi="宋体" w:cs="宋体"/>
                <w:color w:val="auto"/>
                <w:spacing w:val="2"/>
                <w:sz w:val="22"/>
                <w:highlight w:val="none"/>
              </w:rPr>
              <w:t>踏勘现场</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577589">
            <w:pPr>
              <w:spacing w:line="360" w:lineRule="auto"/>
              <w:ind w:firstLine="122"/>
              <w:rPr>
                <w:rFonts w:hint="eastAsia" w:ascii="宋体" w:hAnsi="宋体" w:cs="宋体"/>
                <w:color w:val="auto"/>
                <w:spacing w:val="2"/>
                <w:sz w:val="22"/>
                <w:highlight w:val="none"/>
              </w:rPr>
            </w:pPr>
            <w:r>
              <w:rPr>
                <w:rFonts w:hint="eastAsia" w:ascii="宋体" w:hAnsi="宋体" w:cs="宋体"/>
                <w:color w:val="auto"/>
                <w:spacing w:val="2"/>
                <w:sz w:val="22"/>
                <w:highlight w:val="none"/>
              </w:rPr>
              <w:t>口组织</w:t>
            </w:r>
          </w:p>
          <w:p w14:paraId="4334807C">
            <w:pPr>
              <w:spacing w:line="360" w:lineRule="auto"/>
              <w:ind w:firstLine="122"/>
              <w:rPr>
                <w:rFonts w:hint="eastAsia" w:ascii="宋体" w:hAnsi="宋体" w:cs="宋体"/>
                <w:color w:val="auto"/>
                <w:sz w:val="22"/>
                <w:highlight w:val="none"/>
              </w:rPr>
            </w:pPr>
            <w:r>
              <w:rPr>
                <w:rFonts w:hint="eastAsia" w:ascii="宋体" w:hAnsi="宋体" w:cs="宋体"/>
                <w:color w:val="auto"/>
                <w:spacing w:val="2"/>
                <w:kern w:val="0"/>
                <w:sz w:val="22"/>
                <w:highlight w:val="none"/>
              </w:rPr>
              <w:sym w:font="Wingdings" w:char="F0FE"/>
            </w:r>
            <w:r>
              <w:rPr>
                <w:rFonts w:hint="eastAsia" w:ascii="宋体" w:hAnsi="宋体" w:cs="宋体"/>
                <w:color w:val="auto"/>
                <w:spacing w:val="2"/>
                <w:sz w:val="22"/>
                <w:highlight w:val="none"/>
              </w:rPr>
              <w:t>不组织</w:t>
            </w:r>
          </w:p>
        </w:tc>
      </w:tr>
      <w:tr w14:paraId="6508679D">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1AD385">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1.10</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C30942">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投标预备会</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99D9F3">
            <w:pPr>
              <w:spacing w:line="360" w:lineRule="auto"/>
              <w:ind w:firstLine="122"/>
              <w:rPr>
                <w:rFonts w:hint="eastAsia" w:ascii="宋体" w:hAnsi="宋体" w:cs="宋体"/>
                <w:color w:val="auto"/>
                <w:spacing w:val="2"/>
                <w:sz w:val="22"/>
                <w:highlight w:val="none"/>
              </w:rPr>
            </w:pPr>
            <w:r>
              <w:rPr>
                <w:rFonts w:hint="eastAsia" w:ascii="宋体" w:hAnsi="宋体" w:cs="宋体"/>
                <w:color w:val="auto"/>
                <w:spacing w:val="2"/>
                <w:sz w:val="22"/>
                <w:highlight w:val="none"/>
              </w:rPr>
              <w:t>口召开</w:t>
            </w:r>
          </w:p>
          <w:p w14:paraId="2A2BBD7A">
            <w:pPr>
              <w:spacing w:line="360" w:lineRule="auto"/>
              <w:ind w:firstLine="122"/>
              <w:rPr>
                <w:rFonts w:hint="eastAsia" w:ascii="宋体" w:hAnsi="宋体" w:cs="宋体"/>
                <w:color w:val="auto"/>
                <w:sz w:val="22"/>
                <w:highlight w:val="none"/>
              </w:rPr>
            </w:pPr>
            <w:r>
              <w:rPr>
                <w:rFonts w:hint="eastAsia" w:ascii="宋体" w:hAnsi="宋体" w:cs="宋体"/>
                <w:color w:val="auto"/>
                <w:spacing w:val="2"/>
                <w:kern w:val="0"/>
                <w:sz w:val="22"/>
                <w:highlight w:val="none"/>
              </w:rPr>
              <w:sym w:font="Wingdings" w:char="F0FE"/>
            </w:r>
            <w:r>
              <w:rPr>
                <w:rFonts w:hint="eastAsia" w:ascii="宋体" w:hAnsi="宋体" w:cs="宋体"/>
                <w:color w:val="auto"/>
                <w:spacing w:val="2"/>
                <w:sz w:val="22"/>
                <w:highlight w:val="none"/>
              </w:rPr>
              <w:t>不召开</w:t>
            </w:r>
          </w:p>
        </w:tc>
      </w:tr>
      <w:tr w14:paraId="4B20CFDB">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997D6B">
            <w:pPr>
              <w:spacing w:line="360" w:lineRule="auto"/>
              <w:jc w:val="center"/>
              <w:rPr>
                <w:rFonts w:hint="eastAsia" w:ascii="宋体" w:hAnsi="宋体" w:cs="宋体"/>
                <w:color w:val="auto"/>
                <w:sz w:val="22"/>
                <w:highlight w:val="none"/>
              </w:rPr>
            </w:pPr>
            <w:r>
              <w:rPr>
                <w:rFonts w:hint="eastAsia" w:ascii="宋体" w:hAnsi="宋体" w:cs="宋体"/>
                <w:color w:val="auto"/>
                <w:spacing w:val="2"/>
                <w:kern w:val="0"/>
                <w:sz w:val="22"/>
                <w:highlight w:val="none"/>
              </w:rPr>
              <w:t>1.11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297BCD">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kern w:val="0"/>
                <w:sz w:val="22"/>
                <w:highlight w:val="none"/>
              </w:rPr>
              <w:t>分包</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70C5AD">
            <w:pPr>
              <w:spacing w:line="360" w:lineRule="auto"/>
              <w:ind w:firstLine="112" w:firstLineChars="50"/>
              <w:rPr>
                <w:rFonts w:hint="eastAsia" w:ascii="宋体" w:hAnsi="宋体" w:cs="宋体"/>
                <w:color w:val="auto"/>
                <w:spacing w:val="2"/>
                <w:kern w:val="0"/>
                <w:sz w:val="22"/>
                <w:highlight w:val="none"/>
              </w:rPr>
            </w:pPr>
            <w:r>
              <w:rPr>
                <w:rFonts w:hint="eastAsia" w:ascii="宋体" w:hAnsi="宋体" w:cs="宋体"/>
                <w:color w:val="auto"/>
                <w:spacing w:val="2"/>
                <w:kern w:val="0"/>
                <w:sz w:val="22"/>
                <w:highlight w:val="none"/>
              </w:rPr>
              <w:t>□允许，分包内容要求：</w:t>
            </w:r>
          </w:p>
          <w:p w14:paraId="3F71AC9E">
            <w:pPr>
              <w:spacing w:line="360" w:lineRule="auto"/>
              <w:ind w:firstLine="1008" w:firstLineChars="450"/>
              <w:rPr>
                <w:rFonts w:hint="eastAsia" w:ascii="宋体" w:hAnsi="宋体" w:cs="宋体"/>
                <w:color w:val="auto"/>
                <w:spacing w:val="2"/>
                <w:kern w:val="0"/>
                <w:sz w:val="22"/>
                <w:highlight w:val="none"/>
              </w:rPr>
            </w:pPr>
            <w:r>
              <w:rPr>
                <w:rFonts w:hint="eastAsia" w:ascii="宋体" w:hAnsi="宋体" w:cs="宋体"/>
                <w:color w:val="auto"/>
                <w:spacing w:val="2"/>
                <w:kern w:val="0"/>
                <w:sz w:val="22"/>
                <w:highlight w:val="none"/>
              </w:rPr>
              <w:t>分包金额要求：</w:t>
            </w:r>
          </w:p>
          <w:p w14:paraId="1380CCE2">
            <w:pPr>
              <w:spacing w:line="360" w:lineRule="auto"/>
              <w:ind w:firstLine="1008" w:firstLineChars="450"/>
              <w:rPr>
                <w:rFonts w:hint="eastAsia" w:ascii="宋体" w:hAnsi="宋体" w:cs="宋体"/>
                <w:color w:val="auto"/>
                <w:spacing w:val="2"/>
                <w:kern w:val="0"/>
                <w:sz w:val="22"/>
                <w:highlight w:val="none"/>
              </w:rPr>
            </w:pPr>
            <w:r>
              <w:rPr>
                <w:rFonts w:hint="eastAsia" w:ascii="宋体" w:hAnsi="宋体" w:cs="宋体"/>
                <w:color w:val="auto"/>
                <w:spacing w:val="2"/>
                <w:kern w:val="0"/>
                <w:sz w:val="22"/>
                <w:highlight w:val="none"/>
              </w:rPr>
              <w:t>接受分包的第三人资质要求：</w:t>
            </w:r>
          </w:p>
          <w:p w14:paraId="546047BC">
            <w:pPr>
              <w:spacing w:line="360" w:lineRule="auto"/>
              <w:ind w:firstLine="112" w:firstLineChars="50"/>
              <w:rPr>
                <w:rFonts w:hint="eastAsia" w:ascii="宋体" w:hAnsi="宋体" w:cs="宋体"/>
                <w:color w:val="auto"/>
                <w:sz w:val="22"/>
                <w:highlight w:val="none"/>
              </w:rPr>
            </w:pPr>
            <w:r>
              <w:rPr>
                <w:rFonts w:hint="eastAsia" w:ascii="宋体" w:hAnsi="宋体" w:cs="宋体"/>
                <w:color w:val="auto"/>
                <w:spacing w:val="2"/>
                <w:kern w:val="0"/>
                <w:sz w:val="22"/>
                <w:highlight w:val="none"/>
              </w:rPr>
              <w:sym w:font="Wingdings" w:char="F0FE"/>
            </w:r>
            <w:r>
              <w:rPr>
                <w:rFonts w:hint="eastAsia" w:ascii="宋体" w:hAnsi="宋体" w:cs="宋体"/>
                <w:color w:val="auto"/>
                <w:spacing w:val="2"/>
                <w:kern w:val="0"/>
                <w:sz w:val="22"/>
                <w:highlight w:val="none"/>
              </w:rPr>
              <w:t>不允许</w:t>
            </w:r>
          </w:p>
        </w:tc>
      </w:tr>
      <w:tr w14:paraId="0076E80C">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6E8052">
            <w:pPr>
              <w:spacing w:line="360" w:lineRule="auto"/>
              <w:jc w:val="center"/>
              <w:rPr>
                <w:rFonts w:hint="eastAsia" w:ascii="宋体" w:hAnsi="宋体" w:cs="宋体"/>
                <w:color w:val="auto"/>
                <w:sz w:val="22"/>
                <w:highlight w:val="none"/>
              </w:rPr>
            </w:pPr>
            <w:r>
              <w:rPr>
                <w:rFonts w:hint="eastAsia" w:ascii="宋体" w:hAnsi="宋体" w:cs="宋体"/>
                <w:color w:val="auto"/>
                <w:spacing w:val="2"/>
                <w:sz w:val="22"/>
                <w:highlight w:val="none"/>
              </w:rPr>
              <w:t>1.12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EDCBFB">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偏离</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1B645A">
            <w:pPr>
              <w:spacing w:line="360" w:lineRule="auto"/>
              <w:rPr>
                <w:rFonts w:hint="eastAsia" w:ascii="宋体" w:hAnsi="宋体" w:cs="宋体"/>
                <w:color w:val="auto"/>
                <w:sz w:val="22"/>
                <w:highlight w:val="none"/>
              </w:rPr>
            </w:pPr>
            <w:r>
              <w:rPr>
                <w:rFonts w:hint="eastAsia" w:ascii="宋体" w:hAnsi="宋体" w:cs="宋体"/>
                <w:color w:val="auto"/>
                <w:spacing w:val="2"/>
                <w:sz w:val="22"/>
                <w:highlight w:val="none"/>
              </w:rPr>
              <w:t>偏离允许幅度及其处理方法：对招标文件实质性要求不允许偏离，对非实质性要求的偏离应该在投标文件中附上偏离表。</w:t>
            </w:r>
          </w:p>
        </w:tc>
      </w:tr>
      <w:tr w14:paraId="70A534AB">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6B4F38">
            <w:pPr>
              <w:adjustRightInd w:val="0"/>
              <w:snapToGrid w:val="0"/>
              <w:spacing w:line="360" w:lineRule="auto"/>
              <w:jc w:val="center"/>
              <w:rPr>
                <w:rFonts w:hint="eastAsia" w:ascii="宋体" w:hAnsi="宋体" w:cs="宋体"/>
                <w:color w:val="auto"/>
                <w:spacing w:val="2"/>
                <w:kern w:val="0"/>
                <w:sz w:val="22"/>
                <w:highlight w:val="none"/>
              </w:rPr>
            </w:pPr>
            <w:r>
              <w:rPr>
                <w:rFonts w:hint="eastAsia" w:ascii="宋体" w:hAnsi="宋体" w:cs="宋体"/>
                <w:color w:val="auto"/>
                <w:sz w:val="22"/>
                <w:highlight w:val="none"/>
              </w:rPr>
              <w:t>2.2.1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FF54AE">
            <w:pPr>
              <w:spacing w:line="360" w:lineRule="auto"/>
              <w:jc w:val="center"/>
              <w:rPr>
                <w:rFonts w:hint="eastAsia" w:ascii="宋体" w:hAnsi="宋体" w:cs="宋体"/>
                <w:color w:val="auto"/>
                <w:spacing w:val="2"/>
                <w:kern w:val="0"/>
                <w:sz w:val="22"/>
                <w:highlight w:val="none"/>
              </w:rPr>
            </w:pPr>
            <w:r>
              <w:rPr>
                <w:rFonts w:hint="eastAsia" w:ascii="宋体" w:hAnsi="宋体" w:cs="宋体"/>
                <w:color w:val="auto"/>
                <w:sz w:val="22"/>
                <w:highlight w:val="none"/>
              </w:rPr>
              <w:t>投标人要求澄清招标文件</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12930D">
            <w:pPr>
              <w:spacing w:line="360" w:lineRule="auto"/>
              <w:rPr>
                <w:rFonts w:hint="eastAsia" w:ascii="宋体" w:hAnsi="宋体" w:cs="宋体"/>
                <w:color w:val="auto"/>
                <w:spacing w:val="2"/>
                <w:sz w:val="22"/>
                <w:highlight w:val="none"/>
              </w:rPr>
            </w:pPr>
            <w:r>
              <w:rPr>
                <w:rFonts w:hint="eastAsia" w:ascii="宋体" w:hAnsi="宋体" w:cs="宋体"/>
                <w:color w:val="auto"/>
                <w:spacing w:val="2"/>
                <w:sz w:val="22"/>
                <w:highlight w:val="none"/>
              </w:rPr>
              <w:t>时间：见“重要事项时间地点一览表”</w:t>
            </w:r>
          </w:p>
          <w:p w14:paraId="551A9155">
            <w:pPr>
              <w:spacing w:line="360" w:lineRule="auto"/>
              <w:rPr>
                <w:rFonts w:hint="eastAsia" w:ascii="宋体" w:hAnsi="宋体" w:cs="宋体"/>
                <w:color w:val="auto"/>
                <w:sz w:val="22"/>
                <w:highlight w:val="none"/>
              </w:rPr>
            </w:pPr>
            <w:r>
              <w:rPr>
                <w:rFonts w:hint="eastAsia" w:ascii="宋体" w:hAnsi="宋体" w:cs="宋体"/>
                <w:color w:val="auto"/>
                <w:spacing w:val="2"/>
                <w:sz w:val="22"/>
                <w:highlight w:val="none"/>
              </w:rPr>
              <w:t>形式：投标人对招标文件的疑问或要求澄清的内容以不署名的形式在韶关市公共资源交易一体化平台建设工程交易系统提出。提出疑问截止时间见“重要事项时间地点一览表”。</w:t>
            </w:r>
          </w:p>
        </w:tc>
      </w:tr>
      <w:tr w14:paraId="40BB7828">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7CA165">
            <w:pPr>
              <w:adjustRightInd w:val="0"/>
              <w:snapToGrid w:val="0"/>
              <w:spacing w:line="360" w:lineRule="auto"/>
              <w:jc w:val="center"/>
              <w:rPr>
                <w:rFonts w:hint="eastAsia" w:ascii="宋体" w:hAnsi="宋体" w:cs="宋体"/>
                <w:color w:val="auto"/>
                <w:spacing w:val="2"/>
                <w:kern w:val="0"/>
                <w:sz w:val="22"/>
                <w:highlight w:val="none"/>
              </w:rPr>
            </w:pPr>
            <w:r>
              <w:rPr>
                <w:rFonts w:hint="eastAsia" w:ascii="宋体" w:hAnsi="宋体" w:cs="宋体"/>
                <w:color w:val="auto"/>
                <w:sz w:val="22"/>
                <w:highlight w:val="none"/>
              </w:rPr>
              <w:t>2.2.2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B07BBE">
            <w:pPr>
              <w:spacing w:line="360" w:lineRule="auto"/>
              <w:jc w:val="center"/>
              <w:rPr>
                <w:rFonts w:hint="eastAsia" w:ascii="宋体" w:hAnsi="宋体" w:cs="宋体"/>
                <w:color w:val="auto"/>
                <w:spacing w:val="2"/>
                <w:kern w:val="0"/>
                <w:sz w:val="22"/>
                <w:highlight w:val="none"/>
              </w:rPr>
            </w:pPr>
            <w:r>
              <w:rPr>
                <w:rFonts w:hint="eastAsia" w:ascii="宋体" w:hAnsi="宋体" w:cs="宋体"/>
                <w:color w:val="auto"/>
                <w:sz w:val="22"/>
                <w:highlight w:val="none"/>
              </w:rPr>
              <w:t>招标答疑书发布时间</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745B5E">
            <w:pPr>
              <w:spacing w:line="360" w:lineRule="auto"/>
              <w:rPr>
                <w:rFonts w:hint="eastAsia" w:ascii="宋体" w:hAnsi="宋体" w:cs="宋体"/>
                <w:color w:val="auto"/>
                <w:sz w:val="22"/>
                <w:highlight w:val="none"/>
              </w:rPr>
            </w:pPr>
            <w:r>
              <w:rPr>
                <w:rFonts w:hint="eastAsia" w:ascii="宋体" w:hAnsi="宋体" w:cs="宋体"/>
                <w:color w:val="auto"/>
                <w:sz w:val="22"/>
                <w:highlight w:val="none"/>
              </w:rPr>
              <w:t>时间：发出即视作收到。</w:t>
            </w:r>
          </w:p>
          <w:p w14:paraId="7900242F">
            <w:pPr>
              <w:spacing w:line="360" w:lineRule="auto"/>
              <w:rPr>
                <w:rFonts w:hint="eastAsia" w:ascii="宋体" w:hAnsi="宋体" w:cs="宋体"/>
                <w:color w:val="auto"/>
                <w:sz w:val="22"/>
                <w:highlight w:val="none"/>
              </w:rPr>
            </w:pPr>
            <w:r>
              <w:rPr>
                <w:rFonts w:hint="eastAsia" w:ascii="宋体" w:hAnsi="宋体" w:cs="宋体"/>
                <w:color w:val="auto"/>
                <w:sz w:val="22"/>
                <w:highlight w:val="none"/>
              </w:rPr>
              <w:t>形式：投标人自行查阅全国公共资源交易平台 （广东省·韶关市）建设工程栏目的公告公示，因投标人自身原因未及时查阅的，由此引起的任何责任由投标人自行承担。</w:t>
            </w:r>
          </w:p>
        </w:tc>
      </w:tr>
      <w:tr w14:paraId="7878390E">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6053F0">
            <w:pPr>
              <w:spacing w:line="360" w:lineRule="auto"/>
              <w:jc w:val="center"/>
              <w:rPr>
                <w:rFonts w:hint="eastAsia" w:ascii="宋体" w:hAnsi="宋体" w:cs="宋体"/>
                <w:color w:val="auto"/>
                <w:sz w:val="22"/>
                <w:highlight w:val="none"/>
              </w:rPr>
            </w:pPr>
            <w:r>
              <w:rPr>
                <w:rFonts w:hint="eastAsia" w:ascii="宋体" w:hAnsi="宋体" w:cs="宋体"/>
                <w:color w:val="auto"/>
                <w:spacing w:val="2"/>
                <w:sz w:val="22"/>
                <w:highlight w:val="none"/>
              </w:rPr>
              <w:t>3.2.1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463F10">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投标报价</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E0F9DD">
            <w:pPr>
              <w:spacing w:line="360" w:lineRule="auto"/>
              <w:rPr>
                <w:rFonts w:hint="eastAsia" w:ascii="宋体" w:hAnsi="宋体" w:cs="宋体"/>
                <w:color w:val="auto"/>
                <w:sz w:val="22"/>
                <w:highlight w:val="none"/>
              </w:rPr>
            </w:pPr>
            <w:r>
              <w:rPr>
                <w:rFonts w:hint="eastAsia" w:ascii="宋体" w:hAnsi="宋体" w:cs="宋体"/>
                <w:color w:val="auto"/>
                <w:sz w:val="22"/>
                <w:highlight w:val="none"/>
              </w:rPr>
              <w:t>投标人仅需填报投标报价下浮率（有效投标报价下浮率≥1.000%）（保留小数点后3位），不在此范围内的投标报价均为无效投标报价。</w:t>
            </w:r>
          </w:p>
          <w:p w14:paraId="0791AE42">
            <w:pPr>
              <w:spacing w:line="360" w:lineRule="auto"/>
              <w:rPr>
                <w:rFonts w:hint="eastAsia" w:ascii="宋体" w:hAnsi="宋体" w:cs="宋体"/>
                <w:color w:val="auto"/>
                <w:sz w:val="22"/>
                <w:highlight w:val="none"/>
              </w:rPr>
            </w:pPr>
            <w:r>
              <w:rPr>
                <w:rFonts w:hint="eastAsia" w:ascii="宋体" w:hAnsi="宋体" w:cs="宋体"/>
                <w:color w:val="auto"/>
                <w:sz w:val="22"/>
                <w:highlight w:val="none"/>
              </w:rPr>
              <w:t>本项目主体工程采用综合单价承包（综合单价为财政审核控制单价×（1-中标下浮率）为中标的综合单价，合同总价为（招标控制价-安全生产措施费、其他临时工程费-预留金）×（1-中标下浮率）+安全生产措施费、其他临时工程费（安全生产措施费、其他临时工程费控制价不下浮）+预留金（预留金控制价不下浮）；临时工程费采用总价承包（临时工程费用控制价的临时工程费×（1-中标下浮率））。</w:t>
            </w:r>
          </w:p>
          <w:p w14:paraId="0B244F2D">
            <w:pPr>
              <w:spacing w:line="360" w:lineRule="auto"/>
              <w:rPr>
                <w:rFonts w:hint="eastAsia" w:ascii="宋体" w:hAnsi="宋体" w:cs="宋体"/>
                <w:color w:val="auto"/>
                <w:sz w:val="22"/>
                <w:highlight w:val="none"/>
              </w:rPr>
            </w:pPr>
            <w:r>
              <w:rPr>
                <w:rFonts w:hint="eastAsia" w:ascii="宋体" w:hAnsi="宋体" w:cs="宋体"/>
                <w:color w:val="auto"/>
                <w:sz w:val="22"/>
                <w:highlight w:val="none"/>
              </w:rPr>
              <w:t>投标下浮率大于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tc>
      </w:tr>
      <w:tr w14:paraId="654467DE">
        <w:tblPrEx>
          <w:tblCellMar>
            <w:top w:w="0" w:type="dxa"/>
            <w:left w:w="10" w:type="dxa"/>
            <w:bottom w:w="0" w:type="dxa"/>
            <w:right w:w="10" w:type="dxa"/>
          </w:tblCellMar>
        </w:tblPrEx>
        <w:trPr>
          <w:trHeight w:val="621"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0B8D82">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3.2.2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4988F0">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招标控制价</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846DA6">
            <w:pPr>
              <w:wordWrap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本项目招标控制价为人民币（大写）：伍佰柒拾贰万贰仟壹佰肆拾伍元零贰分（小写：￥5722145.02元），其中：安全生产措施费为¥157468.28元，其他临时工程费为43251.29元，预留金为￥272483.09元（预留金为统一报价，投标报价时不得调整）。</w:t>
            </w:r>
          </w:p>
        </w:tc>
      </w:tr>
      <w:tr w14:paraId="25020960">
        <w:tblPrEx>
          <w:tblCellMar>
            <w:top w:w="0" w:type="dxa"/>
            <w:left w:w="10" w:type="dxa"/>
            <w:bottom w:w="0" w:type="dxa"/>
            <w:right w:w="10" w:type="dxa"/>
          </w:tblCellMar>
        </w:tblPrEx>
        <w:trPr>
          <w:trHeight w:val="543"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F0DC35">
            <w:pPr>
              <w:spacing w:line="360" w:lineRule="auto"/>
              <w:jc w:val="center"/>
              <w:rPr>
                <w:rFonts w:hint="eastAsia" w:ascii="宋体" w:hAnsi="宋体" w:cs="宋体"/>
                <w:color w:val="auto"/>
                <w:sz w:val="22"/>
                <w:highlight w:val="none"/>
              </w:rPr>
            </w:pPr>
            <w:r>
              <w:rPr>
                <w:rFonts w:hint="eastAsia" w:ascii="宋体" w:hAnsi="宋体" w:cs="宋体"/>
                <w:color w:val="auto"/>
                <w:spacing w:val="2"/>
                <w:sz w:val="22"/>
                <w:highlight w:val="none"/>
              </w:rPr>
              <w:t>3.3.1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93BFFD">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投标有效期</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B5FE2A">
            <w:pPr>
              <w:spacing w:line="360" w:lineRule="auto"/>
              <w:rPr>
                <w:rFonts w:hint="eastAsia" w:ascii="宋体" w:hAnsi="宋体" w:cs="宋体"/>
                <w:color w:val="auto"/>
                <w:sz w:val="22"/>
                <w:highlight w:val="none"/>
              </w:rPr>
            </w:pPr>
            <w:r>
              <w:rPr>
                <w:rFonts w:hint="eastAsia" w:ascii="宋体" w:hAnsi="宋体" w:cs="宋体"/>
                <w:color w:val="auto"/>
                <w:sz w:val="22"/>
                <w:highlight w:val="none"/>
              </w:rPr>
              <w:t>自投标截止时间算起的90天内。</w:t>
            </w:r>
          </w:p>
        </w:tc>
      </w:tr>
      <w:tr w14:paraId="5FDF21B0">
        <w:tblPrEx>
          <w:tblCellMar>
            <w:top w:w="0" w:type="dxa"/>
            <w:left w:w="10" w:type="dxa"/>
            <w:bottom w:w="0" w:type="dxa"/>
            <w:right w:w="10" w:type="dxa"/>
          </w:tblCellMar>
        </w:tblPrEx>
        <w:trPr>
          <w:trHeight w:val="1322"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439DBA">
            <w:pPr>
              <w:spacing w:line="360" w:lineRule="auto"/>
              <w:jc w:val="center"/>
              <w:rPr>
                <w:rFonts w:hint="eastAsia" w:ascii="宋体" w:hAnsi="宋体" w:cs="宋体"/>
                <w:color w:val="auto"/>
                <w:sz w:val="22"/>
                <w:highlight w:val="none"/>
              </w:rPr>
            </w:pPr>
            <w:r>
              <w:rPr>
                <w:rFonts w:hint="eastAsia" w:ascii="宋体" w:hAnsi="宋体" w:cs="宋体"/>
                <w:color w:val="auto"/>
                <w:spacing w:val="2"/>
                <w:sz w:val="22"/>
                <w:highlight w:val="none"/>
              </w:rPr>
              <w:t>3.4.1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0E97E5">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投标保证金</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029543">
            <w:pPr>
              <w:spacing w:line="360" w:lineRule="auto"/>
              <w:ind w:firstLine="122"/>
              <w:rPr>
                <w:rFonts w:hint="eastAsia" w:ascii="宋体" w:hAnsi="宋体" w:cs="宋体"/>
                <w:color w:val="auto"/>
                <w:spacing w:val="2"/>
                <w:sz w:val="22"/>
                <w:highlight w:val="none"/>
              </w:rPr>
            </w:pPr>
            <w:r>
              <w:rPr>
                <w:rFonts w:hint="eastAsia" w:ascii="宋体" w:hAnsi="宋体" w:cs="宋体"/>
                <w:color w:val="auto"/>
                <w:spacing w:val="2"/>
                <w:sz w:val="22"/>
                <w:highlight w:val="none"/>
              </w:rPr>
              <w:t>本工程投标保证金额为人民币：</w:t>
            </w:r>
            <w:r>
              <w:rPr>
                <w:rFonts w:hint="eastAsia" w:ascii="宋体" w:hAnsi="宋体" w:cs="宋体"/>
                <w:color w:val="auto"/>
                <w:spacing w:val="2"/>
                <w:sz w:val="22"/>
                <w:highlight w:val="none"/>
                <w:u w:val="single"/>
              </w:rPr>
              <w:t>100000.00元</w:t>
            </w:r>
            <w:r>
              <w:rPr>
                <w:rFonts w:hint="eastAsia" w:ascii="宋体" w:hAnsi="宋体" w:cs="宋体"/>
                <w:color w:val="auto"/>
                <w:spacing w:val="2"/>
                <w:sz w:val="22"/>
                <w:highlight w:val="none"/>
              </w:rPr>
              <w:t>。</w:t>
            </w:r>
          </w:p>
          <w:p w14:paraId="705C9ED1">
            <w:pPr>
              <w:spacing w:line="360" w:lineRule="auto"/>
              <w:ind w:firstLine="122"/>
              <w:rPr>
                <w:rFonts w:hint="eastAsia" w:ascii="宋体" w:hAnsi="宋体" w:cs="宋体"/>
                <w:color w:val="auto"/>
                <w:spacing w:val="2"/>
                <w:sz w:val="22"/>
                <w:highlight w:val="none"/>
              </w:rPr>
            </w:pPr>
            <w:r>
              <w:rPr>
                <w:rFonts w:hint="eastAsia" w:ascii="宋体" w:hAnsi="宋体" w:cs="宋体"/>
                <w:color w:val="auto"/>
                <w:spacing w:val="2"/>
                <w:sz w:val="22"/>
                <w:highlight w:val="none"/>
              </w:rPr>
              <w:t>投标保证的形式包括投投标保证金、投标保证担保、投标保证保险三种，由投标人自主选择。</w:t>
            </w:r>
          </w:p>
          <w:p w14:paraId="42B86072">
            <w:pPr>
              <w:numPr>
                <w:ilvl w:val="0"/>
                <w:numId w:val="1"/>
              </w:numPr>
              <w:spacing w:line="360" w:lineRule="auto"/>
              <w:ind w:firstLine="122"/>
              <w:rPr>
                <w:rFonts w:hint="eastAsia" w:ascii="宋体" w:hAnsi="宋体" w:cs="宋体"/>
                <w:color w:val="auto"/>
                <w:spacing w:val="2"/>
                <w:sz w:val="22"/>
                <w:highlight w:val="none"/>
              </w:rPr>
            </w:pPr>
            <w:r>
              <w:rPr>
                <w:rFonts w:hint="eastAsia" w:ascii="宋体" w:hAnsi="宋体" w:cs="宋体"/>
                <w:color w:val="auto"/>
                <w:spacing w:val="2"/>
                <w:sz w:val="22"/>
                <w:highlight w:val="none"/>
              </w:rPr>
              <w:t>采用投标保证金的，投标人在建设工程交易获取招标文件完毕后，即可在系统申请缴纳投标保证金，获取本次招标投标保证金缴纳账号。投标人必须于投标保证金到账截止时间（见“重要事项时间地点一览表”）前，从其基本账户将投标保证金转账到指定的缴纳账号。逾期到账的、从非投标人基本账户转出的，其投标无效。</w:t>
            </w:r>
          </w:p>
          <w:p w14:paraId="77C578E9">
            <w:pPr>
              <w:numPr>
                <w:ilvl w:val="0"/>
                <w:numId w:val="1"/>
              </w:numPr>
              <w:spacing w:line="360" w:lineRule="auto"/>
              <w:ind w:firstLine="122"/>
              <w:rPr>
                <w:rFonts w:hint="eastAsia" w:ascii="宋体" w:hAnsi="宋体" w:cs="宋体"/>
                <w:color w:val="auto"/>
                <w:spacing w:val="2"/>
                <w:sz w:val="22"/>
                <w:highlight w:val="none"/>
              </w:rPr>
            </w:pPr>
            <w:r>
              <w:rPr>
                <w:rFonts w:hint="eastAsia" w:ascii="宋体" w:hAnsi="宋体" w:cs="宋体"/>
                <w:color w:val="auto"/>
                <w:spacing w:val="2"/>
                <w:sz w:val="22"/>
                <w:highlight w:val="none"/>
              </w:rPr>
              <w:t>采用投标保证担保的，投标人应提交有效的银行保函，银行保函的有效期不得短于投标有效期。投标人必须在投标保证担保截止时间（详见“重要事项时间地点一览表”）前，使用工程建设交易系统完成网上办理电子保函。</w:t>
            </w:r>
          </w:p>
          <w:p w14:paraId="281C5EFD">
            <w:pPr>
              <w:numPr>
                <w:ilvl w:val="0"/>
                <w:numId w:val="1"/>
              </w:numPr>
              <w:wordWrap w:val="0"/>
              <w:spacing w:line="360" w:lineRule="auto"/>
              <w:ind w:firstLine="119"/>
              <w:rPr>
                <w:rFonts w:hint="eastAsia" w:ascii="宋体" w:hAnsi="宋体" w:cs="宋体"/>
                <w:color w:val="auto"/>
                <w:spacing w:val="2"/>
                <w:sz w:val="22"/>
                <w:highlight w:val="none"/>
              </w:rPr>
            </w:pPr>
            <w:r>
              <w:rPr>
                <w:rFonts w:hint="eastAsia" w:ascii="宋体" w:hAnsi="宋体" w:cs="宋体"/>
                <w:color w:val="auto"/>
                <w:spacing w:val="2"/>
                <w:sz w:val="22"/>
                <w:highlight w:val="none"/>
              </w:rPr>
              <w:t>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5AB98AEB">
            <w:pPr>
              <w:spacing w:line="360" w:lineRule="auto"/>
              <w:ind w:firstLine="122"/>
              <w:rPr>
                <w:rFonts w:hint="eastAsia" w:ascii="宋体" w:hAnsi="宋体" w:cs="宋体"/>
                <w:color w:val="auto"/>
                <w:spacing w:val="2"/>
                <w:sz w:val="22"/>
                <w:highlight w:val="none"/>
              </w:rPr>
            </w:pPr>
            <w:r>
              <w:rPr>
                <w:rFonts w:hint="eastAsia" w:ascii="宋体" w:hAnsi="宋体" w:cs="宋体"/>
                <w:color w:val="auto"/>
                <w:spacing w:val="2"/>
                <w:sz w:val="22"/>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754A32AE">
            <w:pPr>
              <w:spacing w:line="360" w:lineRule="auto"/>
              <w:ind w:firstLine="224" w:firstLineChars="100"/>
              <w:rPr>
                <w:rFonts w:hint="eastAsia" w:ascii="宋体" w:hAnsi="宋体" w:cs="宋体"/>
                <w:color w:val="auto"/>
                <w:sz w:val="22"/>
                <w:highlight w:val="none"/>
              </w:rPr>
            </w:pPr>
            <w:r>
              <w:rPr>
                <w:rFonts w:hint="eastAsia" w:ascii="宋体" w:hAnsi="宋体" w:cs="宋体"/>
                <w:color w:val="auto"/>
                <w:spacing w:val="2"/>
                <w:sz w:val="22"/>
                <w:highlight w:val="none"/>
              </w:rPr>
              <w:t>注：投标人不按要求提交投标保证金、银行保函或投标保证保险的，其投标文件作无效标书处理，由此造成的后果自负。</w:t>
            </w:r>
          </w:p>
        </w:tc>
      </w:tr>
      <w:tr w14:paraId="5415D30A">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952CF6">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3.7.1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104D4C">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投标文件的</w:t>
            </w:r>
          </w:p>
          <w:p w14:paraId="5B060385">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组成</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7D06F4">
            <w:pPr>
              <w:spacing w:line="360" w:lineRule="auto"/>
              <w:jc w:val="left"/>
              <w:rPr>
                <w:rFonts w:hint="eastAsia" w:ascii="宋体" w:hAnsi="宋体" w:cs="宋体"/>
                <w:color w:val="auto"/>
                <w:sz w:val="22"/>
                <w:highlight w:val="none"/>
              </w:rPr>
            </w:pPr>
            <w:r>
              <w:rPr>
                <w:rFonts w:hint="eastAsia" w:ascii="宋体" w:hAnsi="宋体" w:cs="宋体"/>
                <w:color w:val="auto"/>
                <w:spacing w:val="2"/>
                <w:sz w:val="22"/>
                <w:highlight w:val="none"/>
              </w:rPr>
              <w:t>本工程投标文件包括商务标书、技术标书两个分册</w:t>
            </w:r>
          </w:p>
        </w:tc>
      </w:tr>
      <w:tr w14:paraId="6792C428">
        <w:tblPrEx>
          <w:tblCellMar>
            <w:top w:w="0" w:type="dxa"/>
            <w:left w:w="10" w:type="dxa"/>
            <w:bottom w:w="0" w:type="dxa"/>
            <w:right w:w="10" w:type="dxa"/>
          </w:tblCellMar>
        </w:tblPrEx>
        <w:trPr>
          <w:trHeight w:val="1078"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ABBE59">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3.7.3</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D2D8A2">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盖章或签字</w:t>
            </w:r>
          </w:p>
          <w:p w14:paraId="244DC877">
            <w:pPr>
              <w:spacing w:line="360" w:lineRule="auto"/>
              <w:jc w:val="center"/>
              <w:rPr>
                <w:rFonts w:hint="eastAsia" w:ascii="宋体" w:hAnsi="宋体" w:cs="宋体"/>
                <w:color w:val="auto"/>
                <w:spacing w:val="2"/>
                <w:sz w:val="22"/>
                <w:highlight w:val="none"/>
              </w:rPr>
            </w:pPr>
            <w:r>
              <w:rPr>
                <w:rFonts w:hint="eastAsia" w:ascii="宋体" w:hAnsi="宋体" w:cs="宋体"/>
                <w:color w:val="auto"/>
                <w:sz w:val="22"/>
                <w:highlight w:val="none"/>
              </w:rPr>
              <w:t>要求</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03F86E">
            <w:pPr>
              <w:spacing w:line="360" w:lineRule="auto"/>
              <w:rPr>
                <w:rFonts w:hint="eastAsia" w:ascii="宋体" w:hAnsi="宋体" w:cs="宋体"/>
                <w:color w:val="auto"/>
                <w:spacing w:val="2"/>
                <w:sz w:val="22"/>
                <w:highlight w:val="none"/>
              </w:rPr>
            </w:pPr>
            <w:r>
              <w:rPr>
                <w:rFonts w:hint="eastAsia" w:ascii="宋体" w:hAnsi="宋体" w:cs="宋体"/>
                <w:color w:val="auto"/>
                <w:sz w:val="22"/>
                <w:highlight w:val="none"/>
              </w:rPr>
              <w:t>电子投标文件：仅需在投标文件封面和有格式要求签字盖章的地方由投标人的法定代表人或其授权委托人签字（电子印章）和加盖投标人公章（电子印章），无需每页签字盖章。</w:t>
            </w:r>
          </w:p>
        </w:tc>
      </w:tr>
      <w:tr w14:paraId="6EBE741A">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61E2D3">
            <w:pPr>
              <w:spacing w:line="360" w:lineRule="auto"/>
              <w:jc w:val="center"/>
              <w:rPr>
                <w:rFonts w:hint="eastAsia" w:ascii="宋体" w:hAnsi="宋体" w:cs="宋体"/>
                <w:color w:val="auto"/>
                <w:sz w:val="22"/>
                <w:highlight w:val="none"/>
              </w:rPr>
            </w:pPr>
            <w:r>
              <w:rPr>
                <w:rFonts w:hint="eastAsia" w:ascii="宋体" w:hAnsi="宋体" w:cs="宋体"/>
                <w:color w:val="auto"/>
                <w:spacing w:val="2"/>
                <w:sz w:val="22"/>
                <w:highlight w:val="none"/>
              </w:rPr>
              <w:t>4.2.2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A3C700">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电子投标文件</w:t>
            </w:r>
          </w:p>
          <w:p w14:paraId="1B64FE70">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截止时间</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444BE7">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详见“重要事项时间地点一览表”</w:t>
            </w:r>
          </w:p>
        </w:tc>
      </w:tr>
      <w:tr w14:paraId="13657D54">
        <w:tblPrEx>
          <w:tblCellMar>
            <w:top w:w="0" w:type="dxa"/>
            <w:left w:w="10" w:type="dxa"/>
            <w:bottom w:w="0" w:type="dxa"/>
            <w:right w:w="10" w:type="dxa"/>
          </w:tblCellMar>
        </w:tblPrEx>
        <w:trPr>
          <w:trHeight w:val="562"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A56380">
            <w:pPr>
              <w:spacing w:line="360" w:lineRule="auto"/>
              <w:jc w:val="center"/>
              <w:rPr>
                <w:rFonts w:hint="eastAsia" w:ascii="宋体" w:hAnsi="宋体" w:cs="宋体"/>
                <w:color w:val="auto"/>
                <w:sz w:val="22"/>
                <w:highlight w:val="none"/>
              </w:rPr>
            </w:pPr>
            <w:r>
              <w:rPr>
                <w:rFonts w:hint="eastAsia" w:ascii="宋体" w:hAnsi="宋体" w:cs="宋体"/>
                <w:color w:val="auto"/>
                <w:spacing w:val="2"/>
                <w:sz w:val="22"/>
                <w:highlight w:val="none"/>
              </w:rPr>
              <w:t>5.1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9E2256">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开标时间和地点</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918E02">
            <w:pPr>
              <w:spacing w:line="360" w:lineRule="auto"/>
              <w:rPr>
                <w:rFonts w:hint="eastAsia" w:ascii="宋体" w:hAnsi="宋体" w:cs="宋体"/>
                <w:color w:val="auto"/>
                <w:sz w:val="22"/>
                <w:highlight w:val="none"/>
              </w:rPr>
            </w:pPr>
            <w:r>
              <w:rPr>
                <w:rFonts w:hint="eastAsia" w:ascii="宋体" w:hAnsi="宋体" w:cs="宋体"/>
                <w:color w:val="auto"/>
                <w:sz w:val="22"/>
                <w:highlight w:val="none"/>
              </w:rPr>
              <w:t>详见“重要事项时间地点一览表”</w:t>
            </w:r>
          </w:p>
        </w:tc>
      </w:tr>
      <w:tr w14:paraId="09C9295B">
        <w:tblPrEx>
          <w:tblCellMar>
            <w:top w:w="0" w:type="dxa"/>
            <w:left w:w="10" w:type="dxa"/>
            <w:bottom w:w="0" w:type="dxa"/>
            <w:right w:w="10" w:type="dxa"/>
          </w:tblCellMar>
        </w:tblPrEx>
        <w:trPr>
          <w:trHeight w:val="1369"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070C81">
            <w:pPr>
              <w:spacing w:line="360" w:lineRule="auto"/>
              <w:jc w:val="center"/>
              <w:rPr>
                <w:rFonts w:hint="eastAsia" w:ascii="宋体" w:hAnsi="宋体" w:cs="宋体"/>
                <w:color w:val="auto"/>
                <w:sz w:val="22"/>
                <w:highlight w:val="none"/>
              </w:rPr>
            </w:pPr>
            <w:r>
              <w:rPr>
                <w:rFonts w:hint="eastAsia" w:ascii="宋体" w:hAnsi="宋体" w:cs="宋体"/>
                <w:color w:val="auto"/>
                <w:spacing w:val="2"/>
                <w:sz w:val="22"/>
                <w:highlight w:val="none"/>
              </w:rPr>
              <w:t>6.1.1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D03F18">
            <w:pPr>
              <w:spacing w:line="360" w:lineRule="auto"/>
              <w:ind w:left="-90"/>
              <w:jc w:val="center"/>
              <w:rPr>
                <w:rFonts w:hint="eastAsia" w:ascii="宋体" w:hAnsi="宋体" w:cs="宋体"/>
                <w:color w:val="auto"/>
                <w:spacing w:val="2"/>
                <w:sz w:val="22"/>
                <w:highlight w:val="none"/>
              </w:rPr>
            </w:pPr>
            <w:r>
              <w:rPr>
                <w:rFonts w:hint="eastAsia" w:ascii="宋体" w:hAnsi="宋体" w:cs="宋体"/>
                <w:color w:val="auto"/>
                <w:spacing w:val="2"/>
                <w:sz w:val="22"/>
                <w:highlight w:val="none"/>
              </w:rPr>
              <w:t>评标委员会的</w:t>
            </w:r>
          </w:p>
          <w:p w14:paraId="1F9EEDDE">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组建</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6A5E5A">
            <w:pPr>
              <w:spacing w:line="360" w:lineRule="auto"/>
              <w:rPr>
                <w:rFonts w:hint="eastAsia" w:ascii="宋体" w:hAnsi="宋体" w:cs="宋体"/>
                <w:color w:val="auto"/>
                <w:spacing w:val="2"/>
                <w:sz w:val="22"/>
                <w:highlight w:val="none"/>
              </w:rPr>
            </w:pPr>
            <w:r>
              <w:rPr>
                <w:rFonts w:hint="eastAsia" w:ascii="宋体" w:hAnsi="宋体" w:cs="宋体"/>
                <w:color w:val="auto"/>
                <w:spacing w:val="2"/>
                <w:sz w:val="22"/>
                <w:highlight w:val="none"/>
              </w:rPr>
              <w:t>评标委员会构成：5人，其中招标人代表0人、</w:t>
            </w:r>
            <w:r>
              <w:rPr>
                <w:rFonts w:hint="eastAsia" w:ascii="宋体" w:hAnsi="宋体" w:cs="宋体"/>
                <w:color w:val="auto"/>
                <w:sz w:val="22"/>
                <w:highlight w:val="none"/>
              </w:rPr>
              <w:t>经济类专家2人、技术类专家3人</w:t>
            </w:r>
            <w:r>
              <w:rPr>
                <w:rFonts w:hint="eastAsia" w:ascii="宋体" w:hAnsi="宋体" w:cs="宋体"/>
                <w:color w:val="auto"/>
                <w:spacing w:val="2"/>
                <w:sz w:val="22"/>
                <w:highlight w:val="none"/>
              </w:rPr>
              <w:t>；</w:t>
            </w:r>
          </w:p>
          <w:p w14:paraId="517CEB36">
            <w:pPr>
              <w:spacing w:line="360" w:lineRule="auto"/>
              <w:ind w:left="-90"/>
              <w:rPr>
                <w:rFonts w:hint="eastAsia" w:ascii="宋体" w:hAnsi="宋体" w:cs="宋体"/>
                <w:color w:val="auto"/>
                <w:sz w:val="22"/>
                <w:highlight w:val="none"/>
              </w:rPr>
            </w:pPr>
            <w:r>
              <w:rPr>
                <w:rFonts w:hint="eastAsia" w:ascii="宋体" w:hAnsi="宋体" w:cs="宋体"/>
                <w:color w:val="auto"/>
                <w:spacing w:val="2"/>
                <w:sz w:val="22"/>
                <w:highlight w:val="none"/>
              </w:rPr>
              <w:t>评标专家确定方式：</w:t>
            </w:r>
            <w:r>
              <w:rPr>
                <w:rFonts w:hint="eastAsia" w:ascii="宋体" w:hAnsi="宋体" w:cs="宋体"/>
                <w:color w:val="auto"/>
                <w:sz w:val="22"/>
                <w:highlight w:val="none"/>
              </w:rPr>
              <w:t>从广东省综合评标评审专家库韶关市区域中随机抽取产生。</w:t>
            </w:r>
          </w:p>
        </w:tc>
      </w:tr>
      <w:tr w14:paraId="516F1BEE">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52D392">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7.4.1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17BA5E">
            <w:pPr>
              <w:spacing w:line="360"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履约担保</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EEC777">
            <w:pPr>
              <w:spacing w:line="360" w:lineRule="auto"/>
              <w:ind w:left="-90"/>
              <w:rPr>
                <w:rFonts w:hint="eastAsia" w:ascii="宋体" w:hAnsi="宋体" w:cs="宋体"/>
                <w:color w:val="auto"/>
                <w:spacing w:val="2"/>
                <w:sz w:val="22"/>
                <w:highlight w:val="none"/>
              </w:rPr>
            </w:pPr>
            <w:r>
              <w:rPr>
                <w:rFonts w:hint="eastAsia" w:ascii="宋体" w:hAnsi="宋体" w:cs="宋体"/>
                <w:color w:val="auto"/>
                <w:spacing w:val="2"/>
                <w:sz w:val="22"/>
                <w:highlight w:val="none"/>
              </w:rPr>
              <w:t>履约担保的形式：银行</w:t>
            </w:r>
            <w:r>
              <w:rPr>
                <w:rFonts w:hint="eastAsia" w:ascii="宋体" w:hAnsi="宋体" w:cs="宋体"/>
                <w:color w:val="auto"/>
                <w:spacing w:val="2"/>
                <w:kern w:val="0"/>
                <w:sz w:val="22"/>
                <w:highlight w:val="none"/>
                <w:lang w:val="zh-CN"/>
              </w:rPr>
              <w:t>转账或银行保函或履约担保保险</w:t>
            </w:r>
          </w:p>
          <w:p w14:paraId="2E39489C">
            <w:pPr>
              <w:spacing w:line="360" w:lineRule="auto"/>
              <w:ind w:left="-90"/>
              <w:rPr>
                <w:rFonts w:hint="eastAsia" w:ascii="宋体" w:hAnsi="宋体" w:cs="宋体"/>
                <w:color w:val="auto"/>
                <w:spacing w:val="2"/>
                <w:sz w:val="22"/>
                <w:highlight w:val="none"/>
              </w:rPr>
            </w:pPr>
            <w:r>
              <w:rPr>
                <w:rFonts w:hint="eastAsia" w:ascii="宋体" w:hAnsi="宋体" w:cs="宋体"/>
                <w:color w:val="auto"/>
                <w:spacing w:val="2"/>
                <w:sz w:val="22"/>
                <w:highlight w:val="none"/>
              </w:rPr>
              <w:t>履约担保的金额：中标价的3%（收到中标通知书后10工作日内缴纳）</w:t>
            </w:r>
          </w:p>
          <w:p w14:paraId="3CB77E3C">
            <w:pPr>
              <w:spacing w:line="360" w:lineRule="auto"/>
              <w:ind w:left="-90"/>
              <w:rPr>
                <w:rFonts w:hint="eastAsia" w:ascii="宋体" w:hAnsi="宋体" w:cs="宋体"/>
                <w:color w:val="auto"/>
                <w:spacing w:val="2"/>
                <w:sz w:val="22"/>
                <w:highlight w:val="none"/>
              </w:rPr>
            </w:pPr>
            <w:r>
              <w:rPr>
                <w:rFonts w:hint="eastAsia" w:ascii="宋体" w:hAnsi="宋体" w:cs="宋体"/>
                <w:color w:val="auto"/>
                <w:spacing w:val="2"/>
                <w:sz w:val="22"/>
                <w:highlight w:val="none"/>
              </w:rPr>
              <w:t>注：（1）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完工验收之日后 28 天止。</w:t>
            </w:r>
          </w:p>
          <w:p w14:paraId="03F85499">
            <w:pPr>
              <w:spacing w:line="360" w:lineRule="auto"/>
              <w:ind w:left="-90"/>
              <w:rPr>
                <w:rFonts w:hint="eastAsia" w:ascii="宋体" w:hAnsi="宋体" w:cs="宋体"/>
                <w:color w:val="auto"/>
                <w:spacing w:val="2"/>
                <w:sz w:val="22"/>
                <w:highlight w:val="none"/>
              </w:rPr>
            </w:pPr>
            <w:r>
              <w:rPr>
                <w:rFonts w:hint="eastAsia" w:ascii="宋体" w:hAnsi="宋体" w:cs="宋体"/>
                <w:color w:val="auto"/>
                <w:spacing w:val="2"/>
                <w:sz w:val="22"/>
                <w:highlight w:val="none"/>
              </w:rPr>
              <w:t>（2）中标人在工程建设交易系统约定的时间内未提交履约保证的，视其放弃中标，并由招标人通报建设行政管理部门。</w:t>
            </w:r>
          </w:p>
          <w:p w14:paraId="02709F54">
            <w:pPr>
              <w:spacing w:line="360" w:lineRule="auto"/>
              <w:ind w:left="-90"/>
              <w:rPr>
                <w:rFonts w:hint="eastAsia" w:ascii="宋体" w:hAnsi="宋体" w:cs="宋体"/>
                <w:color w:val="auto"/>
                <w:sz w:val="22"/>
                <w:highlight w:val="none"/>
              </w:rPr>
            </w:pPr>
            <w:r>
              <w:rPr>
                <w:rFonts w:hint="eastAsia" w:ascii="宋体" w:hAnsi="宋体" w:cs="宋体"/>
                <w:color w:val="auto"/>
                <w:spacing w:val="2"/>
                <w:sz w:val="22"/>
                <w:highlight w:val="none"/>
              </w:rPr>
              <w:t>（3）项目通过完工验收之日后28天内，由发包人在工程建设交易系统内进行履约保证金退回操作，将履约保</w:t>
            </w:r>
            <w:r>
              <w:rPr>
                <w:rFonts w:hint="eastAsia" w:ascii="宋体" w:hAnsi="宋体" w:cs="宋体"/>
                <w:color w:val="auto"/>
                <w:spacing w:val="2"/>
                <w:sz w:val="22"/>
                <w:highlight w:val="none"/>
                <w:lang w:eastAsia="zh-CN"/>
              </w:rPr>
              <w:t>证</w:t>
            </w:r>
            <w:r>
              <w:rPr>
                <w:rFonts w:hint="eastAsia" w:ascii="宋体" w:hAnsi="宋体" w:cs="宋体"/>
                <w:color w:val="auto"/>
                <w:spacing w:val="2"/>
                <w:sz w:val="22"/>
                <w:highlight w:val="none"/>
              </w:rPr>
              <w:t>原路退还给承包人。</w:t>
            </w:r>
          </w:p>
        </w:tc>
      </w:tr>
      <w:tr w14:paraId="654A54CC">
        <w:tblPrEx>
          <w:tblCellMar>
            <w:top w:w="0" w:type="dxa"/>
            <w:left w:w="10" w:type="dxa"/>
            <w:bottom w:w="0" w:type="dxa"/>
            <w:right w:w="10" w:type="dxa"/>
          </w:tblCellMar>
        </w:tblPrEx>
        <w:trPr>
          <w:trHeight w:val="409"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7EF98">
            <w:pPr>
              <w:adjustRightInd w:val="0"/>
              <w:snapToGrid w:val="0"/>
              <w:jc w:val="center"/>
              <w:rPr>
                <w:rFonts w:hint="eastAsia" w:ascii="宋体" w:hAnsi="宋体" w:cs="宋体"/>
                <w:color w:val="auto"/>
                <w:spacing w:val="2"/>
                <w:kern w:val="0"/>
                <w:sz w:val="22"/>
                <w:highlight w:val="none"/>
              </w:rPr>
            </w:pPr>
            <w:bookmarkStart w:id="5" w:name="_Toc48665808"/>
            <w:r>
              <w:rPr>
                <w:rFonts w:hint="eastAsia" w:ascii="宋体" w:hAnsi="宋体" w:cs="宋体"/>
                <w:color w:val="auto"/>
                <w:spacing w:val="2"/>
                <w:kern w:val="0"/>
                <w:sz w:val="22"/>
                <w:highlight w:val="none"/>
              </w:rPr>
              <w:t>10</w:t>
            </w:r>
          </w:p>
        </w:tc>
        <w:tc>
          <w:tcPr>
            <w:tcW w:w="9698" w:type="dxa"/>
            <w:gridSpan w:val="2"/>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bottom"/>
          </w:tcPr>
          <w:p w14:paraId="10B02FE8">
            <w:pPr>
              <w:keepLines/>
              <w:autoSpaceDE w:val="0"/>
              <w:autoSpaceDN w:val="0"/>
              <w:adjustRightInd w:val="0"/>
              <w:snapToGrid w:val="0"/>
              <w:rPr>
                <w:rFonts w:hint="eastAsia" w:ascii="宋体" w:hAnsi="宋体" w:cs="宋体"/>
                <w:color w:val="auto"/>
                <w:spacing w:val="2"/>
                <w:kern w:val="0"/>
                <w:sz w:val="22"/>
                <w:highlight w:val="none"/>
              </w:rPr>
            </w:pPr>
            <w:bookmarkStart w:id="6" w:name="_Toc48665807"/>
            <w:r>
              <w:rPr>
                <w:rFonts w:hint="eastAsia" w:ascii="宋体" w:hAnsi="宋体" w:cs="宋体"/>
                <w:color w:val="auto"/>
                <w:spacing w:val="2"/>
                <w:kern w:val="0"/>
                <w:sz w:val="22"/>
                <w:highlight w:val="none"/>
              </w:rPr>
              <w:t>需要补充的其它内容</w:t>
            </w:r>
            <w:bookmarkEnd w:id="6"/>
          </w:p>
        </w:tc>
      </w:tr>
      <w:tr w14:paraId="79AC44D4">
        <w:tblPrEx>
          <w:tblCellMar>
            <w:top w:w="0" w:type="dxa"/>
            <w:left w:w="10" w:type="dxa"/>
            <w:bottom w:w="0" w:type="dxa"/>
            <w:right w:w="10" w:type="dxa"/>
          </w:tblCellMar>
        </w:tblPrEx>
        <w:trPr>
          <w:trHeight w:val="63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8D4176">
            <w:pPr>
              <w:adjustRightInd w:val="0"/>
              <w:snapToGrid w:val="0"/>
              <w:jc w:val="center"/>
              <w:rPr>
                <w:rFonts w:hint="eastAsia" w:ascii="宋体" w:hAnsi="宋体" w:cs="宋体"/>
                <w:color w:val="auto"/>
                <w:sz w:val="22"/>
                <w:highlight w:val="none"/>
              </w:rPr>
            </w:pPr>
            <w:r>
              <w:rPr>
                <w:rFonts w:hint="eastAsia" w:ascii="宋体" w:hAnsi="宋体" w:cs="宋体"/>
                <w:color w:val="auto"/>
                <w:spacing w:val="2"/>
                <w:kern w:val="0"/>
                <w:sz w:val="22"/>
                <w:highlight w:val="none"/>
              </w:rPr>
              <w:t>10.1</w:t>
            </w:r>
            <w:bookmarkEnd w:id="5"/>
          </w:p>
        </w:tc>
        <w:tc>
          <w:tcPr>
            <w:tcW w:w="1847"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14:paraId="06C4D258">
            <w:pPr>
              <w:ind w:left="-90"/>
              <w:jc w:val="center"/>
              <w:rPr>
                <w:rFonts w:hint="eastAsia" w:ascii="宋体" w:hAnsi="宋体" w:cs="宋体"/>
                <w:color w:val="auto"/>
                <w:spacing w:val="2"/>
                <w:kern w:val="0"/>
                <w:sz w:val="22"/>
                <w:highlight w:val="none"/>
              </w:rPr>
            </w:pPr>
            <w:r>
              <w:rPr>
                <w:rFonts w:hint="eastAsia" w:ascii="宋体" w:hAnsi="宋体" w:cs="宋体"/>
                <w:color w:val="auto"/>
                <w:sz w:val="22"/>
                <w:highlight w:val="none"/>
              </w:rPr>
              <w:t>安全生产责任险</w:t>
            </w:r>
          </w:p>
        </w:tc>
        <w:tc>
          <w:tcPr>
            <w:tcW w:w="7851" w:type="dxa"/>
            <w:tcBorders>
              <w:top w:val="single" w:color="000000" w:sz="4" w:space="0"/>
              <w:left w:val="single" w:color="000000" w:sz="4" w:space="0"/>
              <w:bottom w:val="single" w:color="000000" w:sz="4" w:space="0"/>
              <w:right w:val="single" w:color="auto" w:sz="4" w:space="0"/>
            </w:tcBorders>
            <w:shd w:val="clear" w:color="000000" w:fill="FFFFFF"/>
            <w:vAlign w:val="center"/>
          </w:tcPr>
          <w:p w14:paraId="031C2002">
            <w:pPr>
              <w:keepLines/>
              <w:autoSpaceDE w:val="0"/>
              <w:autoSpaceDN w:val="0"/>
              <w:adjustRightInd w:val="0"/>
              <w:snapToGrid w:val="0"/>
              <w:rPr>
                <w:rFonts w:hint="eastAsia" w:ascii="宋体" w:hAnsi="宋体" w:cs="宋体"/>
                <w:color w:val="auto"/>
                <w:sz w:val="22"/>
                <w:highlight w:val="none"/>
              </w:rPr>
            </w:pPr>
            <w:r>
              <w:rPr>
                <w:rFonts w:hint="eastAsia" w:ascii="宋体" w:hAnsi="宋体" w:cs="宋体"/>
                <w:color w:val="auto"/>
                <w:spacing w:val="2"/>
                <w:kern w:val="0"/>
                <w:sz w:val="22"/>
                <w:highlight w:val="none"/>
              </w:rPr>
              <w:t>施工单位和业主签订施工合同后，15天内施工单位必须购买安全生产责任险。</w:t>
            </w:r>
          </w:p>
        </w:tc>
      </w:tr>
      <w:tr w14:paraId="632860E9">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010AE3">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10.2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7F4D55">
            <w:pPr>
              <w:keepLines/>
              <w:spacing w:line="360" w:lineRule="auto"/>
              <w:ind w:left="-91"/>
              <w:jc w:val="center"/>
              <w:rPr>
                <w:rFonts w:hint="eastAsia" w:ascii="宋体" w:hAnsi="宋体" w:cs="宋体"/>
                <w:color w:val="auto"/>
                <w:sz w:val="22"/>
                <w:highlight w:val="none"/>
              </w:rPr>
            </w:pPr>
            <w:r>
              <w:rPr>
                <w:rFonts w:hint="eastAsia" w:ascii="宋体" w:hAnsi="宋体" w:cs="宋体"/>
                <w:color w:val="auto"/>
                <w:sz w:val="22"/>
                <w:highlight w:val="none"/>
              </w:rPr>
              <w:t>工人工资支付</w:t>
            </w:r>
          </w:p>
          <w:p w14:paraId="5EBCB231">
            <w:pPr>
              <w:keepLines/>
              <w:spacing w:line="360" w:lineRule="auto"/>
              <w:ind w:left="-91"/>
              <w:jc w:val="center"/>
              <w:rPr>
                <w:rFonts w:hint="eastAsia" w:ascii="宋体" w:hAnsi="宋体" w:cs="宋体"/>
                <w:color w:val="auto"/>
                <w:sz w:val="22"/>
                <w:highlight w:val="none"/>
              </w:rPr>
            </w:pPr>
            <w:r>
              <w:rPr>
                <w:rFonts w:hint="eastAsia" w:ascii="宋体" w:hAnsi="宋体" w:cs="宋体"/>
                <w:color w:val="auto"/>
                <w:sz w:val="22"/>
                <w:highlight w:val="none"/>
              </w:rPr>
              <w:t>保证金</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456C5A">
            <w:pPr>
              <w:keepLines/>
              <w:spacing w:line="360" w:lineRule="auto"/>
              <w:ind w:left="-91"/>
              <w:rPr>
                <w:rFonts w:hint="eastAsia" w:ascii="宋体" w:hAnsi="宋体" w:cs="宋体"/>
                <w:color w:val="auto"/>
                <w:sz w:val="22"/>
                <w:highlight w:val="none"/>
              </w:rPr>
            </w:pPr>
            <w:r>
              <w:rPr>
                <w:rFonts w:hint="eastAsia" w:ascii="宋体" w:hAnsi="宋体" w:cs="宋体"/>
                <w:color w:val="auto"/>
                <w:sz w:val="22"/>
                <w:highlight w:val="none"/>
              </w:rPr>
              <w:t>中标人按照《韶关市人力资源和社会保障局 韶关市住房和城乡建设管理局 韶关市交通运输局 韶关市水务局 韶关市金融工作局 国家金融监督管理总局韶关监管分局关于印发《韶关市工程建设领域农民工工资保证金管理实施细则》的通知》(韶人社规〔2023〕2号) 及《韶关市工程建设领域农民工工资保证金管理实施细则》（韶法审〔2023〕19号）相关规定办理。承包人在签订工程施工承包合同后一个月内必须办妥该事项，并将办妥回执交发包人，如未办妥的</w:t>
            </w:r>
            <w:r>
              <w:rPr>
                <w:rFonts w:hint="eastAsia" w:ascii="宋体" w:hAnsi="宋体" w:cs="宋体"/>
                <w:color w:val="auto"/>
                <w:sz w:val="22"/>
                <w:highlight w:val="none"/>
                <w:lang w:eastAsia="zh-CN"/>
              </w:rPr>
              <w:t>，</w:t>
            </w:r>
            <w:r>
              <w:rPr>
                <w:rFonts w:hint="eastAsia" w:ascii="宋体" w:hAnsi="宋体" w:cs="宋体"/>
                <w:color w:val="auto"/>
                <w:sz w:val="22"/>
                <w:highlight w:val="none"/>
              </w:rPr>
              <w:t>项目所在地水利行政主管部门把中标人上报省市水利行政主管部门将此行为列入不良信用记录，发包方并有权终止承包合同并扣除履约保证金。</w:t>
            </w:r>
          </w:p>
        </w:tc>
      </w:tr>
      <w:tr w14:paraId="0E1A36EE">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7F571C">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10.3</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F91DA8">
            <w:pPr>
              <w:keepLines/>
              <w:spacing w:line="360" w:lineRule="auto"/>
              <w:ind w:left="-91"/>
              <w:jc w:val="center"/>
              <w:rPr>
                <w:rFonts w:hint="eastAsia" w:ascii="宋体" w:hAnsi="宋体" w:cs="宋体"/>
                <w:color w:val="auto"/>
                <w:sz w:val="22"/>
                <w:highlight w:val="none"/>
              </w:rPr>
            </w:pPr>
            <w:r>
              <w:rPr>
                <w:rFonts w:hint="eastAsia" w:ascii="宋体" w:hAnsi="宋体" w:cs="宋体"/>
                <w:color w:val="auto"/>
                <w:sz w:val="22"/>
                <w:highlight w:val="none"/>
              </w:rPr>
              <w:t>农民工工资</w:t>
            </w:r>
          </w:p>
          <w:p w14:paraId="18F69188">
            <w:pPr>
              <w:keepLines/>
              <w:spacing w:line="360" w:lineRule="auto"/>
              <w:ind w:left="-91"/>
              <w:jc w:val="center"/>
              <w:rPr>
                <w:rFonts w:hint="eastAsia" w:ascii="宋体" w:hAnsi="宋体" w:cs="宋体"/>
                <w:color w:val="auto"/>
                <w:sz w:val="22"/>
                <w:highlight w:val="none"/>
              </w:rPr>
            </w:pPr>
            <w:r>
              <w:rPr>
                <w:rFonts w:hint="eastAsia" w:ascii="宋体" w:hAnsi="宋体" w:cs="宋体"/>
                <w:color w:val="auto"/>
                <w:sz w:val="22"/>
                <w:highlight w:val="none"/>
              </w:rPr>
              <w:t>专用账户</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B2FE8E">
            <w:pPr>
              <w:keepLines/>
              <w:spacing w:line="360" w:lineRule="auto"/>
              <w:ind w:left="-91"/>
              <w:rPr>
                <w:rFonts w:hint="eastAsia" w:ascii="宋体" w:hAnsi="宋体" w:cs="宋体"/>
                <w:color w:val="auto"/>
                <w:sz w:val="22"/>
                <w:highlight w:val="none"/>
              </w:rPr>
            </w:pPr>
            <w:r>
              <w:rPr>
                <w:rFonts w:hint="eastAsia" w:ascii="宋体" w:hAnsi="宋体" w:cs="宋体"/>
                <w:color w:val="auto"/>
                <w:sz w:val="22"/>
                <w:highlight w:val="none"/>
                <w:lang w:val="zh-CN"/>
              </w:rPr>
              <w:t>依据人力资源社会保障部等十部门印发的《工程建设领域农民工工资专用账户管理暂行办法》（人社部发〔2021〕53号），本项目必须执行建设领域工人工资支付分账管理，并于项目开工建设前到项目施工所在地银行设立工人工资支付专用账户，为每个工人办理工资个人账户，并建立劳动用工管理台账备查。根据水利工程人工工资所占比例，于每次拨付工程进度款时，按工程进度款的</w:t>
            </w:r>
            <w:r>
              <w:rPr>
                <w:rFonts w:hint="eastAsia" w:ascii="宋体" w:hAnsi="宋体" w:cs="宋体"/>
                <w:color w:val="auto"/>
                <w:sz w:val="22"/>
                <w:highlight w:val="none"/>
              </w:rPr>
              <w:t>20%</w:t>
            </w:r>
            <w:r>
              <w:rPr>
                <w:rFonts w:hint="eastAsia" w:ascii="宋体" w:hAnsi="宋体" w:cs="宋体"/>
                <w:color w:val="auto"/>
                <w:sz w:val="22"/>
                <w:highlight w:val="none"/>
                <w:lang w:val="zh-CN"/>
              </w:rPr>
              <w:t>将资金转存到中标单位开设的工人工资专用账户上，确保每月25日前足额支付工人工资。若未按期执行，将上报省市水行政主管部门将此行为列入不良信用记录。</w:t>
            </w:r>
          </w:p>
        </w:tc>
      </w:tr>
      <w:tr w14:paraId="75D25060">
        <w:tblPrEx>
          <w:tblCellMar>
            <w:top w:w="0" w:type="dxa"/>
            <w:left w:w="10" w:type="dxa"/>
            <w:bottom w:w="0" w:type="dxa"/>
            <w:right w:w="10" w:type="dxa"/>
          </w:tblCellMar>
        </w:tblPrEx>
        <w:trPr>
          <w:trHeight w:val="1265"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AD439">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10.4</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73B07F">
            <w:pPr>
              <w:keepLines/>
              <w:spacing w:line="360" w:lineRule="auto"/>
              <w:ind w:left="-91"/>
              <w:jc w:val="center"/>
              <w:rPr>
                <w:rFonts w:hint="eastAsia" w:ascii="宋体" w:hAnsi="宋体" w:cs="宋体"/>
                <w:color w:val="auto"/>
                <w:sz w:val="22"/>
                <w:highlight w:val="none"/>
              </w:rPr>
            </w:pPr>
            <w:r>
              <w:rPr>
                <w:rFonts w:hint="eastAsia" w:ascii="宋体" w:hAnsi="宋体" w:cs="宋体"/>
                <w:color w:val="auto"/>
                <w:sz w:val="22"/>
                <w:highlight w:val="none"/>
              </w:rPr>
              <w:t>用工实名管理</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84A54A">
            <w:pPr>
              <w:keepLines/>
              <w:spacing w:line="360" w:lineRule="auto"/>
              <w:ind w:left="-91"/>
              <w:rPr>
                <w:rFonts w:hint="eastAsia" w:ascii="宋体" w:hAnsi="宋体" w:cs="宋体"/>
                <w:color w:val="auto"/>
                <w:sz w:val="22"/>
                <w:highlight w:val="none"/>
              </w:rPr>
            </w:pPr>
            <w:r>
              <w:rPr>
                <w:rFonts w:hint="eastAsia" w:ascii="宋体" w:hAnsi="宋体" w:cs="宋体"/>
                <w:color w:val="auto"/>
                <w:sz w:val="22"/>
                <w:highlight w:val="none"/>
              </w:rPr>
              <w:t>中标人按照人力资源社会保障部等十部门关于印发《工程建设领域农民工工资专用账户管理暂行办法》的通知（人社部发〔2021〕53号）等相关规定办理，在施工过程中未按要求办理，将上报省市水利行政主管部门将此行为列入不良信用记录。</w:t>
            </w:r>
          </w:p>
        </w:tc>
      </w:tr>
      <w:tr w14:paraId="6BA0490E">
        <w:tblPrEx>
          <w:tblCellMar>
            <w:top w:w="0" w:type="dxa"/>
            <w:left w:w="10" w:type="dxa"/>
            <w:bottom w:w="0" w:type="dxa"/>
            <w:right w:w="10" w:type="dxa"/>
          </w:tblCellMar>
        </w:tblPrEx>
        <w:trPr>
          <w:trHeight w:val="137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ED7D9B">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10.5</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C9B7B6">
            <w:pPr>
              <w:keepLines/>
              <w:spacing w:line="360" w:lineRule="auto"/>
              <w:ind w:left="-91"/>
              <w:jc w:val="center"/>
              <w:rPr>
                <w:rFonts w:hint="eastAsia" w:ascii="宋体" w:hAnsi="宋体" w:cs="宋体"/>
                <w:color w:val="auto"/>
                <w:sz w:val="22"/>
                <w:highlight w:val="none"/>
              </w:rPr>
            </w:pPr>
            <w:r>
              <w:rPr>
                <w:rFonts w:hint="eastAsia" w:ascii="宋体" w:hAnsi="宋体" w:cs="宋体"/>
                <w:color w:val="auto"/>
                <w:sz w:val="22"/>
                <w:highlight w:val="none"/>
              </w:rPr>
              <w:t>工程保险</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F5C216">
            <w:pPr>
              <w:keepLines/>
              <w:spacing w:line="360" w:lineRule="auto"/>
              <w:ind w:left="-91"/>
              <w:rPr>
                <w:rFonts w:hint="eastAsia" w:ascii="宋体" w:hAnsi="宋体" w:cs="宋体"/>
                <w:color w:val="auto"/>
                <w:sz w:val="22"/>
                <w:highlight w:val="none"/>
              </w:rPr>
            </w:pPr>
            <w:r>
              <w:rPr>
                <w:rFonts w:hint="eastAsia" w:ascii="宋体" w:hAnsi="宋体" w:cs="宋体"/>
                <w:color w:val="auto"/>
                <w:sz w:val="22"/>
                <w:highlight w:val="none"/>
              </w:rPr>
              <w:t>工程保险的办理严格按照《关于要求施工单位购买安全生产责任险的通知》（韶水运行监督〔2020〕5号）及《转发关于做好我省铁路、公路、水运、水利、能源、机场工程建设参加工伤保险工作的通知》（韶人社[2019]22号）执行。</w:t>
            </w:r>
          </w:p>
        </w:tc>
      </w:tr>
      <w:tr w14:paraId="7A8A9627">
        <w:tblPrEx>
          <w:tblCellMar>
            <w:top w:w="0" w:type="dxa"/>
            <w:left w:w="10" w:type="dxa"/>
            <w:bottom w:w="0" w:type="dxa"/>
            <w:right w:w="10" w:type="dxa"/>
          </w:tblCellMar>
        </w:tblPrEx>
        <w:trPr>
          <w:trHeight w:val="652"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06DEC0">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10.6</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D88BB4">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原件（如需）</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6EBFE4">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按要求提供。</w:t>
            </w:r>
          </w:p>
        </w:tc>
      </w:tr>
      <w:tr w14:paraId="20843BA4">
        <w:tblPrEx>
          <w:tblCellMar>
            <w:top w:w="0" w:type="dxa"/>
            <w:left w:w="10" w:type="dxa"/>
            <w:bottom w:w="0" w:type="dxa"/>
            <w:right w:w="10" w:type="dxa"/>
          </w:tblCellMar>
        </w:tblPrEx>
        <w:trPr>
          <w:trHeight w:val="1092"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544646">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10.7</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AA6AFA">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未尽事宜</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32E7DB">
            <w:pPr>
              <w:spacing w:line="360" w:lineRule="auto"/>
              <w:rPr>
                <w:rFonts w:hint="eastAsia" w:ascii="宋体" w:hAnsi="宋体" w:cs="宋体"/>
                <w:color w:val="auto"/>
                <w:sz w:val="22"/>
                <w:highlight w:val="none"/>
              </w:rPr>
            </w:pPr>
            <w:r>
              <w:rPr>
                <w:rFonts w:hint="eastAsia" w:ascii="宋体" w:hAnsi="宋体" w:cs="宋体"/>
                <w:color w:val="auto"/>
                <w:sz w:val="22"/>
                <w:highlight w:val="none"/>
              </w:rPr>
              <w:t>本招标文件未尽事宜按《中华人民共和国招标投标法》、《中华人民共和国招标投标法实施条例》、《广东省实施〈中华人民共和国招标投标法〉办法》及部门规章执行。</w:t>
            </w:r>
          </w:p>
        </w:tc>
      </w:tr>
    </w:tbl>
    <w:p w14:paraId="39C03882">
      <w:pPr>
        <w:keepNext/>
        <w:keepLines/>
        <w:spacing w:line="360" w:lineRule="auto"/>
        <w:rPr>
          <w:rFonts w:hint="eastAsia" w:ascii="宋体" w:hAnsi="宋体" w:cs="宋体"/>
          <w:b/>
          <w:color w:val="auto"/>
          <w:sz w:val="22"/>
          <w:highlight w:val="none"/>
        </w:rPr>
      </w:pPr>
      <w:r>
        <w:rPr>
          <w:rFonts w:cs="宋体" w:asciiTheme="majorEastAsia" w:hAnsiTheme="majorEastAsia" w:eastAsiaTheme="majorEastAsia"/>
          <w:b/>
          <w:color w:val="auto"/>
          <w:sz w:val="32"/>
          <w:highlight w:val="none"/>
        </w:rPr>
        <w:br w:type="page"/>
      </w:r>
      <w:r>
        <w:rPr>
          <w:rFonts w:hint="eastAsia" w:ascii="宋体" w:hAnsi="宋体" w:cs="宋体"/>
          <w:b/>
          <w:color w:val="auto"/>
          <w:sz w:val="22"/>
          <w:highlight w:val="none"/>
        </w:rPr>
        <w:t>1  总则</w:t>
      </w:r>
    </w:p>
    <w:p w14:paraId="261BB7E6">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1.1项目概况</w:t>
      </w:r>
    </w:p>
    <w:p w14:paraId="425386FC">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1.1.1 根据《中华人民共和国招标投标法》等有关法律、法规和规章的规定，本招标项目己具备招标条件，现对本项目施工进行招标。</w:t>
      </w:r>
    </w:p>
    <w:p w14:paraId="4AC02216">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1.1.2 本招标项目招标人：见投标人须知前附表。</w:t>
      </w:r>
    </w:p>
    <w:p w14:paraId="30CF1E7C">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1.1.3 本项目招标代理机构：见投标人须知前附表。</w:t>
      </w:r>
    </w:p>
    <w:p w14:paraId="20AE8B81">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1.1.4 本招标工程名称及编号：见投标人须知前附表。</w:t>
      </w:r>
    </w:p>
    <w:p w14:paraId="729EC906">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1.1.5 本项目建设地点：见投标人须知前附表。</w:t>
      </w:r>
    </w:p>
    <w:p w14:paraId="52026AD8">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1.1.7本招标项目设计人：见投标人须知前附表。</w:t>
      </w:r>
    </w:p>
    <w:p w14:paraId="4D773DF7">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1.1.8本招标项目监理人：见投标人须知前附表。</w:t>
      </w:r>
    </w:p>
    <w:p w14:paraId="058A95E5">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1.2 资金来源和落实情况</w:t>
      </w:r>
    </w:p>
    <w:p w14:paraId="5C13FFE2">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1.2.1 本招标项目的资金来源：见投标人须知前附表。</w:t>
      </w:r>
    </w:p>
    <w:p w14:paraId="15C6B7E7">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1.2.2 本招标项目的资金落实情况：见投标人须知前附表。</w:t>
      </w:r>
    </w:p>
    <w:p w14:paraId="15F1FD0F">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1.3 招标范围、计划工期和质量要求</w:t>
      </w:r>
    </w:p>
    <w:p w14:paraId="6B865E43">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1.3.1 本次招标范围：见投标人须知前附表。</w:t>
      </w:r>
    </w:p>
    <w:p w14:paraId="7AA9EABF">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1.3.2 本项目的计划工期：见投标人须知前附表。</w:t>
      </w:r>
    </w:p>
    <w:p w14:paraId="150714C3">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1.3.3 本项目的质量要求：见投标人须知前附表。</w:t>
      </w:r>
    </w:p>
    <w:p w14:paraId="527AAD7A">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1.4 投标人资格要求</w:t>
      </w:r>
    </w:p>
    <w:p w14:paraId="1A7D88DB">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1.4.1 投标人应具备的资质要求：见投标人须知前附表。</w:t>
      </w:r>
    </w:p>
    <w:p w14:paraId="0227C0B7">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1.4.2本工程不接受联合体投标；</w:t>
      </w:r>
    </w:p>
    <w:p w14:paraId="056CA0DF">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1.4.3投标人不得存在下列情形之一：</w:t>
      </w:r>
    </w:p>
    <w:p w14:paraId="66836ABA">
      <w:pPr>
        <w:pStyle w:val="47"/>
        <w:ind w:firstLine="440"/>
        <w:rPr>
          <w:rFonts w:hint="eastAsia"/>
          <w:color w:val="auto"/>
          <w:sz w:val="22"/>
          <w:highlight w:val="none"/>
        </w:rPr>
      </w:pPr>
      <w:r>
        <w:rPr>
          <w:rFonts w:hint="eastAsia"/>
          <w:color w:val="auto"/>
          <w:sz w:val="22"/>
          <w:highlight w:val="none"/>
        </w:rPr>
        <w:t>（1）为招标人不具有独立法人资格的附属机构（单位）；</w:t>
      </w:r>
    </w:p>
    <w:p w14:paraId="10DF2ABB">
      <w:pPr>
        <w:pStyle w:val="47"/>
        <w:ind w:firstLine="440"/>
        <w:rPr>
          <w:rFonts w:hint="eastAsia"/>
          <w:color w:val="auto"/>
          <w:sz w:val="22"/>
          <w:highlight w:val="none"/>
        </w:rPr>
      </w:pPr>
      <w:r>
        <w:rPr>
          <w:rFonts w:hint="eastAsia"/>
          <w:color w:val="auto"/>
          <w:sz w:val="22"/>
          <w:highlight w:val="none"/>
        </w:rPr>
        <w:t>（2）为本招标项目前期准备提供设计或咨询服务的；</w:t>
      </w:r>
    </w:p>
    <w:p w14:paraId="2B11DC24">
      <w:pPr>
        <w:pStyle w:val="47"/>
        <w:ind w:firstLine="440"/>
        <w:rPr>
          <w:rFonts w:hint="eastAsia"/>
          <w:color w:val="auto"/>
          <w:sz w:val="22"/>
          <w:highlight w:val="none"/>
        </w:rPr>
      </w:pPr>
      <w:r>
        <w:rPr>
          <w:rFonts w:hint="eastAsia"/>
          <w:color w:val="auto"/>
          <w:sz w:val="22"/>
          <w:highlight w:val="none"/>
        </w:rPr>
        <w:t>（3）与本招标项目的其他投标人为同一个单位负责人；</w:t>
      </w:r>
    </w:p>
    <w:p w14:paraId="7847F9F5">
      <w:pPr>
        <w:pStyle w:val="47"/>
        <w:ind w:firstLine="440"/>
        <w:rPr>
          <w:rFonts w:hint="eastAsia"/>
          <w:color w:val="auto"/>
          <w:sz w:val="22"/>
          <w:highlight w:val="none"/>
        </w:rPr>
      </w:pPr>
      <w:r>
        <w:rPr>
          <w:rFonts w:hint="eastAsia"/>
          <w:color w:val="auto"/>
          <w:sz w:val="22"/>
          <w:highlight w:val="none"/>
        </w:rPr>
        <w:t>（4）与本招标项目的其他投标人存在控股、管理关系；</w:t>
      </w:r>
    </w:p>
    <w:p w14:paraId="187524AB">
      <w:pPr>
        <w:pStyle w:val="47"/>
        <w:ind w:firstLine="440"/>
        <w:rPr>
          <w:rFonts w:hint="eastAsia"/>
          <w:color w:val="auto"/>
          <w:sz w:val="22"/>
          <w:highlight w:val="none"/>
        </w:rPr>
      </w:pPr>
      <w:r>
        <w:rPr>
          <w:rFonts w:hint="eastAsia"/>
          <w:color w:val="auto"/>
          <w:sz w:val="22"/>
          <w:highlight w:val="none"/>
        </w:rPr>
        <w:t>（5）为本招标项目的监理人；</w:t>
      </w:r>
    </w:p>
    <w:p w14:paraId="53B07429">
      <w:pPr>
        <w:pStyle w:val="47"/>
        <w:ind w:firstLine="440"/>
        <w:rPr>
          <w:rFonts w:hint="eastAsia"/>
          <w:color w:val="auto"/>
          <w:sz w:val="22"/>
          <w:highlight w:val="none"/>
        </w:rPr>
      </w:pPr>
      <w:r>
        <w:rPr>
          <w:rFonts w:hint="eastAsia"/>
          <w:color w:val="auto"/>
          <w:sz w:val="22"/>
          <w:highlight w:val="none"/>
        </w:rPr>
        <w:t>（6）为本招标项目的代建人；</w:t>
      </w:r>
    </w:p>
    <w:p w14:paraId="0FD84134">
      <w:pPr>
        <w:pStyle w:val="47"/>
        <w:ind w:firstLine="440"/>
        <w:rPr>
          <w:rFonts w:hint="eastAsia"/>
          <w:color w:val="auto"/>
          <w:sz w:val="22"/>
          <w:highlight w:val="none"/>
        </w:rPr>
      </w:pPr>
      <w:r>
        <w:rPr>
          <w:rFonts w:hint="eastAsia"/>
          <w:color w:val="auto"/>
          <w:sz w:val="22"/>
          <w:highlight w:val="none"/>
        </w:rPr>
        <w:t>（7）为本招标项目的招标代理机构；</w:t>
      </w:r>
    </w:p>
    <w:p w14:paraId="53B9931F">
      <w:pPr>
        <w:pStyle w:val="47"/>
        <w:ind w:firstLine="440"/>
        <w:rPr>
          <w:rFonts w:hint="eastAsia"/>
          <w:color w:val="auto"/>
          <w:sz w:val="22"/>
          <w:highlight w:val="none"/>
        </w:rPr>
      </w:pPr>
      <w:r>
        <w:rPr>
          <w:rFonts w:hint="eastAsia"/>
          <w:color w:val="auto"/>
          <w:sz w:val="22"/>
          <w:highlight w:val="none"/>
        </w:rPr>
        <w:t>（8）与本招标项目的监理人或代建人或招标代理机构同为一个法定代表人；</w:t>
      </w:r>
    </w:p>
    <w:p w14:paraId="5DF8B914">
      <w:pPr>
        <w:pStyle w:val="47"/>
        <w:ind w:firstLine="440"/>
        <w:rPr>
          <w:rFonts w:hint="eastAsia"/>
          <w:color w:val="auto"/>
          <w:sz w:val="22"/>
          <w:highlight w:val="none"/>
        </w:rPr>
      </w:pPr>
      <w:r>
        <w:rPr>
          <w:rFonts w:hint="eastAsia"/>
          <w:color w:val="auto"/>
          <w:sz w:val="22"/>
          <w:highlight w:val="none"/>
        </w:rPr>
        <w:t>（9）与本招标项目的监理人或代建人或招标代理机构存在控股或参股关系；</w:t>
      </w:r>
    </w:p>
    <w:p w14:paraId="5B98E9DE">
      <w:pPr>
        <w:pStyle w:val="47"/>
        <w:ind w:firstLine="440"/>
        <w:rPr>
          <w:rFonts w:hint="eastAsia"/>
          <w:color w:val="auto"/>
          <w:sz w:val="22"/>
          <w:highlight w:val="none"/>
        </w:rPr>
      </w:pPr>
      <w:r>
        <w:rPr>
          <w:rFonts w:hint="eastAsia"/>
          <w:color w:val="auto"/>
          <w:sz w:val="22"/>
          <w:highlight w:val="none"/>
        </w:rPr>
        <w:t>（10）与本招标项目的监理人或代建人或招标代理机构存在相互任职或工作关系；</w:t>
      </w:r>
    </w:p>
    <w:p w14:paraId="55CFBFF9">
      <w:pPr>
        <w:pStyle w:val="47"/>
        <w:ind w:firstLine="440"/>
        <w:rPr>
          <w:rFonts w:hint="eastAsia"/>
          <w:color w:val="auto"/>
          <w:sz w:val="22"/>
          <w:highlight w:val="none"/>
        </w:rPr>
      </w:pPr>
      <w:r>
        <w:rPr>
          <w:rFonts w:hint="eastAsia"/>
          <w:color w:val="auto"/>
          <w:sz w:val="22"/>
          <w:highlight w:val="none"/>
        </w:rPr>
        <w:t>（11）被依法暂停或者取消投标资格；</w:t>
      </w:r>
    </w:p>
    <w:p w14:paraId="4A589E52">
      <w:pPr>
        <w:pStyle w:val="47"/>
        <w:ind w:firstLine="440"/>
        <w:rPr>
          <w:rFonts w:hint="eastAsia"/>
          <w:color w:val="auto"/>
          <w:sz w:val="22"/>
          <w:highlight w:val="none"/>
        </w:rPr>
      </w:pPr>
      <w:r>
        <w:rPr>
          <w:rFonts w:hint="eastAsia"/>
          <w:color w:val="auto"/>
          <w:sz w:val="22"/>
          <w:highlight w:val="none"/>
        </w:rPr>
        <w:t>（12）被责令停产停业、暂扣或者吊销许可证、暂扣或者吊销执照；</w:t>
      </w:r>
    </w:p>
    <w:p w14:paraId="3BE62086">
      <w:pPr>
        <w:pStyle w:val="47"/>
        <w:ind w:firstLine="440"/>
        <w:rPr>
          <w:rFonts w:hint="eastAsia"/>
          <w:color w:val="auto"/>
          <w:sz w:val="22"/>
          <w:highlight w:val="none"/>
        </w:rPr>
      </w:pPr>
      <w:r>
        <w:rPr>
          <w:rFonts w:hint="eastAsia"/>
          <w:color w:val="auto"/>
          <w:sz w:val="22"/>
          <w:highlight w:val="none"/>
        </w:rPr>
        <w:t>（13）进入清算程序，或被宣告破产，或其他丧失履约能力的情形；</w:t>
      </w:r>
    </w:p>
    <w:p w14:paraId="46C65ACF">
      <w:pPr>
        <w:pStyle w:val="47"/>
        <w:ind w:firstLine="440"/>
        <w:rPr>
          <w:rFonts w:hint="eastAsia"/>
          <w:color w:val="auto"/>
          <w:sz w:val="22"/>
          <w:highlight w:val="none"/>
        </w:rPr>
      </w:pPr>
      <w:r>
        <w:rPr>
          <w:rFonts w:hint="eastAsia"/>
          <w:color w:val="auto"/>
          <w:sz w:val="22"/>
          <w:highlight w:val="none"/>
        </w:rPr>
        <w:t>（14）在最近三年内发生重大工程质量或安全问题（以相关行业主管部门的行政处罚决定或司法机关出具的有关法律文书为准）；</w:t>
      </w:r>
    </w:p>
    <w:p w14:paraId="0AB6FB46">
      <w:pPr>
        <w:pStyle w:val="47"/>
        <w:ind w:firstLine="440"/>
        <w:rPr>
          <w:rFonts w:hint="eastAsia"/>
          <w:color w:val="auto"/>
          <w:sz w:val="22"/>
          <w:highlight w:val="none"/>
        </w:rPr>
      </w:pPr>
      <w:r>
        <w:rPr>
          <w:rFonts w:hint="eastAsia"/>
          <w:color w:val="auto"/>
          <w:sz w:val="22"/>
          <w:highlight w:val="none"/>
        </w:rPr>
        <w:t>（15）被“信用中国”网站（https://www.creditchina.gov.cn）发布的《法人和非法人组织公共信用信息报告》列为严重失信主体名单的。</w:t>
      </w:r>
    </w:p>
    <w:p w14:paraId="0258B621">
      <w:pPr>
        <w:pStyle w:val="47"/>
        <w:ind w:firstLine="440"/>
        <w:rPr>
          <w:rFonts w:hint="eastAsia"/>
          <w:color w:val="auto"/>
          <w:sz w:val="22"/>
          <w:highlight w:val="none"/>
        </w:rPr>
      </w:pPr>
      <w:r>
        <w:rPr>
          <w:rFonts w:hint="eastAsia"/>
          <w:color w:val="auto"/>
          <w:sz w:val="22"/>
          <w:highlight w:val="none"/>
        </w:rPr>
        <w:t>（16）法律法规或投标人须知前附表规定的其他情形。</w:t>
      </w:r>
    </w:p>
    <w:p w14:paraId="7DB5A74D">
      <w:pPr>
        <w:pStyle w:val="47"/>
        <w:ind w:firstLine="440"/>
        <w:rPr>
          <w:rFonts w:hint="eastAsia"/>
          <w:color w:val="auto"/>
          <w:sz w:val="22"/>
          <w:highlight w:val="none"/>
        </w:rPr>
      </w:pPr>
      <w:r>
        <w:rPr>
          <w:rFonts w:hint="eastAsia"/>
          <w:color w:val="auto"/>
          <w:sz w:val="22"/>
          <w:highlight w:val="none"/>
        </w:rPr>
        <w:t>1.4.4</w:t>
      </w:r>
      <w:r>
        <w:rPr>
          <w:rFonts w:hint="eastAsia"/>
          <w:color w:val="auto"/>
          <w:sz w:val="22"/>
          <w:highlight w:val="none"/>
          <w:lang w:val="en-US"/>
        </w:rPr>
        <w:t xml:space="preserve"> </w:t>
      </w:r>
      <w:r>
        <w:rPr>
          <w:rFonts w:hint="eastAsia"/>
          <w:color w:val="auto"/>
          <w:sz w:val="22"/>
          <w:highlight w:val="none"/>
        </w:rPr>
        <w:t>单位负责人为同一人或者存在控股、管理关系的不同单位，不得同时参加本招标项目投标。</w:t>
      </w:r>
    </w:p>
    <w:p w14:paraId="08B13A42">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1.5费用承担</w:t>
      </w:r>
    </w:p>
    <w:p w14:paraId="0ED3123B">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1.5.1投标人准备和参加投标活动发生的费用自理。</w:t>
      </w:r>
    </w:p>
    <w:p w14:paraId="3898015F">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1.5.2中标人须承担的其他费用：见投标人须知前附表</w:t>
      </w:r>
    </w:p>
    <w:p w14:paraId="519E47D1">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1.6 保密</w:t>
      </w:r>
    </w:p>
    <w:p w14:paraId="39CA72AA">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参与招标投标活动的各方应对招标文件和投标文件中的商业和技术等秘密保密，违者应对由此造成的后果承担法律责任。</w:t>
      </w:r>
    </w:p>
    <w:p w14:paraId="02C707DF">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1.7 语言文字</w:t>
      </w:r>
    </w:p>
    <w:p w14:paraId="6343B708">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除专用术语外，与招标投标有关的语言均使用中文。必要时专用术语应附有中文注释。</w:t>
      </w:r>
    </w:p>
    <w:p w14:paraId="2AB33CFD">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1.8 计量单位</w:t>
      </w:r>
    </w:p>
    <w:p w14:paraId="276A8684">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所有计量均采用中华人民共和国法定计量单位。</w:t>
      </w:r>
    </w:p>
    <w:p w14:paraId="4C18A105">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1.9  踏勘现场</w:t>
      </w:r>
    </w:p>
    <w:p w14:paraId="6D183660">
      <w:pPr>
        <w:spacing w:line="360" w:lineRule="auto"/>
        <w:ind w:left="178" w:firstLine="422" w:firstLineChars="192"/>
        <w:rPr>
          <w:rFonts w:hint="eastAsia" w:ascii="宋体" w:hAnsi="宋体" w:cs="宋体"/>
          <w:color w:val="auto"/>
          <w:sz w:val="22"/>
          <w:highlight w:val="none"/>
        </w:rPr>
      </w:pPr>
      <w:r>
        <w:rPr>
          <w:rFonts w:hint="eastAsia" w:ascii="宋体" w:hAnsi="宋体" w:cs="宋体"/>
          <w:color w:val="auto"/>
          <w:sz w:val="22"/>
          <w:highlight w:val="none"/>
        </w:rPr>
        <w:t>见投标人须知前附表</w:t>
      </w:r>
    </w:p>
    <w:p w14:paraId="24FC632E">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1.10  投标预备会</w:t>
      </w:r>
    </w:p>
    <w:p w14:paraId="15C58A8E">
      <w:pPr>
        <w:spacing w:line="360" w:lineRule="auto"/>
        <w:ind w:left="178" w:firstLine="422" w:firstLineChars="192"/>
        <w:rPr>
          <w:rFonts w:hint="eastAsia" w:ascii="宋体" w:hAnsi="宋体" w:cs="宋体"/>
          <w:color w:val="auto"/>
          <w:sz w:val="22"/>
          <w:highlight w:val="none"/>
        </w:rPr>
      </w:pPr>
      <w:r>
        <w:rPr>
          <w:rFonts w:hint="eastAsia" w:ascii="宋体" w:hAnsi="宋体" w:cs="宋体"/>
          <w:color w:val="auto"/>
          <w:sz w:val="22"/>
          <w:highlight w:val="none"/>
        </w:rPr>
        <w:t>见投标人须知前附表</w:t>
      </w:r>
    </w:p>
    <w:p w14:paraId="2163F7A3">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1.11  分包</w:t>
      </w:r>
    </w:p>
    <w:p w14:paraId="24B520F8">
      <w:pPr>
        <w:spacing w:line="360" w:lineRule="auto"/>
        <w:ind w:left="178" w:firstLine="422" w:firstLineChars="192"/>
        <w:rPr>
          <w:rFonts w:hint="eastAsia" w:ascii="宋体" w:hAnsi="宋体" w:cs="宋体"/>
          <w:color w:val="auto"/>
          <w:sz w:val="22"/>
          <w:highlight w:val="none"/>
        </w:rPr>
      </w:pPr>
      <w:r>
        <w:rPr>
          <w:rFonts w:hint="eastAsia" w:ascii="宋体" w:hAnsi="宋体" w:cs="宋体"/>
          <w:color w:val="auto"/>
          <w:sz w:val="22"/>
          <w:highlight w:val="none"/>
        </w:rPr>
        <w:t>见投标人须知前附表</w:t>
      </w:r>
    </w:p>
    <w:p w14:paraId="6E7F81F3">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1.12  偏离</w:t>
      </w:r>
    </w:p>
    <w:p w14:paraId="526CAFA0">
      <w:pPr>
        <w:spacing w:line="360" w:lineRule="auto"/>
        <w:ind w:left="178" w:firstLine="422" w:firstLineChars="192"/>
        <w:rPr>
          <w:rFonts w:hint="eastAsia" w:ascii="宋体" w:hAnsi="宋体" w:cs="宋体"/>
          <w:color w:val="auto"/>
          <w:sz w:val="22"/>
          <w:highlight w:val="none"/>
        </w:rPr>
      </w:pPr>
      <w:r>
        <w:rPr>
          <w:rFonts w:hint="eastAsia" w:ascii="宋体" w:hAnsi="宋体" w:cs="宋体"/>
          <w:color w:val="auto"/>
          <w:sz w:val="22"/>
          <w:highlight w:val="none"/>
        </w:rPr>
        <w:t>投标文件不允许偏离招标文件的实质性要求和条件。投标文件偏离招标文件的非实质性要求和条件的，其处理方式见投标人须知前附表。</w:t>
      </w:r>
    </w:p>
    <w:p w14:paraId="2710D471">
      <w:pPr>
        <w:keepNext/>
        <w:keepLines/>
        <w:spacing w:line="360" w:lineRule="auto"/>
        <w:rPr>
          <w:rFonts w:hint="eastAsia" w:ascii="宋体" w:hAnsi="宋体" w:cs="宋体"/>
          <w:b/>
          <w:color w:val="auto"/>
          <w:sz w:val="22"/>
          <w:highlight w:val="none"/>
        </w:rPr>
      </w:pPr>
      <w:r>
        <w:rPr>
          <w:rFonts w:hint="eastAsia" w:ascii="宋体" w:hAnsi="宋体" w:cs="宋体"/>
          <w:b/>
          <w:color w:val="auto"/>
          <w:sz w:val="22"/>
          <w:highlight w:val="none"/>
        </w:rPr>
        <w:t>2  招标文件</w:t>
      </w:r>
    </w:p>
    <w:p w14:paraId="52364A91">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2.1 招标文件的组成</w:t>
      </w:r>
    </w:p>
    <w:p w14:paraId="1D072544">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本招标文件包括：</w:t>
      </w:r>
    </w:p>
    <w:p w14:paraId="01865471">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（1）招标公告；</w:t>
      </w:r>
    </w:p>
    <w:p w14:paraId="34031A1B">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（2）投标人须知；</w:t>
      </w:r>
    </w:p>
    <w:p w14:paraId="648E1316">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（3）评标办法；</w:t>
      </w:r>
    </w:p>
    <w:p w14:paraId="2A1FA5E0">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（4）合同条款及格式；</w:t>
      </w:r>
    </w:p>
    <w:p w14:paraId="3EC17009">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（5）工程量清单；</w:t>
      </w:r>
    </w:p>
    <w:p w14:paraId="325ABE51">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（6）图纸；</w:t>
      </w:r>
    </w:p>
    <w:p w14:paraId="3C0AC325">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（7）技术标准和要求；</w:t>
      </w:r>
    </w:p>
    <w:p w14:paraId="2368076D">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（8）投标文件格式；</w:t>
      </w:r>
    </w:p>
    <w:p w14:paraId="444E847B">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（9）投标人须知前附表规定的其他材料。</w:t>
      </w:r>
    </w:p>
    <w:p w14:paraId="121B54BE">
      <w:pPr>
        <w:spacing w:line="360" w:lineRule="auto"/>
        <w:ind w:left="178" w:firstLine="480"/>
        <w:rPr>
          <w:rFonts w:hint="eastAsia" w:ascii="宋体" w:hAnsi="宋体" w:cs="宋体"/>
          <w:color w:val="auto"/>
          <w:sz w:val="22"/>
          <w:highlight w:val="none"/>
        </w:rPr>
      </w:pPr>
      <w:r>
        <w:rPr>
          <w:rFonts w:hint="eastAsia" w:ascii="宋体" w:hAnsi="宋体" w:cs="宋体"/>
          <w:color w:val="auto"/>
          <w:sz w:val="22"/>
          <w:highlight w:val="none"/>
        </w:rPr>
        <w:t>根据本章第2.2 款和第2.3 款对招标文件所作的澄清、修改，构成招标文件的组成部分。</w:t>
      </w:r>
    </w:p>
    <w:p w14:paraId="6F4FA26A">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2.2  招标文件的澄清</w:t>
      </w:r>
    </w:p>
    <w:p w14:paraId="149F6EB8">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 xml:space="preserve">2.2.1 投标人应仔细阅读和检查招标文件的全部内容。如发现缺页或附件不全，应及时向招标人提出，以便补齐。如有疑问，投标人对招标文件的质疑应在招标文件规定的质疑截止时间前以不署名的书面形式在建设工程网上交易系统提出。 </w:t>
      </w:r>
    </w:p>
    <w:p w14:paraId="78C23E14">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2.2.2招标文件的澄清将在招标文件规定的招标答疑截止时间前发布于全国公共资源交易平台（广东省·韶关市）（https://ygp.gdzwfw.gov.cn/ggzy-portal/#/440200/index），但不说明问题的来源。如果澄清发出的时间在招标文件规定的招标答疑截止时间之后，相应延长投标截止时间。</w:t>
      </w:r>
    </w:p>
    <w:p w14:paraId="7D640C9F">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2.2.3澄清一旦网上发布，即视为已通知给所有投标人。若由于投标人自身原因未及时获得补遗文件，由此发生的任何责任由投标人自负。</w:t>
      </w:r>
    </w:p>
    <w:p w14:paraId="22115A34">
      <w:pPr>
        <w:spacing w:line="360" w:lineRule="auto"/>
        <w:ind w:firstLine="482"/>
        <w:rPr>
          <w:rFonts w:hint="eastAsia" w:ascii="宋体" w:hAnsi="宋体" w:cs="宋体"/>
          <w:b/>
          <w:color w:val="auto"/>
          <w:sz w:val="22"/>
          <w:highlight w:val="none"/>
        </w:rPr>
      </w:pPr>
      <w:r>
        <w:rPr>
          <w:rFonts w:hint="eastAsia" w:ascii="宋体" w:hAnsi="宋体" w:cs="宋体"/>
          <w:b/>
          <w:color w:val="auto"/>
          <w:sz w:val="22"/>
          <w:highlight w:val="none"/>
        </w:rPr>
        <w:t>2.3  招标文件的修改</w:t>
      </w:r>
    </w:p>
    <w:p w14:paraId="2F362CEF">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 xml:space="preserve">2.3.1 招标人以网上质疑形式修改招标文件。修改招标文件的时间距投标人须知前附表规定的投标截止时间不足15天的，并且澄清内容影响投标文件编制的，将相应延长投标截止时间。 </w:t>
      </w:r>
    </w:p>
    <w:p w14:paraId="6205B6EC">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2.3.2上述发布的补充通知将作为招标文件的组成部分。</w:t>
      </w:r>
    </w:p>
    <w:p w14:paraId="3ABA7966">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2.3.3修改一旦网上发布，即视为已通知给所有投标人。</w:t>
      </w:r>
    </w:p>
    <w:p w14:paraId="7DCE2E68">
      <w:pPr>
        <w:keepNext/>
        <w:keepLines/>
        <w:spacing w:line="360" w:lineRule="auto"/>
        <w:rPr>
          <w:rFonts w:hint="eastAsia" w:ascii="宋体" w:hAnsi="宋体" w:cs="宋体"/>
          <w:b/>
          <w:color w:val="auto"/>
          <w:sz w:val="22"/>
          <w:highlight w:val="none"/>
        </w:rPr>
      </w:pPr>
      <w:r>
        <w:rPr>
          <w:rFonts w:hint="eastAsia" w:ascii="宋体" w:hAnsi="宋体" w:cs="宋体"/>
          <w:b/>
          <w:color w:val="auto"/>
          <w:sz w:val="22"/>
          <w:highlight w:val="none"/>
        </w:rPr>
        <w:t>3  投标文件</w:t>
      </w:r>
    </w:p>
    <w:p w14:paraId="0CED8F0B">
      <w:pPr>
        <w:spacing w:line="360" w:lineRule="auto"/>
        <w:ind w:left="178"/>
        <w:rPr>
          <w:rFonts w:hint="eastAsia" w:ascii="宋体" w:hAnsi="宋体" w:cs="宋体"/>
          <w:strike/>
          <w:color w:val="auto"/>
          <w:sz w:val="22"/>
          <w:highlight w:val="none"/>
        </w:rPr>
      </w:pPr>
      <w:r>
        <w:rPr>
          <w:rFonts w:hint="eastAsia" w:ascii="宋体" w:hAnsi="宋体" w:cs="宋体"/>
          <w:b/>
          <w:color w:val="auto"/>
          <w:sz w:val="22"/>
          <w:highlight w:val="none"/>
        </w:rPr>
        <w:t>3.1 投标文件的组成</w:t>
      </w:r>
    </w:p>
    <w:p w14:paraId="53D2A39A">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3.1.1 投标文件包括商务标书、技术标书两个分册</w:t>
      </w:r>
    </w:p>
    <w:p w14:paraId="19C41C3F">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3.1.2 投标文件包括但不限于下列内容</w:t>
      </w:r>
    </w:p>
    <w:p w14:paraId="4C474035">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第一册：商务标书</w:t>
      </w:r>
    </w:p>
    <w:p w14:paraId="079250F2">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一、投标报价书</w:t>
      </w:r>
    </w:p>
    <w:p w14:paraId="4EB890BA">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二、投标函及投标函附录</w:t>
      </w:r>
    </w:p>
    <w:p w14:paraId="3ECE9C58">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三、法定代表人身份证明或附有法定代表人身份证明的授权委托书</w:t>
      </w:r>
    </w:p>
    <w:p w14:paraId="6B93D7EE">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四、投标保证缴纳证明</w:t>
      </w:r>
    </w:p>
    <w:p w14:paraId="6DF5C2C1">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五、项目管理机构表</w:t>
      </w:r>
    </w:p>
    <w:p w14:paraId="66B9A565">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六、资格审查资料</w:t>
      </w:r>
    </w:p>
    <w:p w14:paraId="152B5FF3">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七、投标承诺书</w:t>
      </w:r>
    </w:p>
    <w:p w14:paraId="65463007">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八、其他材料（若有）</w:t>
      </w:r>
    </w:p>
    <w:p w14:paraId="43D0E623">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第二册：技术标书</w:t>
      </w:r>
    </w:p>
    <w:p w14:paraId="5F7E2892">
      <w:pPr>
        <w:spacing w:line="360" w:lineRule="auto"/>
        <w:ind w:left="420"/>
        <w:rPr>
          <w:rFonts w:hint="eastAsia" w:ascii="宋体" w:hAnsi="宋体" w:cs="宋体"/>
          <w:color w:val="auto"/>
          <w:sz w:val="22"/>
          <w:highlight w:val="none"/>
        </w:rPr>
      </w:pPr>
      <w:r>
        <w:rPr>
          <w:rFonts w:hint="eastAsia" w:ascii="宋体" w:hAnsi="宋体" w:cs="宋体"/>
          <w:color w:val="auto"/>
          <w:sz w:val="22"/>
          <w:highlight w:val="none"/>
        </w:rPr>
        <w:t>一、施工组织设计内容完整性和编制水平</w:t>
      </w:r>
    </w:p>
    <w:p w14:paraId="162600F4">
      <w:pPr>
        <w:spacing w:line="360" w:lineRule="auto"/>
        <w:ind w:left="420"/>
        <w:rPr>
          <w:rFonts w:hint="eastAsia" w:ascii="宋体" w:hAnsi="宋体" w:cs="宋体"/>
          <w:color w:val="auto"/>
          <w:sz w:val="22"/>
          <w:highlight w:val="none"/>
        </w:rPr>
      </w:pPr>
      <w:r>
        <w:rPr>
          <w:rFonts w:hint="eastAsia" w:ascii="宋体" w:hAnsi="宋体" w:cs="宋体"/>
          <w:color w:val="auto"/>
          <w:sz w:val="22"/>
          <w:highlight w:val="none"/>
        </w:rPr>
        <w:t>二、施工方案与技术措施的合理性、科学性与可行性</w:t>
      </w:r>
    </w:p>
    <w:p w14:paraId="1700E799">
      <w:pPr>
        <w:spacing w:line="360" w:lineRule="auto"/>
        <w:ind w:left="420"/>
        <w:rPr>
          <w:rFonts w:hint="eastAsia" w:ascii="宋体" w:hAnsi="宋体" w:cs="宋体"/>
          <w:color w:val="auto"/>
          <w:sz w:val="22"/>
          <w:highlight w:val="none"/>
        </w:rPr>
      </w:pPr>
      <w:r>
        <w:rPr>
          <w:rFonts w:hint="eastAsia" w:ascii="宋体" w:hAnsi="宋体" w:cs="宋体"/>
          <w:color w:val="auto"/>
          <w:sz w:val="22"/>
          <w:highlight w:val="none"/>
        </w:rPr>
        <w:t>三、质量管理体系与措施</w:t>
      </w:r>
    </w:p>
    <w:p w14:paraId="6E5B1BD8">
      <w:pPr>
        <w:spacing w:line="360" w:lineRule="auto"/>
        <w:ind w:left="420"/>
        <w:rPr>
          <w:rFonts w:hint="eastAsia" w:ascii="宋体" w:hAnsi="宋体" w:cs="宋体"/>
          <w:color w:val="auto"/>
          <w:sz w:val="22"/>
          <w:highlight w:val="none"/>
        </w:rPr>
      </w:pPr>
      <w:r>
        <w:rPr>
          <w:rFonts w:hint="eastAsia" w:ascii="宋体" w:hAnsi="宋体" w:cs="宋体"/>
          <w:color w:val="auto"/>
          <w:sz w:val="22"/>
          <w:highlight w:val="none"/>
        </w:rPr>
        <w:t>四、安全管理体系与措施</w:t>
      </w:r>
    </w:p>
    <w:p w14:paraId="707997FF">
      <w:pPr>
        <w:spacing w:line="360" w:lineRule="auto"/>
        <w:ind w:left="420"/>
        <w:rPr>
          <w:rFonts w:hint="eastAsia" w:ascii="宋体" w:hAnsi="宋体" w:cs="宋体"/>
          <w:color w:val="auto"/>
          <w:sz w:val="22"/>
          <w:highlight w:val="none"/>
        </w:rPr>
      </w:pPr>
      <w:r>
        <w:rPr>
          <w:rFonts w:hint="eastAsia" w:ascii="宋体" w:hAnsi="宋体" w:cs="宋体"/>
          <w:color w:val="auto"/>
          <w:sz w:val="22"/>
          <w:highlight w:val="none"/>
        </w:rPr>
        <w:t>五、环境保护管理体系与措施</w:t>
      </w:r>
    </w:p>
    <w:p w14:paraId="7221AD7F">
      <w:pPr>
        <w:spacing w:line="360" w:lineRule="auto"/>
        <w:ind w:left="420"/>
        <w:rPr>
          <w:rFonts w:hint="eastAsia" w:ascii="宋体" w:hAnsi="宋体" w:cs="宋体"/>
          <w:color w:val="auto"/>
          <w:sz w:val="22"/>
          <w:highlight w:val="none"/>
        </w:rPr>
      </w:pPr>
      <w:r>
        <w:rPr>
          <w:rFonts w:hint="eastAsia" w:ascii="宋体" w:hAnsi="宋体" w:cs="宋体"/>
          <w:color w:val="auto"/>
          <w:sz w:val="22"/>
          <w:highlight w:val="none"/>
        </w:rPr>
        <w:t>六、工程建设进度计划与措施</w:t>
      </w:r>
    </w:p>
    <w:p w14:paraId="7E02D216">
      <w:pPr>
        <w:spacing w:line="360" w:lineRule="auto"/>
        <w:ind w:left="420"/>
        <w:rPr>
          <w:rFonts w:hint="eastAsia" w:ascii="宋体" w:hAnsi="宋体" w:cs="宋体"/>
          <w:color w:val="auto"/>
          <w:sz w:val="22"/>
          <w:highlight w:val="none"/>
        </w:rPr>
      </w:pPr>
      <w:r>
        <w:rPr>
          <w:rFonts w:hint="eastAsia" w:ascii="宋体" w:hAnsi="宋体" w:cs="宋体"/>
          <w:color w:val="auto"/>
          <w:sz w:val="22"/>
          <w:highlight w:val="none"/>
        </w:rPr>
        <w:t>七、资源配备计划。</w:t>
      </w:r>
    </w:p>
    <w:p w14:paraId="67A8E0BF">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3.2 投标报价</w:t>
      </w:r>
    </w:p>
    <w:p w14:paraId="02059EC5">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3.2.1 投标人应按“投标函及投标函附录”的要求填写相应表格。</w:t>
      </w:r>
    </w:p>
    <w:p w14:paraId="047C69E0">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3.2.2本项目招标控制价见投标人须知前附表。</w:t>
      </w:r>
    </w:p>
    <w:p w14:paraId="776EED4B">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3.2.3 投标人仅需填报投标报价下浮率（有效投标报价下浮率≥</w:t>
      </w:r>
      <w:r>
        <w:rPr>
          <w:rFonts w:hint="eastAsia" w:ascii="宋体" w:hAnsi="宋体" w:cs="宋体"/>
          <w:color w:val="auto"/>
          <w:sz w:val="22"/>
          <w:highlight w:val="none"/>
          <w:shd w:val="clear" w:color="auto" w:fill="FFFFFF"/>
          <w:lang w:val="en-US" w:eastAsia="zh-CN"/>
        </w:rPr>
        <w:t>1</w:t>
      </w:r>
      <w:r>
        <w:rPr>
          <w:rFonts w:hint="eastAsia" w:ascii="宋体" w:hAnsi="宋体" w:cs="宋体"/>
          <w:color w:val="auto"/>
          <w:sz w:val="22"/>
          <w:highlight w:val="none"/>
          <w:shd w:val="clear" w:color="auto" w:fill="FFFFFF"/>
        </w:rPr>
        <w:t>.000%）（保留小数点后3位），不在此范围内的投标报价均为无效投标报价。投标人的投标报价包括所有税费、单位应交的保险、应承担的风险及应提供的服务。</w:t>
      </w:r>
    </w:p>
    <w:p w14:paraId="309B8EB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本项目主体工程采用综合单价承包（综合单价为财政审核控制单价×（1-中标下浮率）为中标的综合单价，合同总价为（招标控制价-安全生产措施费、其他临时工程费-预留金）×（1-中标下浮率）+安全生产措施费、其他临时工程费（安全生产措施费、其他临时工程费控制价不下浮）+预留金（预留金控制价不下浮）；临时工程费采用总价承包（临时工程费用控制价的临时工程费×（1-中标下浮率））。</w:t>
      </w:r>
    </w:p>
    <w:p w14:paraId="41F93EB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3.2.4投标下浮率大于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56BB8E12">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3.3 投标有效期</w:t>
      </w:r>
    </w:p>
    <w:p w14:paraId="5F9C9E27">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3.3.1 在投标人须知前附表规定的投标有效期内，投标人不得要求撤销或修改其投标文件。</w:t>
      </w:r>
    </w:p>
    <w:p w14:paraId="6C11893A">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3.3.2 出现特殊情况需要延长投标有效期的，招标人以补充公告的形式通知所有投标人延长投标有效期。补充公告一经在建设工程交易系统发布，则视为投标人同意延长其投标保证金的有效期，但不得要求或被允许修改或撤销其投标文件；投标人拒绝延长的，其投标失效，但投标人有权收回其投标保证金。</w:t>
      </w:r>
    </w:p>
    <w:p w14:paraId="7E26CE5E">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3.4 投标保证</w:t>
      </w:r>
    </w:p>
    <w:p w14:paraId="01DF6E28">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3.4.1投标人在递交投标文件的同时，应按投标人须知前附表规定的金额和担保形式和第八章“投标文件格式”规定的投标保证金格式递交投标保证金，并作为其投标文件的组成部分。</w:t>
      </w:r>
    </w:p>
    <w:p w14:paraId="1EB3B310">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3.4.2 待中标公示结束且无异议后，投标项目保证金由韶关市公共资源交易中心建设工程招标投标交易平台自动退回。如韶关市公共资源交易中心关于投标保证的退回有新规定的，则按新规定执行。</w:t>
      </w:r>
    </w:p>
    <w:p w14:paraId="7DCE3DBF">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3.4.3 投标人不按本章第3.4.1项要求提交投标保证的，其投标文件作无效标书处理。</w:t>
      </w:r>
    </w:p>
    <w:p w14:paraId="3527E444">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3.4.4 有下列情形之一的，投标保证将不予退还：</w:t>
      </w:r>
    </w:p>
    <w:p w14:paraId="3FF79A1D">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（1）投标人在规定的投标有效期内撤销或修改其投标文件；</w:t>
      </w:r>
    </w:p>
    <w:p w14:paraId="3652649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（2）中标人在收到中标通知书后，无正当理由拒签合同协议书。</w:t>
      </w:r>
    </w:p>
    <w:p w14:paraId="79DECDFB">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3.5  资格审查资料</w:t>
      </w:r>
    </w:p>
    <w:p w14:paraId="40D6B0E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3.5.1按投标人须知前附表1.4.1的规定。</w:t>
      </w:r>
    </w:p>
    <w:p w14:paraId="5734E9FE">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3.5.2本次招标不接受联合体投标。</w:t>
      </w:r>
    </w:p>
    <w:p w14:paraId="3235A8D5">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3.5.3本次招标实行资格后审，资格审查的具体要求见招标文件，资格后审不合格的投标人的投标文件将按废标处理。</w:t>
      </w:r>
    </w:p>
    <w:p w14:paraId="6E7E4EF6">
      <w:pPr>
        <w:tabs>
          <w:tab w:val="left" w:pos="3018"/>
        </w:tabs>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3.6  备选投标方案</w:t>
      </w:r>
      <w:r>
        <w:rPr>
          <w:rFonts w:hint="eastAsia" w:ascii="宋体" w:hAnsi="宋体" w:cs="宋体"/>
          <w:b/>
          <w:color w:val="auto"/>
          <w:sz w:val="22"/>
          <w:highlight w:val="none"/>
        </w:rPr>
        <w:tab/>
      </w:r>
    </w:p>
    <w:p w14:paraId="53D800A8">
      <w:pPr>
        <w:spacing w:line="360" w:lineRule="auto"/>
        <w:ind w:left="178"/>
        <w:rPr>
          <w:rFonts w:hint="eastAsia" w:ascii="宋体" w:hAnsi="宋体" w:cs="宋体"/>
          <w:color w:val="auto"/>
          <w:sz w:val="22"/>
          <w:highlight w:val="none"/>
        </w:rPr>
      </w:pPr>
      <w:r>
        <w:rPr>
          <w:rFonts w:hint="eastAsia" w:ascii="宋体" w:hAnsi="宋体" w:cs="宋体"/>
          <w:color w:val="auto"/>
          <w:sz w:val="22"/>
          <w:highlight w:val="none"/>
        </w:rPr>
        <w:t xml:space="preserve">    不接受备选投标方案。</w:t>
      </w:r>
    </w:p>
    <w:p w14:paraId="69D1AC44">
      <w:pPr>
        <w:spacing w:line="360" w:lineRule="auto"/>
        <w:ind w:left="178"/>
        <w:rPr>
          <w:rFonts w:hint="eastAsia" w:ascii="宋体" w:hAnsi="宋体" w:cs="宋体"/>
          <w:b/>
          <w:color w:val="auto"/>
          <w:sz w:val="22"/>
          <w:highlight w:val="none"/>
          <w:u w:val="single"/>
        </w:rPr>
      </w:pPr>
      <w:r>
        <w:rPr>
          <w:rFonts w:hint="eastAsia" w:ascii="宋体" w:hAnsi="宋体" w:cs="宋体"/>
          <w:b/>
          <w:color w:val="auto"/>
          <w:sz w:val="22"/>
          <w:highlight w:val="none"/>
        </w:rPr>
        <w:t>3.7  投标文件的编制</w:t>
      </w:r>
    </w:p>
    <w:p w14:paraId="1F91AC99">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5B3CF09C">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3.7.2 投标人必须响应招标文件，并在充分理解招标人提供的全部文件、设计图纸、资料及现场条件的基础上编制投标文件。因投标文件不符合招标文件的要求而造成的损失和后果，由投标人自行承担。</w:t>
      </w:r>
    </w:p>
    <w:p w14:paraId="2095ED7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3.7.3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交易指引。</w:t>
      </w:r>
    </w:p>
    <w:p w14:paraId="47CC5642">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3.7.4 投标文件需按以下要求签字、盖章：</w:t>
      </w:r>
    </w:p>
    <w:p w14:paraId="359D88D1">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3.7.4.1 投标文件封面、组成内容中凡注明“签字”处由要求的人员签字或电子签章；凡注明“签字或盖章”处由要求的人员签字或盖其私章（电子印章）；凡注明“签字并盖执业印章”处由要求的人员签字并盖其执业印章。</w:t>
      </w:r>
    </w:p>
    <w:p w14:paraId="148A1C5F">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3.7.4.2 投标文件封套、封面、组成内容中凡要求录入投标人名称且注明“盖单位章”处盖单位法人公章（电子印章）。</w:t>
      </w:r>
    </w:p>
    <w:p w14:paraId="3883E8E9">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3.7.4.3 投标文件正本的签字均为签字人本人亲笔署名或签章（电子印章），其余部分的复印件无须另行签字、盖章。</w:t>
      </w:r>
    </w:p>
    <w:p w14:paraId="14D85C9C">
      <w:pPr>
        <w:keepNext/>
        <w:keepLines/>
        <w:spacing w:line="360" w:lineRule="auto"/>
        <w:rPr>
          <w:rFonts w:hint="eastAsia" w:ascii="宋体" w:hAnsi="宋体" w:cs="宋体"/>
          <w:b/>
          <w:color w:val="auto"/>
          <w:sz w:val="22"/>
          <w:highlight w:val="none"/>
        </w:rPr>
      </w:pPr>
      <w:r>
        <w:rPr>
          <w:rFonts w:hint="eastAsia" w:ascii="宋体" w:hAnsi="宋体" w:cs="宋体"/>
          <w:b/>
          <w:color w:val="auto"/>
          <w:sz w:val="22"/>
          <w:highlight w:val="none"/>
        </w:rPr>
        <w:t>4  投标</w:t>
      </w:r>
    </w:p>
    <w:p w14:paraId="5D39B288">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4.1电子投标</w:t>
      </w:r>
    </w:p>
    <w:p w14:paraId="1036C5A7">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4.1.1 在建设工程交易系统上传加盖电子印章投标文件、录入相关信息及标书页码信息（页码起始从封面开始）并提交投标标书。提交标书为已加密投标文件。具体操作参照《韶关市公共资源建设工程交易系统-投标人操作指南》。本项目评标采用全流程电子化进行招标投标（投标人应根据韶关市公共资源交易一体化平台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450A8DDB">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4.1.2 电子投标文件的修改、撤回：在提交投标文件截止时间前，投标人可以修改或撤回未解密的电子投标文件，并于提交投标文件截止时间前将修改后重新上传电子投标文件至系统，到达投标文件提交截止时间后，将不允许修改或撤回。</w:t>
      </w:r>
    </w:p>
    <w:p w14:paraId="1B23E62C">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4.1.3 按照交易平台关于全流程电子化项目的相关指南进行操作。详见：全国公共资源交易平台（广东省·韶关市）（https://ygp.gdzwfw.gov.cn/ggzy-portal/#/440200/index）【服务指南】栏目中下载《韶关市公共资源建设工程交易系统-投标人操作指南》。</w:t>
      </w:r>
    </w:p>
    <w:p w14:paraId="6981D4E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4.2电子投标突发情况及补救方案</w:t>
      </w:r>
    </w:p>
    <w:p w14:paraId="0683D6CD">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4.2.1按照交易平台关于全流程电子化项目的相关指南进行操作。详见：全国公共资源交易平台（广东省·韶关市）（https://ygp.gdzwfw.gov.cn/ggzy-portal/#/440200/index）交易指引栏目发布的最新版操作指引。</w:t>
      </w:r>
    </w:p>
    <w:p w14:paraId="04E333F1">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4.2.2补救方案</w:t>
      </w:r>
    </w:p>
    <w:p w14:paraId="0B8425C9">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（1）投标文件解密失败的补救方案：</w:t>
      </w:r>
    </w:p>
    <w:p w14:paraId="547EDDFC">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在规定时间内，因投标人之外原因(指网络瘫痪、服务器损坏、交易系统故障短期无法恢复)等导致的电子投标文件解密失败，允许代理授权投标人重新上传电子投标文件（时限为30分钟），评标委员会对其投标文件的评审以重新上传的内容为准。电子投标文件解密失败且未重新上传电子投标文件的，视为无效投标。</w:t>
      </w:r>
    </w:p>
    <w:p w14:paraId="57A9C854">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（2）评标时突发情况的补救方案</w:t>
      </w:r>
    </w:p>
    <w:p w14:paraId="53524CD1">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在评标过程中，因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76D7D058">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（3）除发生上述情况外，开标评标均以投标人通过交易平台网上递交的电子投标文件为准。</w:t>
      </w:r>
    </w:p>
    <w:p w14:paraId="0A124FE8">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4.3投标文件的提交</w:t>
      </w:r>
    </w:p>
    <w:p w14:paraId="7907B198">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4.3.1投标人必须在规定的截止时间前使用交易系统完成获取招标文件、缴纳投标保证和全流程电子投标，只有满足以上所有条件，方为有效投标。</w:t>
      </w:r>
    </w:p>
    <w:p w14:paraId="24EA496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4.3.2投标人如有招标文件要求提交的用于评审的证书、证件、证明原件（附一式两份清单），由投标人法定代表人或其委托代理人在指定的时间和地点递交（详见“重要事项时间地点一览表”）。</w:t>
      </w:r>
    </w:p>
    <w:p w14:paraId="45A35E82">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4.3.3代理机构对因不可抗力事件造成的投标文件的损坏、丢失的，不承担责任。</w:t>
      </w:r>
    </w:p>
    <w:p w14:paraId="5C330D7F">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4.3.4出现下述情形之一，属于未成功提交投标文件，按无效投标处理：</w:t>
      </w:r>
    </w:p>
    <w:p w14:paraId="03B9F8C3">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（1）至提交投标文件截止时，投标文件未完整上传或未提交投标。</w:t>
      </w:r>
    </w:p>
    <w:p w14:paraId="73BEA96D">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（2）因投标人原因导致电子投标文件解密失败且未在规定的时限内按要求成功上传未加密的备用投标文件的。</w:t>
      </w:r>
    </w:p>
    <w:p w14:paraId="0BB4836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4.4 投标文件的修改与撤回</w:t>
      </w:r>
    </w:p>
    <w:p w14:paraId="77E7286A">
      <w:pPr>
        <w:tabs>
          <w:tab w:val="left" w:pos="3018"/>
        </w:tabs>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shd w:val="clear" w:color="auto" w:fill="FFFFFF"/>
        </w:rPr>
        <w:t>在提交投标文件截止时间前，投标人可以修改或撤回未解密的电子投标文件，并于提交投标文件截止时间前将修改后重新上传电子投标文件至系统，到达投标文件提交截止时间后，将不允许修改或撤回。在提交投标文件截止时间后，投标人不得补充、修改和更换投标文件。</w:t>
      </w:r>
    </w:p>
    <w:p w14:paraId="4D1EDFB0">
      <w:pPr>
        <w:keepNext/>
        <w:keepLines/>
        <w:spacing w:line="360" w:lineRule="auto"/>
        <w:rPr>
          <w:rFonts w:hint="eastAsia" w:ascii="宋体" w:hAnsi="宋体" w:cs="宋体"/>
          <w:b/>
          <w:color w:val="auto"/>
          <w:sz w:val="22"/>
          <w:highlight w:val="none"/>
        </w:rPr>
      </w:pPr>
      <w:r>
        <w:rPr>
          <w:rFonts w:hint="eastAsia" w:ascii="宋体" w:hAnsi="宋体" w:cs="宋体"/>
          <w:b/>
          <w:color w:val="auto"/>
          <w:sz w:val="22"/>
          <w:highlight w:val="none"/>
        </w:rPr>
        <w:t>5  开标</w:t>
      </w:r>
    </w:p>
    <w:p w14:paraId="1E2969EE">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5.1  开标时间和地点</w:t>
      </w:r>
    </w:p>
    <w:p w14:paraId="597733DD">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5.1.1招标人邀请所有已经按要求完成网上获取招标文件、电子投标、缴纳投标保证金的投标人参加开标，投标人可自主决定是否参加。投标人不参加开标的，视其放弃见证、监督、申辩、投诉有关开标活动的权利。</w:t>
      </w:r>
    </w:p>
    <w:p w14:paraId="33950AC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5.1.2开标时间和地点：详见“重要事项时间地点一览表”。</w:t>
      </w:r>
    </w:p>
    <w:p w14:paraId="6D170FB2">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5.1.3开标前24小时，若建设工程交易系统显示缴纳投标保证（包括投标保证金、投标保证担保）的投标人数量不足3个时，招标人将取消原定于次日召开的开标活动。投标人可在投标保证缴纳截止时间（详见“重要事项时间地点一览表”）至电子投标截止时间（详见“重要事项时间地点一览表”）期间登录全国公共资源交易平台（广东省·韶关市）（https://ygp.gdzwfw.gov.cn/ggzy-portal/#/440200/index）查询是否发布了取消开标活动的相关信息。</w:t>
      </w:r>
    </w:p>
    <w:p w14:paraId="1FE7F11C">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5.2  开标程序</w:t>
      </w:r>
    </w:p>
    <w:p w14:paraId="6A45BE69">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（1）宣布开标纪律；</w:t>
      </w:r>
    </w:p>
    <w:p w14:paraId="0D1BC7F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（2）公布在投标截止时间前提交电子投标文件的投标人名称；</w:t>
      </w:r>
    </w:p>
    <w:p w14:paraId="18AF263F">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（3）宣布开标人、唱标人、记录人、监标人等有关人员姓名；</w:t>
      </w:r>
    </w:p>
    <w:p w14:paraId="24A96D05">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在交易中心工作人员的见证下，由招标代理机构人员插入数字证书进行验证，验证通过后对投标人的电子投标文件进行解密，成功解密后系统自动提取投标人的相关信息，生成开标一览表，开标记录表包括各投标人的签到情况、投标报价、投标保证缴纳情况等内容；</w:t>
      </w:r>
    </w:p>
    <w:p w14:paraId="7615268C">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（5）招标人代表、监标人、记录人等人员在《开标一览表》上签字确认；</w:t>
      </w:r>
    </w:p>
    <w:p w14:paraId="19C25892">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（6）开标结束。</w:t>
      </w:r>
    </w:p>
    <w:p w14:paraId="77714E1A">
      <w:pPr>
        <w:tabs>
          <w:tab w:val="left" w:pos="3018"/>
        </w:tabs>
        <w:spacing w:line="360" w:lineRule="auto"/>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shd w:val="clear" w:color="auto" w:fill="FFFFFF"/>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BD1D992">
      <w:pPr>
        <w:keepNext/>
        <w:keepLines/>
        <w:spacing w:line="360" w:lineRule="auto"/>
        <w:rPr>
          <w:rFonts w:hint="eastAsia" w:ascii="宋体" w:hAnsi="宋体" w:cs="宋体"/>
          <w:b/>
          <w:color w:val="auto"/>
          <w:sz w:val="22"/>
          <w:highlight w:val="none"/>
        </w:rPr>
      </w:pPr>
      <w:r>
        <w:rPr>
          <w:rFonts w:hint="eastAsia" w:ascii="宋体" w:hAnsi="宋体" w:cs="宋体"/>
          <w:b/>
          <w:color w:val="auto"/>
          <w:sz w:val="22"/>
          <w:highlight w:val="none"/>
        </w:rPr>
        <w:t>6  评标</w:t>
      </w:r>
    </w:p>
    <w:p w14:paraId="24BC9134">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6.1 评标委员会</w:t>
      </w:r>
    </w:p>
    <w:p w14:paraId="619CD963">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6.1.1 评标由招标人依法组建的评标委员会负责。评标委员会成员人数以及技术、经济等方面专家的确定方式见投标人须知前附表。</w:t>
      </w:r>
    </w:p>
    <w:p w14:paraId="418392FE">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评标专家确定方式：从广东省综合评标评审专家库韶关市区域中随机抽取产生。</w:t>
      </w:r>
    </w:p>
    <w:p w14:paraId="6A37D7E9">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6.1.2 评标委员会成员有下列情形之一的，应当回避：</w:t>
      </w:r>
    </w:p>
    <w:p w14:paraId="08C28FE1">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 招标人或投标人的主要负责人的近亲属；</w:t>
      </w:r>
    </w:p>
    <w:p w14:paraId="124B1E32">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(2) 项目主管部门或者行政监督部门的人员；</w:t>
      </w:r>
    </w:p>
    <w:p w14:paraId="00C64AF7">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 与投标人有经济利益关系，可能影响对投标公正评审的；</w:t>
      </w:r>
    </w:p>
    <w:p w14:paraId="5418D1E2">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 曾因在招标、评标以及其他与招标投标有关活动中从事违法行为而受过行政处罚或刑事处罚的；</w:t>
      </w:r>
    </w:p>
    <w:p w14:paraId="4CF149FE">
      <w:pPr>
        <w:tabs>
          <w:tab w:val="left" w:pos="3018"/>
        </w:tabs>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shd w:val="clear" w:color="auto" w:fill="FFFFFF"/>
        </w:rPr>
        <w:t>(5) 与投标人有其他利害关系。</w:t>
      </w:r>
    </w:p>
    <w:p w14:paraId="7591D613">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6.2 评标原则</w:t>
      </w:r>
    </w:p>
    <w:p w14:paraId="67D7D373">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评标活动遵循公平、公正、科学和择优的原则。</w:t>
      </w:r>
    </w:p>
    <w:p w14:paraId="688F791F">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6.3 评标</w:t>
      </w:r>
    </w:p>
    <w:p w14:paraId="1164CC25">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评标委员会按照第3章“评标办法”规定的方法、评审因素、标准和程序对投标文件进行评审。第3章“评标办法”没有规定的方法、评审因素和标准，不作为评标依据。</w:t>
      </w:r>
    </w:p>
    <w:p w14:paraId="4313D4A5">
      <w:pPr>
        <w:tabs>
          <w:tab w:val="left" w:pos="3018"/>
        </w:tabs>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shd w:val="clear" w:color="auto" w:fill="FFFFFF"/>
        </w:rPr>
        <w:t>本工程采用线上评标方式评标，评标委员会评审（除投标文件解密失败的补救方案情形）外以投标单位提交到韶关市公共资源一体化平台投标文件为准。</w:t>
      </w:r>
    </w:p>
    <w:p w14:paraId="672DE0EC">
      <w:pPr>
        <w:keepNext/>
        <w:keepLines/>
        <w:spacing w:line="360" w:lineRule="auto"/>
        <w:rPr>
          <w:rFonts w:hint="eastAsia" w:ascii="宋体" w:hAnsi="宋体" w:cs="宋体"/>
          <w:b/>
          <w:color w:val="auto"/>
          <w:sz w:val="22"/>
          <w:highlight w:val="none"/>
        </w:rPr>
      </w:pPr>
      <w:r>
        <w:rPr>
          <w:rFonts w:hint="eastAsia" w:ascii="宋体" w:hAnsi="宋体" w:cs="宋体"/>
          <w:b/>
          <w:color w:val="auto"/>
          <w:sz w:val="22"/>
          <w:highlight w:val="none"/>
        </w:rPr>
        <w:t>7  合同授予</w:t>
      </w:r>
    </w:p>
    <w:p w14:paraId="47946BDB">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7.1  定标方式</w:t>
      </w:r>
    </w:p>
    <w:p w14:paraId="59E61CF3">
      <w:pPr>
        <w:tabs>
          <w:tab w:val="left" w:pos="3018"/>
        </w:tabs>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shd w:val="clear" w:color="auto" w:fill="FFFFFF"/>
        </w:rPr>
        <w:t>评标委员会推荐3名中标候选人，并标明推荐顺序。招标人依据评标委员会推荐的中标候选人确定中标人。</w:t>
      </w:r>
    </w:p>
    <w:p w14:paraId="7E378CE3">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7.2 中标通知</w:t>
      </w:r>
    </w:p>
    <w:p w14:paraId="5678CF7D">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在本章第3.3款规定的投标有效期内，招标人以书面形式向中标人发出中标通知书，由于对评标结果以网上形式进行了公示，因此招标人向中标人发出中标通知时，不再将中标结果通知未中标的投标人。</w:t>
      </w:r>
    </w:p>
    <w:p w14:paraId="5A618FCB">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7.3 签订合同</w:t>
      </w:r>
    </w:p>
    <w:p w14:paraId="1E282BB7">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7.3.1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627E9D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7.3.2 发出中标通知书后，招标人无正当理由拒签合同的，招标人向中标人退还投标保证金，并按投标保证金双倍的金额补偿投标人损失。</w:t>
      </w:r>
    </w:p>
    <w:p w14:paraId="3151F68A">
      <w:pPr>
        <w:tabs>
          <w:tab w:val="left" w:pos="3018"/>
        </w:tabs>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shd w:val="clear" w:color="auto" w:fill="FFFFFF"/>
        </w:rPr>
        <w:t>7.3.3  签订合同的同时签订《安全生产责任书》和《工资支付保证金管理协议书》。</w:t>
      </w:r>
    </w:p>
    <w:p w14:paraId="6F71636C">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7.4 履约保证金</w:t>
      </w:r>
    </w:p>
    <w:p w14:paraId="3468DEE4">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7.4.1 在签订合同前，中标人应按投标人须知前附表规定的形式向招标人提交履约保证金。除投标人须知前附表另有规定外，履约保证金的金额为中标价的3%。</w:t>
      </w:r>
    </w:p>
    <w:p w14:paraId="0D4F107E">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7.4.2 中标人不能按本章7.4.1项要求提交履约保证金的，视为放弃中标，其投标保证金不予退还，给招标人造成的损失超过投标保证金数额的，中标人还应当对超过部分予以赔偿。</w:t>
      </w:r>
    </w:p>
    <w:p w14:paraId="5BB89435">
      <w:pPr>
        <w:keepNext/>
        <w:keepLines/>
        <w:spacing w:line="360" w:lineRule="auto"/>
        <w:rPr>
          <w:rFonts w:hint="eastAsia" w:ascii="宋体" w:hAnsi="宋体" w:cs="宋体"/>
          <w:b/>
          <w:color w:val="auto"/>
          <w:sz w:val="22"/>
          <w:highlight w:val="none"/>
        </w:rPr>
      </w:pPr>
      <w:r>
        <w:rPr>
          <w:rFonts w:hint="eastAsia" w:ascii="宋体" w:hAnsi="宋体" w:cs="宋体"/>
          <w:b/>
          <w:color w:val="auto"/>
          <w:sz w:val="22"/>
          <w:highlight w:val="none"/>
        </w:rPr>
        <w:t>8  重新招标和不再招标</w:t>
      </w:r>
    </w:p>
    <w:p w14:paraId="373C352D">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8.1  重新招标</w:t>
      </w:r>
    </w:p>
    <w:p w14:paraId="5521987E">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有下列情形之一的，招标人将重新招标：</w:t>
      </w:r>
    </w:p>
    <w:p w14:paraId="447A9B7C">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 投标截止时间止，投标人少于3个的；</w:t>
      </w:r>
    </w:p>
    <w:p w14:paraId="30686443">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(2)通过资格审查的投标人少于3个的；</w:t>
      </w:r>
    </w:p>
    <w:p w14:paraId="2D8D204C">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 经评标委员会评审后否决所有投标的；</w:t>
      </w:r>
    </w:p>
    <w:p w14:paraId="6514F452">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 评标委员会否决不合格投标后因有效投标不足3个使得投标明显缺乏竞争，评标委员会决定否决全部投标的；</w:t>
      </w:r>
    </w:p>
    <w:p w14:paraId="5D4A1708">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(5) 同意延长投标有效期的投标人少于3个的；</w:t>
      </w:r>
    </w:p>
    <w:p w14:paraId="76E7B0E4">
      <w:pPr>
        <w:tabs>
          <w:tab w:val="left" w:pos="3018"/>
        </w:tabs>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shd w:val="clear" w:color="auto" w:fill="FFFFFF"/>
        </w:rPr>
        <w:t>(6) 中标候选人均未与招标人签订合同的。</w:t>
      </w:r>
    </w:p>
    <w:p w14:paraId="4F678A91">
      <w:pPr>
        <w:spacing w:line="360" w:lineRule="auto"/>
        <w:rPr>
          <w:rFonts w:hint="eastAsia" w:ascii="宋体" w:hAnsi="宋体" w:cs="宋体"/>
          <w:b/>
          <w:color w:val="auto"/>
          <w:sz w:val="22"/>
          <w:highlight w:val="none"/>
        </w:rPr>
      </w:pPr>
      <w:r>
        <w:rPr>
          <w:rFonts w:hint="eastAsia" w:ascii="宋体" w:hAnsi="宋体" w:cs="宋体"/>
          <w:b/>
          <w:color w:val="auto"/>
          <w:sz w:val="22"/>
          <w:highlight w:val="none"/>
        </w:rPr>
        <w:t>8.2  不再招标</w:t>
      </w:r>
    </w:p>
    <w:p w14:paraId="5B7A8E58">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重新招标后，仍出现本章第8.1条规定情形之一的，属于必须审批的水利工程建设项目，经行政监督部门批准后不再进行招标。</w:t>
      </w:r>
    </w:p>
    <w:p w14:paraId="2BA39AA4">
      <w:pPr>
        <w:keepNext/>
        <w:keepLines/>
        <w:spacing w:line="360" w:lineRule="auto"/>
        <w:rPr>
          <w:rFonts w:hint="eastAsia" w:ascii="宋体" w:hAnsi="宋体" w:cs="宋体"/>
          <w:b/>
          <w:color w:val="auto"/>
          <w:sz w:val="22"/>
          <w:highlight w:val="none"/>
        </w:rPr>
      </w:pPr>
      <w:r>
        <w:rPr>
          <w:rFonts w:hint="eastAsia" w:ascii="宋体" w:hAnsi="宋体" w:cs="宋体"/>
          <w:b/>
          <w:color w:val="auto"/>
          <w:sz w:val="22"/>
          <w:highlight w:val="none"/>
        </w:rPr>
        <w:t>9  纪律和监督</w:t>
      </w:r>
    </w:p>
    <w:p w14:paraId="2418CF00">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9.1  对招标人的纪律要求</w:t>
      </w:r>
    </w:p>
    <w:p w14:paraId="5C543B6C">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招标人不得泄漏招标投标活动中应当保密的情况和资料，不得与投标人串通损害国家利益、社会公共利益或者他人合法权益。</w:t>
      </w:r>
    </w:p>
    <w:p w14:paraId="73374440">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下列行为均属招标人与投标人串通投标：</w:t>
      </w:r>
    </w:p>
    <w:p w14:paraId="3FF86051">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 招标人在开标前开启投标文件，并将投标情况告知其它投标人，或者协助投标人撤换投标文件，更改报价；</w:t>
      </w:r>
    </w:p>
    <w:p w14:paraId="2781BF9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(2) 招标人向投标人泄露标底；</w:t>
      </w:r>
    </w:p>
    <w:p w14:paraId="2694AC42">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 招标人与投标人商定，投标时压低或抬高标价，中标后再给投标人或招标人额外补偿；</w:t>
      </w:r>
    </w:p>
    <w:p w14:paraId="7CA4C0E4">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 招标人预先内定中标人；</w:t>
      </w:r>
    </w:p>
    <w:p w14:paraId="08B7C3C0">
      <w:pPr>
        <w:tabs>
          <w:tab w:val="left" w:pos="3018"/>
        </w:tabs>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shd w:val="clear" w:color="auto" w:fill="FFFFFF"/>
        </w:rPr>
        <w:t>(5) 其它串通投标行为。</w:t>
      </w:r>
    </w:p>
    <w:p w14:paraId="5A9F5094">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9.2  对投标人的纪律要求</w:t>
      </w:r>
    </w:p>
    <w:p w14:paraId="750D86E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投标人不得相互串通投标或者与招标人串通投标，不得向招标人或者评标委员会成员行贿谋取中标，不得以他人名义投标或者以其它方式弄虚作假骗取中标；投标人不得以任何方式干扰、影响评标工作。</w:t>
      </w:r>
    </w:p>
    <w:p w14:paraId="36FDF33A">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9.2.1  下列行为均属以他人名义投标，按无效投标处理：</w:t>
      </w:r>
    </w:p>
    <w:p w14:paraId="1267E72A">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（1）投标人挂靠其它施工单位；</w:t>
      </w:r>
    </w:p>
    <w:p w14:paraId="68B41E18">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（2）投标人从其它施工单位通过转让或租借的方式获取资格或资质证书；</w:t>
      </w:r>
    </w:p>
    <w:p w14:paraId="42A2A9FA">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（3）由其它单位及法定代表人在自己编制的投标文件上加盖印章或签字的行为。</w:t>
      </w:r>
    </w:p>
    <w:p w14:paraId="3D18803C">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9.2.2  下列行为，视为允许他人以本单位名义承揽工程，按无效投标处理：</w:t>
      </w:r>
    </w:p>
    <w:p w14:paraId="4F419C0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（1）投标人的法定代表人的授权委托人不是投标人本单位人员；</w:t>
      </w:r>
    </w:p>
    <w:p w14:paraId="2A760548">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（2）投标人拟在施工现场所设项目管理机构的项目经理、技术负责人、安全管理人员（专职安全生产管理人员）不是本单位人员。</w:t>
      </w:r>
    </w:p>
    <w:p w14:paraId="5EF10DB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 xml:space="preserve"> 9.2.3  下列行为均属投标人串通投标报价，按无效标书处理：</w:t>
      </w:r>
    </w:p>
    <w:p w14:paraId="62EB414F">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（1）投标人之间相互约定抬高或压低投标报价；</w:t>
      </w:r>
    </w:p>
    <w:p w14:paraId="6848AA7C">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（2）投标人之间相互约定，在招标项目中分别以高、中、低价位报价；</w:t>
      </w:r>
    </w:p>
    <w:p w14:paraId="3A7F0002">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（3）投标人之间先进行内部竞价，内定中标人，然后再参加投标；</w:t>
      </w:r>
    </w:p>
    <w:p w14:paraId="35CE0555">
      <w:pPr>
        <w:tabs>
          <w:tab w:val="left" w:pos="3018"/>
        </w:tabs>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shd w:val="clear" w:color="auto" w:fill="FFFFFF"/>
        </w:rPr>
        <w:t>（4）投标人之间其它串通投标报价的行为。</w:t>
      </w:r>
    </w:p>
    <w:p w14:paraId="11AFD8F2">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9.3  对评标委员会成员的纪律要求</w:t>
      </w:r>
    </w:p>
    <w:p w14:paraId="649333F4">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A308AEF">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9.4  对与评标活动有关的工作人员的纪律要求</w:t>
      </w:r>
    </w:p>
    <w:p w14:paraId="2C901BBF">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6A042E1">
      <w:pPr>
        <w:spacing w:line="360" w:lineRule="auto"/>
        <w:ind w:left="178"/>
        <w:rPr>
          <w:rFonts w:hint="eastAsia" w:ascii="宋体" w:hAnsi="宋体" w:cs="宋体"/>
          <w:b/>
          <w:color w:val="auto"/>
          <w:sz w:val="22"/>
          <w:highlight w:val="none"/>
        </w:rPr>
      </w:pPr>
      <w:bookmarkStart w:id="7" w:name="_Toc11148"/>
      <w:r>
        <w:rPr>
          <w:rFonts w:hint="eastAsia" w:ascii="宋体" w:hAnsi="宋体" w:cs="宋体"/>
          <w:b/>
          <w:color w:val="auto"/>
          <w:sz w:val="22"/>
          <w:highlight w:val="none"/>
        </w:rPr>
        <w:t>9.5 异议</w:t>
      </w:r>
      <w:bookmarkEnd w:id="7"/>
    </w:p>
    <w:p w14:paraId="2D9C081A">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（一）对招标文件有异议的，潜在投标人或者其他利害关系人应当在提交投标文件截止时间10日前提出；</w:t>
      </w:r>
    </w:p>
    <w:p w14:paraId="76866947">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（二）对招标人公布的招标控制价有异议的，应当在提交投标文件截止时间3日前提出；</w:t>
      </w:r>
    </w:p>
    <w:p w14:paraId="0CEA0A93">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（三）对提交投标文件的截标时间、开标程序、投标文件密封检查和开封、唱标内容、开标记录、唱标次序等开标有异议的，投标人应当在开标期间提出；</w:t>
      </w:r>
    </w:p>
    <w:p w14:paraId="05917661">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（四）对评标报告、定标结果有异议的，投标人或者其他利害关系人应当分别在评标报告和中标候选人的公示期间提出。</w:t>
      </w:r>
    </w:p>
    <w:p w14:paraId="7415704D">
      <w:pPr>
        <w:spacing w:line="360" w:lineRule="auto"/>
        <w:ind w:left="178"/>
        <w:rPr>
          <w:rFonts w:hint="eastAsia" w:ascii="宋体" w:hAnsi="宋体" w:cs="宋体"/>
          <w:b/>
          <w:color w:val="auto"/>
          <w:sz w:val="22"/>
          <w:highlight w:val="none"/>
        </w:rPr>
      </w:pPr>
      <w:r>
        <w:rPr>
          <w:rFonts w:hint="eastAsia" w:ascii="宋体" w:hAnsi="宋体" w:cs="宋体"/>
          <w:b/>
          <w:color w:val="auto"/>
          <w:sz w:val="22"/>
          <w:highlight w:val="none"/>
        </w:rPr>
        <w:t>9.6投诉</w:t>
      </w:r>
    </w:p>
    <w:p w14:paraId="5D673132">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投标人和其他利害关系人认为本次招标活动违反法律、法规和规章规定的，有权向有关行政监督部门投诉。</w:t>
      </w:r>
    </w:p>
    <w:p w14:paraId="3E527CEF">
      <w:pPr>
        <w:keepNext/>
        <w:keepLines/>
        <w:spacing w:line="360" w:lineRule="auto"/>
        <w:rPr>
          <w:rFonts w:hint="eastAsia" w:ascii="宋体" w:hAnsi="宋体" w:cs="宋体"/>
          <w:b/>
          <w:color w:val="auto"/>
          <w:sz w:val="22"/>
          <w:highlight w:val="none"/>
        </w:rPr>
      </w:pPr>
      <w:r>
        <w:rPr>
          <w:rFonts w:hint="eastAsia" w:ascii="宋体" w:hAnsi="宋体" w:cs="宋体"/>
          <w:b/>
          <w:color w:val="auto"/>
          <w:sz w:val="22"/>
          <w:highlight w:val="none"/>
        </w:rPr>
        <w:t>10  需要补充的其它内容</w:t>
      </w:r>
    </w:p>
    <w:p w14:paraId="4EF6E25C">
      <w:pPr>
        <w:tabs>
          <w:tab w:val="left" w:pos="3018"/>
        </w:tabs>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shd w:val="clear" w:color="auto" w:fill="FFFFFF"/>
        </w:rPr>
        <w:t>其他内容详见投标人须知前附表。</w:t>
      </w:r>
    </w:p>
    <w:p w14:paraId="44965FFB">
      <w:pPr>
        <w:pStyle w:val="18"/>
        <w:jc w:val="both"/>
        <w:outlineLvl w:val="9"/>
        <w:rPr>
          <w:rFonts w:hint="eastAsia" w:cs="宋体" w:asciiTheme="majorEastAsia" w:hAnsiTheme="majorEastAsia" w:eastAsiaTheme="majorEastAsia"/>
          <w:color w:val="auto"/>
          <w:highlight w:val="none"/>
        </w:rPr>
      </w:pPr>
    </w:p>
    <w:p w14:paraId="4E1F5D83">
      <w:pP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highlight w:val="none"/>
        </w:rPr>
        <w:br w:type="page"/>
      </w:r>
    </w:p>
    <w:p w14:paraId="0E99A23C">
      <w:pPr>
        <w:pStyle w:val="18"/>
        <w:rPr>
          <w:rFonts w:hint="eastAsia" w:cs="宋体" w:asciiTheme="majorEastAsia" w:hAnsiTheme="majorEastAsia" w:eastAsiaTheme="majorEastAsia"/>
          <w:color w:val="auto"/>
          <w:highlight w:val="none"/>
        </w:rPr>
      </w:pPr>
      <w:bookmarkStart w:id="8" w:name="_Toc30"/>
      <w:r>
        <w:rPr>
          <w:rFonts w:hint="eastAsia" w:cs="宋体" w:asciiTheme="majorEastAsia" w:hAnsiTheme="majorEastAsia" w:eastAsiaTheme="majorEastAsia"/>
          <w:color w:val="auto"/>
          <w:highlight w:val="none"/>
        </w:rPr>
        <w:t>第三章 评标办法</w:t>
      </w:r>
      <w:bookmarkEnd w:id="8"/>
    </w:p>
    <w:p w14:paraId="13CD42EA">
      <w:pPr>
        <w:keepNext/>
        <w:keepLines/>
        <w:spacing w:line="360" w:lineRule="auto"/>
        <w:rPr>
          <w:rFonts w:hint="eastAsia" w:ascii="宋体" w:hAnsi="宋体" w:cs="宋体"/>
          <w:b/>
          <w:color w:val="auto"/>
          <w:sz w:val="22"/>
          <w:highlight w:val="none"/>
        </w:rPr>
      </w:pPr>
      <w:r>
        <w:rPr>
          <w:rFonts w:hint="eastAsia" w:ascii="宋体" w:hAnsi="宋体" w:cs="宋体"/>
          <w:b/>
          <w:color w:val="auto"/>
          <w:sz w:val="22"/>
          <w:highlight w:val="none"/>
        </w:rPr>
        <w:t>一、评标依据：</w:t>
      </w:r>
    </w:p>
    <w:p w14:paraId="7A4AD0C0">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(1)《中华人民共和国招标投标法》；</w:t>
      </w:r>
    </w:p>
    <w:p w14:paraId="4ED52491">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(2)《中华人民共和国招标投标法实施条例》；</w:t>
      </w:r>
    </w:p>
    <w:p w14:paraId="7A4DA366">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(3)广东省实施《中华人民共和国招标投标法》办法；</w:t>
      </w:r>
    </w:p>
    <w:p w14:paraId="42290563">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(4)国家计划发展委员会3号令《工程建设项目招标范围和规模标准规定》；</w:t>
      </w:r>
    </w:p>
    <w:p w14:paraId="5E5ECAD0">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(5)国家计委等七部委30号令《工程建设项目施工招标投标办法》；</w:t>
      </w:r>
    </w:p>
    <w:p w14:paraId="06FDF10A">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(6)国务院办公厅国办发[2000]34号《国务院办公厅印发国务院有关部门实施招投标活动行政监督的职责分工意见的通知》；</w:t>
      </w:r>
    </w:p>
    <w:p w14:paraId="728A06F9">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(7)水利部发布的第14号令《水利工程建设项目招标投标管理规定》；</w:t>
      </w:r>
    </w:p>
    <w:p w14:paraId="777329E8">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(8)国家计委计政策[2001]1400号《关于进一步贯彻〈中华人民共和国招标投标法〉的通知》；</w:t>
      </w:r>
    </w:p>
    <w:p w14:paraId="38EB8EFD">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(9)印发关于进一步加强和完善我省工程建设招标投标管理工作若干意见的通知(粤府办〔2010〕37号)；</w:t>
      </w:r>
    </w:p>
    <w:p w14:paraId="09D48FDC">
      <w:pPr>
        <w:tabs>
          <w:tab w:val="left" w:pos="3018"/>
        </w:tabs>
        <w:spacing w:line="360" w:lineRule="auto"/>
        <w:ind w:firstLine="440" w:firstLineChars="200"/>
        <w:rPr>
          <w:rFonts w:hint="eastAsia" w:ascii="宋体" w:hAnsi="宋体" w:cs="宋体"/>
          <w:color w:val="auto"/>
          <w:sz w:val="22"/>
          <w:highlight w:val="none"/>
          <w:shd w:val="clear" w:color="auto" w:fill="FFFFFF"/>
        </w:rPr>
      </w:pPr>
      <w:bookmarkStart w:id="9" w:name="_Toc48666051"/>
      <w:r>
        <w:rPr>
          <w:rFonts w:hint="eastAsia" w:ascii="宋体" w:hAnsi="宋体" w:cs="宋体"/>
          <w:color w:val="auto"/>
          <w:sz w:val="22"/>
          <w:highlight w:val="none"/>
          <w:shd w:val="clear" w:color="auto" w:fill="FFFFFF"/>
        </w:rPr>
        <w:t>(10)广东省人民政府办公厅颁发的《广东省综合评标评审专家和评标评审专家库管理办法》；</w:t>
      </w:r>
      <w:bookmarkEnd w:id="9"/>
    </w:p>
    <w:p w14:paraId="081E23A8">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(11)国家和部及地方颁有关技术规范和管理规定；</w:t>
      </w:r>
    </w:p>
    <w:p w14:paraId="26B0DB40">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(12)本工程招标文件。</w:t>
      </w:r>
    </w:p>
    <w:p w14:paraId="136E253C">
      <w:pPr>
        <w:keepNext/>
        <w:keepLines/>
        <w:spacing w:line="360" w:lineRule="auto"/>
        <w:rPr>
          <w:rFonts w:hint="eastAsia" w:ascii="宋体" w:hAnsi="宋体" w:cs="宋体"/>
          <w:b/>
          <w:color w:val="auto"/>
          <w:sz w:val="22"/>
          <w:highlight w:val="none"/>
        </w:rPr>
      </w:pPr>
      <w:r>
        <w:rPr>
          <w:rFonts w:hint="eastAsia" w:ascii="宋体" w:hAnsi="宋体" w:cs="宋体"/>
          <w:b/>
          <w:color w:val="auto"/>
          <w:sz w:val="22"/>
          <w:highlight w:val="none"/>
        </w:rPr>
        <w:t>二、评标委员会组成</w:t>
      </w:r>
    </w:p>
    <w:p w14:paraId="79D63637">
      <w:pPr>
        <w:tabs>
          <w:tab w:val="left" w:pos="3018"/>
        </w:tabs>
        <w:spacing w:line="360" w:lineRule="auto"/>
        <w:ind w:firstLine="440" w:firstLineChars="200"/>
        <w:rPr>
          <w:rFonts w:hint="eastAsia" w:ascii="宋体" w:hAnsi="宋体" w:cs="宋体"/>
          <w:color w:val="auto"/>
          <w:sz w:val="22"/>
          <w:highlight w:val="none"/>
          <w:shd w:val="clear" w:color="auto" w:fill="FFFFFF"/>
        </w:rPr>
      </w:pPr>
      <w:bookmarkStart w:id="10" w:name="_Toc48666055"/>
      <w:r>
        <w:rPr>
          <w:rFonts w:hint="eastAsia" w:ascii="宋体" w:hAnsi="宋体" w:cs="宋体"/>
          <w:color w:val="auto"/>
          <w:sz w:val="22"/>
          <w:highlight w:val="none"/>
          <w:shd w:val="clear" w:color="auto" w:fill="FFFFFF"/>
        </w:rPr>
        <w:t>评标委员会根据国家计委、水利部等七部委12号令规定组建，招标代理机构负责组织工作。评标委员会由有关技术、经济等方面的专家5人组成，其中经济类专家2人，招标人代表0人，技术类专家3人；评标专家确定方式：开标前从广东省综合评标评审专家库韶关市区域中随机抽取专家5名。</w:t>
      </w:r>
      <w:bookmarkEnd w:id="10"/>
    </w:p>
    <w:p w14:paraId="5339F4BA">
      <w:pPr>
        <w:keepNext/>
        <w:keepLines/>
        <w:spacing w:line="360" w:lineRule="auto"/>
        <w:rPr>
          <w:rFonts w:hint="eastAsia" w:ascii="宋体" w:hAnsi="宋体" w:cs="宋体"/>
          <w:b/>
          <w:color w:val="auto"/>
          <w:sz w:val="22"/>
          <w:highlight w:val="none"/>
        </w:rPr>
      </w:pPr>
      <w:r>
        <w:rPr>
          <w:rFonts w:hint="eastAsia" w:ascii="宋体" w:hAnsi="宋体" w:cs="宋体"/>
          <w:b/>
          <w:color w:val="auto"/>
          <w:sz w:val="22"/>
          <w:highlight w:val="none"/>
        </w:rPr>
        <w:t>三、投标报价</w:t>
      </w:r>
    </w:p>
    <w:p w14:paraId="25A85479">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投标人仅需填报投标报价下浮率（有效投标报价下浮率≥</w:t>
      </w:r>
      <w:r>
        <w:rPr>
          <w:rFonts w:hint="eastAsia" w:ascii="宋体" w:hAnsi="宋体" w:cs="宋体"/>
          <w:color w:val="auto"/>
          <w:sz w:val="22"/>
          <w:highlight w:val="none"/>
          <w:shd w:val="clear" w:color="auto" w:fill="FFFFFF"/>
          <w:lang w:val="en-US" w:eastAsia="zh-CN"/>
        </w:rPr>
        <w:t>1</w:t>
      </w:r>
      <w:r>
        <w:rPr>
          <w:rFonts w:hint="eastAsia" w:ascii="宋体" w:hAnsi="宋体" w:cs="宋体"/>
          <w:color w:val="auto"/>
          <w:sz w:val="22"/>
          <w:highlight w:val="none"/>
          <w:shd w:val="clear" w:color="auto" w:fill="FFFFFF"/>
        </w:rPr>
        <w:t>.000%）（保留小数点后3位），不在此范围内的投标报价均为无效投标报价。</w:t>
      </w:r>
    </w:p>
    <w:p w14:paraId="1D9CBCB5">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本项目主体工程采用综合单价承包（综合单价为财政审核控制单价×（1-中标下浮率）为中标的综合单价，合同总价为（招标控制价-安全生产措施费、其他临时工程费-预留金）×（1-中标下浮率）+安全生产措施费、其他临时工程费（安全生产措施费、其他临时工程费控制价不下浮）+预留金（预留金控制价不下浮）；临时工程费采用总价承包（临时工程费用控制价的临时工程费×（1-中标下浮率））。</w:t>
      </w:r>
    </w:p>
    <w:p w14:paraId="4A833EC1">
      <w:pPr>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投标下浮率大于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03A9D67F">
      <w:pPr>
        <w:spacing w:line="360" w:lineRule="auto"/>
        <w:rPr>
          <w:rFonts w:hint="eastAsia" w:ascii="宋体" w:hAnsi="宋体" w:cs="宋体"/>
          <w:b/>
          <w:color w:val="auto"/>
          <w:sz w:val="22"/>
          <w:highlight w:val="none"/>
        </w:rPr>
      </w:pPr>
      <w:r>
        <w:rPr>
          <w:rFonts w:hint="eastAsia" w:ascii="宋体" w:hAnsi="宋体" w:cs="宋体"/>
          <w:b/>
          <w:color w:val="auto"/>
          <w:sz w:val="22"/>
          <w:highlight w:val="none"/>
        </w:rPr>
        <w:t>四、评标纪律</w:t>
      </w:r>
    </w:p>
    <w:p w14:paraId="0934F63F">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1、参加评标的所有评标委员均不代表原来各自的单位和组织，评标委员的名单在中标结果确定前保密。</w:t>
      </w:r>
    </w:p>
    <w:p w14:paraId="7C14BCE2">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2、评标委员会和与评标活动有关的工作人员不得透露对投标文件的评审和比较、中标候选人的推荐情况以及与评标有关的其它情况。</w:t>
      </w:r>
    </w:p>
    <w:p w14:paraId="69210D42">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3、评标委员会成员对所提出的评审意见承担个人责任，评标委员不得与任何投标人或者与招标结果有利害关系的人进行私下接触。</w:t>
      </w:r>
    </w:p>
    <w:p w14:paraId="069C846B">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4、评标委员应站在公平、公正的立场，严格按照评标办法、招标文件和国家有关技术规范的规定进行，不得随意修改评标办法。</w:t>
      </w:r>
    </w:p>
    <w:p w14:paraId="6A28D340">
      <w:pPr>
        <w:keepNext/>
        <w:keepLines/>
        <w:spacing w:line="360" w:lineRule="auto"/>
        <w:rPr>
          <w:rFonts w:hint="eastAsia" w:ascii="宋体" w:hAnsi="宋体" w:cs="宋体"/>
          <w:b/>
          <w:color w:val="auto"/>
          <w:sz w:val="22"/>
          <w:highlight w:val="none"/>
        </w:rPr>
      </w:pPr>
      <w:r>
        <w:rPr>
          <w:rFonts w:hint="eastAsia" w:ascii="宋体" w:hAnsi="宋体" w:cs="宋体"/>
          <w:b/>
          <w:color w:val="auto"/>
          <w:sz w:val="22"/>
          <w:highlight w:val="none"/>
        </w:rPr>
        <w:t>五、评标监督管理</w:t>
      </w:r>
    </w:p>
    <w:p w14:paraId="4E5D6771">
      <w:pPr>
        <w:spacing w:line="360" w:lineRule="auto"/>
        <w:ind w:firstLine="480"/>
        <w:rPr>
          <w:rFonts w:hint="eastAsia" w:ascii="宋体" w:hAnsi="宋体" w:cs="宋体"/>
          <w:color w:val="auto"/>
          <w:sz w:val="22"/>
          <w:highlight w:val="none"/>
        </w:rPr>
      </w:pPr>
      <w:r>
        <w:rPr>
          <w:rFonts w:hint="eastAsia" w:ascii="宋体" w:hAnsi="宋体" w:cs="宋体"/>
          <w:color w:val="auto"/>
          <w:sz w:val="22"/>
          <w:highlight w:val="none"/>
        </w:rPr>
        <w:t>招标评标活动在招标人和有关行政监督部门、上级水利行政主管部门的监督下进行。</w:t>
      </w:r>
    </w:p>
    <w:p w14:paraId="6E659AF3">
      <w:pPr>
        <w:keepNext/>
        <w:keepLines/>
        <w:spacing w:line="360" w:lineRule="auto"/>
        <w:rPr>
          <w:rFonts w:hint="eastAsia" w:ascii="宋体" w:hAnsi="宋体" w:cs="宋体"/>
          <w:b/>
          <w:color w:val="auto"/>
          <w:sz w:val="22"/>
          <w:highlight w:val="none"/>
        </w:rPr>
      </w:pPr>
      <w:r>
        <w:rPr>
          <w:rFonts w:hint="eastAsia" w:ascii="宋体" w:hAnsi="宋体" w:cs="宋体"/>
          <w:b/>
          <w:color w:val="auto"/>
          <w:sz w:val="22"/>
          <w:highlight w:val="none"/>
        </w:rPr>
        <w:t>六、评标程序</w:t>
      </w:r>
    </w:p>
    <w:p w14:paraId="19416F1A">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1、评委召开预备会，宣布评标纪律，签订评标保密承诺书，熟悉招标文件，学习评标办法，选举评标委员会主任。</w:t>
      </w:r>
    </w:p>
    <w:p w14:paraId="16DF2115">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2、评委在有关监督部门的监督下封闭评标，按照评标方法进行评审。</w:t>
      </w:r>
    </w:p>
    <w:p w14:paraId="019C035B">
      <w:pPr>
        <w:tabs>
          <w:tab w:val="left" w:pos="3018"/>
        </w:tabs>
        <w:spacing w:line="360" w:lineRule="auto"/>
        <w:ind w:firstLine="440" w:firstLineChars="200"/>
        <w:rPr>
          <w:rFonts w:hint="eastAsia" w:ascii="宋体" w:hAnsi="宋体" w:cs="宋体"/>
          <w:color w:val="auto"/>
          <w:sz w:val="22"/>
          <w:highlight w:val="none"/>
          <w:shd w:val="clear" w:color="auto" w:fill="FFFFFF"/>
        </w:rPr>
      </w:pPr>
      <w:r>
        <w:rPr>
          <w:rFonts w:hint="eastAsia" w:ascii="宋体" w:hAnsi="宋体" w:cs="宋体"/>
          <w:color w:val="auto"/>
          <w:sz w:val="22"/>
          <w:highlight w:val="none"/>
          <w:shd w:val="clear" w:color="auto" w:fill="FFFFFF"/>
        </w:rPr>
        <w:t>3、评审结果由工作人员汇总复核。</w:t>
      </w:r>
    </w:p>
    <w:p w14:paraId="0EF76C63">
      <w:pPr>
        <w:tabs>
          <w:tab w:val="left" w:pos="3018"/>
        </w:tabs>
        <w:spacing w:line="360" w:lineRule="auto"/>
        <w:ind w:firstLine="440" w:firstLineChars="200"/>
        <w:rPr>
          <w:rFonts w:hint="eastAsia" w:cs="宋体" w:asciiTheme="majorEastAsia" w:hAnsiTheme="majorEastAsia" w:eastAsiaTheme="majorEastAsia"/>
          <w:b/>
          <w:color w:val="auto"/>
          <w:sz w:val="24"/>
          <w:highlight w:val="none"/>
        </w:rPr>
      </w:pPr>
      <w:r>
        <w:rPr>
          <w:rFonts w:hint="eastAsia" w:ascii="宋体" w:hAnsi="宋体" w:cs="宋体"/>
          <w:color w:val="auto"/>
          <w:sz w:val="22"/>
          <w:highlight w:val="none"/>
          <w:shd w:val="clear" w:color="auto" w:fill="FFFFFF"/>
        </w:rPr>
        <w:t>4、提交评标报告。</w:t>
      </w:r>
    </w:p>
    <w:p w14:paraId="6FD29572">
      <w:pPr>
        <w:spacing w:line="360" w:lineRule="auto"/>
        <w:ind w:left="359"/>
        <w:rPr>
          <w:rFonts w:hint="eastAsia" w:cs="宋体" w:asciiTheme="majorEastAsia" w:hAnsiTheme="majorEastAsia" w:eastAsiaTheme="majorEastAsia"/>
          <w:b/>
          <w:color w:val="auto"/>
          <w:sz w:val="24"/>
          <w:highlight w:val="none"/>
        </w:rPr>
      </w:pPr>
      <w:r>
        <w:rPr>
          <w:rFonts w:cs="宋体" w:asciiTheme="majorEastAsia" w:hAnsiTheme="majorEastAsia" w:eastAsiaTheme="majorEastAsia"/>
          <w:b/>
          <w:color w:val="auto"/>
          <w:sz w:val="24"/>
          <w:highlight w:val="none"/>
        </w:rPr>
        <w:br w:type="page"/>
      </w:r>
    </w:p>
    <w:p w14:paraId="13AB7B4D">
      <w:pPr>
        <w:keepNext/>
        <w:keepLines/>
        <w:spacing w:line="416" w:lineRule="auto"/>
        <w:jc w:val="center"/>
        <w:rPr>
          <w:rFonts w:hint="eastAsia" w:cs="Arial"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【综合评分法】评标办法前附表</w:t>
      </w:r>
    </w:p>
    <w:tbl>
      <w:tblPr>
        <w:tblStyle w:val="20"/>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832"/>
        <w:gridCol w:w="2475"/>
        <w:gridCol w:w="6032"/>
      </w:tblGrid>
      <w:tr w14:paraId="66C6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1676" w:type="dxa"/>
            <w:gridSpan w:val="2"/>
            <w:noWrap/>
            <w:vAlign w:val="center"/>
          </w:tcPr>
          <w:p w14:paraId="0C954764">
            <w:pPr>
              <w:spacing w:line="400" w:lineRule="exact"/>
              <w:jc w:val="center"/>
              <w:rPr>
                <w:rFonts w:hint="eastAsia" w:ascii="宋体" w:hAnsi="宋体" w:cs="宋体"/>
                <w:b/>
                <w:color w:val="auto"/>
                <w:sz w:val="22"/>
                <w:highlight w:val="none"/>
              </w:rPr>
            </w:pPr>
            <w:bookmarkStart w:id="11" w:name="_Toc48666071"/>
            <w:r>
              <w:rPr>
                <w:rFonts w:hint="eastAsia" w:ascii="宋体" w:hAnsi="宋体" w:cs="宋体"/>
                <w:b/>
                <w:color w:val="auto"/>
                <w:sz w:val="22"/>
                <w:highlight w:val="none"/>
              </w:rPr>
              <w:t>条款号</w:t>
            </w:r>
          </w:p>
        </w:tc>
        <w:tc>
          <w:tcPr>
            <w:tcW w:w="2475" w:type="dxa"/>
            <w:noWrap/>
            <w:vAlign w:val="center"/>
          </w:tcPr>
          <w:p w14:paraId="4E8DB554">
            <w:pPr>
              <w:spacing w:line="400" w:lineRule="exact"/>
              <w:jc w:val="center"/>
              <w:rPr>
                <w:rFonts w:hint="eastAsia" w:ascii="宋体" w:hAnsi="宋体" w:cs="宋体"/>
                <w:b/>
                <w:color w:val="auto"/>
                <w:sz w:val="22"/>
                <w:highlight w:val="none"/>
              </w:rPr>
            </w:pPr>
            <w:r>
              <w:rPr>
                <w:rFonts w:hint="eastAsia" w:ascii="宋体" w:hAnsi="宋体" w:cs="宋体"/>
                <w:b/>
                <w:color w:val="auto"/>
                <w:sz w:val="22"/>
                <w:highlight w:val="none"/>
              </w:rPr>
              <w:t>评审因素</w:t>
            </w:r>
          </w:p>
        </w:tc>
        <w:tc>
          <w:tcPr>
            <w:tcW w:w="6032" w:type="dxa"/>
            <w:noWrap/>
            <w:vAlign w:val="center"/>
          </w:tcPr>
          <w:p w14:paraId="5D656D35">
            <w:pPr>
              <w:spacing w:line="400" w:lineRule="exact"/>
              <w:jc w:val="center"/>
              <w:rPr>
                <w:rFonts w:hint="eastAsia" w:ascii="宋体" w:hAnsi="宋体" w:cs="宋体"/>
                <w:b/>
                <w:color w:val="auto"/>
                <w:sz w:val="22"/>
                <w:highlight w:val="none"/>
              </w:rPr>
            </w:pPr>
            <w:r>
              <w:rPr>
                <w:rFonts w:hint="eastAsia" w:ascii="宋体" w:hAnsi="宋体" w:cs="宋体"/>
                <w:b/>
                <w:color w:val="auto"/>
                <w:sz w:val="22"/>
                <w:highlight w:val="none"/>
              </w:rPr>
              <w:t>评审标准</w:t>
            </w:r>
          </w:p>
        </w:tc>
      </w:tr>
      <w:tr w14:paraId="3B12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44" w:type="dxa"/>
            <w:vMerge w:val="restart"/>
            <w:shd w:val="clear" w:color="auto" w:fill="auto"/>
            <w:noWrap/>
            <w:vAlign w:val="center"/>
          </w:tcPr>
          <w:p w14:paraId="3F8CC332">
            <w:pPr>
              <w:spacing w:line="400" w:lineRule="exact"/>
              <w:rPr>
                <w:rFonts w:hint="eastAsia" w:ascii="宋体" w:hAnsi="宋体" w:cs="宋体"/>
                <w:color w:val="auto"/>
                <w:sz w:val="22"/>
                <w:highlight w:val="none"/>
              </w:rPr>
            </w:pPr>
            <w:r>
              <w:rPr>
                <w:rFonts w:hint="eastAsia" w:ascii="宋体" w:hAnsi="宋体" w:cs="宋体"/>
                <w:color w:val="auto"/>
                <w:sz w:val="22"/>
                <w:highlight w:val="none"/>
              </w:rPr>
              <w:t xml:space="preserve">2.1.1 </w:t>
            </w:r>
          </w:p>
        </w:tc>
        <w:tc>
          <w:tcPr>
            <w:tcW w:w="832" w:type="dxa"/>
            <w:vMerge w:val="restart"/>
            <w:shd w:val="clear" w:color="auto" w:fill="FFFFFF"/>
            <w:noWrap/>
            <w:vAlign w:val="center"/>
          </w:tcPr>
          <w:p w14:paraId="1FCA1BC8">
            <w:pPr>
              <w:spacing w:line="400" w:lineRule="exact"/>
              <w:jc w:val="center"/>
              <w:rPr>
                <w:rFonts w:hint="eastAsia" w:ascii="宋体" w:hAnsi="宋体" w:cs="宋体"/>
                <w:color w:val="auto"/>
                <w:sz w:val="22"/>
                <w:highlight w:val="none"/>
              </w:rPr>
            </w:pPr>
            <w:r>
              <w:rPr>
                <w:rFonts w:hint="eastAsia" w:ascii="宋体" w:hAnsi="宋体" w:cs="宋体"/>
                <w:color w:val="auto"/>
                <w:sz w:val="22"/>
                <w:highlight w:val="none"/>
              </w:rPr>
              <w:t>形式</w:t>
            </w:r>
          </w:p>
          <w:p w14:paraId="59CB8A7E">
            <w:pPr>
              <w:spacing w:line="400" w:lineRule="exact"/>
              <w:jc w:val="center"/>
              <w:rPr>
                <w:rFonts w:hint="eastAsia" w:ascii="宋体" w:hAnsi="宋体" w:cs="宋体"/>
                <w:color w:val="auto"/>
                <w:sz w:val="22"/>
                <w:highlight w:val="none"/>
              </w:rPr>
            </w:pPr>
            <w:r>
              <w:rPr>
                <w:rFonts w:hint="eastAsia" w:ascii="宋体" w:hAnsi="宋体" w:cs="宋体"/>
                <w:color w:val="auto"/>
                <w:sz w:val="22"/>
                <w:highlight w:val="none"/>
              </w:rPr>
              <w:t>评审标准</w:t>
            </w:r>
          </w:p>
        </w:tc>
        <w:tc>
          <w:tcPr>
            <w:tcW w:w="2475" w:type="dxa"/>
            <w:shd w:val="clear" w:color="auto" w:fill="FFFFFF"/>
            <w:noWrap/>
            <w:vAlign w:val="center"/>
          </w:tcPr>
          <w:p w14:paraId="008F6713">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投标人名称</w:t>
            </w:r>
          </w:p>
        </w:tc>
        <w:tc>
          <w:tcPr>
            <w:tcW w:w="6032" w:type="dxa"/>
            <w:shd w:val="clear" w:color="auto" w:fill="FFFFFF"/>
            <w:noWrap/>
            <w:vAlign w:val="center"/>
          </w:tcPr>
          <w:p w14:paraId="27008A03">
            <w:pPr>
              <w:spacing w:line="300" w:lineRule="auto"/>
              <w:rPr>
                <w:rFonts w:hint="eastAsia" w:ascii="宋体" w:hAnsi="宋体" w:cs="宋体"/>
                <w:color w:val="auto"/>
                <w:sz w:val="22"/>
                <w:highlight w:val="none"/>
              </w:rPr>
            </w:pPr>
            <w:r>
              <w:rPr>
                <w:rFonts w:hint="eastAsia" w:ascii="宋体" w:hAnsi="宋体" w:cs="宋体"/>
                <w:color w:val="auto"/>
                <w:sz w:val="22"/>
                <w:highlight w:val="none"/>
              </w:rPr>
              <w:t>与营业执照、资质证书、安全生产许可证一致</w:t>
            </w:r>
          </w:p>
        </w:tc>
      </w:tr>
      <w:tr w14:paraId="2E45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44" w:type="dxa"/>
            <w:vMerge w:val="continue"/>
            <w:shd w:val="clear" w:color="auto" w:fill="auto"/>
            <w:noWrap/>
            <w:vAlign w:val="center"/>
          </w:tcPr>
          <w:p w14:paraId="54E5209B">
            <w:pPr>
              <w:spacing w:line="400" w:lineRule="exact"/>
              <w:rPr>
                <w:rFonts w:hint="eastAsia" w:ascii="宋体" w:hAnsi="宋体" w:cs="宋体"/>
                <w:color w:val="auto"/>
                <w:sz w:val="22"/>
                <w:highlight w:val="none"/>
              </w:rPr>
            </w:pPr>
          </w:p>
        </w:tc>
        <w:tc>
          <w:tcPr>
            <w:tcW w:w="832" w:type="dxa"/>
            <w:vMerge w:val="continue"/>
            <w:shd w:val="clear" w:color="auto" w:fill="FFFFFF"/>
            <w:noWrap/>
            <w:vAlign w:val="center"/>
          </w:tcPr>
          <w:p w14:paraId="536DB6DB">
            <w:pPr>
              <w:spacing w:line="400" w:lineRule="exact"/>
              <w:jc w:val="center"/>
              <w:rPr>
                <w:rFonts w:hint="eastAsia" w:ascii="宋体" w:hAnsi="宋体" w:cs="宋体"/>
                <w:color w:val="auto"/>
                <w:sz w:val="22"/>
                <w:highlight w:val="none"/>
              </w:rPr>
            </w:pPr>
          </w:p>
        </w:tc>
        <w:tc>
          <w:tcPr>
            <w:tcW w:w="2475" w:type="dxa"/>
            <w:shd w:val="clear" w:color="auto" w:fill="FFFFFF"/>
            <w:noWrap/>
            <w:vAlign w:val="center"/>
          </w:tcPr>
          <w:p w14:paraId="65C15100">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投标文件的签字盖章</w:t>
            </w:r>
          </w:p>
        </w:tc>
        <w:tc>
          <w:tcPr>
            <w:tcW w:w="6032" w:type="dxa"/>
            <w:shd w:val="clear" w:color="auto" w:fill="FFFFFF"/>
            <w:noWrap/>
            <w:vAlign w:val="center"/>
          </w:tcPr>
          <w:p w14:paraId="0476087F">
            <w:pPr>
              <w:spacing w:line="300" w:lineRule="auto"/>
              <w:rPr>
                <w:rFonts w:hint="eastAsia" w:ascii="宋体" w:hAnsi="宋体" w:cs="宋体"/>
                <w:color w:val="auto"/>
                <w:sz w:val="22"/>
                <w:highlight w:val="none"/>
              </w:rPr>
            </w:pPr>
            <w:r>
              <w:rPr>
                <w:rFonts w:hint="eastAsia" w:ascii="宋体" w:hAnsi="宋体" w:cs="宋体"/>
                <w:color w:val="auto"/>
                <w:sz w:val="22"/>
                <w:highlight w:val="none"/>
              </w:rPr>
              <w:t>符合第二章“投标人须知”第3.7.3项规定</w:t>
            </w:r>
          </w:p>
        </w:tc>
      </w:tr>
      <w:tr w14:paraId="5938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44" w:type="dxa"/>
            <w:vMerge w:val="continue"/>
            <w:shd w:val="clear" w:color="auto" w:fill="auto"/>
            <w:noWrap/>
            <w:vAlign w:val="center"/>
          </w:tcPr>
          <w:p w14:paraId="6A2A19CC">
            <w:pPr>
              <w:spacing w:line="400" w:lineRule="exact"/>
              <w:rPr>
                <w:rFonts w:hint="eastAsia" w:ascii="宋体" w:hAnsi="宋体" w:cs="宋体"/>
                <w:color w:val="auto"/>
                <w:sz w:val="22"/>
                <w:highlight w:val="none"/>
              </w:rPr>
            </w:pPr>
          </w:p>
        </w:tc>
        <w:tc>
          <w:tcPr>
            <w:tcW w:w="832" w:type="dxa"/>
            <w:vMerge w:val="continue"/>
            <w:shd w:val="clear" w:color="auto" w:fill="FFFFFF"/>
            <w:noWrap/>
            <w:vAlign w:val="center"/>
          </w:tcPr>
          <w:p w14:paraId="7F062637">
            <w:pPr>
              <w:spacing w:line="400" w:lineRule="exact"/>
              <w:jc w:val="center"/>
              <w:rPr>
                <w:rFonts w:hint="eastAsia" w:ascii="宋体" w:hAnsi="宋体" w:cs="宋体"/>
                <w:color w:val="auto"/>
                <w:sz w:val="22"/>
                <w:highlight w:val="none"/>
              </w:rPr>
            </w:pPr>
          </w:p>
        </w:tc>
        <w:tc>
          <w:tcPr>
            <w:tcW w:w="2475" w:type="dxa"/>
            <w:shd w:val="clear" w:color="auto" w:fill="FFFFFF"/>
            <w:noWrap/>
            <w:vAlign w:val="center"/>
          </w:tcPr>
          <w:p w14:paraId="3529738E">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报价唯一</w:t>
            </w:r>
          </w:p>
        </w:tc>
        <w:tc>
          <w:tcPr>
            <w:tcW w:w="6032" w:type="dxa"/>
            <w:shd w:val="clear" w:color="auto" w:fill="FFFFFF"/>
            <w:noWrap/>
            <w:vAlign w:val="center"/>
          </w:tcPr>
          <w:p w14:paraId="7EA30907">
            <w:pPr>
              <w:spacing w:line="300" w:lineRule="auto"/>
              <w:rPr>
                <w:rFonts w:hint="eastAsia" w:ascii="宋体" w:hAnsi="宋体" w:cs="宋体"/>
                <w:color w:val="auto"/>
                <w:sz w:val="22"/>
                <w:highlight w:val="none"/>
              </w:rPr>
            </w:pPr>
            <w:r>
              <w:rPr>
                <w:rFonts w:hint="eastAsia" w:ascii="宋体" w:hAnsi="宋体" w:cs="宋体"/>
                <w:color w:val="auto"/>
                <w:sz w:val="22"/>
                <w:highlight w:val="none"/>
              </w:rPr>
              <w:t>只能有一个有效报价下浮率</w:t>
            </w:r>
          </w:p>
        </w:tc>
      </w:tr>
      <w:tr w14:paraId="046A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44" w:type="dxa"/>
            <w:vMerge w:val="restart"/>
            <w:shd w:val="clear" w:color="auto" w:fill="auto"/>
            <w:noWrap/>
            <w:vAlign w:val="center"/>
          </w:tcPr>
          <w:p w14:paraId="41323590">
            <w:pPr>
              <w:spacing w:line="400" w:lineRule="exact"/>
              <w:rPr>
                <w:rFonts w:hint="eastAsia" w:ascii="宋体" w:hAnsi="宋体" w:cs="宋体"/>
                <w:color w:val="auto"/>
                <w:sz w:val="22"/>
                <w:highlight w:val="none"/>
              </w:rPr>
            </w:pPr>
            <w:r>
              <w:rPr>
                <w:rFonts w:hint="eastAsia" w:ascii="宋体" w:hAnsi="宋体" w:cs="宋体"/>
                <w:color w:val="auto"/>
                <w:sz w:val="22"/>
                <w:highlight w:val="none"/>
              </w:rPr>
              <w:t>2.1.2</w:t>
            </w:r>
          </w:p>
        </w:tc>
        <w:tc>
          <w:tcPr>
            <w:tcW w:w="832" w:type="dxa"/>
            <w:vMerge w:val="restart"/>
            <w:shd w:val="clear" w:color="auto" w:fill="FFFFFF"/>
            <w:noWrap/>
            <w:vAlign w:val="center"/>
          </w:tcPr>
          <w:p w14:paraId="58FEC129">
            <w:pPr>
              <w:spacing w:line="400" w:lineRule="exact"/>
              <w:jc w:val="center"/>
              <w:rPr>
                <w:rFonts w:hint="eastAsia" w:ascii="宋体" w:hAnsi="宋体" w:cs="宋体"/>
                <w:color w:val="auto"/>
                <w:sz w:val="22"/>
                <w:highlight w:val="none"/>
              </w:rPr>
            </w:pPr>
            <w:r>
              <w:rPr>
                <w:rFonts w:hint="eastAsia" w:ascii="宋体" w:hAnsi="宋体" w:cs="宋体"/>
                <w:color w:val="auto"/>
                <w:sz w:val="22"/>
                <w:highlight w:val="none"/>
              </w:rPr>
              <w:t>资格</w:t>
            </w:r>
          </w:p>
          <w:p w14:paraId="4A7F9FF7">
            <w:pPr>
              <w:spacing w:line="400" w:lineRule="exact"/>
              <w:jc w:val="center"/>
              <w:rPr>
                <w:rFonts w:hint="eastAsia" w:ascii="宋体" w:hAnsi="宋体" w:cs="宋体"/>
                <w:color w:val="auto"/>
                <w:sz w:val="22"/>
                <w:highlight w:val="none"/>
              </w:rPr>
            </w:pPr>
            <w:r>
              <w:rPr>
                <w:rFonts w:hint="eastAsia" w:ascii="宋体" w:hAnsi="宋体" w:cs="宋体"/>
                <w:color w:val="auto"/>
                <w:sz w:val="22"/>
                <w:highlight w:val="none"/>
              </w:rPr>
              <w:t>评审标准</w:t>
            </w:r>
          </w:p>
        </w:tc>
        <w:tc>
          <w:tcPr>
            <w:tcW w:w="2475" w:type="dxa"/>
            <w:shd w:val="clear" w:color="auto" w:fill="FFFFFF"/>
            <w:noWrap/>
            <w:vAlign w:val="center"/>
          </w:tcPr>
          <w:p w14:paraId="7EDE68A9">
            <w:pPr>
              <w:tabs>
                <w:tab w:val="left" w:pos="1800"/>
              </w:tabs>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营业执照</w:t>
            </w:r>
          </w:p>
        </w:tc>
        <w:tc>
          <w:tcPr>
            <w:tcW w:w="6032" w:type="dxa"/>
            <w:shd w:val="clear" w:color="auto" w:fill="FFFFFF"/>
            <w:noWrap/>
            <w:vAlign w:val="center"/>
          </w:tcPr>
          <w:p w14:paraId="73CBEBD9">
            <w:pPr>
              <w:spacing w:line="300" w:lineRule="auto"/>
              <w:rPr>
                <w:rFonts w:hint="eastAsia" w:ascii="宋体" w:hAnsi="宋体" w:cs="宋体"/>
                <w:color w:val="auto"/>
                <w:sz w:val="22"/>
                <w:highlight w:val="none"/>
              </w:rPr>
            </w:pPr>
            <w:r>
              <w:rPr>
                <w:rFonts w:hint="eastAsia" w:ascii="宋体" w:hAnsi="宋体" w:cs="宋体"/>
                <w:color w:val="auto"/>
                <w:sz w:val="22"/>
                <w:highlight w:val="none"/>
              </w:rPr>
              <w:t>具备有效的营业执照</w:t>
            </w:r>
          </w:p>
        </w:tc>
      </w:tr>
      <w:tr w14:paraId="779C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44" w:type="dxa"/>
            <w:vMerge w:val="continue"/>
            <w:shd w:val="clear" w:color="auto" w:fill="auto"/>
            <w:noWrap/>
            <w:vAlign w:val="center"/>
          </w:tcPr>
          <w:p w14:paraId="505ADB2E">
            <w:pPr>
              <w:spacing w:line="400" w:lineRule="exact"/>
              <w:rPr>
                <w:rFonts w:hint="eastAsia" w:ascii="宋体" w:hAnsi="宋体" w:cs="宋体"/>
                <w:color w:val="auto"/>
                <w:sz w:val="22"/>
                <w:highlight w:val="none"/>
              </w:rPr>
            </w:pPr>
          </w:p>
        </w:tc>
        <w:tc>
          <w:tcPr>
            <w:tcW w:w="832" w:type="dxa"/>
            <w:vMerge w:val="continue"/>
            <w:shd w:val="clear" w:color="auto" w:fill="FFFFFF"/>
            <w:noWrap/>
            <w:vAlign w:val="center"/>
          </w:tcPr>
          <w:p w14:paraId="27F19E55">
            <w:pPr>
              <w:spacing w:line="400" w:lineRule="exact"/>
              <w:jc w:val="center"/>
              <w:rPr>
                <w:rFonts w:hint="eastAsia" w:ascii="宋体" w:hAnsi="宋体" w:cs="宋体"/>
                <w:color w:val="auto"/>
                <w:sz w:val="22"/>
                <w:highlight w:val="none"/>
              </w:rPr>
            </w:pPr>
          </w:p>
        </w:tc>
        <w:tc>
          <w:tcPr>
            <w:tcW w:w="2475" w:type="dxa"/>
            <w:shd w:val="clear" w:color="auto" w:fill="FFFFFF"/>
            <w:noWrap/>
            <w:vAlign w:val="center"/>
          </w:tcPr>
          <w:p w14:paraId="53C0CD26">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资质证书及等级</w:t>
            </w:r>
          </w:p>
        </w:tc>
        <w:tc>
          <w:tcPr>
            <w:tcW w:w="6032" w:type="dxa"/>
            <w:shd w:val="clear" w:color="auto" w:fill="FFFFFF"/>
            <w:noWrap/>
            <w:vAlign w:val="center"/>
          </w:tcPr>
          <w:p w14:paraId="375AB342">
            <w:pPr>
              <w:spacing w:line="300" w:lineRule="auto"/>
              <w:rPr>
                <w:rFonts w:hint="eastAsia" w:ascii="宋体" w:hAnsi="宋体" w:cs="宋体"/>
                <w:color w:val="auto"/>
                <w:sz w:val="22"/>
                <w:highlight w:val="none"/>
              </w:rPr>
            </w:pPr>
            <w:r>
              <w:rPr>
                <w:rFonts w:hint="eastAsia" w:ascii="宋体" w:hAnsi="宋体" w:cs="宋体"/>
                <w:color w:val="auto"/>
                <w:sz w:val="22"/>
                <w:highlight w:val="none"/>
              </w:rPr>
              <w:t>符合第二章“投标人须知”第1.4.1 项规定</w:t>
            </w:r>
          </w:p>
        </w:tc>
      </w:tr>
      <w:tr w14:paraId="6F04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44" w:type="dxa"/>
            <w:vMerge w:val="continue"/>
            <w:shd w:val="clear" w:color="auto" w:fill="auto"/>
            <w:noWrap/>
            <w:vAlign w:val="center"/>
          </w:tcPr>
          <w:p w14:paraId="69E3EBC6">
            <w:pPr>
              <w:spacing w:line="400" w:lineRule="exact"/>
              <w:rPr>
                <w:rFonts w:hint="eastAsia" w:ascii="宋体" w:hAnsi="宋体" w:cs="宋体"/>
                <w:color w:val="auto"/>
                <w:sz w:val="22"/>
                <w:highlight w:val="none"/>
              </w:rPr>
            </w:pPr>
          </w:p>
        </w:tc>
        <w:tc>
          <w:tcPr>
            <w:tcW w:w="832" w:type="dxa"/>
            <w:vMerge w:val="continue"/>
            <w:shd w:val="clear" w:color="auto" w:fill="FFFFFF"/>
            <w:noWrap/>
            <w:vAlign w:val="center"/>
          </w:tcPr>
          <w:p w14:paraId="27AAAB23">
            <w:pPr>
              <w:spacing w:line="400" w:lineRule="exact"/>
              <w:jc w:val="center"/>
              <w:rPr>
                <w:rFonts w:hint="eastAsia" w:ascii="宋体" w:hAnsi="宋体" w:cs="宋体"/>
                <w:color w:val="auto"/>
                <w:sz w:val="22"/>
                <w:highlight w:val="none"/>
              </w:rPr>
            </w:pPr>
          </w:p>
        </w:tc>
        <w:tc>
          <w:tcPr>
            <w:tcW w:w="2475" w:type="dxa"/>
            <w:shd w:val="clear" w:color="auto" w:fill="FFFFFF"/>
            <w:noWrap/>
            <w:vAlign w:val="center"/>
          </w:tcPr>
          <w:p w14:paraId="70D84268">
            <w:pPr>
              <w:tabs>
                <w:tab w:val="left" w:pos="1800"/>
              </w:tabs>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安全生产许可证</w:t>
            </w:r>
          </w:p>
        </w:tc>
        <w:tc>
          <w:tcPr>
            <w:tcW w:w="6032" w:type="dxa"/>
            <w:shd w:val="clear" w:color="auto" w:fill="FFFFFF"/>
            <w:noWrap/>
            <w:vAlign w:val="center"/>
          </w:tcPr>
          <w:p w14:paraId="46F93CC3">
            <w:pPr>
              <w:spacing w:line="300" w:lineRule="auto"/>
              <w:rPr>
                <w:rFonts w:hint="eastAsia" w:ascii="宋体" w:hAnsi="宋体" w:cs="宋体"/>
                <w:color w:val="auto"/>
                <w:sz w:val="22"/>
                <w:highlight w:val="none"/>
              </w:rPr>
            </w:pPr>
            <w:r>
              <w:rPr>
                <w:rFonts w:hint="eastAsia" w:ascii="宋体" w:hAnsi="宋体" w:cs="宋体"/>
                <w:color w:val="auto"/>
                <w:sz w:val="22"/>
                <w:highlight w:val="none"/>
              </w:rPr>
              <w:t>具备有效的安全生产许可证</w:t>
            </w:r>
          </w:p>
        </w:tc>
      </w:tr>
      <w:tr w14:paraId="75B6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44" w:type="dxa"/>
            <w:vMerge w:val="continue"/>
            <w:shd w:val="clear" w:color="auto" w:fill="auto"/>
            <w:noWrap/>
            <w:vAlign w:val="center"/>
          </w:tcPr>
          <w:p w14:paraId="46B84F3F">
            <w:pPr>
              <w:spacing w:line="400" w:lineRule="exact"/>
              <w:rPr>
                <w:rFonts w:hint="eastAsia" w:ascii="宋体" w:hAnsi="宋体" w:cs="宋体"/>
                <w:color w:val="auto"/>
                <w:sz w:val="22"/>
                <w:highlight w:val="none"/>
              </w:rPr>
            </w:pPr>
          </w:p>
        </w:tc>
        <w:tc>
          <w:tcPr>
            <w:tcW w:w="832" w:type="dxa"/>
            <w:vMerge w:val="continue"/>
            <w:shd w:val="clear" w:color="auto" w:fill="FFFFFF"/>
            <w:noWrap/>
            <w:vAlign w:val="center"/>
          </w:tcPr>
          <w:p w14:paraId="533DD854">
            <w:pPr>
              <w:spacing w:line="400" w:lineRule="exact"/>
              <w:jc w:val="center"/>
              <w:rPr>
                <w:rFonts w:hint="eastAsia" w:ascii="宋体" w:hAnsi="宋体" w:cs="宋体"/>
                <w:color w:val="auto"/>
                <w:sz w:val="22"/>
                <w:highlight w:val="none"/>
              </w:rPr>
            </w:pPr>
          </w:p>
        </w:tc>
        <w:tc>
          <w:tcPr>
            <w:tcW w:w="2475" w:type="dxa"/>
            <w:shd w:val="clear" w:color="auto" w:fill="FFFFFF"/>
            <w:noWrap/>
            <w:vAlign w:val="center"/>
          </w:tcPr>
          <w:p w14:paraId="0C368840">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项目经理、技术负责人、专职安全生产管理人员</w:t>
            </w:r>
          </w:p>
        </w:tc>
        <w:tc>
          <w:tcPr>
            <w:tcW w:w="6032" w:type="dxa"/>
            <w:shd w:val="clear" w:color="auto" w:fill="FFFFFF"/>
            <w:noWrap/>
            <w:vAlign w:val="center"/>
          </w:tcPr>
          <w:p w14:paraId="4B1EF898">
            <w:pPr>
              <w:spacing w:line="300" w:lineRule="auto"/>
              <w:rPr>
                <w:rFonts w:hint="eastAsia" w:ascii="宋体" w:hAnsi="宋体" w:cs="宋体"/>
                <w:color w:val="auto"/>
                <w:sz w:val="22"/>
                <w:highlight w:val="none"/>
              </w:rPr>
            </w:pPr>
            <w:r>
              <w:rPr>
                <w:rFonts w:hint="eastAsia" w:ascii="宋体" w:hAnsi="宋体" w:cs="宋体"/>
                <w:color w:val="auto"/>
                <w:sz w:val="22"/>
                <w:highlight w:val="none"/>
              </w:rPr>
              <w:t>符合第二章“投标人须知”第1.4.1 项规定</w:t>
            </w:r>
          </w:p>
        </w:tc>
      </w:tr>
      <w:tr w14:paraId="0651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44" w:type="dxa"/>
            <w:vMerge w:val="continue"/>
            <w:shd w:val="clear" w:color="auto" w:fill="auto"/>
            <w:noWrap/>
            <w:vAlign w:val="center"/>
          </w:tcPr>
          <w:p w14:paraId="4AF9F687">
            <w:pPr>
              <w:spacing w:line="400" w:lineRule="exact"/>
              <w:rPr>
                <w:rFonts w:hint="eastAsia" w:ascii="宋体" w:hAnsi="宋体" w:cs="宋体"/>
                <w:color w:val="auto"/>
                <w:sz w:val="22"/>
                <w:highlight w:val="none"/>
              </w:rPr>
            </w:pPr>
          </w:p>
        </w:tc>
        <w:tc>
          <w:tcPr>
            <w:tcW w:w="832" w:type="dxa"/>
            <w:vMerge w:val="continue"/>
            <w:shd w:val="clear" w:color="auto" w:fill="FFFFFF"/>
            <w:noWrap/>
            <w:vAlign w:val="center"/>
          </w:tcPr>
          <w:p w14:paraId="7A4226D8">
            <w:pPr>
              <w:spacing w:line="400" w:lineRule="exact"/>
              <w:jc w:val="center"/>
              <w:rPr>
                <w:rFonts w:hint="eastAsia" w:ascii="宋体" w:hAnsi="宋体" w:cs="宋体"/>
                <w:color w:val="auto"/>
                <w:sz w:val="22"/>
                <w:highlight w:val="none"/>
              </w:rPr>
            </w:pPr>
          </w:p>
        </w:tc>
        <w:tc>
          <w:tcPr>
            <w:tcW w:w="2475" w:type="dxa"/>
            <w:shd w:val="clear" w:color="auto" w:fill="FFFFFF"/>
            <w:noWrap/>
            <w:vAlign w:val="center"/>
          </w:tcPr>
          <w:p w14:paraId="2D840E53">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其他</w:t>
            </w:r>
          </w:p>
        </w:tc>
        <w:tc>
          <w:tcPr>
            <w:tcW w:w="6032" w:type="dxa"/>
            <w:shd w:val="clear" w:color="auto" w:fill="FFFFFF"/>
            <w:noWrap/>
            <w:vAlign w:val="center"/>
          </w:tcPr>
          <w:p w14:paraId="5B7F5D34">
            <w:pPr>
              <w:spacing w:line="300" w:lineRule="auto"/>
              <w:rPr>
                <w:rFonts w:hint="eastAsia" w:ascii="宋体" w:hAnsi="宋体" w:cs="宋体"/>
                <w:color w:val="auto"/>
                <w:sz w:val="22"/>
                <w:highlight w:val="none"/>
              </w:rPr>
            </w:pPr>
            <w:r>
              <w:rPr>
                <w:rFonts w:hint="eastAsia" w:ascii="宋体" w:hAnsi="宋体"/>
                <w:color w:val="auto"/>
                <w:sz w:val="22"/>
                <w:highlight w:val="none"/>
              </w:rPr>
              <w:t>符合第二章“投标人须知”第1.4.1项规定</w:t>
            </w:r>
          </w:p>
        </w:tc>
      </w:tr>
      <w:tr w14:paraId="7CF8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44" w:type="dxa"/>
            <w:vMerge w:val="continue"/>
            <w:shd w:val="clear" w:color="auto" w:fill="auto"/>
            <w:noWrap/>
            <w:vAlign w:val="center"/>
          </w:tcPr>
          <w:p w14:paraId="5BC89240">
            <w:pPr>
              <w:spacing w:line="400" w:lineRule="exact"/>
              <w:rPr>
                <w:rFonts w:hint="eastAsia" w:ascii="宋体" w:hAnsi="宋体" w:cs="宋体"/>
                <w:color w:val="auto"/>
                <w:sz w:val="22"/>
                <w:highlight w:val="none"/>
              </w:rPr>
            </w:pPr>
          </w:p>
        </w:tc>
        <w:tc>
          <w:tcPr>
            <w:tcW w:w="832" w:type="dxa"/>
            <w:vMerge w:val="continue"/>
            <w:shd w:val="clear" w:color="auto" w:fill="FFFFFF"/>
            <w:noWrap/>
            <w:vAlign w:val="center"/>
          </w:tcPr>
          <w:p w14:paraId="018793A1">
            <w:pPr>
              <w:spacing w:line="400" w:lineRule="exact"/>
              <w:jc w:val="center"/>
              <w:rPr>
                <w:rFonts w:hint="eastAsia" w:ascii="宋体" w:hAnsi="宋体" w:cs="宋体"/>
                <w:color w:val="auto"/>
                <w:sz w:val="22"/>
                <w:highlight w:val="none"/>
              </w:rPr>
            </w:pPr>
          </w:p>
        </w:tc>
        <w:tc>
          <w:tcPr>
            <w:tcW w:w="2475" w:type="dxa"/>
            <w:shd w:val="clear" w:color="auto" w:fill="FFFFFF"/>
            <w:noWrap/>
            <w:vAlign w:val="center"/>
          </w:tcPr>
          <w:p w14:paraId="0FB61CC7">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无禁止投标情形</w:t>
            </w:r>
          </w:p>
        </w:tc>
        <w:tc>
          <w:tcPr>
            <w:tcW w:w="6032" w:type="dxa"/>
            <w:shd w:val="clear" w:color="auto" w:fill="FFFFFF"/>
            <w:noWrap/>
            <w:vAlign w:val="center"/>
          </w:tcPr>
          <w:p w14:paraId="57C3EA54">
            <w:pPr>
              <w:spacing w:line="300" w:lineRule="auto"/>
              <w:rPr>
                <w:rFonts w:hint="eastAsia" w:ascii="宋体" w:hAnsi="宋体" w:cs="宋体"/>
                <w:color w:val="auto"/>
                <w:sz w:val="22"/>
                <w:highlight w:val="none"/>
              </w:rPr>
            </w:pPr>
            <w:r>
              <w:rPr>
                <w:rFonts w:hint="eastAsia" w:ascii="宋体" w:hAnsi="宋体" w:cs="宋体"/>
                <w:color w:val="auto"/>
                <w:sz w:val="22"/>
                <w:highlight w:val="none"/>
              </w:rPr>
              <w:t>不存在第二章</w:t>
            </w:r>
            <w:r>
              <w:rPr>
                <w:rFonts w:hint="eastAsia" w:ascii="宋体" w:hAnsi="宋体"/>
                <w:color w:val="auto"/>
                <w:sz w:val="22"/>
                <w:highlight w:val="none"/>
              </w:rPr>
              <w:t>“投标人须知”1.4.3项规定的任何一种情形（提供书面声明，详见《</w:t>
            </w:r>
            <w:r>
              <w:rPr>
                <w:rFonts w:hint="eastAsia" w:ascii="宋体" w:hAnsi="宋体" w:cs="宋体"/>
                <w:color w:val="auto"/>
                <w:sz w:val="22"/>
                <w:highlight w:val="none"/>
              </w:rPr>
              <w:t>投标函》）</w:t>
            </w:r>
          </w:p>
        </w:tc>
      </w:tr>
      <w:tr w14:paraId="3B9E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44" w:type="dxa"/>
            <w:vMerge w:val="restart"/>
            <w:shd w:val="clear" w:color="auto" w:fill="auto"/>
            <w:noWrap/>
            <w:vAlign w:val="center"/>
          </w:tcPr>
          <w:p w14:paraId="165298C4">
            <w:pPr>
              <w:spacing w:line="400" w:lineRule="exact"/>
              <w:rPr>
                <w:rFonts w:hint="eastAsia" w:ascii="宋体" w:hAnsi="宋体" w:cs="宋体"/>
                <w:color w:val="auto"/>
                <w:sz w:val="22"/>
                <w:highlight w:val="none"/>
              </w:rPr>
            </w:pPr>
          </w:p>
          <w:p w14:paraId="34526464">
            <w:pPr>
              <w:spacing w:line="400" w:lineRule="exact"/>
              <w:rPr>
                <w:rFonts w:hint="eastAsia" w:ascii="宋体" w:hAnsi="宋体" w:cs="宋体"/>
                <w:color w:val="auto"/>
                <w:sz w:val="22"/>
                <w:highlight w:val="none"/>
              </w:rPr>
            </w:pPr>
            <w:r>
              <w:rPr>
                <w:rFonts w:hint="eastAsia" w:ascii="宋体" w:hAnsi="宋体" w:cs="宋体"/>
                <w:color w:val="auto"/>
                <w:sz w:val="22"/>
                <w:highlight w:val="none"/>
              </w:rPr>
              <w:t>2.1.3</w:t>
            </w:r>
          </w:p>
        </w:tc>
        <w:tc>
          <w:tcPr>
            <w:tcW w:w="832" w:type="dxa"/>
            <w:vMerge w:val="restart"/>
            <w:shd w:val="clear" w:color="auto" w:fill="FFFFFF"/>
            <w:noWrap/>
            <w:vAlign w:val="center"/>
          </w:tcPr>
          <w:p w14:paraId="1EEA8FC7">
            <w:pPr>
              <w:spacing w:line="400" w:lineRule="exact"/>
              <w:jc w:val="center"/>
              <w:rPr>
                <w:rFonts w:hint="eastAsia" w:ascii="宋体" w:hAnsi="宋体" w:cs="宋体"/>
                <w:color w:val="auto"/>
                <w:sz w:val="22"/>
                <w:highlight w:val="none"/>
              </w:rPr>
            </w:pPr>
            <w:r>
              <w:rPr>
                <w:rFonts w:hint="eastAsia" w:ascii="宋体" w:hAnsi="宋体" w:cs="宋体"/>
                <w:color w:val="auto"/>
                <w:sz w:val="22"/>
                <w:highlight w:val="none"/>
              </w:rPr>
              <w:t>响应性评审标准</w:t>
            </w:r>
          </w:p>
        </w:tc>
        <w:tc>
          <w:tcPr>
            <w:tcW w:w="2475" w:type="dxa"/>
            <w:shd w:val="clear" w:color="auto" w:fill="FFFFFF"/>
            <w:noWrap/>
            <w:vAlign w:val="center"/>
          </w:tcPr>
          <w:p w14:paraId="1056900E">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投标范围</w:t>
            </w:r>
          </w:p>
        </w:tc>
        <w:tc>
          <w:tcPr>
            <w:tcW w:w="6032" w:type="dxa"/>
            <w:shd w:val="clear" w:color="auto" w:fill="FFFFFF"/>
            <w:noWrap/>
            <w:vAlign w:val="center"/>
          </w:tcPr>
          <w:p w14:paraId="2D23E275">
            <w:pPr>
              <w:spacing w:line="300" w:lineRule="auto"/>
              <w:rPr>
                <w:rFonts w:hint="eastAsia" w:ascii="宋体" w:hAnsi="宋体" w:cs="宋体"/>
                <w:color w:val="auto"/>
                <w:sz w:val="22"/>
                <w:highlight w:val="none"/>
              </w:rPr>
            </w:pPr>
            <w:r>
              <w:rPr>
                <w:rFonts w:hint="eastAsia" w:ascii="宋体" w:hAnsi="宋体" w:cs="宋体"/>
                <w:color w:val="auto"/>
                <w:sz w:val="22"/>
                <w:highlight w:val="none"/>
              </w:rPr>
              <w:t>符合第二章“投标人须知”第1.3.1项规定</w:t>
            </w:r>
          </w:p>
        </w:tc>
      </w:tr>
      <w:tr w14:paraId="4C22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4" w:type="dxa"/>
            <w:vMerge w:val="continue"/>
            <w:shd w:val="clear" w:color="auto" w:fill="auto"/>
            <w:noWrap/>
            <w:vAlign w:val="center"/>
          </w:tcPr>
          <w:p w14:paraId="546A5326">
            <w:pPr>
              <w:spacing w:line="400" w:lineRule="exact"/>
              <w:rPr>
                <w:rFonts w:hint="eastAsia" w:ascii="宋体" w:hAnsi="宋体" w:cs="宋体"/>
                <w:color w:val="auto"/>
                <w:sz w:val="22"/>
                <w:highlight w:val="none"/>
              </w:rPr>
            </w:pPr>
          </w:p>
        </w:tc>
        <w:tc>
          <w:tcPr>
            <w:tcW w:w="832" w:type="dxa"/>
            <w:vMerge w:val="continue"/>
            <w:shd w:val="clear" w:color="auto" w:fill="FFFFFF"/>
            <w:noWrap/>
            <w:vAlign w:val="center"/>
          </w:tcPr>
          <w:p w14:paraId="1CB2E5A2">
            <w:pPr>
              <w:spacing w:line="400" w:lineRule="exact"/>
              <w:rPr>
                <w:rFonts w:hint="eastAsia" w:ascii="宋体" w:hAnsi="宋体" w:cs="宋体"/>
                <w:color w:val="auto"/>
                <w:sz w:val="22"/>
                <w:highlight w:val="none"/>
              </w:rPr>
            </w:pPr>
          </w:p>
        </w:tc>
        <w:tc>
          <w:tcPr>
            <w:tcW w:w="2475" w:type="dxa"/>
            <w:shd w:val="clear" w:color="auto" w:fill="FFFFFF"/>
            <w:noWrap/>
            <w:vAlign w:val="center"/>
          </w:tcPr>
          <w:p w14:paraId="2E90960B">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工期</w:t>
            </w:r>
          </w:p>
        </w:tc>
        <w:tc>
          <w:tcPr>
            <w:tcW w:w="6032" w:type="dxa"/>
            <w:shd w:val="clear" w:color="auto" w:fill="FFFFFF"/>
            <w:noWrap/>
            <w:vAlign w:val="center"/>
          </w:tcPr>
          <w:p w14:paraId="156181C6">
            <w:pPr>
              <w:spacing w:line="300" w:lineRule="auto"/>
              <w:rPr>
                <w:rFonts w:hint="eastAsia" w:ascii="宋体" w:hAnsi="宋体" w:cs="宋体"/>
                <w:color w:val="auto"/>
                <w:sz w:val="22"/>
                <w:highlight w:val="none"/>
              </w:rPr>
            </w:pPr>
            <w:r>
              <w:rPr>
                <w:rFonts w:hint="eastAsia" w:ascii="宋体" w:hAnsi="宋体" w:cs="宋体"/>
                <w:color w:val="auto"/>
                <w:sz w:val="22"/>
                <w:highlight w:val="none"/>
              </w:rPr>
              <w:t>符合第二章“投标人须知”第1.3.2 项规定</w:t>
            </w:r>
          </w:p>
        </w:tc>
      </w:tr>
      <w:tr w14:paraId="60E1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4" w:type="dxa"/>
            <w:vMerge w:val="continue"/>
            <w:shd w:val="clear" w:color="auto" w:fill="auto"/>
            <w:noWrap/>
            <w:vAlign w:val="center"/>
          </w:tcPr>
          <w:p w14:paraId="65B92A0B">
            <w:pPr>
              <w:spacing w:line="400" w:lineRule="exact"/>
              <w:rPr>
                <w:rFonts w:hint="eastAsia" w:ascii="宋体" w:hAnsi="宋体" w:cs="宋体"/>
                <w:color w:val="auto"/>
                <w:sz w:val="22"/>
                <w:highlight w:val="none"/>
              </w:rPr>
            </w:pPr>
          </w:p>
        </w:tc>
        <w:tc>
          <w:tcPr>
            <w:tcW w:w="832" w:type="dxa"/>
            <w:vMerge w:val="continue"/>
            <w:shd w:val="clear" w:color="auto" w:fill="FFFFFF"/>
            <w:noWrap/>
            <w:vAlign w:val="center"/>
          </w:tcPr>
          <w:p w14:paraId="4D6D456C">
            <w:pPr>
              <w:spacing w:line="400" w:lineRule="exact"/>
              <w:rPr>
                <w:rFonts w:hint="eastAsia" w:ascii="宋体" w:hAnsi="宋体" w:cs="宋体"/>
                <w:color w:val="auto"/>
                <w:sz w:val="22"/>
                <w:highlight w:val="none"/>
              </w:rPr>
            </w:pPr>
          </w:p>
        </w:tc>
        <w:tc>
          <w:tcPr>
            <w:tcW w:w="2475" w:type="dxa"/>
            <w:shd w:val="clear" w:color="auto" w:fill="FFFFFF"/>
            <w:noWrap/>
            <w:vAlign w:val="center"/>
          </w:tcPr>
          <w:p w14:paraId="4DD4220C">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质量要求</w:t>
            </w:r>
          </w:p>
        </w:tc>
        <w:tc>
          <w:tcPr>
            <w:tcW w:w="6032" w:type="dxa"/>
            <w:shd w:val="clear" w:color="auto" w:fill="FFFFFF"/>
            <w:noWrap/>
            <w:vAlign w:val="center"/>
          </w:tcPr>
          <w:p w14:paraId="77C0E18D">
            <w:pPr>
              <w:spacing w:line="300" w:lineRule="auto"/>
              <w:rPr>
                <w:rFonts w:hint="eastAsia" w:ascii="宋体" w:hAnsi="宋体" w:cs="宋体"/>
                <w:color w:val="auto"/>
                <w:sz w:val="22"/>
                <w:highlight w:val="none"/>
              </w:rPr>
            </w:pPr>
            <w:r>
              <w:rPr>
                <w:rFonts w:hint="eastAsia" w:ascii="宋体" w:hAnsi="宋体" w:cs="宋体"/>
                <w:color w:val="auto"/>
                <w:sz w:val="22"/>
                <w:highlight w:val="none"/>
              </w:rPr>
              <w:t>符合第二章“投标人须知”第1.3.3 项规定</w:t>
            </w:r>
          </w:p>
        </w:tc>
      </w:tr>
      <w:tr w14:paraId="2814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Merge w:val="continue"/>
            <w:shd w:val="clear" w:color="auto" w:fill="auto"/>
            <w:noWrap/>
            <w:vAlign w:val="center"/>
          </w:tcPr>
          <w:p w14:paraId="17CC243D">
            <w:pPr>
              <w:spacing w:line="400" w:lineRule="exact"/>
              <w:rPr>
                <w:rFonts w:hint="eastAsia" w:ascii="宋体" w:hAnsi="宋体" w:cs="宋体"/>
                <w:color w:val="auto"/>
                <w:sz w:val="22"/>
                <w:highlight w:val="none"/>
              </w:rPr>
            </w:pPr>
          </w:p>
        </w:tc>
        <w:tc>
          <w:tcPr>
            <w:tcW w:w="832" w:type="dxa"/>
            <w:vMerge w:val="continue"/>
            <w:shd w:val="clear" w:color="auto" w:fill="FFFFFF"/>
            <w:noWrap/>
            <w:vAlign w:val="center"/>
          </w:tcPr>
          <w:p w14:paraId="78D78268">
            <w:pPr>
              <w:spacing w:line="400" w:lineRule="exact"/>
              <w:rPr>
                <w:rFonts w:hint="eastAsia" w:ascii="宋体" w:hAnsi="宋体" w:cs="宋体"/>
                <w:color w:val="auto"/>
                <w:sz w:val="22"/>
                <w:highlight w:val="none"/>
              </w:rPr>
            </w:pPr>
          </w:p>
        </w:tc>
        <w:tc>
          <w:tcPr>
            <w:tcW w:w="2475" w:type="dxa"/>
            <w:shd w:val="clear" w:color="auto" w:fill="FFFFFF"/>
            <w:noWrap/>
            <w:vAlign w:val="center"/>
          </w:tcPr>
          <w:p w14:paraId="746781FB">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投标有效期</w:t>
            </w:r>
          </w:p>
        </w:tc>
        <w:tc>
          <w:tcPr>
            <w:tcW w:w="6032" w:type="dxa"/>
            <w:shd w:val="clear" w:color="auto" w:fill="FFFFFF"/>
            <w:noWrap/>
            <w:vAlign w:val="center"/>
          </w:tcPr>
          <w:p w14:paraId="796B0809">
            <w:pPr>
              <w:spacing w:line="300" w:lineRule="auto"/>
              <w:rPr>
                <w:rFonts w:hint="eastAsia" w:ascii="宋体" w:hAnsi="宋体" w:cs="宋体"/>
                <w:color w:val="auto"/>
                <w:sz w:val="22"/>
                <w:highlight w:val="none"/>
              </w:rPr>
            </w:pPr>
            <w:r>
              <w:rPr>
                <w:rFonts w:hint="eastAsia" w:ascii="宋体" w:hAnsi="宋体" w:cs="宋体"/>
                <w:color w:val="auto"/>
                <w:sz w:val="22"/>
                <w:highlight w:val="none"/>
              </w:rPr>
              <w:t>符合第二章“投标人须知”第3.3.1项规定</w:t>
            </w:r>
          </w:p>
        </w:tc>
      </w:tr>
      <w:tr w14:paraId="1E0C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44" w:type="dxa"/>
            <w:vMerge w:val="continue"/>
            <w:shd w:val="clear" w:color="auto" w:fill="auto"/>
            <w:noWrap/>
            <w:vAlign w:val="center"/>
          </w:tcPr>
          <w:p w14:paraId="28A0A028">
            <w:pPr>
              <w:spacing w:line="400" w:lineRule="exact"/>
              <w:rPr>
                <w:rFonts w:hint="eastAsia" w:ascii="宋体" w:hAnsi="宋体" w:cs="宋体"/>
                <w:color w:val="auto"/>
                <w:sz w:val="22"/>
                <w:highlight w:val="none"/>
              </w:rPr>
            </w:pPr>
          </w:p>
        </w:tc>
        <w:tc>
          <w:tcPr>
            <w:tcW w:w="832" w:type="dxa"/>
            <w:vMerge w:val="continue"/>
            <w:shd w:val="clear" w:color="auto" w:fill="FFFFFF"/>
            <w:noWrap/>
            <w:vAlign w:val="center"/>
          </w:tcPr>
          <w:p w14:paraId="501CA1F4">
            <w:pPr>
              <w:spacing w:line="400" w:lineRule="exact"/>
              <w:rPr>
                <w:rFonts w:hint="eastAsia" w:ascii="宋体" w:hAnsi="宋体" w:cs="宋体"/>
                <w:color w:val="auto"/>
                <w:sz w:val="22"/>
                <w:highlight w:val="none"/>
              </w:rPr>
            </w:pPr>
          </w:p>
        </w:tc>
        <w:tc>
          <w:tcPr>
            <w:tcW w:w="2475" w:type="dxa"/>
            <w:shd w:val="clear" w:color="auto" w:fill="FFFFFF"/>
            <w:noWrap/>
            <w:vAlign w:val="center"/>
          </w:tcPr>
          <w:p w14:paraId="6A23E1EC">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投标承诺</w:t>
            </w:r>
          </w:p>
        </w:tc>
        <w:tc>
          <w:tcPr>
            <w:tcW w:w="6032" w:type="dxa"/>
            <w:shd w:val="clear" w:color="auto" w:fill="FFFFFF"/>
            <w:noWrap/>
            <w:vAlign w:val="center"/>
          </w:tcPr>
          <w:p w14:paraId="223875FC">
            <w:pPr>
              <w:spacing w:line="300" w:lineRule="auto"/>
              <w:rPr>
                <w:rFonts w:hint="eastAsia" w:ascii="宋体" w:hAnsi="宋体" w:cs="宋体"/>
                <w:color w:val="auto"/>
                <w:sz w:val="22"/>
                <w:highlight w:val="none"/>
              </w:rPr>
            </w:pPr>
            <w:r>
              <w:rPr>
                <w:rFonts w:hint="eastAsia" w:ascii="宋体" w:hAnsi="宋体" w:cs="宋体"/>
                <w:color w:val="auto"/>
                <w:sz w:val="22"/>
                <w:highlight w:val="none"/>
              </w:rPr>
              <w:t>符合第八章“投标文件格式”规定（</w:t>
            </w:r>
            <w:r>
              <w:rPr>
                <w:rFonts w:hint="eastAsia" w:ascii="宋体" w:hAnsi="宋体" w:cs="宋体"/>
                <w:color w:val="auto"/>
                <w:sz w:val="22"/>
                <w:highlight w:val="none"/>
                <w:lang w:eastAsia="zh-CN"/>
              </w:rPr>
              <w:t>七</w:t>
            </w:r>
            <w:r>
              <w:rPr>
                <w:rFonts w:hint="eastAsia" w:ascii="宋体" w:hAnsi="宋体" w:cs="宋体"/>
                <w:color w:val="auto"/>
                <w:sz w:val="22"/>
                <w:highlight w:val="none"/>
              </w:rPr>
              <w:t>、投标承诺书）</w:t>
            </w:r>
          </w:p>
        </w:tc>
      </w:tr>
      <w:tr w14:paraId="6C21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4" w:type="dxa"/>
            <w:vMerge w:val="continue"/>
            <w:noWrap/>
            <w:vAlign w:val="center"/>
          </w:tcPr>
          <w:p w14:paraId="35D074EA">
            <w:pPr>
              <w:spacing w:line="400" w:lineRule="exact"/>
              <w:jc w:val="center"/>
              <w:rPr>
                <w:rFonts w:hint="eastAsia" w:ascii="宋体" w:hAnsi="宋体" w:cs="宋体"/>
                <w:color w:val="auto"/>
                <w:sz w:val="22"/>
                <w:highlight w:val="none"/>
              </w:rPr>
            </w:pPr>
          </w:p>
        </w:tc>
        <w:tc>
          <w:tcPr>
            <w:tcW w:w="832" w:type="dxa"/>
            <w:vMerge w:val="continue"/>
            <w:noWrap/>
            <w:vAlign w:val="center"/>
          </w:tcPr>
          <w:p w14:paraId="42BBA0B3">
            <w:pPr>
              <w:spacing w:line="400" w:lineRule="exact"/>
              <w:jc w:val="center"/>
              <w:rPr>
                <w:rFonts w:hint="eastAsia" w:ascii="宋体" w:hAnsi="宋体" w:cs="宋体"/>
                <w:color w:val="auto"/>
                <w:sz w:val="22"/>
                <w:highlight w:val="none"/>
              </w:rPr>
            </w:pPr>
          </w:p>
        </w:tc>
        <w:tc>
          <w:tcPr>
            <w:tcW w:w="2475" w:type="dxa"/>
            <w:noWrap/>
            <w:vAlign w:val="center"/>
          </w:tcPr>
          <w:p w14:paraId="2DF7A1CD">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投标保证金</w:t>
            </w:r>
          </w:p>
        </w:tc>
        <w:tc>
          <w:tcPr>
            <w:tcW w:w="6032" w:type="dxa"/>
            <w:noWrap/>
            <w:vAlign w:val="center"/>
          </w:tcPr>
          <w:p w14:paraId="5A69DF15">
            <w:pPr>
              <w:spacing w:line="300" w:lineRule="auto"/>
              <w:rPr>
                <w:rFonts w:hint="eastAsia" w:ascii="宋体" w:hAnsi="宋体" w:cs="宋体"/>
                <w:color w:val="auto"/>
                <w:sz w:val="22"/>
                <w:highlight w:val="none"/>
              </w:rPr>
            </w:pPr>
            <w:r>
              <w:rPr>
                <w:rFonts w:hint="eastAsia" w:ascii="宋体" w:hAnsi="宋体" w:cs="宋体"/>
                <w:color w:val="auto"/>
                <w:sz w:val="22"/>
                <w:highlight w:val="none"/>
              </w:rPr>
              <w:t>符合第二章“投标人须知”第3.4.1项规定</w:t>
            </w:r>
          </w:p>
        </w:tc>
      </w:tr>
      <w:tr w14:paraId="5C2D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44" w:type="dxa"/>
            <w:vMerge w:val="continue"/>
            <w:noWrap/>
            <w:vAlign w:val="center"/>
          </w:tcPr>
          <w:p w14:paraId="1556BDD6">
            <w:pPr>
              <w:spacing w:line="400" w:lineRule="exact"/>
              <w:jc w:val="center"/>
              <w:rPr>
                <w:rFonts w:hint="eastAsia" w:ascii="宋体" w:hAnsi="宋体" w:cs="宋体"/>
                <w:color w:val="auto"/>
                <w:sz w:val="22"/>
                <w:highlight w:val="none"/>
              </w:rPr>
            </w:pPr>
          </w:p>
        </w:tc>
        <w:tc>
          <w:tcPr>
            <w:tcW w:w="832" w:type="dxa"/>
            <w:vMerge w:val="continue"/>
            <w:noWrap/>
            <w:vAlign w:val="center"/>
          </w:tcPr>
          <w:p w14:paraId="5522E698">
            <w:pPr>
              <w:spacing w:line="400" w:lineRule="exact"/>
              <w:jc w:val="center"/>
              <w:rPr>
                <w:rFonts w:hint="eastAsia" w:ascii="宋体" w:hAnsi="宋体" w:cs="宋体"/>
                <w:color w:val="auto"/>
                <w:sz w:val="22"/>
                <w:highlight w:val="none"/>
              </w:rPr>
            </w:pPr>
          </w:p>
        </w:tc>
        <w:tc>
          <w:tcPr>
            <w:tcW w:w="2475" w:type="dxa"/>
            <w:noWrap/>
            <w:vAlign w:val="center"/>
          </w:tcPr>
          <w:p w14:paraId="737D2772">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投标报价有效性</w:t>
            </w:r>
          </w:p>
        </w:tc>
        <w:tc>
          <w:tcPr>
            <w:tcW w:w="6032" w:type="dxa"/>
            <w:noWrap/>
            <w:vAlign w:val="center"/>
          </w:tcPr>
          <w:p w14:paraId="120F8E88">
            <w:pPr>
              <w:spacing w:line="300" w:lineRule="auto"/>
              <w:rPr>
                <w:rFonts w:hint="eastAsia" w:ascii="宋体" w:hAnsi="宋体" w:cs="宋体"/>
                <w:color w:val="auto"/>
                <w:sz w:val="22"/>
                <w:highlight w:val="none"/>
              </w:rPr>
            </w:pPr>
            <w:r>
              <w:rPr>
                <w:rFonts w:hint="eastAsia" w:ascii="宋体" w:hAnsi="宋体" w:cs="宋体"/>
                <w:color w:val="auto"/>
                <w:sz w:val="22"/>
                <w:highlight w:val="none"/>
              </w:rPr>
              <w:t>符合第二章“投标人须知”第3.2项规定</w:t>
            </w:r>
          </w:p>
        </w:tc>
      </w:tr>
      <w:tr w14:paraId="5706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44" w:type="dxa"/>
            <w:vMerge w:val="continue"/>
            <w:noWrap/>
            <w:vAlign w:val="center"/>
          </w:tcPr>
          <w:p w14:paraId="02D5AD04">
            <w:pPr>
              <w:spacing w:line="400" w:lineRule="exact"/>
              <w:jc w:val="center"/>
              <w:rPr>
                <w:rFonts w:hint="eastAsia" w:ascii="宋体" w:hAnsi="宋体" w:cs="宋体"/>
                <w:color w:val="auto"/>
                <w:sz w:val="22"/>
                <w:highlight w:val="none"/>
              </w:rPr>
            </w:pPr>
          </w:p>
        </w:tc>
        <w:tc>
          <w:tcPr>
            <w:tcW w:w="832" w:type="dxa"/>
            <w:vMerge w:val="continue"/>
            <w:noWrap/>
            <w:vAlign w:val="center"/>
          </w:tcPr>
          <w:p w14:paraId="42E532EB">
            <w:pPr>
              <w:spacing w:line="400" w:lineRule="exact"/>
              <w:jc w:val="center"/>
              <w:rPr>
                <w:rFonts w:hint="eastAsia" w:ascii="宋体" w:hAnsi="宋体" w:cs="宋体"/>
                <w:color w:val="auto"/>
                <w:sz w:val="22"/>
                <w:highlight w:val="none"/>
              </w:rPr>
            </w:pPr>
          </w:p>
        </w:tc>
        <w:tc>
          <w:tcPr>
            <w:tcW w:w="2475" w:type="dxa"/>
            <w:noWrap/>
            <w:vAlign w:val="center"/>
          </w:tcPr>
          <w:p w14:paraId="77CD0490">
            <w:pPr>
              <w:spacing w:line="300" w:lineRule="auto"/>
              <w:jc w:val="center"/>
              <w:rPr>
                <w:rFonts w:hint="eastAsia" w:ascii="宋体" w:hAnsi="宋体" w:cs="宋体"/>
                <w:color w:val="auto"/>
                <w:sz w:val="22"/>
                <w:highlight w:val="none"/>
              </w:rPr>
            </w:pPr>
            <w:r>
              <w:rPr>
                <w:rFonts w:hint="eastAsia" w:ascii="宋体" w:hAnsi="宋体" w:cs="宋体"/>
                <w:color w:val="auto"/>
                <w:sz w:val="22"/>
                <w:highlight w:val="none"/>
              </w:rPr>
              <w:t>其他要求</w:t>
            </w:r>
          </w:p>
        </w:tc>
        <w:tc>
          <w:tcPr>
            <w:tcW w:w="6032" w:type="dxa"/>
            <w:noWrap/>
            <w:vAlign w:val="center"/>
          </w:tcPr>
          <w:p w14:paraId="5F400F44">
            <w:pPr>
              <w:spacing w:line="300" w:lineRule="auto"/>
              <w:rPr>
                <w:rFonts w:hint="eastAsia" w:ascii="宋体" w:hAnsi="宋体" w:cs="宋体"/>
                <w:color w:val="auto"/>
                <w:sz w:val="22"/>
                <w:highlight w:val="none"/>
              </w:rPr>
            </w:pPr>
            <w:r>
              <w:rPr>
                <w:rFonts w:hint="eastAsia" w:ascii="宋体" w:hAnsi="宋体" w:cs="宋体"/>
                <w:color w:val="auto"/>
                <w:sz w:val="22"/>
                <w:highlight w:val="none"/>
              </w:rPr>
              <w:t>符合招标文件规定的其他要求</w:t>
            </w:r>
          </w:p>
        </w:tc>
      </w:tr>
      <w:bookmarkEnd w:id="11"/>
    </w:tbl>
    <w:p w14:paraId="1DC0AF58">
      <w:pPr>
        <w:rPr>
          <w:color w:val="auto"/>
          <w:highlight w:val="none"/>
        </w:rPr>
      </w:pPr>
      <w:r>
        <w:rPr>
          <w:color w:val="auto"/>
          <w:highlight w:val="none"/>
        </w:rPr>
        <w:br w:type="page"/>
      </w:r>
    </w:p>
    <w:tbl>
      <w:tblPr>
        <w:tblStyle w:val="20"/>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129"/>
        <w:gridCol w:w="2082"/>
        <w:gridCol w:w="6064"/>
      </w:tblGrid>
      <w:tr w14:paraId="51AB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gridSpan w:val="2"/>
            <w:vAlign w:val="center"/>
          </w:tcPr>
          <w:p w14:paraId="39E8E077">
            <w:pPr>
              <w:spacing w:line="360" w:lineRule="auto"/>
              <w:jc w:val="center"/>
              <w:rPr>
                <w:rFonts w:hint="eastAsia" w:ascii="宋体" w:hAnsi="宋体" w:cs="宋体"/>
                <w:b/>
                <w:color w:val="auto"/>
                <w:sz w:val="22"/>
                <w:highlight w:val="none"/>
              </w:rPr>
            </w:pPr>
            <w:r>
              <w:rPr>
                <w:rFonts w:hint="eastAsia" w:ascii="宋体" w:hAnsi="宋体" w:cs="宋体"/>
                <w:b/>
                <w:color w:val="auto"/>
                <w:sz w:val="22"/>
                <w:highlight w:val="none"/>
              </w:rPr>
              <w:t>条款号</w:t>
            </w:r>
          </w:p>
        </w:tc>
        <w:tc>
          <w:tcPr>
            <w:tcW w:w="2082" w:type="dxa"/>
            <w:vAlign w:val="center"/>
          </w:tcPr>
          <w:p w14:paraId="19790641">
            <w:pPr>
              <w:spacing w:line="360" w:lineRule="auto"/>
              <w:jc w:val="center"/>
              <w:rPr>
                <w:rFonts w:hint="eastAsia" w:ascii="宋体" w:hAnsi="宋体" w:cs="宋体"/>
                <w:b/>
                <w:color w:val="auto"/>
                <w:sz w:val="22"/>
                <w:highlight w:val="none"/>
              </w:rPr>
            </w:pPr>
            <w:r>
              <w:rPr>
                <w:rFonts w:hint="eastAsia" w:ascii="宋体" w:hAnsi="宋体" w:cs="宋体"/>
                <w:b/>
                <w:color w:val="auto"/>
                <w:sz w:val="22"/>
                <w:highlight w:val="none"/>
              </w:rPr>
              <w:t>评分因素</w:t>
            </w:r>
          </w:p>
        </w:tc>
        <w:tc>
          <w:tcPr>
            <w:tcW w:w="6064" w:type="dxa"/>
            <w:vAlign w:val="center"/>
          </w:tcPr>
          <w:p w14:paraId="4BE8D6C9">
            <w:pPr>
              <w:spacing w:line="360" w:lineRule="auto"/>
              <w:jc w:val="center"/>
              <w:rPr>
                <w:rFonts w:hint="eastAsia" w:ascii="宋体" w:hAnsi="宋体" w:cs="宋体"/>
                <w:b/>
                <w:color w:val="auto"/>
                <w:sz w:val="22"/>
                <w:highlight w:val="none"/>
              </w:rPr>
            </w:pPr>
            <w:r>
              <w:rPr>
                <w:rFonts w:hint="eastAsia" w:ascii="宋体" w:hAnsi="宋体" w:cs="宋体"/>
                <w:b/>
                <w:color w:val="auto"/>
                <w:sz w:val="22"/>
                <w:highlight w:val="none"/>
              </w:rPr>
              <w:t>评分标准</w:t>
            </w:r>
          </w:p>
        </w:tc>
      </w:tr>
      <w:tr w14:paraId="3A23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gridSpan w:val="2"/>
            <w:vAlign w:val="center"/>
          </w:tcPr>
          <w:p w14:paraId="238A977D">
            <w:pPr>
              <w:spacing w:line="360" w:lineRule="auto"/>
              <w:jc w:val="center"/>
              <w:rPr>
                <w:rFonts w:hint="eastAsia" w:ascii="宋体" w:hAnsi="宋体" w:cs="宋体"/>
                <w:b/>
                <w:color w:val="auto"/>
                <w:sz w:val="22"/>
                <w:highlight w:val="none"/>
              </w:rPr>
            </w:pPr>
            <w:r>
              <w:rPr>
                <w:rFonts w:hint="eastAsia" w:ascii="宋体" w:hAnsi="宋体" w:cs="宋体"/>
                <w:color w:val="auto"/>
                <w:sz w:val="22"/>
                <w:highlight w:val="none"/>
              </w:rPr>
              <w:t>2.2.1</w:t>
            </w:r>
          </w:p>
        </w:tc>
        <w:tc>
          <w:tcPr>
            <w:tcW w:w="2082" w:type="dxa"/>
            <w:vAlign w:val="center"/>
          </w:tcPr>
          <w:p w14:paraId="5A90DBFF">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分值构成</w:t>
            </w:r>
          </w:p>
          <w:p w14:paraId="510CA822">
            <w:pPr>
              <w:spacing w:line="360" w:lineRule="auto"/>
              <w:jc w:val="center"/>
              <w:rPr>
                <w:rFonts w:hint="eastAsia" w:ascii="宋体" w:hAnsi="宋体" w:cs="宋体"/>
                <w:b/>
                <w:color w:val="auto"/>
                <w:sz w:val="22"/>
                <w:highlight w:val="none"/>
              </w:rPr>
            </w:pPr>
            <w:r>
              <w:rPr>
                <w:rFonts w:hint="eastAsia" w:ascii="宋体" w:hAnsi="宋体" w:cs="宋体"/>
                <w:color w:val="auto"/>
                <w:sz w:val="22"/>
                <w:highlight w:val="none"/>
              </w:rPr>
              <w:t>(总分100分)</w:t>
            </w:r>
          </w:p>
        </w:tc>
        <w:tc>
          <w:tcPr>
            <w:tcW w:w="6064" w:type="dxa"/>
            <w:vAlign w:val="center"/>
          </w:tcPr>
          <w:p w14:paraId="20D00A6F">
            <w:pPr>
              <w:widowControl/>
              <w:spacing w:line="240" w:lineRule="auto"/>
              <w:jc w:val="left"/>
              <w:rPr>
                <w:rFonts w:hint="eastAsia" w:ascii="宋体" w:hAnsi="宋体" w:cs="宋体"/>
                <w:color w:val="auto"/>
                <w:kern w:val="0"/>
                <w:sz w:val="22"/>
                <w:highlight w:val="none"/>
              </w:rPr>
            </w:pPr>
            <w:r>
              <w:rPr>
                <w:rFonts w:hint="eastAsia" w:ascii="宋体" w:hAnsi="宋体" w:cs="宋体"/>
                <w:color w:val="auto"/>
                <w:kern w:val="0"/>
                <w:sz w:val="22"/>
                <w:highlight w:val="none"/>
              </w:rPr>
              <w:t>商务部分：50分</w:t>
            </w:r>
          </w:p>
          <w:p w14:paraId="7FE377E6">
            <w:pPr>
              <w:widowControl/>
              <w:spacing w:line="240" w:lineRule="auto"/>
              <w:jc w:val="left"/>
              <w:rPr>
                <w:rFonts w:hint="eastAsia" w:ascii="宋体" w:hAnsi="宋体" w:cs="宋体"/>
                <w:color w:val="auto"/>
                <w:kern w:val="0"/>
                <w:sz w:val="22"/>
                <w:highlight w:val="none"/>
              </w:rPr>
            </w:pPr>
            <w:r>
              <w:rPr>
                <w:rFonts w:hint="eastAsia" w:ascii="宋体" w:hAnsi="宋体" w:cs="宋体"/>
                <w:color w:val="auto"/>
                <w:kern w:val="0"/>
                <w:sz w:val="22"/>
                <w:highlight w:val="none"/>
              </w:rPr>
              <w:t>技术部分：40分</w:t>
            </w:r>
          </w:p>
          <w:p w14:paraId="41E00DF4">
            <w:pPr>
              <w:widowControl/>
              <w:spacing w:line="240" w:lineRule="auto"/>
              <w:jc w:val="left"/>
              <w:rPr>
                <w:rFonts w:hint="eastAsia" w:ascii="宋体" w:hAnsi="宋体" w:cs="宋体"/>
                <w:color w:val="auto"/>
                <w:sz w:val="22"/>
                <w:highlight w:val="none"/>
              </w:rPr>
            </w:pPr>
            <w:r>
              <w:rPr>
                <w:rFonts w:hint="eastAsia" w:ascii="宋体" w:hAnsi="宋体" w:cs="宋体"/>
                <w:color w:val="auto"/>
                <w:kern w:val="0"/>
                <w:sz w:val="22"/>
                <w:highlight w:val="none"/>
              </w:rPr>
              <w:t>投标报价：10分</w:t>
            </w:r>
          </w:p>
        </w:tc>
      </w:tr>
      <w:tr w14:paraId="03A1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vAlign w:val="center"/>
          </w:tcPr>
          <w:p w14:paraId="1427DCC4">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2.2.2</w:t>
            </w:r>
          </w:p>
          <w:p w14:paraId="2756B08C">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129" w:type="dxa"/>
            <w:vMerge w:val="restart"/>
            <w:vAlign w:val="center"/>
          </w:tcPr>
          <w:p w14:paraId="1FA6F89C">
            <w:pPr>
              <w:pStyle w:val="7"/>
              <w:spacing w:line="34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商务部分得分</w:t>
            </w:r>
          </w:p>
          <w:p w14:paraId="65502842">
            <w:pPr>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（50分）</w:t>
            </w:r>
          </w:p>
        </w:tc>
        <w:tc>
          <w:tcPr>
            <w:tcW w:w="2082" w:type="dxa"/>
            <w:vAlign w:val="center"/>
          </w:tcPr>
          <w:p w14:paraId="649DE6CC">
            <w:pPr>
              <w:spacing w:line="32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shd w:val="clear" w:color="auto" w:fill="FFFFFF"/>
              </w:rPr>
              <w:t>广东省水利厅水利建设市场信用</w:t>
            </w:r>
            <w:r>
              <w:rPr>
                <w:rFonts w:hint="eastAsia" w:ascii="宋体" w:hAnsi="宋体" w:cs="宋体"/>
                <w:color w:val="auto"/>
                <w:sz w:val="22"/>
                <w:szCs w:val="22"/>
                <w:highlight w:val="none"/>
              </w:rPr>
              <w:t>得分情况（10分）</w:t>
            </w:r>
          </w:p>
        </w:tc>
        <w:tc>
          <w:tcPr>
            <w:tcW w:w="6064" w:type="dxa"/>
            <w:vAlign w:val="center"/>
          </w:tcPr>
          <w:p w14:paraId="5DD4BADE">
            <w:pPr>
              <w:spacing w:line="32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人（独立体或联合体各方）根据广东省水利厅关于印发《广东省水利厅关于水利建设市场信用的管理办法》的通知[粤水规范字(2019)1号]及广东省水利厅关于延长《广东省水利厅关于水利建设市场信用的管理办法》有效期的通知，在广东省内依法建立了信用档案的水利建设市场主体初始信用分为100分，分值权重为10%，按照评标时查询的信用分值(超100分的按100分计算)乘以10%计算所得最终信用得分（两个或者两个以上水利建设市场主体组成联合体投标时，以信用分值较低主体的信用分值计算信用得分)。</w:t>
            </w:r>
          </w:p>
          <w:p w14:paraId="32885CA6">
            <w:pPr>
              <w:spacing w:line="320" w:lineRule="exact"/>
              <w:rPr>
                <w:rFonts w:hint="eastAsia" w:ascii="宋体" w:hAnsi="宋体" w:cs="宋体"/>
                <w:color w:val="auto"/>
                <w:sz w:val="22"/>
                <w:szCs w:val="22"/>
                <w:highlight w:val="none"/>
              </w:rPr>
            </w:pPr>
            <w:r>
              <w:rPr>
                <w:rFonts w:hint="eastAsia" w:ascii="宋体" w:hAnsi="宋体" w:cs="宋体"/>
                <w:b/>
                <w:bCs/>
                <w:color w:val="auto"/>
                <w:kern w:val="0"/>
                <w:sz w:val="22"/>
                <w:szCs w:val="22"/>
                <w:highlight w:val="none"/>
              </w:rPr>
              <w:t>注：提供广东省水利厅网站(首页-公共服务-水利建设市场信用信息平台-广东省水利建设市场信用信息平台-动态信用）栏信息及企业信用分值的网页截图。以开标当天招标代理机构在监督单位的见证下并在交易中心网上实时截图打印的为准。</w:t>
            </w:r>
          </w:p>
        </w:tc>
      </w:tr>
      <w:tr w14:paraId="63B3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7D325153">
            <w:pPr>
              <w:spacing w:line="360" w:lineRule="auto"/>
              <w:jc w:val="center"/>
              <w:rPr>
                <w:rFonts w:hint="eastAsia" w:ascii="宋体" w:hAnsi="宋体" w:cs="宋体"/>
                <w:color w:val="auto"/>
                <w:sz w:val="22"/>
                <w:szCs w:val="22"/>
                <w:highlight w:val="none"/>
              </w:rPr>
            </w:pPr>
          </w:p>
        </w:tc>
        <w:tc>
          <w:tcPr>
            <w:tcW w:w="1129" w:type="dxa"/>
            <w:vMerge w:val="continue"/>
            <w:vAlign w:val="center"/>
          </w:tcPr>
          <w:p w14:paraId="243D3C7F">
            <w:pPr>
              <w:jc w:val="center"/>
              <w:rPr>
                <w:rFonts w:hint="eastAsia" w:ascii="宋体" w:hAnsi="宋体" w:cs="宋体"/>
                <w:b/>
                <w:bCs/>
                <w:color w:val="auto"/>
                <w:sz w:val="22"/>
                <w:szCs w:val="22"/>
                <w:highlight w:val="none"/>
              </w:rPr>
            </w:pPr>
          </w:p>
        </w:tc>
        <w:tc>
          <w:tcPr>
            <w:tcW w:w="2082" w:type="dxa"/>
            <w:vAlign w:val="center"/>
          </w:tcPr>
          <w:p w14:paraId="5313F79A">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类似工程施工</w:t>
            </w:r>
          </w:p>
          <w:p w14:paraId="41CE5BBC">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业绩情况</w:t>
            </w:r>
          </w:p>
          <w:p w14:paraId="010E06D7">
            <w:pPr>
              <w:spacing w:line="360" w:lineRule="exact"/>
              <w:jc w:val="center"/>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rPr>
              <w:t>（5分）</w:t>
            </w:r>
          </w:p>
        </w:tc>
        <w:tc>
          <w:tcPr>
            <w:tcW w:w="6064" w:type="dxa"/>
            <w:vAlign w:val="center"/>
          </w:tcPr>
          <w:p w14:paraId="45471F2D">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投标人自2022年1月1日至今（以合同签订时间为准），承接过类似工程的施工或设计施工总承包中的施工部分的，每取得1项得5分，最高得5分。</w:t>
            </w:r>
          </w:p>
          <w:p w14:paraId="35B57B69">
            <w:pPr>
              <w:spacing w:line="360" w:lineRule="exact"/>
              <w:rPr>
                <w:rFonts w:hint="eastAsia" w:ascii="宋体" w:hAnsi="宋体" w:cs="宋体"/>
                <w:b/>
                <w:bCs/>
                <w:color w:val="auto"/>
                <w:kern w:val="0"/>
                <w:sz w:val="22"/>
                <w:szCs w:val="22"/>
                <w:highlight w:val="none"/>
              </w:rPr>
            </w:pPr>
            <w:r>
              <w:rPr>
                <w:rFonts w:hint="eastAsia" w:ascii="宋体" w:hAnsi="宋体" w:cs="宋体"/>
                <w:color w:val="auto"/>
                <w:sz w:val="22"/>
                <w:szCs w:val="22"/>
                <w:highlight w:val="none"/>
              </w:rPr>
              <w:t>注：类似工程指：签约合同金额≥400万元的水利类工程。须提供中标通知书、合同（只需提供合同的关键页部分）扫描件并加盖公章，否则不得分。</w:t>
            </w:r>
          </w:p>
        </w:tc>
      </w:tr>
      <w:tr w14:paraId="6E5D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03" w:type="dxa"/>
            <w:vMerge w:val="continue"/>
            <w:vAlign w:val="center"/>
          </w:tcPr>
          <w:p w14:paraId="1A69A0EB">
            <w:pPr>
              <w:spacing w:line="360" w:lineRule="auto"/>
              <w:jc w:val="center"/>
              <w:rPr>
                <w:rFonts w:hint="eastAsia" w:ascii="宋体" w:hAnsi="宋体" w:cs="宋体"/>
                <w:color w:val="auto"/>
                <w:sz w:val="22"/>
                <w:szCs w:val="22"/>
                <w:highlight w:val="none"/>
              </w:rPr>
            </w:pPr>
          </w:p>
        </w:tc>
        <w:tc>
          <w:tcPr>
            <w:tcW w:w="1129" w:type="dxa"/>
            <w:vMerge w:val="continue"/>
            <w:vAlign w:val="center"/>
          </w:tcPr>
          <w:p w14:paraId="429E3783">
            <w:pPr>
              <w:jc w:val="center"/>
              <w:rPr>
                <w:rFonts w:hint="eastAsia" w:ascii="宋体" w:hAnsi="宋体" w:cs="宋体"/>
                <w:b/>
                <w:bCs/>
                <w:color w:val="auto"/>
                <w:sz w:val="22"/>
                <w:szCs w:val="22"/>
                <w:highlight w:val="none"/>
              </w:rPr>
            </w:pPr>
          </w:p>
        </w:tc>
        <w:tc>
          <w:tcPr>
            <w:tcW w:w="2082" w:type="dxa"/>
            <w:vAlign w:val="center"/>
          </w:tcPr>
          <w:p w14:paraId="7907BAE4">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项目经理综合能力</w:t>
            </w:r>
          </w:p>
          <w:p w14:paraId="623C89E9">
            <w:pPr>
              <w:spacing w:line="360" w:lineRule="exact"/>
              <w:jc w:val="center"/>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rPr>
              <w:t>（5分）</w:t>
            </w:r>
          </w:p>
        </w:tc>
        <w:tc>
          <w:tcPr>
            <w:tcW w:w="6064" w:type="dxa"/>
            <w:vAlign w:val="center"/>
          </w:tcPr>
          <w:p w14:paraId="5AF67343">
            <w:pPr>
              <w:spacing w:line="360" w:lineRule="exact"/>
              <w:rPr>
                <w:rFonts w:hint="eastAsia" w:ascii="宋体" w:hAnsi="宋体" w:cs="宋体"/>
                <w:color w:val="auto"/>
                <w:kern w:val="0"/>
                <w:sz w:val="22"/>
                <w:szCs w:val="22"/>
                <w:highlight w:val="none"/>
              </w:rPr>
            </w:pPr>
            <w:r>
              <w:rPr>
                <w:rFonts w:hint="eastAsia" w:ascii="宋体" w:hAnsi="宋体" w:cs="宋体"/>
                <w:color w:val="auto"/>
                <w:sz w:val="22"/>
                <w:szCs w:val="22"/>
                <w:highlight w:val="none"/>
                <w:shd w:val="clear" w:color="auto" w:fill="FFFFFF"/>
              </w:rPr>
              <w:t>项目经理具有水利类工程师或以上技术职称得5分；</w:t>
            </w:r>
          </w:p>
          <w:p w14:paraId="0E8B1DF7">
            <w:pPr>
              <w:spacing w:line="340" w:lineRule="exact"/>
              <w:jc w:val="left"/>
              <w:rPr>
                <w:rFonts w:hint="eastAsia" w:ascii="宋体" w:hAnsi="宋体" w:cs="宋体"/>
                <w:b/>
                <w:bCs/>
                <w:color w:val="auto"/>
                <w:kern w:val="0"/>
                <w:sz w:val="22"/>
                <w:szCs w:val="22"/>
                <w:highlight w:val="none"/>
              </w:rPr>
            </w:pPr>
            <w:r>
              <w:rPr>
                <w:rFonts w:hint="eastAsia" w:ascii="宋体" w:hAnsi="宋体" w:cs="宋体"/>
                <w:color w:val="auto"/>
                <w:sz w:val="22"/>
                <w:szCs w:val="22"/>
                <w:highlight w:val="none"/>
                <w:shd w:val="clear" w:color="auto" w:fill="FFFFFF"/>
              </w:rPr>
              <w:t>注：</w:t>
            </w:r>
            <w:r>
              <w:rPr>
                <w:rFonts w:hint="eastAsia" w:ascii="宋体" w:hAnsi="宋体" w:cs="宋体"/>
                <w:color w:val="auto"/>
                <w:sz w:val="22"/>
                <w:szCs w:val="22"/>
                <w:highlight w:val="none"/>
              </w:rPr>
              <w:t>需提供职称证扫描件（或打印件）并加盖公章</w:t>
            </w:r>
            <w:r>
              <w:rPr>
                <w:rFonts w:hint="eastAsia" w:ascii="宋体" w:hAnsi="宋体" w:cs="宋体"/>
                <w:color w:val="auto"/>
                <w:sz w:val="22"/>
                <w:szCs w:val="22"/>
                <w:highlight w:val="none"/>
                <w:shd w:val="clear" w:color="auto" w:fill="FFFFFF"/>
              </w:rPr>
              <w:t>，否则不得分。</w:t>
            </w:r>
          </w:p>
        </w:tc>
      </w:tr>
      <w:tr w14:paraId="7B3A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71BDBDC5">
            <w:pPr>
              <w:spacing w:line="360" w:lineRule="auto"/>
              <w:jc w:val="center"/>
              <w:rPr>
                <w:rFonts w:hint="eastAsia" w:ascii="宋体" w:hAnsi="宋体" w:cs="宋体"/>
                <w:color w:val="auto"/>
                <w:sz w:val="22"/>
                <w:szCs w:val="22"/>
                <w:highlight w:val="none"/>
              </w:rPr>
            </w:pPr>
          </w:p>
        </w:tc>
        <w:tc>
          <w:tcPr>
            <w:tcW w:w="1129" w:type="dxa"/>
            <w:vMerge w:val="continue"/>
            <w:vAlign w:val="center"/>
          </w:tcPr>
          <w:p w14:paraId="2E2EDBEA">
            <w:pPr>
              <w:jc w:val="center"/>
              <w:rPr>
                <w:rFonts w:hint="eastAsia" w:ascii="宋体" w:hAnsi="宋体" w:cs="宋体"/>
                <w:b/>
                <w:bCs/>
                <w:color w:val="auto"/>
                <w:sz w:val="22"/>
                <w:szCs w:val="22"/>
                <w:highlight w:val="none"/>
              </w:rPr>
            </w:pPr>
          </w:p>
        </w:tc>
        <w:tc>
          <w:tcPr>
            <w:tcW w:w="2082" w:type="dxa"/>
            <w:vAlign w:val="center"/>
          </w:tcPr>
          <w:p w14:paraId="65462B1B">
            <w:pPr>
              <w:spacing w:line="40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企业获得荣誉</w:t>
            </w:r>
          </w:p>
          <w:p w14:paraId="5ADC27E8">
            <w:pPr>
              <w:spacing w:line="400" w:lineRule="exact"/>
              <w:jc w:val="center"/>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rPr>
              <w:t>（10分）</w:t>
            </w:r>
          </w:p>
        </w:tc>
        <w:tc>
          <w:tcPr>
            <w:tcW w:w="6064" w:type="dxa"/>
            <w:vAlign w:val="center"/>
          </w:tcPr>
          <w:p w14:paraId="67B5859B">
            <w:pPr>
              <w:spacing w:line="3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投标人获得荣誉情况：</w:t>
            </w:r>
          </w:p>
          <w:p w14:paraId="50C33C94">
            <w:pPr>
              <w:rPr>
                <w:rFonts w:hint="eastAsia" w:ascii="宋体" w:hAnsi="宋体" w:cs="宋体"/>
                <w:color w:val="auto"/>
                <w:sz w:val="22"/>
                <w:szCs w:val="22"/>
                <w:highlight w:val="none"/>
              </w:rPr>
            </w:pPr>
            <w:r>
              <w:rPr>
                <w:rFonts w:hint="eastAsia" w:ascii="宋体" w:hAnsi="宋体" w:cs="宋体"/>
                <w:color w:val="auto"/>
                <w:sz w:val="22"/>
                <w:szCs w:val="22"/>
                <w:highlight w:val="none"/>
              </w:rPr>
              <w:t>投标人从2022 年 1 月 1 日至今获得过建设主管部门颁发的“百千万工程”工作相关荣誉被评为先进公益企业荣誉证书的得10 分。</w:t>
            </w:r>
            <w:r>
              <w:rPr>
                <w:rFonts w:hint="eastAsia" w:ascii="宋体" w:hAnsi="宋体" w:cs="宋体"/>
                <w:color w:val="auto"/>
                <w:sz w:val="22"/>
                <w:szCs w:val="22"/>
                <w:highlight w:val="none"/>
              </w:rPr>
              <w:br w:type="textWrapping"/>
            </w:r>
            <w:r>
              <w:rPr>
                <w:rFonts w:hint="eastAsia" w:ascii="宋体" w:hAnsi="宋体" w:cs="宋体"/>
                <w:color w:val="auto"/>
                <w:sz w:val="22"/>
                <w:szCs w:val="22"/>
                <w:highlight w:val="none"/>
              </w:rPr>
              <w:t>注：</w:t>
            </w:r>
          </w:p>
          <w:p w14:paraId="1FB8D1D7">
            <w:pPr>
              <w:rPr>
                <w:rFonts w:hint="eastAsia" w:ascii="宋体" w:hAnsi="宋体" w:cs="宋体"/>
                <w:color w:val="auto"/>
                <w:sz w:val="22"/>
                <w:szCs w:val="22"/>
                <w:highlight w:val="none"/>
              </w:rPr>
            </w:pPr>
            <w:r>
              <w:rPr>
                <w:rFonts w:hint="eastAsia" w:ascii="宋体" w:hAnsi="宋体" w:cs="宋体"/>
                <w:color w:val="auto"/>
                <w:sz w:val="22"/>
                <w:szCs w:val="22"/>
                <w:highlight w:val="none"/>
              </w:rPr>
              <w:t>1.需附相关证书彩色扫描件（或打印件）并加盖公章。</w:t>
            </w:r>
          </w:p>
          <w:p w14:paraId="2F0FBAE9">
            <w:pPr>
              <w:rPr>
                <w:rFonts w:hint="eastAsia" w:ascii="宋体" w:hAnsi="宋体" w:cs="宋体"/>
                <w:color w:val="auto"/>
                <w:sz w:val="22"/>
                <w:szCs w:val="22"/>
                <w:highlight w:val="none"/>
              </w:rPr>
            </w:pPr>
            <w:r>
              <w:rPr>
                <w:rFonts w:hint="eastAsia" w:ascii="宋体" w:hAnsi="宋体" w:cs="宋体"/>
                <w:color w:val="auto"/>
                <w:sz w:val="22"/>
                <w:szCs w:val="22"/>
                <w:highlight w:val="none"/>
              </w:rPr>
              <w:t>2.证书须由建设行政主管部门颁发。</w:t>
            </w:r>
          </w:p>
          <w:p w14:paraId="25C68401">
            <w:pPr>
              <w:rPr>
                <w:rFonts w:hint="eastAsia" w:ascii="宋体" w:hAnsi="宋体" w:cs="宋体"/>
                <w:b/>
                <w:bCs/>
                <w:color w:val="auto"/>
                <w:kern w:val="0"/>
                <w:sz w:val="22"/>
                <w:szCs w:val="22"/>
                <w:highlight w:val="none"/>
              </w:rPr>
            </w:pPr>
            <w:r>
              <w:rPr>
                <w:rFonts w:hint="eastAsia" w:ascii="宋体" w:hAnsi="宋体" w:cs="宋体"/>
                <w:color w:val="auto"/>
                <w:sz w:val="22"/>
                <w:szCs w:val="22"/>
                <w:highlight w:val="none"/>
              </w:rPr>
              <w:t>3.颁发机构、获奖时间不符合评分标准和备注规定的，不予得分。</w:t>
            </w:r>
          </w:p>
        </w:tc>
      </w:tr>
      <w:tr w14:paraId="7D96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31D81234">
            <w:pPr>
              <w:spacing w:line="360" w:lineRule="auto"/>
              <w:jc w:val="center"/>
              <w:rPr>
                <w:rFonts w:hint="eastAsia" w:ascii="宋体" w:hAnsi="宋体" w:cs="宋体"/>
                <w:color w:val="auto"/>
                <w:sz w:val="22"/>
                <w:szCs w:val="22"/>
                <w:highlight w:val="none"/>
              </w:rPr>
            </w:pPr>
          </w:p>
        </w:tc>
        <w:tc>
          <w:tcPr>
            <w:tcW w:w="1129" w:type="dxa"/>
            <w:vMerge w:val="continue"/>
            <w:vAlign w:val="center"/>
          </w:tcPr>
          <w:p w14:paraId="72CEB1F4">
            <w:pPr>
              <w:jc w:val="center"/>
              <w:rPr>
                <w:rFonts w:hint="eastAsia" w:ascii="宋体" w:hAnsi="宋体" w:cs="宋体"/>
                <w:b/>
                <w:bCs/>
                <w:color w:val="auto"/>
                <w:sz w:val="22"/>
                <w:szCs w:val="22"/>
                <w:highlight w:val="none"/>
              </w:rPr>
            </w:pPr>
          </w:p>
        </w:tc>
        <w:tc>
          <w:tcPr>
            <w:tcW w:w="2082" w:type="dxa"/>
            <w:vAlign w:val="center"/>
          </w:tcPr>
          <w:p w14:paraId="35F8FE12">
            <w:pPr>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企业综合实力</w:t>
            </w:r>
          </w:p>
          <w:p w14:paraId="65E0DB86">
            <w:pPr>
              <w:spacing w:line="360" w:lineRule="exact"/>
              <w:jc w:val="center"/>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rPr>
              <w:t>（5分）</w:t>
            </w:r>
          </w:p>
        </w:tc>
        <w:tc>
          <w:tcPr>
            <w:tcW w:w="6064" w:type="dxa"/>
            <w:vAlign w:val="center"/>
          </w:tcPr>
          <w:p w14:paraId="06E0D68D">
            <w:pPr>
              <w:widowControl/>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1.投标人</w:t>
            </w:r>
            <w:r>
              <w:rPr>
                <w:rFonts w:hint="eastAsia" w:ascii="宋体" w:hAnsi="宋体" w:cs="宋体"/>
                <w:color w:val="auto"/>
                <w:sz w:val="22"/>
                <w:szCs w:val="22"/>
                <w:highlight w:val="none"/>
              </w:rPr>
              <w:t>从2022 年 1 月 1 日至今</w:t>
            </w:r>
            <w:r>
              <w:rPr>
                <w:rFonts w:hint="eastAsia" w:ascii="宋体" w:hAnsi="宋体" w:cs="宋体"/>
                <w:color w:val="auto"/>
                <w:kern w:val="0"/>
                <w:sz w:val="22"/>
                <w:szCs w:val="22"/>
                <w:highlight w:val="none"/>
                <w:lang w:bidi="ar"/>
              </w:rPr>
              <w:t xml:space="preserve">获得过省级或以上商业联合会颁发的诚信兴商证书的得 5分； </w:t>
            </w:r>
          </w:p>
          <w:p w14:paraId="34C89B12">
            <w:pPr>
              <w:widowControl/>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2.其他情形的，不予计分。</w:t>
            </w:r>
            <w:r>
              <w:rPr>
                <w:rFonts w:hint="eastAsia" w:ascii="宋体" w:hAnsi="宋体" w:cs="宋体"/>
                <w:color w:val="auto"/>
                <w:kern w:val="0"/>
                <w:sz w:val="22"/>
                <w:szCs w:val="22"/>
                <w:highlight w:val="none"/>
                <w:lang w:bidi="ar"/>
              </w:rPr>
              <w:br w:type="textWrapping"/>
            </w:r>
            <w:r>
              <w:rPr>
                <w:rFonts w:hint="eastAsia" w:ascii="宋体" w:hAnsi="宋体" w:cs="宋体"/>
                <w:snapToGrid w:val="0"/>
                <w:color w:val="auto"/>
                <w:kern w:val="0"/>
                <w:sz w:val="22"/>
                <w:szCs w:val="22"/>
                <w:highlight w:val="none"/>
              </w:rPr>
              <w:t>注：</w:t>
            </w:r>
            <w:r>
              <w:rPr>
                <w:rFonts w:hint="eastAsia" w:ascii="宋体" w:hAnsi="宋体" w:cs="宋体"/>
                <w:snapToGrid w:val="0"/>
                <w:color w:val="auto"/>
                <w:kern w:val="0"/>
                <w:sz w:val="22"/>
                <w:szCs w:val="22"/>
                <w:highlight w:val="none"/>
              </w:rPr>
              <w:br w:type="textWrapping"/>
            </w:r>
            <w:r>
              <w:rPr>
                <w:rFonts w:hint="eastAsia" w:ascii="宋体" w:hAnsi="宋体" w:cs="宋体"/>
                <w:color w:val="auto"/>
                <w:kern w:val="0"/>
                <w:sz w:val="22"/>
                <w:szCs w:val="22"/>
                <w:highlight w:val="none"/>
                <w:lang w:bidi="ar"/>
              </w:rPr>
              <w:t xml:space="preserve">１．证书由省级或以上商业联合会颁发，须提供有关证书彩色扫描件。 </w:t>
            </w:r>
          </w:p>
          <w:p w14:paraId="4012EAA7">
            <w:pPr>
              <w:widowControl/>
              <w:jc w:val="left"/>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lang w:bidi="ar"/>
              </w:rPr>
              <w:t>2．颁发机构不符合要求的，按第 2 项标准处理。</w:t>
            </w:r>
          </w:p>
        </w:tc>
      </w:tr>
      <w:tr w14:paraId="6F64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1CDEFB44">
            <w:pPr>
              <w:spacing w:line="360" w:lineRule="auto"/>
              <w:jc w:val="center"/>
              <w:rPr>
                <w:rFonts w:hint="eastAsia" w:ascii="宋体" w:hAnsi="宋体" w:cs="宋体"/>
                <w:color w:val="auto"/>
                <w:sz w:val="22"/>
                <w:szCs w:val="22"/>
                <w:highlight w:val="none"/>
              </w:rPr>
            </w:pPr>
          </w:p>
        </w:tc>
        <w:tc>
          <w:tcPr>
            <w:tcW w:w="1129" w:type="dxa"/>
            <w:vMerge w:val="continue"/>
            <w:vAlign w:val="center"/>
          </w:tcPr>
          <w:p w14:paraId="642315C7">
            <w:pPr>
              <w:jc w:val="center"/>
              <w:rPr>
                <w:rFonts w:hint="eastAsia" w:ascii="宋体" w:hAnsi="宋体" w:cs="宋体"/>
                <w:b/>
                <w:bCs/>
                <w:color w:val="auto"/>
                <w:sz w:val="22"/>
                <w:szCs w:val="22"/>
                <w:highlight w:val="none"/>
              </w:rPr>
            </w:pPr>
          </w:p>
        </w:tc>
        <w:tc>
          <w:tcPr>
            <w:tcW w:w="2082" w:type="dxa"/>
            <w:vAlign w:val="center"/>
          </w:tcPr>
          <w:p w14:paraId="6E643441">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获得管理体系等认证证书情况</w:t>
            </w:r>
          </w:p>
          <w:p w14:paraId="41EBF145">
            <w:pPr>
              <w:spacing w:line="360" w:lineRule="exact"/>
              <w:jc w:val="center"/>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rPr>
              <w:t>（15分）</w:t>
            </w:r>
          </w:p>
        </w:tc>
        <w:tc>
          <w:tcPr>
            <w:tcW w:w="6064" w:type="dxa"/>
            <w:vAlign w:val="center"/>
          </w:tcPr>
          <w:p w14:paraId="69CE9810">
            <w:pPr>
              <w:autoSpaceDE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投标人在本项目招标公告发布前获得过①质量管理体系认证证书、②职业健康安全管理体系认证证书、③环境管理体系认证证书、④</w:t>
            </w:r>
            <w:r>
              <w:rPr>
                <w:rFonts w:hint="eastAsia" w:ascii="宋体" w:hAnsi="宋体" w:cs="宋体"/>
                <w:color w:val="auto"/>
                <w:kern w:val="0"/>
                <w:sz w:val="22"/>
                <w:szCs w:val="22"/>
                <w:highlight w:val="none"/>
              </w:rPr>
              <w:t>企业应急管理规范认证证书</w:t>
            </w:r>
            <w:r>
              <w:rPr>
                <w:rFonts w:hint="eastAsia" w:ascii="宋体" w:hAnsi="宋体" w:cs="宋体"/>
                <w:color w:val="auto"/>
                <w:sz w:val="22"/>
                <w:szCs w:val="22"/>
                <w:highlight w:val="none"/>
              </w:rPr>
              <w:t>、⑤</w:t>
            </w:r>
            <w:r>
              <w:rPr>
                <w:rFonts w:hint="eastAsia" w:ascii="宋体" w:hAnsi="宋体" w:cs="宋体"/>
                <w:color w:val="auto"/>
                <w:kern w:val="0"/>
                <w:sz w:val="22"/>
                <w:szCs w:val="22"/>
                <w:highlight w:val="none"/>
              </w:rPr>
              <w:t>企业创新能力评价体系认证证书</w:t>
            </w:r>
            <w:r>
              <w:rPr>
                <w:rFonts w:hint="eastAsia" w:ascii="宋体" w:hAnsi="宋体" w:cs="宋体"/>
                <w:color w:val="auto"/>
                <w:sz w:val="22"/>
                <w:szCs w:val="22"/>
                <w:highlight w:val="none"/>
              </w:rPr>
              <w:t>、⑥</w:t>
            </w:r>
            <w:r>
              <w:rPr>
                <w:rFonts w:hint="eastAsia" w:ascii="宋体" w:hAnsi="宋体" w:cs="宋体"/>
                <w:snapToGrid w:val="0"/>
                <w:color w:val="auto"/>
                <w:kern w:val="0"/>
                <w:sz w:val="22"/>
                <w:szCs w:val="22"/>
                <w:highlight w:val="none"/>
              </w:rPr>
              <w:t>建设工程项目总承包服务规范认证</w:t>
            </w:r>
            <w:r>
              <w:rPr>
                <w:rFonts w:hint="eastAsia" w:ascii="宋体" w:hAnsi="宋体" w:cs="宋体"/>
                <w:color w:val="auto"/>
                <w:kern w:val="0"/>
                <w:sz w:val="22"/>
                <w:szCs w:val="22"/>
                <w:highlight w:val="none"/>
              </w:rPr>
              <w:t>证书。</w:t>
            </w:r>
          </w:p>
          <w:p w14:paraId="6C410660">
            <w:pPr>
              <w:autoSpaceDE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（1）投标人获得全部6项证书的得15分；</w:t>
            </w:r>
          </w:p>
          <w:p w14:paraId="2A924365">
            <w:pPr>
              <w:autoSpaceDE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（2）投标人获得其中5项证书的得8分；</w:t>
            </w:r>
          </w:p>
          <w:p w14:paraId="2B328F84">
            <w:pPr>
              <w:autoSpaceDE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（3）投标人获得其中4项证书的得4分；</w:t>
            </w:r>
          </w:p>
          <w:p w14:paraId="702C34F4">
            <w:pPr>
              <w:autoSpaceDE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（4）未提供4项及以上，不予计分。</w:t>
            </w:r>
          </w:p>
          <w:p w14:paraId="23C58C4D">
            <w:pPr>
              <w:spacing w:line="360" w:lineRule="exact"/>
              <w:jc w:val="left"/>
              <w:rPr>
                <w:rFonts w:hint="eastAsia" w:ascii="宋体" w:hAnsi="宋体" w:cs="宋体"/>
                <w:b/>
                <w:bCs/>
                <w:color w:val="auto"/>
                <w:kern w:val="0"/>
                <w:sz w:val="22"/>
                <w:szCs w:val="22"/>
                <w:highlight w:val="none"/>
              </w:rPr>
            </w:pPr>
            <w:r>
              <w:rPr>
                <w:rFonts w:hint="eastAsia" w:ascii="宋体" w:hAnsi="宋体" w:cs="宋体"/>
                <w:color w:val="auto"/>
                <w:sz w:val="22"/>
                <w:szCs w:val="22"/>
                <w:highlight w:val="none"/>
              </w:rPr>
              <w:t>注：证书①符合GB/T 19001-2016 idt ISO 9001:2015标准及GB/T 50430-2017 标准。证书②符合GB/T 45001-2020 idt ISO 45001:2018 标准。证书③符合GB/T 24001-2016 idt IOS14001:2015 标准。证书④</w:t>
            </w:r>
            <w:r>
              <w:rPr>
                <w:rFonts w:hint="eastAsia" w:ascii="宋体" w:hAnsi="宋体" w:cs="宋体"/>
                <w:color w:val="auto"/>
                <w:kern w:val="0"/>
                <w:sz w:val="22"/>
                <w:szCs w:val="22"/>
                <w:highlight w:val="none"/>
              </w:rPr>
              <w:t>达到GB/T 37228-2018、CRCESS1001-2021的要求</w:t>
            </w:r>
            <w:r>
              <w:rPr>
                <w:rFonts w:hint="eastAsia" w:ascii="宋体" w:hAnsi="宋体" w:cs="宋体"/>
                <w:color w:val="auto"/>
                <w:sz w:val="22"/>
                <w:szCs w:val="22"/>
                <w:highlight w:val="none"/>
              </w:rPr>
              <w:t>。证书⑤</w:t>
            </w:r>
            <w:r>
              <w:rPr>
                <w:rFonts w:hint="eastAsia" w:ascii="宋体" w:hAnsi="宋体" w:cs="宋体"/>
                <w:color w:val="auto"/>
                <w:kern w:val="0"/>
                <w:sz w:val="22"/>
                <w:szCs w:val="22"/>
                <w:highlight w:val="none"/>
              </w:rPr>
              <w:t>达到GB/T31769-2015、GB/T37097-2018及CTSSES1001-2019的要求</w:t>
            </w:r>
            <w:r>
              <w:rPr>
                <w:rFonts w:hint="eastAsia" w:ascii="宋体" w:hAnsi="宋体" w:cs="宋体"/>
                <w:color w:val="auto"/>
                <w:sz w:val="22"/>
                <w:szCs w:val="22"/>
                <w:highlight w:val="none"/>
              </w:rPr>
              <w:t>。证书⑥</w:t>
            </w:r>
            <w:r>
              <w:rPr>
                <w:rFonts w:hint="eastAsia" w:ascii="宋体" w:hAnsi="宋体" w:cs="宋体"/>
                <w:snapToGrid w:val="0"/>
                <w:color w:val="auto"/>
                <w:kern w:val="0"/>
                <w:sz w:val="22"/>
                <w:szCs w:val="22"/>
                <w:highlight w:val="none"/>
              </w:rPr>
              <w:t>达到GB/T50358-2017及ZSGP CTS0001-2023的要求。</w:t>
            </w:r>
            <w:r>
              <w:rPr>
                <w:rFonts w:hint="eastAsia" w:ascii="宋体" w:hAnsi="宋体" w:cs="宋体"/>
                <w:color w:val="auto"/>
                <w:sz w:val="22"/>
                <w:szCs w:val="22"/>
                <w:highlight w:val="none"/>
              </w:rPr>
              <w:t>本项最高得15分。须提供证书彩色扫描件</w:t>
            </w:r>
            <w:r>
              <w:rPr>
                <w:rFonts w:hint="eastAsia" w:ascii="宋体" w:hAnsi="宋体" w:cs="宋体"/>
                <w:snapToGrid w:val="0"/>
                <w:color w:val="auto"/>
                <w:kern w:val="0"/>
                <w:sz w:val="22"/>
                <w:szCs w:val="22"/>
                <w:highlight w:val="none"/>
              </w:rPr>
              <w:t>核查，同</w:t>
            </w:r>
            <w:r>
              <w:rPr>
                <w:rFonts w:hint="eastAsia" w:ascii="宋体" w:hAnsi="宋体" w:cs="宋体"/>
                <w:snapToGrid w:val="0"/>
                <w:color w:val="auto"/>
                <w:sz w:val="22"/>
                <w:szCs w:val="22"/>
                <w:highlight w:val="none"/>
              </w:rPr>
              <w:t>时需提供国家认证认可监督管理委员会官网网页截图，证书有效性在国家认证认可监督管理委员会官网（http://www.cnca.gov.cn/)可查，并符合依据标准</w:t>
            </w:r>
            <w:r>
              <w:rPr>
                <w:rFonts w:hint="eastAsia" w:ascii="宋体" w:hAnsi="宋体" w:cs="宋体"/>
                <w:color w:val="auto"/>
                <w:sz w:val="22"/>
                <w:szCs w:val="22"/>
                <w:highlight w:val="none"/>
              </w:rPr>
              <w:t>否则不得分。</w:t>
            </w:r>
          </w:p>
        </w:tc>
      </w:tr>
      <w:tr w14:paraId="3A5F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803" w:type="dxa"/>
            <w:vMerge w:val="restart"/>
            <w:vAlign w:val="center"/>
          </w:tcPr>
          <w:p w14:paraId="61718B29">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2.2.2</w:t>
            </w:r>
          </w:p>
          <w:p w14:paraId="2326F925">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p w14:paraId="28E2C1B4">
            <w:pPr>
              <w:spacing w:line="360" w:lineRule="auto"/>
              <w:jc w:val="center"/>
              <w:rPr>
                <w:rFonts w:hint="eastAsia" w:ascii="宋体" w:hAnsi="宋体" w:cs="宋体"/>
                <w:color w:val="auto"/>
                <w:sz w:val="22"/>
                <w:szCs w:val="22"/>
                <w:highlight w:val="none"/>
              </w:rPr>
            </w:pPr>
          </w:p>
        </w:tc>
        <w:tc>
          <w:tcPr>
            <w:tcW w:w="1129" w:type="dxa"/>
            <w:vMerge w:val="restart"/>
            <w:vAlign w:val="center"/>
          </w:tcPr>
          <w:p w14:paraId="2C36029C">
            <w:pPr>
              <w:spacing w:line="360"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技术部分</w:t>
            </w:r>
          </w:p>
          <w:p w14:paraId="2A927AD9">
            <w:pPr>
              <w:spacing w:line="360" w:lineRule="auto"/>
              <w:jc w:val="center"/>
              <w:rPr>
                <w:rFonts w:hint="eastAsia" w:ascii="宋体" w:hAnsi="宋体" w:cs="宋体"/>
                <w:color w:val="auto"/>
                <w:sz w:val="22"/>
                <w:szCs w:val="22"/>
                <w:highlight w:val="none"/>
              </w:rPr>
            </w:pPr>
            <w:r>
              <w:rPr>
                <w:rFonts w:hint="eastAsia" w:ascii="宋体" w:hAnsi="宋体" w:cs="宋体"/>
                <w:b/>
                <w:bCs/>
                <w:color w:val="auto"/>
                <w:sz w:val="22"/>
                <w:szCs w:val="22"/>
                <w:highlight w:val="none"/>
              </w:rPr>
              <w:t>（40分）</w:t>
            </w:r>
          </w:p>
        </w:tc>
        <w:tc>
          <w:tcPr>
            <w:tcW w:w="2082" w:type="dxa"/>
            <w:vAlign w:val="center"/>
          </w:tcPr>
          <w:p w14:paraId="30146B16">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施工组织设计内容完整性和编制水平(5分）</w:t>
            </w:r>
          </w:p>
        </w:tc>
        <w:tc>
          <w:tcPr>
            <w:tcW w:w="6064" w:type="dxa"/>
            <w:vAlign w:val="center"/>
          </w:tcPr>
          <w:p w14:paraId="58E9B242">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（1）施工组织设计内容完整，编制水平较为优秀，得5分；</w:t>
            </w:r>
          </w:p>
          <w:p w14:paraId="2AB2FC94">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（2）施工组织设计内容完整性和编制水平较为良好，得4.8分；</w:t>
            </w:r>
          </w:p>
          <w:p w14:paraId="00C76EDC">
            <w:pPr>
              <w:widowControl/>
              <w:spacing w:line="360" w:lineRule="exact"/>
              <w:jc w:val="left"/>
              <w:rPr>
                <w:rFonts w:hint="eastAsia" w:ascii="宋体" w:hAnsi="宋体" w:cs="宋体"/>
                <w:b/>
                <w:bCs/>
                <w:color w:val="auto"/>
                <w:sz w:val="22"/>
                <w:szCs w:val="22"/>
                <w:highlight w:val="none"/>
              </w:rPr>
            </w:pPr>
            <w:r>
              <w:rPr>
                <w:rFonts w:hint="eastAsia" w:ascii="宋体" w:hAnsi="宋体" w:cs="宋体"/>
                <w:color w:val="auto"/>
                <w:sz w:val="22"/>
                <w:szCs w:val="22"/>
                <w:highlight w:val="none"/>
              </w:rPr>
              <w:t>（3）施工组织设计内容完整性和编制水平一般，得4.6分。</w:t>
            </w:r>
          </w:p>
        </w:tc>
      </w:tr>
      <w:tr w14:paraId="26EE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803" w:type="dxa"/>
            <w:vMerge w:val="continue"/>
            <w:vAlign w:val="center"/>
          </w:tcPr>
          <w:p w14:paraId="05C35E1A">
            <w:pPr>
              <w:spacing w:line="360" w:lineRule="auto"/>
              <w:rPr>
                <w:rFonts w:hint="eastAsia" w:ascii="宋体" w:hAnsi="宋体" w:cs="宋体"/>
                <w:color w:val="auto"/>
                <w:sz w:val="22"/>
                <w:szCs w:val="22"/>
                <w:highlight w:val="none"/>
              </w:rPr>
            </w:pPr>
          </w:p>
        </w:tc>
        <w:tc>
          <w:tcPr>
            <w:tcW w:w="1129" w:type="dxa"/>
            <w:vMerge w:val="continue"/>
            <w:vAlign w:val="center"/>
          </w:tcPr>
          <w:p w14:paraId="4B6E4F86">
            <w:pPr>
              <w:spacing w:line="360" w:lineRule="auto"/>
              <w:jc w:val="center"/>
              <w:rPr>
                <w:rFonts w:hint="eastAsia" w:ascii="宋体" w:hAnsi="宋体" w:cs="宋体"/>
                <w:color w:val="auto"/>
                <w:sz w:val="22"/>
                <w:szCs w:val="22"/>
                <w:highlight w:val="none"/>
              </w:rPr>
            </w:pPr>
          </w:p>
        </w:tc>
        <w:tc>
          <w:tcPr>
            <w:tcW w:w="2082" w:type="dxa"/>
            <w:vAlign w:val="center"/>
          </w:tcPr>
          <w:p w14:paraId="6FD13727">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施工方案与技术措施的合理性、科学性与可行性(6分）</w:t>
            </w:r>
          </w:p>
        </w:tc>
        <w:tc>
          <w:tcPr>
            <w:tcW w:w="6064" w:type="dxa"/>
            <w:vAlign w:val="center"/>
          </w:tcPr>
          <w:p w14:paraId="6D3DE775">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（1）施工方案与技术措施的非常合理、科学、可行，为优秀，得6分；</w:t>
            </w:r>
          </w:p>
          <w:p w14:paraId="25056196">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（2）施工方案与技术措施的基本合理、科学、可行，为良好，得5.8分；</w:t>
            </w:r>
          </w:p>
          <w:p w14:paraId="2DA66F84">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（3）施工方案与技术措施的合理性、科学性、可行性较差，为一般，得5.6分。</w:t>
            </w:r>
          </w:p>
        </w:tc>
      </w:tr>
      <w:tr w14:paraId="4D72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03" w:type="dxa"/>
            <w:vMerge w:val="continue"/>
            <w:vAlign w:val="center"/>
          </w:tcPr>
          <w:p w14:paraId="4D142D1A">
            <w:pPr>
              <w:spacing w:line="360" w:lineRule="auto"/>
              <w:rPr>
                <w:rFonts w:hint="eastAsia" w:ascii="宋体" w:hAnsi="宋体" w:cs="宋体"/>
                <w:color w:val="auto"/>
                <w:sz w:val="22"/>
                <w:szCs w:val="22"/>
                <w:highlight w:val="none"/>
              </w:rPr>
            </w:pPr>
          </w:p>
        </w:tc>
        <w:tc>
          <w:tcPr>
            <w:tcW w:w="1129" w:type="dxa"/>
            <w:vMerge w:val="continue"/>
            <w:vAlign w:val="center"/>
          </w:tcPr>
          <w:p w14:paraId="79E3439E">
            <w:pPr>
              <w:spacing w:line="360" w:lineRule="auto"/>
              <w:jc w:val="center"/>
              <w:rPr>
                <w:rFonts w:hint="eastAsia" w:ascii="宋体" w:hAnsi="宋体" w:cs="宋体"/>
                <w:color w:val="auto"/>
                <w:sz w:val="22"/>
                <w:szCs w:val="22"/>
                <w:highlight w:val="none"/>
              </w:rPr>
            </w:pPr>
          </w:p>
        </w:tc>
        <w:tc>
          <w:tcPr>
            <w:tcW w:w="2082" w:type="dxa"/>
            <w:vAlign w:val="center"/>
          </w:tcPr>
          <w:p w14:paraId="6FBA080B">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质量管理体系</w:t>
            </w:r>
          </w:p>
          <w:p w14:paraId="0E8CE6F1">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与措施</w:t>
            </w:r>
          </w:p>
          <w:p w14:paraId="61096B2F">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(6分）</w:t>
            </w:r>
          </w:p>
        </w:tc>
        <w:tc>
          <w:tcPr>
            <w:tcW w:w="6064" w:type="dxa"/>
            <w:vAlign w:val="center"/>
          </w:tcPr>
          <w:p w14:paraId="02E9B34A">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（1）质量管理体系与管理措施较优秀，得6分；</w:t>
            </w:r>
          </w:p>
          <w:p w14:paraId="433F8BBA">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（2）质量管理体系与管理措施较良好，得5.8分；</w:t>
            </w:r>
          </w:p>
          <w:p w14:paraId="43D7B442">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（3）质量管理体系与管理措施一般，得5.6分。</w:t>
            </w:r>
          </w:p>
        </w:tc>
      </w:tr>
      <w:tr w14:paraId="5412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803" w:type="dxa"/>
            <w:vMerge w:val="continue"/>
            <w:vAlign w:val="center"/>
          </w:tcPr>
          <w:p w14:paraId="5FE11474">
            <w:pPr>
              <w:spacing w:line="360" w:lineRule="auto"/>
              <w:rPr>
                <w:rFonts w:hint="eastAsia" w:ascii="宋体" w:hAnsi="宋体" w:cs="宋体"/>
                <w:color w:val="auto"/>
                <w:sz w:val="22"/>
                <w:szCs w:val="22"/>
                <w:highlight w:val="none"/>
              </w:rPr>
            </w:pPr>
          </w:p>
        </w:tc>
        <w:tc>
          <w:tcPr>
            <w:tcW w:w="1129" w:type="dxa"/>
            <w:vMerge w:val="continue"/>
            <w:vAlign w:val="center"/>
          </w:tcPr>
          <w:p w14:paraId="7554318B">
            <w:pPr>
              <w:spacing w:line="360" w:lineRule="auto"/>
              <w:jc w:val="center"/>
              <w:rPr>
                <w:rFonts w:hint="eastAsia" w:ascii="宋体" w:hAnsi="宋体" w:cs="宋体"/>
                <w:color w:val="auto"/>
                <w:sz w:val="22"/>
                <w:szCs w:val="22"/>
                <w:highlight w:val="none"/>
              </w:rPr>
            </w:pPr>
          </w:p>
        </w:tc>
        <w:tc>
          <w:tcPr>
            <w:tcW w:w="2082" w:type="dxa"/>
            <w:vAlign w:val="center"/>
          </w:tcPr>
          <w:p w14:paraId="16510ADD">
            <w:pPr>
              <w:spacing w:line="360" w:lineRule="exact"/>
              <w:jc w:val="center"/>
              <w:outlineLvl w:val="3"/>
              <w:rPr>
                <w:rFonts w:hint="eastAsia" w:ascii="宋体" w:hAnsi="宋体" w:cs="宋体"/>
                <w:color w:val="auto"/>
                <w:sz w:val="22"/>
                <w:szCs w:val="22"/>
                <w:highlight w:val="none"/>
              </w:rPr>
            </w:pPr>
            <w:r>
              <w:rPr>
                <w:rFonts w:hint="eastAsia" w:ascii="宋体" w:hAnsi="宋体" w:cs="宋体"/>
                <w:color w:val="auto"/>
                <w:sz w:val="22"/>
                <w:szCs w:val="22"/>
                <w:highlight w:val="none"/>
              </w:rPr>
              <w:t>安全管理体系</w:t>
            </w:r>
          </w:p>
          <w:p w14:paraId="294ACD91">
            <w:pPr>
              <w:spacing w:line="360" w:lineRule="exact"/>
              <w:jc w:val="center"/>
              <w:outlineLvl w:val="3"/>
              <w:rPr>
                <w:rFonts w:hint="eastAsia" w:ascii="宋体" w:hAnsi="宋体" w:cs="宋体"/>
                <w:color w:val="auto"/>
                <w:sz w:val="22"/>
                <w:szCs w:val="22"/>
                <w:highlight w:val="none"/>
              </w:rPr>
            </w:pPr>
            <w:r>
              <w:rPr>
                <w:rFonts w:hint="eastAsia" w:ascii="宋体" w:hAnsi="宋体" w:cs="宋体"/>
                <w:color w:val="auto"/>
                <w:sz w:val="22"/>
                <w:szCs w:val="22"/>
                <w:highlight w:val="none"/>
              </w:rPr>
              <w:t>与措施</w:t>
            </w:r>
          </w:p>
          <w:p w14:paraId="2D40982A">
            <w:pPr>
              <w:spacing w:line="360" w:lineRule="exact"/>
              <w:jc w:val="center"/>
              <w:outlineLvl w:val="3"/>
              <w:rPr>
                <w:rFonts w:hint="eastAsia" w:ascii="宋体" w:hAnsi="宋体" w:cs="宋体"/>
                <w:color w:val="auto"/>
                <w:sz w:val="22"/>
                <w:szCs w:val="22"/>
                <w:highlight w:val="none"/>
              </w:rPr>
            </w:pPr>
            <w:r>
              <w:rPr>
                <w:rFonts w:hint="eastAsia" w:ascii="宋体" w:hAnsi="宋体" w:cs="宋体"/>
                <w:color w:val="auto"/>
                <w:sz w:val="22"/>
                <w:szCs w:val="22"/>
                <w:highlight w:val="none"/>
              </w:rPr>
              <w:t>(6分）</w:t>
            </w:r>
          </w:p>
        </w:tc>
        <w:tc>
          <w:tcPr>
            <w:tcW w:w="6064" w:type="dxa"/>
            <w:vAlign w:val="center"/>
          </w:tcPr>
          <w:p w14:paraId="57B07284">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（1）安全管理体系与管理措施较优秀，得6分；</w:t>
            </w:r>
          </w:p>
          <w:p w14:paraId="7F013BFA">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（2）安全管理体系与管理措施较良好，得5.8分；</w:t>
            </w:r>
          </w:p>
          <w:p w14:paraId="43E208BC">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（3）安全管理体系与管理措施一般，得5.6分。</w:t>
            </w:r>
          </w:p>
        </w:tc>
      </w:tr>
      <w:tr w14:paraId="18E0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03" w:type="dxa"/>
            <w:vMerge w:val="continue"/>
            <w:vAlign w:val="center"/>
          </w:tcPr>
          <w:p w14:paraId="1AB6FC8B">
            <w:pPr>
              <w:spacing w:line="360" w:lineRule="auto"/>
              <w:rPr>
                <w:rFonts w:hint="eastAsia" w:ascii="宋体" w:hAnsi="宋体" w:cs="宋体"/>
                <w:color w:val="auto"/>
                <w:sz w:val="22"/>
                <w:szCs w:val="22"/>
                <w:highlight w:val="none"/>
              </w:rPr>
            </w:pPr>
          </w:p>
        </w:tc>
        <w:tc>
          <w:tcPr>
            <w:tcW w:w="1129" w:type="dxa"/>
            <w:vMerge w:val="continue"/>
            <w:vAlign w:val="center"/>
          </w:tcPr>
          <w:p w14:paraId="7A3743EB">
            <w:pPr>
              <w:spacing w:line="360" w:lineRule="auto"/>
              <w:jc w:val="center"/>
              <w:rPr>
                <w:rFonts w:hint="eastAsia" w:ascii="宋体" w:hAnsi="宋体" w:cs="宋体"/>
                <w:color w:val="auto"/>
                <w:sz w:val="22"/>
                <w:szCs w:val="22"/>
                <w:highlight w:val="none"/>
              </w:rPr>
            </w:pPr>
          </w:p>
        </w:tc>
        <w:tc>
          <w:tcPr>
            <w:tcW w:w="2082" w:type="dxa"/>
            <w:vAlign w:val="center"/>
          </w:tcPr>
          <w:p w14:paraId="08FA735D">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环境保护管理体系与措施</w:t>
            </w:r>
          </w:p>
          <w:p w14:paraId="21C6FD9D">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(6分）</w:t>
            </w:r>
          </w:p>
        </w:tc>
        <w:tc>
          <w:tcPr>
            <w:tcW w:w="6064" w:type="dxa"/>
            <w:vAlign w:val="center"/>
          </w:tcPr>
          <w:p w14:paraId="385B485C">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（1）环境保护管理体系与管理措施较优秀，得6分；</w:t>
            </w:r>
          </w:p>
          <w:p w14:paraId="3699DAE7">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（2）环境保护管理体系与管理措施较良好，得5.8分；</w:t>
            </w:r>
          </w:p>
          <w:p w14:paraId="123189AF">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（3）环境保护管理体系与管理措施一般，得5.6分。</w:t>
            </w:r>
          </w:p>
        </w:tc>
      </w:tr>
      <w:tr w14:paraId="0E0B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803" w:type="dxa"/>
            <w:vMerge w:val="continue"/>
            <w:vAlign w:val="center"/>
          </w:tcPr>
          <w:p w14:paraId="4DAB4CD3">
            <w:pPr>
              <w:spacing w:line="360" w:lineRule="auto"/>
              <w:rPr>
                <w:rFonts w:hint="eastAsia" w:ascii="宋体" w:hAnsi="宋体" w:cs="宋体"/>
                <w:color w:val="auto"/>
                <w:sz w:val="22"/>
                <w:szCs w:val="22"/>
                <w:highlight w:val="none"/>
              </w:rPr>
            </w:pPr>
          </w:p>
        </w:tc>
        <w:tc>
          <w:tcPr>
            <w:tcW w:w="1129" w:type="dxa"/>
            <w:vMerge w:val="continue"/>
            <w:vAlign w:val="center"/>
          </w:tcPr>
          <w:p w14:paraId="443D366D">
            <w:pPr>
              <w:spacing w:line="360" w:lineRule="auto"/>
              <w:jc w:val="center"/>
              <w:rPr>
                <w:rFonts w:hint="eastAsia" w:ascii="宋体" w:hAnsi="宋体" w:cs="宋体"/>
                <w:color w:val="auto"/>
                <w:sz w:val="22"/>
                <w:szCs w:val="22"/>
                <w:highlight w:val="none"/>
              </w:rPr>
            </w:pPr>
          </w:p>
        </w:tc>
        <w:tc>
          <w:tcPr>
            <w:tcW w:w="2082" w:type="dxa"/>
            <w:vAlign w:val="center"/>
          </w:tcPr>
          <w:p w14:paraId="0D5D0090">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工程建设进度</w:t>
            </w:r>
          </w:p>
          <w:p w14:paraId="74FE6E64">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计划与措施</w:t>
            </w:r>
          </w:p>
          <w:p w14:paraId="21D20394">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(6分）</w:t>
            </w:r>
          </w:p>
        </w:tc>
        <w:tc>
          <w:tcPr>
            <w:tcW w:w="6064" w:type="dxa"/>
            <w:vAlign w:val="center"/>
          </w:tcPr>
          <w:p w14:paraId="09B4D71E">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（1）工程建设进度计划与措施较优秀，得6分；</w:t>
            </w:r>
          </w:p>
          <w:p w14:paraId="4CC89F42">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（2）工程建设进度计划与措施较良好，得5.8分；</w:t>
            </w:r>
          </w:p>
          <w:p w14:paraId="5FA9A503">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（3）工程建设进度计划与措施一般，得5.6分。</w:t>
            </w:r>
          </w:p>
        </w:tc>
      </w:tr>
      <w:tr w14:paraId="68AE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803" w:type="dxa"/>
            <w:vMerge w:val="continue"/>
            <w:vAlign w:val="center"/>
          </w:tcPr>
          <w:p w14:paraId="1A26D1D0">
            <w:pPr>
              <w:spacing w:line="360" w:lineRule="auto"/>
              <w:rPr>
                <w:rFonts w:hint="eastAsia" w:ascii="宋体" w:hAnsi="宋体" w:cs="宋体"/>
                <w:color w:val="auto"/>
                <w:sz w:val="22"/>
                <w:szCs w:val="22"/>
                <w:highlight w:val="none"/>
              </w:rPr>
            </w:pPr>
          </w:p>
        </w:tc>
        <w:tc>
          <w:tcPr>
            <w:tcW w:w="1129" w:type="dxa"/>
            <w:vMerge w:val="continue"/>
            <w:vAlign w:val="center"/>
          </w:tcPr>
          <w:p w14:paraId="0D226FC6">
            <w:pPr>
              <w:spacing w:line="360" w:lineRule="auto"/>
              <w:jc w:val="center"/>
              <w:rPr>
                <w:rFonts w:hint="eastAsia" w:ascii="宋体" w:hAnsi="宋体" w:cs="宋体"/>
                <w:color w:val="auto"/>
                <w:sz w:val="22"/>
                <w:szCs w:val="22"/>
                <w:highlight w:val="none"/>
              </w:rPr>
            </w:pPr>
          </w:p>
        </w:tc>
        <w:tc>
          <w:tcPr>
            <w:tcW w:w="2082" w:type="dxa"/>
            <w:vAlign w:val="center"/>
          </w:tcPr>
          <w:p w14:paraId="3C199ECF">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资源配备计划</w:t>
            </w:r>
          </w:p>
          <w:p w14:paraId="644EA233">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(5分）</w:t>
            </w:r>
          </w:p>
        </w:tc>
        <w:tc>
          <w:tcPr>
            <w:tcW w:w="6064" w:type="dxa"/>
            <w:vAlign w:val="center"/>
          </w:tcPr>
          <w:p w14:paraId="0A10B8CA">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（1）资源配备计划较优秀，得5分；</w:t>
            </w:r>
          </w:p>
          <w:p w14:paraId="55409398">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（2）资源配备计划较良好，得4.8分；</w:t>
            </w:r>
          </w:p>
          <w:p w14:paraId="32020A35">
            <w:pPr>
              <w:widowControl/>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（3）资源配备计划一般，得4.6分。</w:t>
            </w:r>
          </w:p>
        </w:tc>
      </w:tr>
      <w:tr w14:paraId="2DD5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803" w:type="dxa"/>
            <w:vMerge w:val="restart"/>
            <w:vAlign w:val="center"/>
          </w:tcPr>
          <w:p w14:paraId="00A3C258">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2.2.2</w:t>
            </w:r>
          </w:p>
          <w:p w14:paraId="1A273922">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1129" w:type="dxa"/>
            <w:vMerge w:val="restart"/>
            <w:vAlign w:val="center"/>
          </w:tcPr>
          <w:p w14:paraId="290066F2">
            <w:pPr>
              <w:spacing w:line="360" w:lineRule="auto"/>
              <w:jc w:val="center"/>
              <w:rPr>
                <w:rFonts w:hint="eastAsia" w:ascii="宋体" w:hAnsi="宋体" w:cs="宋体"/>
                <w:color w:val="auto"/>
                <w:sz w:val="22"/>
                <w:szCs w:val="22"/>
                <w:highlight w:val="none"/>
              </w:rPr>
            </w:pPr>
            <w:r>
              <w:rPr>
                <w:rFonts w:hint="eastAsia" w:ascii="宋体" w:hAnsi="宋体" w:cs="宋体"/>
                <w:b/>
                <w:bCs/>
                <w:color w:val="auto"/>
                <w:sz w:val="22"/>
                <w:szCs w:val="22"/>
                <w:highlight w:val="none"/>
              </w:rPr>
              <w:t>投标报价（10）</w:t>
            </w:r>
          </w:p>
        </w:tc>
        <w:tc>
          <w:tcPr>
            <w:tcW w:w="2082" w:type="dxa"/>
            <w:vAlign w:val="center"/>
          </w:tcPr>
          <w:p w14:paraId="2D8F947A">
            <w:pPr>
              <w:spacing w:line="360" w:lineRule="exact"/>
              <w:ind w:right="-12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有效投标报价下浮率</w:t>
            </w:r>
          </w:p>
        </w:tc>
        <w:tc>
          <w:tcPr>
            <w:tcW w:w="6064" w:type="dxa"/>
            <w:vAlign w:val="center"/>
          </w:tcPr>
          <w:p w14:paraId="200BBCE9">
            <w:pPr>
              <w:spacing w:line="360" w:lineRule="exact"/>
              <w:rPr>
                <w:rFonts w:hint="eastAsia" w:ascii="宋体" w:hAnsi="宋体" w:cs="宋体"/>
                <w:color w:val="auto"/>
                <w:sz w:val="22"/>
                <w:szCs w:val="22"/>
                <w:highlight w:val="none"/>
              </w:rPr>
            </w:pPr>
            <w:r>
              <w:rPr>
                <w:rFonts w:hint="eastAsia" w:ascii="宋体" w:hAnsi="宋体" w:cs="宋体"/>
                <w:color w:val="auto"/>
                <w:spacing w:val="2"/>
                <w:kern w:val="0"/>
                <w:sz w:val="22"/>
                <w:szCs w:val="22"/>
                <w:highlight w:val="none"/>
              </w:rPr>
              <w:t>有效投标报价下浮率为≥1.000%（保留小数点后3位），不在此范围内的投标报价均为无效投标报价</w:t>
            </w:r>
            <w:r>
              <w:rPr>
                <w:rFonts w:hint="eastAsia" w:ascii="宋体" w:hAnsi="宋体" w:cs="宋体"/>
                <w:color w:val="auto"/>
                <w:sz w:val="22"/>
                <w:szCs w:val="22"/>
                <w:highlight w:val="none"/>
              </w:rPr>
              <w:t>。</w:t>
            </w:r>
          </w:p>
          <w:p w14:paraId="6CD65BE7">
            <w:pPr>
              <w:spacing w:line="360" w:lineRule="exact"/>
              <w:ind w:firstLine="221" w:firstLineChars="100"/>
              <w:rPr>
                <w:rFonts w:hint="eastAsia" w:ascii="宋体" w:hAnsi="宋体" w:cs="宋体"/>
                <w:snapToGrid w:val="0"/>
                <w:color w:val="auto"/>
                <w:kern w:val="0"/>
                <w:sz w:val="22"/>
                <w:szCs w:val="22"/>
                <w:highlight w:val="none"/>
              </w:rPr>
            </w:pPr>
            <w:r>
              <w:rPr>
                <w:rFonts w:hint="eastAsia" w:ascii="宋体" w:hAnsi="宋体" w:cs="宋体"/>
                <w:b/>
                <w:bCs/>
                <w:color w:val="auto"/>
                <w:sz w:val="22"/>
                <w:szCs w:val="22"/>
                <w:highlight w:val="none"/>
              </w:rPr>
              <w:t>投标人投标报价下浮率大于15%时，投标人需附说明及证明材料，由评标委员会判断投标人是否以低于成本报价竞标，当认定以低于成本报价竞标时其投标作废标处理；不能提供相应的书面说明及证明材料的，按低于成本报价竞标处理。</w:t>
            </w:r>
          </w:p>
        </w:tc>
      </w:tr>
      <w:tr w14:paraId="6A0D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803" w:type="dxa"/>
            <w:vMerge w:val="continue"/>
            <w:vAlign w:val="center"/>
          </w:tcPr>
          <w:p w14:paraId="2D49C686">
            <w:pPr>
              <w:spacing w:line="360" w:lineRule="auto"/>
              <w:jc w:val="center"/>
              <w:rPr>
                <w:rFonts w:hint="eastAsia" w:ascii="宋体" w:hAnsi="宋体" w:cs="宋体"/>
                <w:color w:val="auto"/>
                <w:sz w:val="22"/>
                <w:szCs w:val="22"/>
                <w:highlight w:val="none"/>
              </w:rPr>
            </w:pPr>
          </w:p>
        </w:tc>
        <w:tc>
          <w:tcPr>
            <w:tcW w:w="1129" w:type="dxa"/>
            <w:vMerge w:val="continue"/>
            <w:vAlign w:val="center"/>
          </w:tcPr>
          <w:p w14:paraId="4263B002">
            <w:pPr>
              <w:spacing w:line="360" w:lineRule="auto"/>
              <w:jc w:val="center"/>
              <w:rPr>
                <w:rFonts w:hint="eastAsia" w:ascii="宋体" w:hAnsi="宋体" w:cs="宋体"/>
                <w:color w:val="auto"/>
                <w:sz w:val="22"/>
                <w:szCs w:val="22"/>
                <w:highlight w:val="none"/>
              </w:rPr>
            </w:pPr>
          </w:p>
        </w:tc>
        <w:tc>
          <w:tcPr>
            <w:tcW w:w="2082" w:type="dxa"/>
            <w:vAlign w:val="center"/>
          </w:tcPr>
          <w:p w14:paraId="2D8D9548">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评标基准价</w:t>
            </w:r>
          </w:p>
          <w:p w14:paraId="30100882">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计算方法</w:t>
            </w:r>
          </w:p>
        </w:tc>
        <w:tc>
          <w:tcPr>
            <w:tcW w:w="6064" w:type="dxa"/>
            <w:vAlign w:val="center"/>
          </w:tcPr>
          <w:p w14:paraId="0825B4B8">
            <w:pPr>
              <w:widowControl/>
              <w:spacing w:line="360" w:lineRule="exact"/>
              <w:jc w:val="left"/>
              <w:rPr>
                <w:rFonts w:hint="eastAsia" w:ascii="宋体" w:hAnsi="宋体" w:cs="宋体"/>
                <w:snapToGrid w:val="0"/>
                <w:color w:val="auto"/>
                <w:kern w:val="0"/>
                <w:sz w:val="22"/>
                <w:szCs w:val="22"/>
                <w:highlight w:val="none"/>
              </w:rPr>
            </w:pPr>
            <w:r>
              <w:rPr>
                <w:rFonts w:hint="eastAsia" w:ascii="宋体" w:hAnsi="宋体" w:cs="宋体"/>
                <w:color w:val="auto"/>
                <w:sz w:val="22"/>
                <w:szCs w:val="22"/>
                <w:highlight w:val="none"/>
              </w:rPr>
              <w:t>评标基准下浮率A为：所有有效投标人报价下浮率的算术平均值，计算A时，当有效报价下浮率的个数（n＞5）去掉一个最高值和一个最低值的算术平均值。</w:t>
            </w:r>
          </w:p>
        </w:tc>
      </w:tr>
      <w:tr w14:paraId="7D2A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803" w:type="dxa"/>
            <w:vMerge w:val="continue"/>
            <w:vAlign w:val="center"/>
          </w:tcPr>
          <w:p w14:paraId="12B18802">
            <w:pPr>
              <w:spacing w:line="360" w:lineRule="auto"/>
              <w:jc w:val="center"/>
              <w:rPr>
                <w:rFonts w:hint="eastAsia" w:ascii="宋体" w:hAnsi="宋体" w:cs="宋体"/>
                <w:color w:val="auto"/>
                <w:sz w:val="22"/>
                <w:szCs w:val="22"/>
                <w:highlight w:val="none"/>
              </w:rPr>
            </w:pPr>
          </w:p>
        </w:tc>
        <w:tc>
          <w:tcPr>
            <w:tcW w:w="1129" w:type="dxa"/>
            <w:vMerge w:val="continue"/>
            <w:vAlign w:val="center"/>
          </w:tcPr>
          <w:p w14:paraId="719AE6D6">
            <w:pPr>
              <w:spacing w:line="360" w:lineRule="auto"/>
              <w:jc w:val="center"/>
              <w:rPr>
                <w:rFonts w:hint="eastAsia" w:ascii="宋体" w:hAnsi="宋体" w:cs="宋体"/>
                <w:color w:val="auto"/>
                <w:kern w:val="0"/>
                <w:sz w:val="22"/>
                <w:szCs w:val="22"/>
                <w:highlight w:val="none"/>
              </w:rPr>
            </w:pPr>
          </w:p>
        </w:tc>
        <w:tc>
          <w:tcPr>
            <w:tcW w:w="2082" w:type="dxa"/>
            <w:vAlign w:val="center"/>
          </w:tcPr>
          <w:p w14:paraId="16AFFE2C">
            <w:pPr>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投标报价得分</w:t>
            </w:r>
          </w:p>
          <w:p w14:paraId="57D313C7">
            <w:pPr>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计算方法</w:t>
            </w:r>
          </w:p>
        </w:tc>
        <w:tc>
          <w:tcPr>
            <w:tcW w:w="6064" w:type="dxa"/>
            <w:vAlign w:val="center"/>
          </w:tcPr>
          <w:p w14:paraId="7BA5D162">
            <w:pPr>
              <w:widowControl/>
              <w:spacing w:line="36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评标基准下浮率为A，投标人投标报价下浮率为B；投标报价得分计算系数为C（C取值范围为200）。</w:t>
            </w:r>
          </w:p>
          <w:p w14:paraId="3DE40A4C">
            <w:pPr>
              <w:widowControl/>
              <w:spacing w:line="36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投标报价得分=10-∣B-A∣×C（精确到小数点后3位，如最终计算结果为负值，则报价得分为0）</w:t>
            </w:r>
          </w:p>
        </w:tc>
      </w:tr>
    </w:tbl>
    <w:p w14:paraId="52849815">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542EAB3B">
      <w:pPr>
        <w:adjustRightInd w:val="0"/>
        <w:snapToGrid w:val="0"/>
        <w:spacing w:after="156" w:afterLines="50" w:line="460" w:lineRule="exact"/>
        <w:rPr>
          <w:rFonts w:hint="eastAsia" w:ascii="宋体" w:hAnsi="宋体" w:cs="宋体"/>
          <w:b/>
          <w:color w:val="auto"/>
          <w:sz w:val="22"/>
          <w:highlight w:val="none"/>
        </w:rPr>
      </w:pPr>
      <w:r>
        <w:rPr>
          <w:rFonts w:hint="eastAsia" w:ascii="宋体" w:hAnsi="宋体" w:cs="宋体"/>
          <w:b/>
          <w:color w:val="auto"/>
          <w:sz w:val="22"/>
          <w:highlight w:val="none"/>
        </w:rPr>
        <w:t>1、评标方法</w:t>
      </w:r>
    </w:p>
    <w:p w14:paraId="31A3568D">
      <w:pPr>
        <w:adjustRightInd w:val="0"/>
        <w:snapToGrid w:val="0"/>
        <w:spacing w:line="360" w:lineRule="auto"/>
        <w:ind w:firstLine="440" w:firstLineChars="200"/>
        <w:rPr>
          <w:rFonts w:hint="eastAsia" w:ascii="宋体" w:hAnsi="宋体"/>
          <w:b/>
          <w:color w:val="auto"/>
          <w:sz w:val="22"/>
          <w:highlight w:val="none"/>
        </w:rPr>
      </w:pPr>
      <w:r>
        <w:rPr>
          <w:rFonts w:hint="eastAsia" w:ascii="宋体" w:hAnsi="宋体" w:cs="宋体"/>
          <w:color w:val="auto"/>
          <w:sz w:val="22"/>
          <w:highlight w:val="none"/>
        </w:rPr>
        <w:t>本次评标采用</w:t>
      </w:r>
      <w:r>
        <w:rPr>
          <w:rFonts w:hint="eastAsia" w:ascii="宋体" w:hAnsi="宋体" w:cs="宋体"/>
          <w:b/>
          <w:bCs/>
          <w:color w:val="auto"/>
          <w:sz w:val="22"/>
          <w:highlight w:val="none"/>
        </w:rPr>
        <w:t>综合评估法</w:t>
      </w:r>
      <w:r>
        <w:rPr>
          <w:rFonts w:hint="eastAsia" w:ascii="宋体" w:hAnsi="宋体" w:cs="宋体"/>
          <w:color w:val="auto"/>
          <w:sz w:val="22"/>
          <w:highlight w:val="none"/>
        </w:rPr>
        <w:t>。评标委员会对满足招标文件实质性要求的投标文件，按照本章第2.2款规定的评分标准进行打分。投标人综合得分为商务部分得分、技术部分得分和投标报价得分之和，评标委员会按综合得分由高至低依次推荐三个中标候选人，并标明推荐顺序。总得分相同的，商务部分得分高的投标人排序为先；若商务部分得分也相同，则投标报价得分高的投标人排序为先；若投标报价得分也相同，则技术部分得分高的投标人排序为先；若商务部分得分、技术部分得分、投标报价得分均相同，则由评委通过记名投标表决(不得弃权)，以“少数服从多数”的原则确定排序。</w:t>
      </w:r>
    </w:p>
    <w:p w14:paraId="57D2D4DE">
      <w:pPr>
        <w:adjustRightInd w:val="0"/>
        <w:snapToGrid w:val="0"/>
        <w:spacing w:line="460" w:lineRule="exact"/>
        <w:rPr>
          <w:rFonts w:hint="eastAsia" w:ascii="宋体" w:hAnsi="宋体"/>
          <w:b/>
          <w:color w:val="auto"/>
          <w:sz w:val="22"/>
          <w:highlight w:val="none"/>
        </w:rPr>
      </w:pPr>
      <w:r>
        <w:rPr>
          <w:rFonts w:hint="eastAsia" w:ascii="宋体" w:hAnsi="宋体"/>
          <w:b/>
          <w:color w:val="auto"/>
          <w:sz w:val="22"/>
          <w:highlight w:val="none"/>
        </w:rPr>
        <w:t>2、评审标准</w:t>
      </w:r>
    </w:p>
    <w:p w14:paraId="758F6672">
      <w:pPr>
        <w:adjustRightInd w:val="0"/>
        <w:snapToGrid w:val="0"/>
        <w:spacing w:line="460" w:lineRule="exact"/>
        <w:rPr>
          <w:rFonts w:hint="eastAsia" w:ascii="宋体" w:hAnsi="宋体"/>
          <w:b/>
          <w:color w:val="auto"/>
          <w:sz w:val="22"/>
          <w:highlight w:val="none"/>
        </w:rPr>
      </w:pPr>
      <w:r>
        <w:rPr>
          <w:rFonts w:hint="eastAsia" w:ascii="宋体" w:hAnsi="宋体"/>
          <w:b/>
          <w:color w:val="auto"/>
          <w:sz w:val="22"/>
          <w:highlight w:val="none"/>
        </w:rPr>
        <w:t>2.1</w:t>
      </w:r>
      <w:r>
        <w:rPr>
          <w:rFonts w:ascii="宋体" w:hAnsi="宋体"/>
          <w:b/>
          <w:bCs/>
          <w:color w:val="auto"/>
          <w:sz w:val="22"/>
          <w:highlight w:val="none"/>
        </w:rPr>
        <w:t>初步评审标准</w:t>
      </w:r>
    </w:p>
    <w:p w14:paraId="7E5C34D3">
      <w:pPr>
        <w:adjustRightInd w:val="0"/>
        <w:snapToGrid w:val="0"/>
        <w:spacing w:line="460" w:lineRule="exact"/>
        <w:ind w:firstLine="440" w:firstLineChars="200"/>
        <w:rPr>
          <w:rFonts w:hint="eastAsia" w:ascii="宋体" w:hAnsi="宋体"/>
          <w:color w:val="auto"/>
          <w:sz w:val="22"/>
          <w:highlight w:val="none"/>
        </w:rPr>
      </w:pPr>
      <w:r>
        <w:rPr>
          <w:rFonts w:hint="eastAsia" w:ascii="宋体" w:hAnsi="宋体"/>
          <w:color w:val="auto"/>
          <w:sz w:val="22"/>
          <w:highlight w:val="none"/>
        </w:rPr>
        <w:t>2.1.1形式评审标准：</w:t>
      </w:r>
      <w:r>
        <w:rPr>
          <w:rFonts w:ascii="宋体" w:hAnsi="宋体"/>
          <w:color w:val="auto"/>
          <w:sz w:val="22"/>
          <w:highlight w:val="none"/>
        </w:rPr>
        <w:t>见评标办法前附表</w:t>
      </w:r>
      <w:r>
        <w:rPr>
          <w:rFonts w:hint="eastAsia" w:ascii="宋体" w:hAnsi="宋体"/>
          <w:color w:val="auto"/>
          <w:sz w:val="22"/>
          <w:highlight w:val="none"/>
        </w:rPr>
        <w:t>。</w:t>
      </w:r>
    </w:p>
    <w:p w14:paraId="690910B2">
      <w:pPr>
        <w:adjustRightInd w:val="0"/>
        <w:snapToGrid w:val="0"/>
        <w:spacing w:line="460" w:lineRule="exact"/>
        <w:ind w:firstLine="440" w:firstLineChars="200"/>
        <w:rPr>
          <w:rFonts w:hint="eastAsia" w:ascii="宋体" w:hAnsi="宋体"/>
          <w:color w:val="auto"/>
          <w:sz w:val="22"/>
          <w:highlight w:val="none"/>
        </w:rPr>
      </w:pPr>
      <w:r>
        <w:rPr>
          <w:rFonts w:hint="eastAsia" w:ascii="宋体" w:hAnsi="宋体"/>
          <w:color w:val="auto"/>
          <w:sz w:val="22"/>
          <w:highlight w:val="none"/>
        </w:rPr>
        <w:t>2.1.2</w:t>
      </w:r>
      <w:r>
        <w:rPr>
          <w:rFonts w:ascii="宋体" w:hAnsi="宋体"/>
          <w:color w:val="auto"/>
          <w:sz w:val="22"/>
          <w:highlight w:val="none"/>
        </w:rPr>
        <w:t>资格评审标准：见评标办法前附表</w:t>
      </w:r>
      <w:r>
        <w:rPr>
          <w:rFonts w:hint="eastAsia" w:ascii="宋体" w:hAnsi="宋体"/>
          <w:color w:val="auto"/>
          <w:sz w:val="22"/>
          <w:highlight w:val="none"/>
        </w:rPr>
        <w:t>。</w:t>
      </w:r>
    </w:p>
    <w:p w14:paraId="72B26D46">
      <w:pPr>
        <w:pStyle w:val="6"/>
        <w:spacing w:line="460" w:lineRule="exact"/>
        <w:ind w:firstLine="440" w:firstLineChars="200"/>
        <w:rPr>
          <w:color w:val="auto"/>
          <w:sz w:val="22"/>
          <w:szCs w:val="22"/>
          <w:highlight w:val="none"/>
        </w:rPr>
      </w:pPr>
      <w:r>
        <w:rPr>
          <w:rFonts w:hint="eastAsia" w:hAnsi="宋体"/>
          <w:color w:val="auto"/>
          <w:sz w:val="22"/>
          <w:szCs w:val="22"/>
          <w:highlight w:val="none"/>
        </w:rPr>
        <w:t>2.1.3</w:t>
      </w:r>
      <w:r>
        <w:rPr>
          <w:rFonts w:hAnsi="宋体"/>
          <w:color w:val="auto"/>
          <w:sz w:val="22"/>
          <w:szCs w:val="22"/>
          <w:highlight w:val="none"/>
        </w:rPr>
        <w:t>响应性评审标准：见评标办法前附表。</w:t>
      </w:r>
    </w:p>
    <w:p w14:paraId="668539B8">
      <w:pPr>
        <w:autoSpaceDE w:val="0"/>
        <w:autoSpaceDN w:val="0"/>
        <w:adjustRightInd w:val="0"/>
        <w:snapToGrid w:val="0"/>
        <w:spacing w:line="460" w:lineRule="exact"/>
        <w:ind w:firstLine="440" w:firstLineChars="200"/>
        <w:jc w:val="left"/>
        <w:rPr>
          <w:rFonts w:hint="eastAsia" w:ascii="宋体" w:hAnsi="宋体"/>
          <w:color w:val="auto"/>
          <w:sz w:val="22"/>
          <w:highlight w:val="none"/>
        </w:rPr>
      </w:pPr>
      <w:r>
        <w:rPr>
          <w:rFonts w:hint="eastAsia" w:ascii="宋体" w:hAnsi="宋体"/>
          <w:color w:val="auto"/>
          <w:sz w:val="22"/>
          <w:highlight w:val="none"/>
        </w:rPr>
        <w:t>评标委员会首先对投标单位的投标文件进行初步评审，在有异议时以“少数服从多数”的原则确定是否合格。</w:t>
      </w:r>
    </w:p>
    <w:p w14:paraId="0A1D3E28">
      <w:pPr>
        <w:adjustRightInd w:val="0"/>
        <w:snapToGrid w:val="0"/>
        <w:spacing w:line="460" w:lineRule="exact"/>
        <w:rPr>
          <w:rFonts w:hint="eastAsia" w:ascii="宋体" w:hAnsi="宋体"/>
          <w:b/>
          <w:color w:val="auto"/>
          <w:sz w:val="22"/>
          <w:highlight w:val="none"/>
        </w:rPr>
      </w:pPr>
      <w:r>
        <w:rPr>
          <w:rFonts w:hint="eastAsia" w:ascii="宋体" w:hAnsi="宋体"/>
          <w:b/>
          <w:color w:val="auto"/>
          <w:sz w:val="22"/>
          <w:highlight w:val="none"/>
        </w:rPr>
        <w:t>2.2 分值构成与评分标准</w:t>
      </w:r>
    </w:p>
    <w:p w14:paraId="132CB5E3">
      <w:pPr>
        <w:adjustRightInd w:val="0"/>
        <w:snapToGrid w:val="0"/>
        <w:spacing w:line="460" w:lineRule="exact"/>
        <w:ind w:firstLine="385" w:firstLineChars="175"/>
        <w:rPr>
          <w:rFonts w:hint="eastAsia" w:ascii="宋体" w:hAnsi="宋体"/>
          <w:bCs/>
          <w:color w:val="auto"/>
          <w:sz w:val="22"/>
          <w:highlight w:val="none"/>
        </w:rPr>
      </w:pPr>
      <w:r>
        <w:rPr>
          <w:rFonts w:hint="eastAsia" w:ascii="宋体" w:hAnsi="宋体"/>
          <w:bCs/>
          <w:color w:val="auto"/>
          <w:sz w:val="22"/>
          <w:highlight w:val="none"/>
        </w:rPr>
        <w:t>2.2.1 分值构成</w:t>
      </w:r>
    </w:p>
    <w:p w14:paraId="74E98CC3">
      <w:pPr>
        <w:adjustRightInd w:val="0"/>
        <w:snapToGrid w:val="0"/>
        <w:spacing w:line="460" w:lineRule="exact"/>
        <w:ind w:firstLine="385" w:firstLineChars="175"/>
        <w:rPr>
          <w:rFonts w:hint="eastAsia" w:ascii="宋体" w:hAnsi="宋体"/>
          <w:bCs/>
          <w:color w:val="auto"/>
          <w:sz w:val="22"/>
          <w:highlight w:val="none"/>
        </w:rPr>
      </w:pPr>
      <w:r>
        <w:rPr>
          <w:rFonts w:hint="eastAsia" w:ascii="宋体" w:hAnsi="宋体"/>
          <w:bCs/>
          <w:color w:val="auto"/>
          <w:sz w:val="22"/>
          <w:highlight w:val="none"/>
        </w:rPr>
        <w:t>(1) 商务部分：见评标办法前附表；</w:t>
      </w:r>
    </w:p>
    <w:p w14:paraId="76A8D929">
      <w:pPr>
        <w:adjustRightInd w:val="0"/>
        <w:snapToGrid w:val="0"/>
        <w:spacing w:line="460" w:lineRule="exact"/>
        <w:ind w:firstLine="385" w:firstLineChars="175"/>
        <w:rPr>
          <w:rFonts w:hint="eastAsia" w:ascii="宋体" w:hAnsi="宋体"/>
          <w:bCs/>
          <w:color w:val="auto"/>
          <w:sz w:val="22"/>
          <w:highlight w:val="none"/>
        </w:rPr>
      </w:pPr>
      <w:r>
        <w:rPr>
          <w:rFonts w:hint="eastAsia" w:ascii="宋体" w:hAnsi="宋体"/>
          <w:bCs/>
          <w:color w:val="auto"/>
          <w:sz w:val="22"/>
          <w:highlight w:val="none"/>
        </w:rPr>
        <w:t>(2) 技术部分：见评标办法前附表；</w:t>
      </w:r>
    </w:p>
    <w:p w14:paraId="3BE9C02C">
      <w:pPr>
        <w:adjustRightInd w:val="0"/>
        <w:snapToGrid w:val="0"/>
        <w:spacing w:line="460" w:lineRule="exact"/>
        <w:ind w:firstLine="385" w:firstLineChars="175"/>
        <w:rPr>
          <w:rFonts w:hint="eastAsia" w:ascii="宋体" w:hAnsi="宋体"/>
          <w:bCs/>
          <w:color w:val="auto"/>
          <w:sz w:val="22"/>
          <w:highlight w:val="none"/>
        </w:rPr>
      </w:pPr>
      <w:r>
        <w:rPr>
          <w:rFonts w:hint="eastAsia" w:ascii="宋体" w:hAnsi="宋体"/>
          <w:bCs/>
          <w:color w:val="auto"/>
          <w:sz w:val="22"/>
          <w:highlight w:val="none"/>
        </w:rPr>
        <w:t>(3) 投标报价：见评标办法前附表；</w:t>
      </w:r>
    </w:p>
    <w:p w14:paraId="17BBBFBB">
      <w:pPr>
        <w:adjustRightInd w:val="0"/>
        <w:snapToGrid w:val="0"/>
        <w:spacing w:line="460" w:lineRule="exact"/>
        <w:ind w:firstLine="385" w:firstLineChars="175"/>
        <w:rPr>
          <w:rFonts w:hint="eastAsia" w:ascii="宋体" w:hAnsi="宋体"/>
          <w:bCs/>
          <w:color w:val="auto"/>
          <w:sz w:val="22"/>
          <w:highlight w:val="none"/>
        </w:rPr>
      </w:pPr>
      <w:r>
        <w:rPr>
          <w:rFonts w:hint="eastAsia" w:ascii="宋体" w:hAnsi="宋体"/>
          <w:bCs/>
          <w:color w:val="auto"/>
          <w:sz w:val="22"/>
          <w:highlight w:val="none"/>
        </w:rPr>
        <w:t>2.2.2 评分标准</w:t>
      </w:r>
    </w:p>
    <w:p w14:paraId="4C9CF4C1">
      <w:pPr>
        <w:adjustRightInd w:val="0"/>
        <w:snapToGrid w:val="0"/>
        <w:spacing w:line="460" w:lineRule="exact"/>
        <w:ind w:firstLine="385" w:firstLineChars="175"/>
        <w:rPr>
          <w:rFonts w:hint="eastAsia" w:ascii="宋体" w:hAnsi="宋体"/>
          <w:bCs/>
          <w:color w:val="auto"/>
          <w:sz w:val="22"/>
          <w:highlight w:val="none"/>
        </w:rPr>
      </w:pPr>
      <w:bookmarkStart w:id="12" w:name="_Toc10690"/>
      <w:bookmarkStart w:id="13" w:name="_Toc22576"/>
      <w:r>
        <w:rPr>
          <w:rFonts w:hint="eastAsia" w:ascii="宋体" w:hAnsi="宋体"/>
          <w:bCs/>
          <w:color w:val="auto"/>
          <w:sz w:val="22"/>
          <w:highlight w:val="none"/>
        </w:rPr>
        <w:t>(1) 商务部分：见评标办法前附表；</w:t>
      </w:r>
    </w:p>
    <w:p w14:paraId="28BC2DE9">
      <w:pPr>
        <w:adjustRightInd w:val="0"/>
        <w:snapToGrid w:val="0"/>
        <w:spacing w:line="460" w:lineRule="exact"/>
        <w:ind w:firstLine="385" w:firstLineChars="175"/>
        <w:rPr>
          <w:rFonts w:hint="eastAsia" w:ascii="宋体" w:hAnsi="宋体"/>
          <w:bCs/>
          <w:color w:val="auto"/>
          <w:sz w:val="22"/>
          <w:highlight w:val="none"/>
        </w:rPr>
      </w:pPr>
      <w:r>
        <w:rPr>
          <w:rFonts w:hint="eastAsia" w:ascii="宋体" w:hAnsi="宋体"/>
          <w:bCs/>
          <w:color w:val="auto"/>
          <w:sz w:val="22"/>
          <w:highlight w:val="none"/>
        </w:rPr>
        <w:t>(2) 技术部分：见评标办法前附表；</w:t>
      </w:r>
    </w:p>
    <w:p w14:paraId="0FEF5907">
      <w:pPr>
        <w:adjustRightInd w:val="0"/>
        <w:snapToGrid w:val="0"/>
        <w:spacing w:line="460" w:lineRule="exact"/>
        <w:ind w:firstLine="385" w:firstLineChars="175"/>
        <w:rPr>
          <w:rFonts w:hint="eastAsia" w:ascii="宋体" w:hAnsi="宋体"/>
          <w:bCs/>
          <w:color w:val="auto"/>
          <w:sz w:val="22"/>
          <w:highlight w:val="none"/>
        </w:rPr>
      </w:pPr>
      <w:r>
        <w:rPr>
          <w:rFonts w:hint="eastAsia" w:ascii="宋体" w:hAnsi="宋体"/>
          <w:bCs/>
          <w:color w:val="auto"/>
          <w:sz w:val="22"/>
          <w:highlight w:val="none"/>
        </w:rPr>
        <w:t>(3) 投标报价：见评标办法前附表；</w:t>
      </w:r>
    </w:p>
    <w:p w14:paraId="219B20C7">
      <w:pPr>
        <w:adjustRightInd w:val="0"/>
        <w:snapToGrid w:val="0"/>
        <w:spacing w:line="460" w:lineRule="exact"/>
        <w:rPr>
          <w:rFonts w:hint="eastAsia" w:ascii="宋体" w:hAnsi="宋体"/>
          <w:b/>
          <w:color w:val="auto"/>
          <w:sz w:val="22"/>
          <w:highlight w:val="none"/>
        </w:rPr>
      </w:pPr>
      <w:r>
        <w:rPr>
          <w:rFonts w:hint="eastAsia" w:ascii="宋体" w:hAnsi="宋体"/>
          <w:b/>
          <w:color w:val="auto"/>
          <w:sz w:val="22"/>
          <w:highlight w:val="none"/>
        </w:rPr>
        <w:t>3. 评标程序</w:t>
      </w:r>
    </w:p>
    <w:p w14:paraId="5FBE2054">
      <w:pPr>
        <w:pStyle w:val="2"/>
        <w:rPr>
          <w:rFonts w:ascii="宋体" w:hAnsi="Times New Roman"/>
          <w:bCs w:val="0"/>
          <w:color w:val="auto"/>
          <w:sz w:val="22"/>
          <w:szCs w:val="22"/>
          <w:highlight w:val="none"/>
        </w:rPr>
      </w:pPr>
      <w:bookmarkStart w:id="14" w:name="_Toc189386098"/>
      <w:bookmarkStart w:id="15" w:name="_Toc48666393"/>
      <w:r>
        <w:rPr>
          <w:rFonts w:hint="eastAsia" w:ascii="宋体" w:hAnsi="Times New Roman"/>
          <w:bCs w:val="0"/>
          <w:color w:val="auto"/>
          <w:sz w:val="22"/>
          <w:szCs w:val="22"/>
          <w:highlight w:val="none"/>
        </w:rPr>
        <w:t xml:space="preserve">3.1 </w:t>
      </w:r>
      <w:bookmarkEnd w:id="14"/>
      <w:bookmarkEnd w:id="15"/>
      <w:r>
        <w:rPr>
          <w:rFonts w:hint="eastAsia" w:ascii="宋体" w:hAnsi="Times New Roman"/>
          <w:bCs w:val="0"/>
          <w:color w:val="auto"/>
          <w:sz w:val="22"/>
          <w:szCs w:val="22"/>
          <w:highlight w:val="none"/>
        </w:rPr>
        <w:t>初步评审</w:t>
      </w:r>
    </w:p>
    <w:p w14:paraId="1B98B288">
      <w:pPr>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3.1.1评标委员会依据本章第2.1款规定的标准对投标文件进行初步评审。有一项不符合评审标准的，作废标处理，且不参与下一步的详细评审。在有异议时以“少数服从多数”的原则确定是否合格。</w:t>
      </w:r>
    </w:p>
    <w:p w14:paraId="4E122272">
      <w:pPr>
        <w:pStyle w:val="55"/>
        <w:snapToGrid w:val="0"/>
        <w:spacing w:line="360" w:lineRule="auto"/>
        <w:ind w:firstLine="440" w:firstLineChars="200"/>
        <w:rPr>
          <w:rFonts w:hint="eastAsia" w:hAnsi="宋体"/>
          <w:color w:val="auto"/>
          <w:kern w:val="2"/>
          <w:sz w:val="22"/>
          <w:szCs w:val="22"/>
          <w:highlight w:val="none"/>
        </w:rPr>
      </w:pPr>
      <w:r>
        <w:rPr>
          <w:rFonts w:hint="eastAsia" w:hAnsi="宋体"/>
          <w:color w:val="auto"/>
          <w:kern w:val="2"/>
          <w:sz w:val="22"/>
          <w:szCs w:val="22"/>
          <w:highlight w:val="none"/>
        </w:rPr>
        <w:t>3.1.2 投标报价有算术错误的，评标委员会按以下原则对投标报价进行修正，修正的价格经投标人书面确认后具有约束力。投标人不接受修正价格的，应当否决其投标。</w:t>
      </w:r>
    </w:p>
    <w:p w14:paraId="5B8487A7">
      <w:pPr>
        <w:pStyle w:val="55"/>
        <w:snapToGrid w:val="0"/>
        <w:spacing w:line="360" w:lineRule="auto"/>
        <w:ind w:firstLine="440" w:firstLineChars="200"/>
        <w:rPr>
          <w:rFonts w:hint="eastAsia" w:hAnsi="宋体"/>
          <w:color w:val="auto"/>
          <w:kern w:val="2"/>
          <w:sz w:val="22"/>
          <w:szCs w:val="22"/>
          <w:highlight w:val="none"/>
        </w:rPr>
      </w:pPr>
      <w:r>
        <w:rPr>
          <w:rFonts w:hint="eastAsia" w:hAnsi="宋体"/>
          <w:color w:val="auto"/>
          <w:kern w:val="2"/>
          <w:sz w:val="22"/>
          <w:szCs w:val="22"/>
          <w:highlight w:val="none"/>
        </w:rPr>
        <w:t>(1) 投标文件中的大写金额与小写金额不一致的，以大写金额为准；</w:t>
      </w:r>
    </w:p>
    <w:p w14:paraId="6D6A813F">
      <w:pPr>
        <w:pStyle w:val="55"/>
        <w:snapToGrid w:val="0"/>
        <w:spacing w:line="360" w:lineRule="auto"/>
        <w:ind w:firstLine="440" w:firstLineChars="200"/>
        <w:rPr>
          <w:rFonts w:hint="eastAsia" w:hAnsi="宋体"/>
          <w:color w:val="auto"/>
          <w:kern w:val="2"/>
          <w:sz w:val="22"/>
          <w:szCs w:val="22"/>
          <w:highlight w:val="none"/>
        </w:rPr>
      </w:pPr>
      <w:r>
        <w:rPr>
          <w:rFonts w:hint="eastAsia" w:hAnsi="宋体"/>
          <w:color w:val="auto"/>
          <w:kern w:val="2"/>
          <w:sz w:val="22"/>
          <w:szCs w:val="22"/>
          <w:highlight w:val="none"/>
        </w:rPr>
        <w:t>(2) 总价金额与依据单价计算出的结果不一致的，以单价金额为准修正总价，但单价金额小数点有明显错误的除外。</w:t>
      </w:r>
    </w:p>
    <w:p w14:paraId="570C3905">
      <w:pPr>
        <w:pStyle w:val="2"/>
        <w:rPr>
          <w:rFonts w:ascii="宋体" w:hAnsi="Times New Roman"/>
          <w:bCs w:val="0"/>
          <w:color w:val="auto"/>
          <w:sz w:val="22"/>
          <w:szCs w:val="22"/>
          <w:highlight w:val="none"/>
        </w:rPr>
      </w:pPr>
      <w:r>
        <w:rPr>
          <w:rFonts w:hint="eastAsia" w:ascii="宋体" w:hAnsi="Times New Roman"/>
          <w:bCs w:val="0"/>
          <w:color w:val="auto"/>
          <w:sz w:val="22"/>
          <w:szCs w:val="22"/>
          <w:highlight w:val="none"/>
        </w:rPr>
        <w:t>3.2 详细评审</w:t>
      </w:r>
    </w:p>
    <w:p w14:paraId="2A6AC6EE">
      <w:pPr>
        <w:pStyle w:val="55"/>
        <w:snapToGrid w:val="0"/>
        <w:spacing w:line="360" w:lineRule="auto"/>
        <w:ind w:firstLine="440" w:firstLineChars="200"/>
        <w:rPr>
          <w:rFonts w:hint="eastAsia" w:hAnsi="宋体"/>
          <w:color w:val="auto"/>
          <w:kern w:val="2"/>
          <w:sz w:val="22"/>
          <w:szCs w:val="22"/>
          <w:highlight w:val="none"/>
        </w:rPr>
      </w:pPr>
      <w:r>
        <w:rPr>
          <w:rFonts w:hint="eastAsia" w:hAnsi="宋体"/>
          <w:color w:val="auto"/>
          <w:kern w:val="2"/>
          <w:sz w:val="22"/>
          <w:szCs w:val="22"/>
          <w:highlight w:val="none"/>
        </w:rPr>
        <w:t>3.2.1 评标委员会按本章第2.2款规定的量化因素和分值进行打分，并计算出综合评估得分：</w:t>
      </w:r>
    </w:p>
    <w:p w14:paraId="1CDADEE1">
      <w:pPr>
        <w:pStyle w:val="55"/>
        <w:snapToGrid w:val="0"/>
        <w:spacing w:line="360" w:lineRule="auto"/>
        <w:ind w:firstLine="440" w:firstLineChars="200"/>
        <w:rPr>
          <w:rFonts w:hint="eastAsia" w:hAnsi="宋体"/>
          <w:color w:val="auto"/>
          <w:kern w:val="2"/>
          <w:sz w:val="22"/>
          <w:szCs w:val="22"/>
          <w:highlight w:val="none"/>
        </w:rPr>
      </w:pPr>
      <w:r>
        <w:rPr>
          <w:rFonts w:hint="eastAsia" w:hAnsi="宋体"/>
          <w:color w:val="auto"/>
          <w:kern w:val="2"/>
          <w:sz w:val="22"/>
          <w:szCs w:val="22"/>
          <w:highlight w:val="none"/>
        </w:rPr>
        <w:t>（1）按本章2.2.1（1）目规定的评审因素和分值对</w:t>
      </w:r>
      <w:r>
        <w:rPr>
          <w:rFonts w:hint="eastAsia" w:hAnsi="宋体"/>
          <w:color w:val="auto"/>
          <w:sz w:val="22"/>
          <w:szCs w:val="22"/>
          <w:highlight w:val="none"/>
        </w:rPr>
        <w:t>商务部分</w:t>
      </w:r>
      <w:r>
        <w:rPr>
          <w:rFonts w:hint="eastAsia" w:hAnsi="宋体"/>
          <w:color w:val="auto"/>
          <w:kern w:val="2"/>
          <w:sz w:val="22"/>
          <w:szCs w:val="22"/>
          <w:highlight w:val="none"/>
        </w:rPr>
        <w:t>计算出得分A；</w:t>
      </w:r>
    </w:p>
    <w:p w14:paraId="24CB52F1">
      <w:pPr>
        <w:pStyle w:val="55"/>
        <w:snapToGrid w:val="0"/>
        <w:spacing w:line="360" w:lineRule="auto"/>
        <w:ind w:firstLine="440" w:firstLineChars="200"/>
        <w:rPr>
          <w:rFonts w:hint="eastAsia" w:hAnsi="宋体"/>
          <w:color w:val="auto"/>
          <w:kern w:val="2"/>
          <w:sz w:val="22"/>
          <w:szCs w:val="22"/>
          <w:highlight w:val="none"/>
        </w:rPr>
      </w:pPr>
      <w:r>
        <w:rPr>
          <w:rFonts w:hint="eastAsia" w:hAnsi="宋体"/>
          <w:color w:val="auto"/>
          <w:kern w:val="2"/>
          <w:sz w:val="22"/>
          <w:szCs w:val="22"/>
          <w:highlight w:val="none"/>
        </w:rPr>
        <w:t>（2）按本章2.2.1（2）目规定的评审因素和分值对</w:t>
      </w:r>
      <w:r>
        <w:rPr>
          <w:rFonts w:hint="eastAsia" w:hAnsi="宋体"/>
          <w:color w:val="auto"/>
          <w:sz w:val="22"/>
          <w:szCs w:val="22"/>
          <w:highlight w:val="none"/>
        </w:rPr>
        <w:t>技术部分</w:t>
      </w:r>
      <w:r>
        <w:rPr>
          <w:rFonts w:hint="eastAsia" w:hAnsi="宋体"/>
          <w:color w:val="auto"/>
          <w:kern w:val="2"/>
          <w:sz w:val="22"/>
          <w:szCs w:val="22"/>
          <w:highlight w:val="none"/>
        </w:rPr>
        <w:t>计算出得分B，</w:t>
      </w:r>
      <w:r>
        <w:rPr>
          <w:rFonts w:hint="eastAsia" w:hAnsi="宋体"/>
          <w:b/>
          <w:color w:val="auto"/>
          <w:sz w:val="22"/>
          <w:szCs w:val="22"/>
          <w:highlight w:val="none"/>
        </w:rPr>
        <w:t>评标委员会中所有评标专家评分中去掉一最高分、去掉一个最低分后的算术平均值为投标人技术评审得分</w:t>
      </w:r>
      <w:r>
        <w:rPr>
          <w:rFonts w:hint="eastAsia" w:hAnsi="宋体"/>
          <w:color w:val="auto"/>
          <w:kern w:val="2"/>
          <w:sz w:val="22"/>
          <w:szCs w:val="22"/>
          <w:highlight w:val="none"/>
        </w:rPr>
        <w:t>；</w:t>
      </w:r>
    </w:p>
    <w:p w14:paraId="30EA5751">
      <w:pPr>
        <w:pStyle w:val="55"/>
        <w:snapToGrid w:val="0"/>
        <w:spacing w:line="360" w:lineRule="auto"/>
        <w:ind w:firstLine="440" w:firstLineChars="200"/>
        <w:rPr>
          <w:rFonts w:hint="eastAsia" w:hAnsi="宋体"/>
          <w:color w:val="auto"/>
          <w:kern w:val="2"/>
          <w:sz w:val="22"/>
          <w:szCs w:val="22"/>
          <w:highlight w:val="none"/>
        </w:rPr>
      </w:pPr>
      <w:r>
        <w:rPr>
          <w:rFonts w:hint="eastAsia" w:hAnsi="宋体"/>
          <w:color w:val="auto"/>
          <w:kern w:val="2"/>
          <w:sz w:val="22"/>
          <w:szCs w:val="22"/>
          <w:highlight w:val="none"/>
        </w:rPr>
        <w:t>（3）按本章2.2.1（3）目规定的评审因素和分值对</w:t>
      </w:r>
      <w:r>
        <w:rPr>
          <w:rFonts w:hint="eastAsia" w:hAnsi="宋体"/>
          <w:color w:val="auto"/>
          <w:sz w:val="22"/>
          <w:szCs w:val="22"/>
          <w:highlight w:val="none"/>
        </w:rPr>
        <w:t>投标报价</w:t>
      </w:r>
      <w:r>
        <w:rPr>
          <w:rFonts w:hint="eastAsia" w:hAnsi="宋体"/>
          <w:color w:val="auto"/>
          <w:kern w:val="2"/>
          <w:sz w:val="22"/>
          <w:szCs w:val="22"/>
          <w:highlight w:val="none"/>
        </w:rPr>
        <w:t>计算出得分C。</w:t>
      </w:r>
    </w:p>
    <w:p w14:paraId="1C549C1A">
      <w:pPr>
        <w:pStyle w:val="55"/>
        <w:snapToGrid w:val="0"/>
        <w:spacing w:line="360" w:lineRule="auto"/>
        <w:ind w:firstLine="440" w:firstLineChars="200"/>
        <w:rPr>
          <w:rFonts w:hint="eastAsia" w:hAnsi="宋体"/>
          <w:color w:val="auto"/>
          <w:kern w:val="2"/>
          <w:sz w:val="22"/>
          <w:szCs w:val="22"/>
          <w:highlight w:val="none"/>
        </w:rPr>
      </w:pPr>
      <w:r>
        <w:rPr>
          <w:rFonts w:hint="eastAsia" w:hAnsi="宋体"/>
          <w:color w:val="auto"/>
          <w:kern w:val="2"/>
          <w:sz w:val="22"/>
          <w:szCs w:val="22"/>
          <w:highlight w:val="none"/>
        </w:rPr>
        <w:t>3.2.2 评分分值计算保留小数点后三位，小数点后第四位“四舍五入”。</w:t>
      </w:r>
    </w:p>
    <w:p w14:paraId="4A0A9CC1">
      <w:pPr>
        <w:pStyle w:val="55"/>
        <w:snapToGrid w:val="0"/>
        <w:spacing w:line="360" w:lineRule="auto"/>
        <w:ind w:firstLine="440" w:firstLineChars="200"/>
        <w:rPr>
          <w:rFonts w:hint="eastAsia" w:hAnsi="宋体"/>
          <w:color w:val="auto"/>
          <w:kern w:val="2"/>
          <w:sz w:val="22"/>
          <w:szCs w:val="22"/>
          <w:highlight w:val="none"/>
        </w:rPr>
      </w:pPr>
      <w:r>
        <w:rPr>
          <w:rFonts w:hint="eastAsia" w:hAnsi="宋体"/>
          <w:color w:val="auto"/>
          <w:kern w:val="2"/>
          <w:sz w:val="22"/>
          <w:szCs w:val="22"/>
          <w:highlight w:val="none"/>
        </w:rPr>
        <w:t>3.2.3 投标人最终得分=</w:t>
      </w:r>
      <w:r>
        <w:rPr>
          <w:rFonts w:hint="eastAsia" w:hAnsi="宋体"/>
          <w:bCs/>
          <w:color w:val="auto"/>
          <w:sz w:val="22"/>
          <w:szCs w:val="22"/>
          <w:highlight w:val="none"/>
        </w:rPr>
        <w:t>A+B+C</w:t>
      </w:r>
      <w:r>
        <w:rPr>
          <w:rFonts w:hint="eastAsia" w:hAnsi="宋体"/>
          <w:color w:val="auto"/>
          <w:kern w:val="2"/>
          <w:sz w:val="22"/>
          <w:szCs w:val="22"/>
          <w:highlight w:val="none"/>
        </w:rPr>
        <w:t>。</w:t>
      </w:r>
    </w:p>
    <w:p w14:paraId="2B473AAF">
      <w:pPr>
        <w:pStyle w:val="55"/>
        <w:snapToGrid w:val="0"/>
        <w:spacing w:line="360" w:lineRule="auto"/>
        <w:ind w:firstLine="440" w:firstLineChars="200"/>
        <w:rPr>
          <w:rFonts w:hint="eastAsia" w:hAnsi="宋体"/>
          <w:color w:val="auto"/>
          <w:kern w:val="2"/>
          <w:sz w:val="22"/>
          <w:szCs w:val="22"/>
          <w:highlight w:val="none"/>
        </w:rPr>
      </w:pPr>
      <w:r>
        <w:rPr>
          <w:rFonts w:hint="eastAsia" w:hAnsi="宋体"/>
          <w:color w:val="auto"/>
          <w:kern w:val="2"/>
          <w:sz w:val="22"/>
          <w:szCs w:val="22"/>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被否决。</w:t>
      </w:r>
    </w:p>
    <w:p w14:paraId="1B6C4063">
      <w:pPr>
        <w:pStyle w:val="2"/>
        <w:rPr>
          <w:rFonts w:ascii="宋体"/>
          <w:color w:val="auto"/>
          <w:sz w:val="22"/>
          <w:szCs w:val="22"/>
          <w:highlight w:val="none"/>
        </w:rPr>
      </w:pPr>
      <w:r>
        <w:rPr>
          <w:rFonts w:hint="eastAsia" w:ascii="宋体" w:hAnsi="宋体"/>
          <w:color w:val="auto"/>
          <w:sz w:val="22"/>
          <w:szCs w:val="22"/>
          <w:highlight w:val="none"/>
        </w:rPr>
        <w:t>3.3投标文件的澄清和补正</w:t>
      </w:r>
    </w:p>
    <w:p w14:paraId="34CAED40">
      <w:pPr>
        <w:pStyle w:val="55"/>
        <w:snapToGrid w:val="0"/>
        <w:spacing w:line="360" w:lineRule="auto"/>
        <w:ind w:firstLine="440" w:firstLineChars="200"/>
        <w:rPr>
          <w:rFonts w:hint="eastAsia" w:hAnsi="宋体"/>
          <w:color w:val="auto"/>
          <w:kern w:val="2"/>
          <w:sz w:val="22"/>
          <w:szCs w:val="22"/>
          <w:highlight w:val="none"/>
        </w:rPr>
      </w:pPr>
      <w:r>
        <w:rPr>
          <w:rFonts w:hint="eastAsia" w:hAnsi="宋体"/>
          <w:color w:val="auto"/>
          <w:kern w:val="2"/>
          <w:sz w:val="22"/>
          <w:szCs w:val="22"/>
          <w:highlight w:val="none"/>
        </w:rPr>
        <w:t>3.3.1 在评标过程中，评标委员会可以书面形式要求投标人对所提交的投标文件中不明确的内容进行书面澄清或说明，或者对细微偏差进行补正。评标委员会不接受投标人主动提出的澄清、说明或补正。</w:t>
      </w:r>
    </w:p>
    <w:p w14:paraId="473B8922">
      <w:pPr>
        <w:pStyle w:val="55"/>
        <w:snapToGrid w:val="0"/>
        <w:spacing w:line="360" w:lineRule="auto"/>
        <w:ind w:firstLine="440" w:firstLineChars="200"/>
        <w:rPr>
          <w:rFonts w:hint="eastAsia" w:hAnsi="宋体"/>
          <w:color w:val="auto"/>
          <w:kern w:val="2"/>
          <w:sz w:val="22"/>
          <w:szCs w:val="22"/>
          <w:highlight w:val="none"/>
        </w:rPr>
      </w:pPr>
      <w:r>
        <w:rPr>
          <w:rFonts w:hint="eastAsia" w:hAnsi="宋体"/>
          <w:color w:val="auto"/>
          <w:kern w:val="2"/>
          <w:sz w:val="22"/>
          <w:szCs w:val="22"/>
          <w:highlight w:val="none"/>
        </w:rPr>
        <w:t>3.3.2 澄清、说明和补正不得改变投标文件的实质性内容（算术性错误修正的除外）。投标人的书面澄清、说明和补正属于投标文件的组成部分。</w:t>
      </w:r>
    </w:p>
    <w:p w14:paraId="24EC23DA">
      <w:pPr>
        <w:pStyle w:val="55"/>
        <w:snapToGrid w:val="0"/>
        <w:spacing w:line="360" w:lineRule="auto"/>
        <w:ind w:firstLine="440" w:firstLineChars="200"/>
        <w:rPr>
          <w:rFonts w:hint="eastAsia" w:hAnsi="宋体"/>
          <w:color w:val="auto"/>
          <w:kern w:val="2"/>
          <w:sz w:val="22"/>
          <w:szCs w:val="22"/>
          <w:highlight w:val="none"/>
        </w:rPr>
      </w:pPr>
      <w:r>
        <w:rPr>
          <w:rFonts w:hint="eastAsia" w:hAnsi="宋体"/>
          <w:color w:val="auto"/>
          <w:kern w:val="2"/>
          <w:sz w:val="22"/>
          <w:szCs w:val="22"/>
          <w:highlight w:val="none"/>
        </w:rPr>
        <w:t>3.3.3 评标委员会对投标人提交的澄清、说明或补正有疑问的，可以要求投标人进一步澄清、说明或补正，直至满足评标委员会的要求。</w:t>
      </w:r>
    </w:p>
    <w:p w14:paraId="036DE5B0">
      <w:pPr>
        <w:adjustRightInd w:val="0"/>
        <w:snapToGrid w:val="0"/>
        <w:spacing w:line="312" w:lineRule="auto"/>
        <w:rPr>
          <w:rFonts w:hint="eastAsia" w:ascii="宋体" w:hAnsi="宋体"/>
          <w:b/>
          <w:color w:val="auto"/>
          <w:sz w:val="22"/>
          <w:highlight w:val="none"/>
        </w:rPr>
      </w:pPr>
      <w:r>
        <w:rPr>
          <w:rFonts w:hint="eastAsia" w:ascii="宋体" w:hAnsi="宋体"/>
          <w:b/>
          <w:color w:val="auto"/>
          <w:sz w:val="22"/>
          <w:highlight w:val="none"/>
        </w:rPr>
        <w:t>3.4评标结果</w:t>
      </w:r>
    </w:p>
    <w:bookmarkEnd w:id="12"/>
    <w:bookmarkEnd w:id="13"/>
    <w:p w14:paraId="3ED385BE">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3.4.1评标委员会依据本章第2.2条评分标准进行评分，按评标办法前附表的约定计算投标人综合得分，根据得分由高到低的顺序推荐3名中标候选人，并标明推荐顺序。</w:t>
      </w:r>
    </w:p>
    <w:p w14:paraId="4ED90F2D">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3.4.2评标委员会完成评标后，应当向招标人提交书面评标报告。</w:t>
      </w:r>
    </w:p>
    <w:p w14:paraId="5C6A05CE">
      <w:pPr>
        <w:rPr>
          <w:rFonts w:hint="eastAsia" w:cs="宋体" w:asciiTheme="majorEastAsia" w:hAnsiTheme="majorEastAsia" w:eastAsiaTheme="majorEastAsia"/>
          <w:b/>
          <w:color w:val="auto"/>
          <w:sz w:val="32"/>
          <w:highlight w:val="none"/>
        </w:rPr>
      </w:pPr>
      <w:r>
        <w:rPr>
          <w:rFonts w:cs="Arial" w:asciiTheme="majorEastAsia" w:hAnsiTheme="majorEastAsia" w:eastAsiaTheme="majorEastAsia"/>
          <w:b/>
          <w:color w:val="auto"/>
          <w:sz w:val="32"/>
          <w:highlight w:val="none"/>
        </w:rPr>
        <w:br w:type="page"/>
      </w:r>
    </w:p>
    <w:p w14:paraId="6A1D26CD">
      <w:pPr>
        <w:pStyle w:val="18"/>
        <w:adjustRightInd w:val="0"/>
        <w:snapToGrid w:val="0"/>
        <w:spacing w:before="0" w:after="0" w:line="360" w:lineRule="auto"/>
        <w:rPr>
          <w:rFonts w:hint="eastAsia" w:cs="宋体" w:asciiTheme="majorEastAsia" w:hAnsiTheme="majorEastAsia" w:eastAsiaTheme="majorEastAsia"/>
          <w:b w:val="0"/>
          <w:color w:val="auto"/>
          <w:highlight w:val="none"/>
        </w:rPr>
      </w:pPr>
      <w:bookmarkStart w:id="16" w:name="_Toc9242"/>
      <w:r>
        <w:rPr>
          <w:rFonts w:hint="eastAsia" w:cs="宋体" w:asciiTheme="majorEastAsia" w:hAnsiTheme="majorEastAsia" w:eastAsiaTheme="majorEastAsia"/>
          <w:color w:val="auto"/>
          <w:highlight w:val="none"/>
        </w:rPr>
        <w:t>第四章 合同条款及格式</w:t>
      </w:r>
      <w:bookmarkEnd w:id="16"/>
    </w:p>
    <w:p w14:paraId="4EA5FC88">
      <w:pPr>
        <w:keepNext/>
        <w:keepLines/>
        <w:spacing w:line="360" w:lineRule="auto"/>
        <w:jc w:val="center"/>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b/>
          <w:color w:val="auto"/>
          <w:sz w:val="32"/>
          <w:highlight w:val="none"/>
        </w:rPr>
        <w:t>第</w:t>
      </w:r>
      <w:r>
        <w:rPr>
          <w:rFonts w:cs="宋体" w:asciiTheme="majorEastAsia" w:hAnsiTheme="majorEastAsia" w:eastAsiaTheme="majorEastAsia"/>
          <w:b/>
          <w:color w:val="auto"/>
          <w:sz w:val="32"/>
          <w:highlight w:val="none"/>
        </w:rPr>
        <w:t>1</w:t>
      </w:r>
      <w:r>
        <w:rPr>
          <w:rFonts w:hint="eastAsia" w:cs="宋体" w:asciiTheme="majorEastAsia" w:hAnsiTheme="majorEastAsia" w:eastAsiaTheme="majorEastAsia"/>
          <w:b/>
          <w:color w:val="auto"/>
          <w:sz w:val="32"/>
          <w:highlight w:val="none"/>
        </w:rPr>
        <w:t>节通用合同条款</w:t>
      </w:r>
    </w:p>
    <w:p w14:paraId="5FDADE09">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  一般约定</w:t>
      </w:r>
    </w:p>
    <w:p w14:paraId="186655C4">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1.1  词语定义</w:t>
      </w:r>
    </w:p>
    <w:p w14:paraId="467F86D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通用合同条款、专用合同条款中的下列词语应具有本款所赋予的含义。</w:t>
      </w:r>
    </w:p>
    <w:p w14:paraId="550601BC">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1.1.1合同</w:t>
      </w:r>
    </w:p>
    <w:p w14:paraId="55F5545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1.1.1.1 合同文件（或称合同）：指合同协议书、中标通知书、投标函及投标函附录、专用合同条款、通用合同条款、技术标准和要求、图纸、已标价工程量清单，以及其他合同文件。</w:t>
      </w:r>
    </w:p>
    <w:p w14:paraId="69BCE09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1.1.1.2 合同协议书：指第1.5 款所指的合同协议书。</w:t>
      </w:r>
    </w:p>
    <w:p w14:paraId="6EBAAC6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1.1.1.3 中标通知书：指发包人通知承包人中标的函件。</w:t>
      </w:r>
    </w:p>
    <w:p w14:paraId="1A683A1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1.1.1.4 投标函：指构成合同文件组成部分的由承包人填写并签署的投标函。</w:t>
      </w:r>
    </w:p>
    <w:p w14:paraId="1FD91FF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1.1.1.5 投标函附录：指附在投标函后构成合同文件的投标函附录。</w:t>
      </w:r>
    </w:p>
    <w:p w14:paraId="2DF12E8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1.1.1.6 技术标准和要求：指构成合同文件组成部分的名为技术标准和要求（合同技术条款）的文件，包括合同双方当事人约定对其所作的修改或补充。</w:t>
      </w:r>
    </w:p>
    <w:p w14:paraId="4DD7F665">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08D5619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1.1.1.8 已标价工程量清单：指构成合同文件组成部分的由承包人按照规定的格式和要求填写并标明价格的工程量清单。</w:t>
      </w:r>
    </w:p>
    <w:p w14:paraId="18E8E47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1.1.1.9 其他合同文件：指经合同双方当事人确认构成合同文件的其他文件。</w:t>
      </w:r>
    </w:p>
    <w:p w14:paraId="29548EED">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1.1.2  合同当事人和人员</w:t>
      </w:r>
    </w:p>
    <w:p w14:paraId="7412A81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1.1.2.1 合同当事人：指发包人和（或）承包人。</w:t>
      </w:r>
    </w:p>
    <w:p w14:paraId="01B5F51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1.1.2.2 发包人：指专用合同条款中指明并与承包人在合同协议书中签字的当事人。</w:t>
      </w:r>
    </w:p>
    <w:p w14:paraId="7628FD24">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1.1.2.3 承包人：指专用合同条款中指明并与发包人在合同协议书中签字的当事人。</w:t>
      </w:r>
    </w:p>
    <w:p w14:paraId="1C8FBA9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1.1.2.4 承包人项目经理：指承包人派驻施工场地的全权负责人。</w:t>
      </w:r>
    </w:p>
    <w:p w14:paraId="7516D0E3">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1.1.2.5  分包人：指专用合同条款中指明的，从承包人处分包合同中某一部分工程，并与其签订分包合同的分包人。</w:t>
      </w:r>
    </w:p>
    <w:p w14:paraId="1E58FAD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1.1.2.6 监理人：指在专用合同条款中指明的，受发包人委托对合同履行实施管理的法人或其他组织。</w:t>
      </w:r>
    </w:p>
    <w:p w14:paraId="67E380F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1.1.2.7 总监理工程师（总监）：指由监理人委派常驻施工场地对合同履行实施管理的全权负责人。</w:t>
      </w:r>
    </w:p>
    <w:p w14:paraId="1CF65F9B">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1.1.3  工程和设备</w:t>
      </w:r>
    </w:p>
    <w:p w14:paraId="0B6149B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1.1.3.1 工程：指永久工程和（或）临时工程。</w:t>
      </w:r>
    </w:p>
    <w:p w14:paraId="3C90EA4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1.1.3.2 永久工程：指按合同约定建造并移交给发包人的工程，包括工程设备。</w:t>
      </w:r>
    </w:p>
    <w:p w14:paraId="510D7F8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1.1.3.3 临时工程：指为完成合同约定的永久工程所修建的各类临时性工程，不包括施工设备。</w:t>
      </w:r>
    </w:p>
    <w:p w14:paraId="3B209C4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1.1.3.4 单位工程：指专用合同条款中指明特定范围的永久工程。</w:t>
      </w:r>
    </w:p>
    <w:p w14:paraId="7538642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1.1.3.5 工程设备：指构成或计划构成永久工程一部分的机电设备、金属结构设备、仪器装置及其他类似的设备和装置。</w:t>
      </w:r>
    </w:p>
    <w:p w14:paraId="7390BCE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1.1.3.6 施工设备：指为完成合同约定的各项工作所需的设备、器具和其他物品，不包括临时工程和材料。</w:t>
      </w:r>
    </w:p>
    <w:p w14:paraId="624B410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1.1.3.7 临时设施：指为完成合同约定的各项工作所服务的临时性生产和生活设施。</w:t>
      </w:r>
    </w:p>
    <w:p w14:paraId="5B1714A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1.1.3.8 承包人设备：指承包人自带的施工设备。</w:t>
      </w:r>
    </w:p>
    <w:p w14:paraId="61B3F5F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1.1.3.9 施工场地（或称工地、现场）：指用于合同工程施工的场所，以及在合同中指定作为施工场地组成部分的其他场所，包括永久占地和临时占地。</w:t>
      </w:r>
    </w:p>
    <w:p w14:paraId="46C77A1C">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1.1.3.10  永久占地：指发包人为建设本合同工程永久征用的场地。</w:t>
      </w:r>
    </w:p>
    <w:p w14:paraId="4F00FB16">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1.1.3.11  临时占地：指发包人为建设本合同工程临时征用，承包人在完工后须按合同要求退还的场地。</w:t>
      </w:r>
    </w:p>
    <w:p w14:paraId="40608246">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1.1.4  日期</w:t>
      </w:r>
    </w:p>
    <w:p w14:paraId="78C9634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1.1.4.1 开工通知：指监理人按第11.1 款通知承包人开工的函件。</w:t>
      </w:r>
    </w:p>
    <w:p w14:paraId="02A1981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1.1.4.2 开工日期：指监理人按第11.1 款发出的开工通知中写明的开工日期。</w:t>
      </w:r>
    </w:p>
    <w:p w14:paraId="3E4BA96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1.1.4.3 工期：指承包人在投标函中承诺的完成合同工程所需的期限，包括按第11.3 款、第11.4 款和第11.6 款约定所作的变更。</w:t>
      </w:r>
    </w:p>
    <w:p w14:paraId="3E70EBCF">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1.1.4.4 竣工日期：即合同工程完工日期，指第1.1.4.3目约定工期届满时的日期。实际完工日期以合同工程完工证书中写明的日期为准。</w:t>
      </w:r>
    </w:p>
    <w:p w14:paraId="476CDB91">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1.1.4.5 缺陷责任期：即工程质量保修期：指履行第19.2款约定的缺陷责任的期限，包括根据第19.3款约定所作的延长，具体期限由专用合同条款约定。</w:t>
      </w:r>
    </w:p>
    <w:p w14:paraId="0D141DB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1.1.4.6 基准日期：指投标截止时间前28 天的日期。</w:t>
      </w:r>
    </w:p>
    <w:p w14:paraId="1A8B779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1.1.4.7 天：除特别指明外，指日历天。合同中按天计算时间的，开始当天不计入，从次日开始计算。期限最后一天的截止时间为当天24:00。</w:t>
      </w:r>
    </w:p>
    <w:p w14:paraId="56F9D00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1.1.5 合同价格和费用</w:t>
      </w:r>
    </w:p>
    <w:p w14:paraId="452B14F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1.1.5.1 签约合同价：指签定合同时合同协议书中写明的，包括了暂列金额、暂估价的合同总金额。</w:t>
      </w:r>
    </w:p>
    <w:p w14:paraId="1C65276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1.1.5.2 合同价格：指承包人按合同约定完成了包括缺陷责任期内的全部承包工作后，发包人应付给承包人的金额，包括在履行合同过程中按合同约定进行的变更和调整。</w:t>
      </w:r>
    </w:p>
    <w:p w14:paraId="6CBCD49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1.1.5.3 费用：指为履行合同所发生的或将要发生的所有合理开支，包括管理费和应分摊的其他费用，但不包括利润。</w:t>
      </w:r>
    </w:p>
    <w:p w14:paraId="6E12FA0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1.1.5.4 暂列金额：指已标价工程量清单中所列的暂列金额，用于在签订协议书时尚未确定或不可预见变更的施工及其所需材料、工程设备、服务等的金额，包括以计日工方式支付的金额。</w:t>
      </w:r>
    </w:p>
    <w:p w14:paraId="23C5D8E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1.1.5.5 暂估价：指发包人在工程量清单中给定的用于支付必然发生但暂时不能确定价格的材料、设备以及专业工程的金额。</w:t>
      </w:r>
    </w:p>
    <w:p w14:paraId="57A8B17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1.1.5.6 计日工：指对零星工作采取的一种计价方式，按合同中的计日工子目及其单价计价付款。</w:t>
      </w:r>
    </w:p>
    <w:p w14:paraId="1EB8ECF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1.1.5.7 质量保证金（或称保留金）：指按第17.4.1项约定用于保证在缺陷责任期内履行缺陷修复义务的金额。</w:t>
      </w:r>
    </w:p>
    <w:p w14:paraId="4409115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1.1.6 其他</w:t>
      </w:r>
    </w:p>
    <w:p w14:paraId="260D612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1.1.6.1 书面形式：指合同文件、信函、电报、传真等可以有形地表现所载内容的形式。</w:t>
      </w:r>
    </w:p>
    <w:p w14:paraId="6F24A866">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1.2 语言文字</w:t>
      </w:r>
    </w:p>
    <w:p w14:paraId="0611A26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除专用术语外，合同使用的语言文字为中文。必要时专用术语应附有中文注释。</w:t>
      </w:r>
    </w:p>
    <w:p w14:paraId="59C9DD9D">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1.3 法律</w:t>
      </w:r>
    </w:p>
    <w:p w14:paraId="1F3B101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适用于合同的法律包括中华人民共和国法律、行政法规、部门规章，以及工程所在地的地方法规、自治条例、单行条例和地方政府规章。</w:t>
      </w:r>
    </w:p>
    <w:p w14:paraId="74E7291C">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1.4 合同文件的优先顺序</w:t>
      </w:r>
    </w:p>
    <w:p w14:paraId="1B6644E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组成合同的各项文件应互相解释，互为说明。除专用合同条款另有约定外，解释合同文件的优先顺序如下：</w:t>
      </w:r>
    </w:p>
    <w:p w14:paraId="7634F2C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（l）合同协议书；</w:t>
      </w:r>
    </w:p>
    <w:p w14:paraId="184F890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（2）中标通知书；</w:t>
      </w:r>
    </w:p>
    <w:p w14:paraId="1D0CDA7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（3）投标函及投标函附录；</w:t>
      </w:r>
    </w:p>
    <w:p w14:paraId="78C7336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（4）专用合同条款；</w:t>
      </w:r>
    </w:p>
    <w:p w14:paraId="0C037DF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（5）通用合同条款；</w:t>
      </w:r>
    </w:p>
    <w:p w14:paraId="208BF6E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（6）技术标准和要求；</w:t>
      </w:r>
    </w:p>
    <w:p w14:paraId="3C4B3E8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（7）图纸；</w:t>
      </w:r>
    </w:p>
    <w:p w14:paraId="39C188F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（8）已标价工程量清单；</w:t>
      </w:r>
    </w:p>
    <w:p w14:paraId="1888501F">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（9）其他合同文件。</w:t>
      </w:r>
    </w:p>
    <w:p w14:paraId="73655B16">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1.5 合同协议书</w:t>
      </w:r>
    </w:p>
    <w:p w14:paraId="351919B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承包人按中标通知书规定的时间与发包人签订合同协议书。除法律另有规定或合同另有约定外，发包人和承包人的法定代表人或其授权委托人在合同协议书上签字并盖单位章后，合同生效。</w:t>
      </w:r>
    </w:p>
    <w:p w14:paraId="39309BFA">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1.6  图纸和承包人文件</w:t>
      </w:r>
    </w:p>
    <w:p w14:paraId="53AC8D6B">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1.6.1  图纸的提供</w:t>
      </w:r>
    </w:p>
    <w:p w14:paraId="18EA8DDD">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发包人应按技术标准和要求（合同技术条款）约定的期限和数量将施工图纸以及其它图纸（包括配套说明和有关资料）提供给承包人。由于发包人未按时提供图纸造成工期延误的，按第11.3款的约定办理。</w:t>
      </w:r>
    </w:p>
    <w:p w14:paraId="2B211144">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1.6.2  承包人提供的文件</w:t>
      </w:r>
    </w:p>
    <w:p w14:paraId="58DD30A2">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承包人提供的文件应按技术标准和要求（合同技术条款）约定的期限和数量提供给监理人。监理人应按技术标准和要求（合同技术条款）约定的期限批复承包人。</w:t>
      </w:r>
    </w:p>
    <w:p w14:paraId="4A6ACDD3">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1.6.3  图纸的修改</w:t>
      </w:r>
    </w:p>
    <w:p w14:paraId="7DDFC768">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2C0CF5F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1.6.4 图纸的错误</w:t>
      </w:r>
    </w:p>
    <w:p w14:paraId="091AAF9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承包人发现发包人提供的图纸存在明显错误或疏忽，应及时通知监理人。</w:t>
      </w:r>
    </w:p>
    <w:p w14:paraId="091271D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1.6.5 图纸和承包人文件的保管</w:t>
      </w:r>
    </w:p>
    <w:p w14:paraId="1BF4878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监理人和承包人均应在施工场地各保存一套完整的包含第1.6.1 项、第1.6.2 项、第1.6.3 项约定内容的图纸和承包人文件。</w:t>
      </w:r>
    </w:p>
    <w:p w14:paraId="6E5DFC25">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1.7  联络</w:t>
      </w:r>
    </w:p>
    <w:p w14:paraId="62B7E3A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1.7.1 与合同有关的通知、批准、证明、证书、指示、要求、请求、同意、意见、确定和决定等，均应采用书面形式。</w:t>
      </w:r>
    </w:p>
    <w:p w14:paraId="031C75A2">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16C6A491">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1.7.3  来往函件均应按合同约定的期限及时发出和答复，不得无故扣压和拖延，亦不得拒收。否则，由此造成的后果由责任方负责。</w:t>
      </w:r>
    </w:p>
    <w:p w14:paraId="1FC2D43C">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1.8 转让</w:t>
      </w:r>
    </w:p>
    <w:p w14:paraId="4FE23BE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除合同另有约定外，未经对方当事人同意，一方当事人不得将合同权利全部或部分转让给第三人，也不得全部或部分转移合同义务。</w:t>
      </w:r>
    </w:p>
    <w:p w14:paraId="27A12A47">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1.9 严禁贿赂</w:t>
      </w:r>
    </w:p>
    <w:p w14:paraId="4CD7515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合同双方当事人不得以贿赂或变相贿赂的方式，谋取不当利益或损害对方权益。因贿赂造成对方损失的，行为人应赔偿损失，并承担相应的法律责任。</w:t>
      </w:r>
    </w:p>
    <w:p w14:paraId="1CD8730B">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1.10 化石、文物</w:t>
      </w:r>
    </w:p>
    <w:p w14:paraId="2913CE4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4D23A40F">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1.10.2 承包人发现文物后不及时报告或隐瞒不报，致使文物丢失或损坏的，应赔偿损失，并承担相应的法律责任。</w:t>
      </w:r>
    </w:p>
    <w:p w14:paraId="17094606">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1.11  专利技术</w:t>
      </w:r>
    </w:p>
    <w:p w14:paraId="7DD8D8C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3B7668F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1.11.2 承包人在投标文件中采用专利技术的，专利技术的使用费包含在投标报价内。</w:t>
      </w:r>
    </w:p>
    <w:p w14:paraId="63F54D1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1.11.3 承包人的技术秘密和声明需要保密的资料和信息，发包人和监理人不得为合同以外的目的泄露给他人。</w:t>
      </w:r>
    </w:p>
    <w:p w14:paraId="46AAFA1E">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1.11.4  合同实施过程中，发包人要求承包人采用专利技术的，发包人应办理相应的使用手续，承包人应按发包。人约定的条件使用，并承担使用专利技术的相关试验工作，所需费用由发包人承担。</w:t>
      </w:r>
    </w:p>
    <w:p w14:paraId="56ADFCC7">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1.12 图纸和文件的保密</w:t>
      </w:r>
    </w:p>
    <w:p w14:paraId="3749826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1.12.1 发包人提供的图纸和文件，未经发包人同意，承包人不得为合同以外的目的泄露给他人或公开发表与引用。</w:t>
      </w:r>
    </w:p>
    <w:p w14:paraId="52FA753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1.12.2 承包人提供的文件，未经承包人同意，发包人和监理人不得为合同以外的目的泄露给他人或公开发表与引用。</w:t>
      </w:r>
    </w:p>
    <w:p w14:paraId="7129BA82">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  发包人义务</w:t>
      </w:r>
    </w:p>
    <w:p w14:paraId="30D6F1E0">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2.1 遵守法律</w:t>
      </w:r>
    </w:p>
    <w:p w14:paraId="04CC5DC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发包人在履行合同过程中应遵守法律，并保证承包人免于承担因发包人违反法律而引起的任何责任。</w:t>
      </w:r>
    </w:p>
    <w:p w14:paraId="1CE697FB">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2.2 发出开工通知</w:t>
      </w:r>
    </w:p>
    <w:p w14:paraId="5D0F803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发包人应委托监理人按第11.1 款的约定向承包人发出开工通知。</w:t>
      </w:r>
    </w:p>
    <w:p w14:paraId="5990F1B7">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2.3  提供施工场地</w:t>
      </w:r>
    </w:p>
    <w:p w14:paraId="3E2913A5">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7CD31DC0">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2.3.2  发包人提供的施工用地范围在专用合同条款中约定。</w:t>
      </w:r>
    </w:p>
    <w:p w14:paraId="609C7E8E">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2.3.3  除专用合同条款另有约定外，发包人应按技术标准和要求（合同技术条款）的约定，向承包人提供施工场地内的工程地质图纸和报告，以及地下障碍物图纸等施工场地有关资料，并保证资料的真实、准确、完整。</w:t>
      </w:r>
    </w:p>
    <w:p w14:paraId="108BF50D">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2.4 协助承包人办理证件和批件</w:t>
      </w:r>
    </w:p>
    <w:p w14:paraId="50518AC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发包人应协助承包人办理法律规定的有关施工证件和批件。</w:t>
      </w:r>
    </w:p>
    <w:p w14:paraId="314DE231">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2.5 组织设计交底</w:t>
      </w:r>
    </w:p>
    <w:p w14:paraId="3DE2309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发包人应根据合同进度计划，组织设计单位向承包人进行设计交底。</w:t>
      </w:r>
    </w:p>
    <w:p w14:paraId="4B802B69">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2.6 支付合同价款</w:t>
      </w:r>
    </w:p>
    <w:p w14:paraId="578D92F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发包人应按合同约定向承包人及时支付合同价款。</w:t>
      </w:r>
    </w:p>
    <w:p w14:paraId="50BF09EF">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2.7  组织竣工验收（组织法人验收）</w:t>
      </w:r>
    </w:p>
    <w:p w14:paraId="1AC523B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发包人应按合同约定及时组织法人验收。</w:t>
      </w:r>
    </w:p>
    <w:p w14:paraId="134A4D16">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2.8  其它义务</w:t>
      </w:r>
    </w:p>
    <w:p w14:paraId="0F8AF887">
      <w:pPr>
        <w:spacing w:line="312" w:lineRule="auto"/>
        <w:ind w:firstLine="600"/>
        <w:rPr>
          <w:rFonts w:hint="eastAsia" w:ascii="宋体" w:hAnsi="宋体" w:cs="宋体"/>
          <w:color w:val="auto"/>
          <w:sz w:val="22"/>
          <w:highlight w:val="none"/>
        </w:rPr>
      </w:pPr>
      <w:r>
        <w:rPr>
          <w:rFonts w:hint="eastAsia" w:ascii="宋体" w:hAnsi="宋体" w:cs="宋体"/>
          <w:color w:val="auto"/>
          <w:sz w:val="22"/>
          <w:highlight w:val="none"/>
        </w:rPr>
        <w:t>其它义务在专用合同条款中补充约定。</w:t>
      </w:r>
    </w:p>
    <w:p w14:paraId="24149B0C">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3  监理人</w:t>
      </w:r>
    </w:p>
    <w:p w14:paraId="4A5C3D62">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3.1  监理人的职责和权力</w:t>
      </w:r>
    </w:p>
    <w:p w14:paraId="29180079">
      <w:pPr>
        <w:spacing w:line="312" w:lineRule="auto"/>
        <w:ind w:firstLine="465"/>
        <w:rPr>
          <w:rFonts w:hint="eastAsia" w:ascii="宋体" w:hAnsi="宋体" w:cs="宋体"/>
          <w:color w:val="auto"/>
          <w:sz w:val="22"/>
          <w:highlight w:val="none"/>
        </w:rPr>
      </w:pPr>
      <w:r>
        <w:rPr>
          <w:rFonts w:hint="eastAsia" w:ascii="宋体" w:hAnsi="宋体" w:cs="宋体"/>
          <w:color w:val="auto"/>
          <w:sz w:val="22"/>
          <w:highlight w:val="none"/>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5FB611D1">
      <w:pPr>
        <w:spacing w:line="312" w:lineRule="auto"/>
        <w:ind w:firstLine="465"/>
        <w:rPr>
          <w:rFonts w:hint="eastAsia" w:ascii="宋体" w:hAnsi="宋体" w:cs="宋体"/>
          <w:color w:val="auto"/>
          <w:sz w:val="22"/>
          <w:highlight w:val="none"/>
        </w:rPr>
      </w:pPr>
      <w:r>
        <w:rPr>
          <w:rFonts w:hint="eastAsia" w:ascii="宋体" w:hAnsi="宋体" w:cs="宋体"/>
          <w:color w:val="auto"/>
          <w:sz w:val="22"/>
          <w:highlight w:val="none"/>
        </w:rPr>
        <w:t>3.1.2 监理人发出的任何指示应视为已得到发包人的批准，但监理人无权免除或变更合同约定的发包人和承包人的权利、义务和责任。</w:t>
      </w:r>
    </w:p>
    <w:p w14:paraId="5006299E">
      <w:pPr>
        <w:spacing w:line="312" w:lineRule="auto"/>
        <w:ind w:firstLine="465"/>
        <w:rPr>
          <w:rFonts w:hint="eastAsia" w:ascii="宋体" w:hAnsi="宋体" w:cs="宋体"/>
          <w:color w:val="auto"/>
          <w:sz w:val="22"/>
          <w:highlight w:val="none"/>
        </w:rPr>
      </w:pPr>
      <w:r>
        <w:rPr>
          <w:rFonts w:hint="eastAsia" w:ascii="宋体" w:hAnsi="宋体" w:cs="宋体"/>
          <w:color w:val="auto"/>
          <w:sz w:val="22"/>
          <w:highlight w:val="none"/>
        </w:rPr>
        <w:t>3.1.3 合同约定应由承包人承担的义务和责任，不因监理人对承包人提交文件的审查或批准，对工程、材料和设备的检查和检验，以及为实施监理作出的指示等职务行为而减轻或解除。</w:t>
      </w:r>
    </w:p>
    <w:p w14:paraId="7CDC7AB8">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3.2 总监理工程师</w:t>
      </w:r>
    </w:p>
    <w:p w14:paraId="74895BE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发包人应在发出开工通知前将总监理工程师的任命通知承包人。总监理工程师更换时，应在调离14 天前通知承包人。总监理工程师短期离开施工场地的，应委派代表代行其职责，并通知承包人。</w:t>
      </w:r>
    </w:p>
    <w:p w14:paraId="0CA4E724">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3.3 监理人员</w:t>
      </w:r>
    </w:p>
    <w:p w14:paraId="38BF16B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己得到总监理工程师的同意，与总监理工程师发出的指示具有同等效力。总监理工程师撤销某项授权时，应将撤销授权的决定及时通知承包人。</w:t>
      </w:r>
    </w:p>
    <w:p w14:paraId="0F86ACC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3AB19B3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3.3.3 承包人对总监理工程师授权的监理人员发出的指示有疑问的，可向总监理工程师提出书面异议，总监理工程师应在48小时内对该指示予以确认、更改或撤销。</w:t>
      </w:r>
    </w:p>
    <w:p w14:paraId="7C8B76D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3.3.4 除专用合同条款另有约定外，总监理工程师不应将第3.5 款约定应由总监理工程师作出确定的权力授权或委托给其他监理人员。</w:t>
      </w:r>
    </w:p>
    <w:p w14:paraId="692D98C2">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3.4 监理人的指示</w:t>
      </w:r>
    </w:p>
    <w:p w14:paraId="20F2F44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3.4.1 监理人应按第3.1 款的约定向承包人发出指示，监理人的指示应盖有监理人授权的施工场地机构章，并由总监理工程师或总监理工程师按第3.3.1 项约定授权的监理人员签字。</w:t>
      </w:r>
    </w:p>
    <w:p w14:paraId="05CD946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3.4.2 承包人收到监理人按第3.4.1 项作出的指示后应遵照执行。指示构成变更的，应按第巧条处理。</w:t>
      </w:r>
    </w:p>
    <w:p w14:paraId="39B83FC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5617A1D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3.4.4 除合同另有约定外，承包人只从总监理工程师或按第3.3.1 项被授权的监理人员处取得指示。</w:t>
      </w:r>
    </w:p>
    <w:p w14:paraId="5A255FD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3.4.5 由于监理人未能按合同约定发出指示、指示延误或指示错误而导致承包人费用增加和（或）工期延误的，由发包人承担赔偿责任。</w:t>
      </w:r>
    </w:p>
    <w:p w14:paraId="089BC29B">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3.5 商定或确定</w:t>
      </w:r>
    </w:p>
    <w:p w14:paraId="4559BCE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3.5.1 合同约定总监理工程师应按照本款对任何事项进行商定或确定时，总监理工程师应与合同当事人协商，尽量达成一致。不能达成一致的，总监理工程师应认真研究后审慎确定。</w:t>
      </w:r>
    </w:p>
    <w:p w14:paraId="584EB61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w:t>
      </w:r>
    </w:p>
    <w:p w14:paraId="3826A32C">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4  承包人</w:t>
      </w:r>
    </w:p>
    <w:p w14:paraId="492D3439">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4.1  承包人的一般义务</w:t>
      </w:r>
    </w:p>
    <w:p w14:paraId="2E0AA83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4.1.1 遵守法律</w:t>
      </w:r>
    </w:p>
    <w:p w14:paraId="6E06F14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承包人在履行合同过程中应遵守法律，并保证发包人免于承担因承包人违反法律而引起的任何责任。</w:t>
      </w:r>
    </w:p>
    <w:p w14:paraId="3A8D5F6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4.1.2 依法纳税</w:t>
      </w:r>
    </w:p>
    <w:p w14:paraId="74D4C7B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承包人应按有关法律规定纳税，应缴纳的税金包括在合同价格内。</w:t>
      </w:r>
    </w:p>
    <w:p w14:paraId="789FB7E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4.1.3  完成各项承包工作</w:t>
      </w:r>
    </w:p>
    <w:p w14:paraId="4048A0DB">
      <w:pPr>
        <w:spacing w:line="312" w:lineRule="auto"/>
        <w:rPr>
          <w:rFonts w:hint="eastAsia" w:ascii="宋体" w:hAnsi="宋体" w:cs="宋体"/>
          <w:color w:val="auto"/>
          <w:sz w:val="22"/>
          <w:highlight w:val="none"/>
        </w:rPr>
      </w:pPr>
      <w:r>
        <w:rPr>
          <w:rFonts w:hint="eastAsia" w:ascii="宋体" w:hAnsi="宋体" w:cs="宋体"/>
          <w:color w:val="auto"/>
          <w:sz w:val="22"/>
          <w:highlight w:val="none"/>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40A17AA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4.1.4 对施工作业和施工方法的完备性负责</w:t>
      </w:r>
    </w:p>
    <w:p w14:paraId="028BF42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承包人应按合同约定的工作内容和施工进度要求，编制施工组织设计和施工措施计划，并对所有施工作业和施工方法的完备性和安全可靠性负责。</w:t>
      </w:r>
    </w:p>
    <w:p w14:paraId="3B80739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4.1.5 保证工程施工和人员的安全</w:t>
      </w:r>
    </w:p>
    <w:p w14:paraId="33F801B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承包人应按第9.2 款约定采取施工安全措施，确保工程及其人员、材料、设备和设施的安全，防止因工程施工造成的人身伤害和财产损失。</w:t>
      </w:r>
    </w:p>
    <w:p w14:paraId="15D98D5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4.1.6 负责施工场地及其周边环境与生态的保护工作</w:t>
      </w:r>
    </w:p>
    <w:p w14:paraId="4F31832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承包人应按照第9.4 款约定负责施工场地及其周边环境与生态的保护工作。</w:t>
      </w:r>
    </w:p>
    <w:p w14:paraId="01E027E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4.1.7 避免施工对公众与他人的利益造成损害</w:t>
      </w:r>
    </w:p>
    <w:p w14:paraId="704F6CD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640374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4.1.8 为他人提供方便</w:t>
      </w:r>
    </w:p>
    <w:p w14:paraId="2EFFCBB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承包人应按监理人的指示为他人在施工场地或附近实施与工程有关的其他各项工作提供可能的条件。除合同另有约定外，提供有关条件的内容和可能发生的费用，由监理人按第3.5 款商定或确定。</w:t>
      </w:r>
    </w:p>
    <w:p w14:paraId="7F573AB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4.1.9  工程的维护和照管</w:t>
      </w:r>
    </w:p>
    <w:p w14:paraId="03F7E509">
      <w:pPr>
        <w:spacing w:line="312" w:lineRule="auto"/>
        <w:ind w:firstLine="385" w:firstLineChars="175"/>
        <w:rPr>
          <w:rFonts w:hint="eastAsia" w:ascii="宋体" w:hAnsi="宋体" w:cs="宋体"/>
          <w:color w:val="auto"/>
          <w:sz w:val="22"/>
          <w:highlight w:val="none"/>
        </w:rPr>
      </w:pPr>
      <w:r>
        <w:rPr>
          <w:rFonts w:hint="eastAsia" w:ascii="宋体" w:hAnsi="宋体" w:cs="宋体"/>
          <w:color w:val="auto"/>
          <w:sz w:val="22"/>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399DCAD9">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4.1.10  其它义务</w:t>
      </w:r>
    </w:p>
    <w:p w14:paraId="3F69E7AF">
      <w:pPr>
        <w:spacing w:line="312" w:lineRule="auto"/>
        <w:ind w:firstLine="385" w:firstLineChars="175"/>
        <w:rPr>
          <w:rFonts w:hint="eastAsia" w:ascii="宋体" w:hAnsi="宋体" w:cs="宋体"/>
          <w:color w:val="auto"/>
          <w:sz w:val="22"/>
          <w:highlight w:val="none"/>
        </w:rPr>
      </w:pPr>
      <w:r>
        <w:rPr>
          <w:rFonts w:hint="eastAsia" w:ascii="宋体" w:hAnsi="宋体" w:cs="宋体"/>
          <w:color w:val="auto"/>
          <w:sz w:val="22"/>
          <w:highlight w:val="none"/>
        </w:rPr>
        <w:t>其它义务在专用合同条款中补充约定。</w:t>
      </w:r>
    </w:p>
    <w:p w14:paraId="568ACB9F">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4.2  履约担保</w:t>
      </w:r>
    </w:p>
    <w:p w14:paraId="49DBBD20">
      <w:pPr>
        <w:spacing w:line="312" w:lineRule="auto"/>
        <w:ind w:firstLine="385" w:firstLineChars="175"/>
        <w:rPr>
          <w:rFonts w:hint="eastAsia" w:ascii="宋体" w:hAnsi="宋体" w:cs="宋体"/>
          <w:color w:val="auto"/>
          <w:sz w:val="22"/>
          <w:highlight w:val="none"/>
        </w:rPr>
      </w:pPr>
      <w:r>
        <w:rPr>
          <w:rFonts w:hint="eastAsia" w:ascii="宋体" w:hAnsi="宋体" w:cs="宋体"/>
          <w:color w:val="auto"/>
          <w:sz w:val="22"/>
          <w:highlight w:val="none"/>
        </w:rPr>
        <w:t>承包人应保证其履约担保在发包人颁发合同工程完工证书前一直有效。发包人应在合同工程完工证书颁发后28天内将履约担保退还给承包人。</w:t>
      </w:r>
    </w:p>
    <w:p w14:paraId="6CDB16C4">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4.3  分包</w:t>
      </w:r>
    </w:p>
    <w:p w14:paraId="68C0081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4.3.1 承包人不得将其承包的全部工程转包给第三人，或将其承包的全部工程肢解后以分包的名义转包给第三人。</w:t>
      </w:r>
    </w:p>
    <w:p w14:paraId="3730610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4.3.2 承包人不得将工程主体、关键性工作分包给第三人。除专用合同条款另有约定外，未经发包人同意，承包人不得将工程的其他部分或工作分包给第三人。</w:t>
      </w:r>
    </w:p>
    <w:p w14:paraId="6804B69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4.3.3 分包人的资格能力应与其分包工程的标准和规模相适应。</w:t>
      </w:r>
    </w:p>
    <w:p w14:paraId="35B97DA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4.3.4 按投标函附录约定分包工程的，承包人应向发包人和监理人提交分包合同副本。</w:t>
      </w:r>
    </w:p>
    <w:p w14:paraId="1CBCD74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4.3.5 承包人应与分包人就分包工程向发包人承担连带责任。</w:t>
      </w:r>
    </w:p>
    <w:p w14:paraId="5593EED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771F053">
      <w:pPr>
        <w:spacing w:line="312" w:lineRule="auto"/>
        <w:rPr>
          <w:rFonts w:hint="eastAsia" w:ascii="宋体" w:hAnsi="宋体" w:cs="宋体"/>
          <w:color w:val="auto"/>
          <w:sz w:val="22"/>
          <w:highlight w:val="none"/>
        </w:rPr>
      </w:pPr>
      <w:r>
        <w:rPr>
          <w:rFonts w:hint="eastAsia" w:ascii="宋体" w:hAnsi="宋体" w:cs="宋体"/>
          <w:color w:val="auto"/>
          <w:sz w:val="22"/>
          <w:highlight w:val="none"/>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2C3CB0D3">
      <w:pPr>
        <w:spacing w:line="312" w:lineRule="auto"/>
        <w:rPr>
          <w:rFonts w:hint="eastAsia" w:ascii="宋体" w:hAnsi="宋体" w:cs="宋体"/>
          <w:color w:val="auto"/>
          <w:sz w:val="22"/>
          <w:highlight w:val="none"/>
        </w:rPr>
      </w:pPr>
      <w:r>
        <w:rPr>
          <w:rFonts w:hint="eastAsia" w:ascii="宋体" w:hAnsi="宋体" w:cs="宋体"/>
          <w:color w:val="auto"/>
          <w:sz w:val="22"/>
          <w:highlight w:val="none"/>
        </w:rPr>
        <w:t>由指定分包人造成的与其分包工作有关的一切索赔、诉讼和损失赔偿由指定分包人直接对发包人负责，承包人不对此承担责任。</w:t>
      </w:r>
    </w:p>
    <w:p w14:paraId="28FFAB2B">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74A8231B">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4.3.9  除第4．3．7项规定的指定分包外，承包人对其分包项目的实施以及分包人的行为向发包人负全部责任。承包人应对分包项目的工程进度、质量、安全、计量和验收等实施监督和管理。</w:t>
      </w:r>
    </w:p>
    <w:p w14:paraId="476A615F">
      <w:pPr>
        <w:spacing w:line="312" w:lineRule="auto"/>
        <w:ind w:firstLine="435"/>
        <w:rPr>
          <w:rFonts w:hint="eastAsia" w:ascii="宋体" w:hAnsi="宋体" w:cs="宋体"/>
          <w:color w:val="auto"/>
          <w:sz w:val="22"/>
          <w:highlight w:val="none"/>
        </w:rPr>
      </w:pPr>
      <w:r>
        <w:rPr>
          <w:rFonts w:hint="eastAsia" w:ascii="宋体" w:hAnsi="宋体" w:cs="宋体"/>
          <w:color w:val="auto"/>
          <w:sz w:val="22"/>
          <w:highlight w:val="none"/>
        </w:rPr>
        <w:t>4.3.10  分包人应按专用合同条款的约定设立项目管理机构组织管理分包工程的施工活动。</w:t>
      </w:r>
    </w:p>
    <w:p w14:paraId="776BE358">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4.4  联合体</w:t>
      </w:r>
    </w:p>
    <w:p w14:paraId="0C2B851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4.4.1 联合体各方应共同与发包人签订合同协议书。联合体各方应为履行合同承担连带责任。</w:t>
      </w:r>
    </w:p>
    <w:p w14:paraId="5EA80B6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4.4.2 联合体协议经发包人确认后作为合同附件。在履行合同过程中，未经发包人同意，不得修改联合体协议。</w:t>
      </w:r>
    </w:p>
    <w:p w14:paraId="2218C8A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4.4.3 联合体牵头人负责与发包人和监理人联系，并接受指示，负责组织联合体各成员全面履行合同。</w:t>
      </w:r>
    </w:p>
    <w:p w14:paraId="4EDD7F28">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4.5  承包人项目经理</w:t>
      </w:r>
    </w:p>
    <w:p w14:paraId="5AF9091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0A991B6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4.5.2 承包人项目经理应按合同约定以及监理人按第3 . 4 款作出的指示，负责组织合同工程的实施。在情况紧急且无法与监理人取得联系时，可采取保证工程和人员生命财产安令的紧急措施，并在采取措施后24小时内向监理人提交书面报告。</w:t>
      </w:r>
    </w:p>
    <w:p w14:paraId="07600D3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4.5.3 承包人为履行合同发出的一切函件均应盖有承包人授权的施工场地管理机构章，并由承包人项目经理或其授权代表签字。</w:t>
      </w:r>
    </w:p>
    <w:p w14:paraId="2BF41B5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4.5.4 承包人项目经理可以授权其下属人员履行其某项职责，但事先应将这些人员的姓名和授权范围通知监理人。</w:t>
      </w:r>
    </w:p>
    <w:p w14:paraId="1FE43A79">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4.6 承包人人员的管理</w:t>
      </w:r>
    </w:p>
    <w:p w14:paraId="54D2422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978724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4.6.2 为完成合同约定的各项工作，承包人应向施工场地派遣或雇佣足够数量的下列人员：</w:t>
      </w:r>
    </w:p>
    <w:p w14:paraId="7C4C79C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（1）具有相应资格的专业技工和合格的普工；</w:t>
      </w:r>
    </w:p>
    <w:p w14:paraId="624B70A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（2）具有相应施工经验的技术人员；</w:t>
      </w:r>
    </w:p>
    <w:p w14:paraId="15586DB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（3）具有相应岗位资格的各级管理人员。</w:t>
      </w:r>
    </w:p>
    <w:p w14:paraId="09B51CD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4.6.3 承包人安排在施工场地的主要管理人员和技术骨干应相对稳定。承包人更换主要管理人员和技术骨干时，应取得监理人的同意。</w:t>
      </w:r>
    </w:p>
    <w:p w14:paraId="59A7F5B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4.6.4 特殊岗位的工作人员均应持有相应的资格证明，监理人有权随时检查。监理人认为有必要时，可进行现场考核。</w:t>
      </w:r>
    </w:p>
    <w:p w14:paraId="722389FB">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4.7 撤换承包人项目经理和其他人员</w:t>
      </w:r>
    </w:p>
    <w:p w14:paraId="2567344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承包人应对其项目经理和其他人员进行有效管理。监理人要求撤换不能胜任本职工作、行为不端或玩忽职守的承包人项目经理和其他人员的，承包人应予以撤换。</w:t>
      </w:r>
    </w:p>
    <w:p w14:paraId="6F70E148">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4.8 保障承包人人员的合法权益</w:t>
      </w:r>
    </w:p>
    <w:p w14:paraId="5BD5491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4.8.1 承包人应与其雇佣的人员签订劳动合同，并按时发放工资。</w:t>
      </w:r>
    </w:p>
    <w:p w14:paraId="523CB66F">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4958FD7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4.8.3 承包人应为其雇佣人员提供必要的食宿条件，以及符合环境保护和卫生要求的生活环境，在远离城镇的施工场地，还应配备必要的伤病防治和急救的医务人员与医疗设施。</w:t>
      </w:r>
    </w:p>
    <w:p w14:paraId="287D9F8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7673D6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4.8.5 承包人应按有关法律规定和合同约定，为其雇佣人员办理保险。</w:t>
      </w:r>
    </w:p>
    <w:p w14:paraId="4F78277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4.8.6 承包人应负责处理其雇佣人员因工伤亡事故的善后事宜。</w:t>
      </w:r>
    </w:p>
    <w:p w14:paraId="4B10945D">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4.9 工程价款应专款专用</w:t>
      </w:r>
    </w:p>
    <w:p w14:paraId="284BFEB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发包人按合同约定支付给承包人的各项价款应专用于合同工程。</w:t>
      </w:r>
    </w:p>
    <w:p w14:paraId="4989DF99">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4.10 承包人现场查勘</w:t>
      </w:r>
    </w:p>
    <w:p w14:paraId="5B80571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4.10.1 发包人应将其持有的现场地质勘探资料、水文气象资料提供给承包人，并对其准确胜负责。但承包人应对其阅读上述有关资料后所作出的解释和推断负责。</w:t>
      </w:r>
    </w:p>
    <w:p w14:paraId="42BD960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4.10.2 承包人应对施工场地和周围环境进行查勘，并收集有关地质、水文、气象条件、交通条件、风俗习惯以及其他为完成合同工作有关的当地资料。在全部合同工作中，应视为承包人己充分估计了应承担的责任和风险。</w:t>
      </w:r>
    </w:p>
    <w:p w14:paraId="2B11B587">
      <w:pPr>
        <w:spacing w:line="312" w:lineRule="auto"/>
        <w:rPr>
          <w:rFonts w:hint="eastAsia" w:ascii="宋体" w:hAnsi="宋体" w:cs="宋体"/>
          <w:color w:val="auto"/>
          <w:sz w:val="22"/>
          <w:highlight w:val="none"/>
        </w:rPr>
      </w:pPr>
      <w:r>
        <w:rPr>
          <w:rFonts w:hint="eastAsia" w:ascii="宋体" w:hAnsi="宋体" w:cs="宋体"/>
          <w:b/>
          <w:color w:val="auto"/>
          <w:sz w:val="22"/>
          <w:highlight w:val="none"/>
        </w:rPr>
        <w:t>4.11  不利物质条件</w:t>
      </w:r>
    </w:p>
    <w:p w14:paraId="60141907">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4.11.1  除专用合同条款另有约定外，不利物质条件是指在施工中遭遇不可预见的外界障碍或自然条件造成施工受阻。</w:t>
      </w:r>
    </w:p>
    <w:p w14:paraId="0A7A49FC">
      <w:pPr>
        <w:spacing w:line="312" w:lineRule="auto"/>
        <w:ind w:firstLine="435"/>
        <w:rPr>
          <w:rFonts w:hint="eastAsia" w:ascii="宋体" w:hAnsi="宋体" w:cs="宋体"/>
          <w:color w:val="auto"/>
          <w:sz w:val="22"/>
          <w:highlight w:val="none"/>
        </w:rPr>
      </w:pPr>
      <w:r>
        <w:rPr>
          <w:rFonts w:hint="eastAsia" w:ascii="宋体" w:hAnsi="宋体" w:cs="宋体"/>
          <w:color w:val="auto"/>
          <w:sz w:val="22"/>
          <w:highlight w:val="none"/>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66111ADC">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5  材料和工程设备</w:t>
      </w:r>
    </w:p>
    <w:p w14:paraId="556338A9">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5.1  承包人提供的材料和工程设备</w:t>
      </w:r>
    </w:p>
    <w:p w14:paraId="1A0D52C5">
      <w:pPr>
        <w:spacing w:line="312" w:lineRule="auto"/>
        <w:ind w:firstLine="435"/>
        <w:rPr>
          <w:rFonts w:hint="eastAsia" w:ascii="宋体" w:hAnsi="宋体" w:cs="宋体"/>
          <w:color w:val="auto"/>
          <w:sz w:val="22"/>
          <w:highlight w:val="none"/>
        </w:rPr>
      </w:pPr>
      <w:r>
        <w:rPr>
          <w:rFonts w:hint="eastAsia" w:ascii="宋体" w:hAnsi="宋体" w:cs="宋体"/>
          <w:color w:val="auto"/>
          <w:sz w:val="22"/>
          <w:highlight w:val="none"/>
        </w:rPr>
        <w:t>5.1.1除第5.2款约定由发包人提供的材料和工程设备外，承包人负责采购、运输和保管完成本合同工作所需的材料和工程设备。承包人应对其采购的材料和工程设备负责。</w:t>
      </w:r>
    </w:p>
    <w:p w14:paraId="66647DE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69E156B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8F3DE97">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5.2  发包人提供的材料和工程设备</w:t>
      </w:r>
    </w:p>
    <w:p w14:paraId="0B29AB2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5.2.1 发包人提供的材料和工程设备，应在专用合同条款中写明材料和工程设备的名称、规格、数量、价格、交货方式、交货地点和计划交货日期等。</w:t>
      </w:r>
    </w:p>
    <w:p w14:paraId="6919AA0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5.2.2 承包人应根据合同进度计划的安排，向监理人报送要求发包人交货的日期计划。发包人应按照监理人与合同双方当事人商定的交货日期，向承包人提交材料和工程设备。</w:t>
      </w:r>
    </w:p>
    <w:p w14:paraId="1845A380">
      <w:pPr>
        <w:spacing w:line="312" w:lineRule="auto"/>
        <w:ind w:firstLine="435"/>
        <w:rPr>
          <w:rFonts w:hint="eastAsia" w:ascii="宋体" w:hAnsi="宋体" w:cs="宋体"/>
          <w:color w:val="auto"/>
          <w:sz w:val="22"/>
          <w:highlight w:val="none"/>
        </w:rPr>
      </w:pPr>
      <w:r>
        <w:rPr>
          <w:rFonts w:hint="eastAsia" w:ascii="宋体" w:hAnsi="宋体" w:cs="宋体"/>
          <w:color w:val="auto"/>
          <w:sz w:val="22"/>
          <w:highlight w:val="none"/>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6EE3846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5.2.4 发包人要求向承包人提前交货的，承包人不得拒绝，但发包人应承担承包人由此增加的费用。</w:t>
      </w:r>
    </w:p>
    <w:p w14:paraId="6B65FA5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5.2.5 承包人要求更改交货日期或地点的，应事先报请监理人批准。由于承包人要求更改交货时间或地点所增加的费用和（或）工期延误由承包人承担。</w:t>
      </w:r>
    </w:p>
    <w:p w14:paraId="4DEA3F5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52611007">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5.3 材料和工程设备专用于合同工程</w:t>
      </w:r>
    </w:p>
    <w:p w14:paraId="5E0E307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5.3.1 运入施工场地的材料、工程设备，包括备品备件、安装专用工器具与随机资料，必须专用于合同工程，未经监理人同意，承包人不得运出施工场地或挪作他用。</w:t>
      </w:r>
    </w:p>
    <w:p w14:paraId="252DA20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0634E27C">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5.4 禁止使用不合格的材料和工程设备</w:t>
      </w:r>
    </w:p>
    <w:p w14:paraId="6DEB60C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5.4.1 监理人有权拒绝承包人提供的不合格材料或工程设备，并要求承包人立即进行更换。监理人应在更换后再次进行检查和检验，由此增加的费用和（或）工期延误由承包人承担。</w:t>
      </w:r>
    </w:p>
    <w:p w14:paraId="69ABFCA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5.4.2 监理人发现承包人使用了不合格的材料和工程设备，应即时发出指示要求承包人立即改正，并禁止在工程中继续使用不合格的材料和工程设备。</w:t>
      </w:r>
    </w:p>
    <w:p w14:paraId="0C8786A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5.4.3 发包人提供的材料或工程设备不符合合同要求的，承包人有权拒绝，并可要求发包人更换，由此增加的费用和（或）工期延误由发包人承担。</w:t>
      </w:r>
    </w:p>
    <w:p w14:paraId="2FF3C5D2">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6  施工设备和临时设施</w:t>
      </w:r>
    </w:p>
    <w:p w14:paraId="6699DD4A">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6.1 承包人提供的施工设备和临时设施</w:t>
      </w:r>
    </w:p>
    <w:p w14:paraId="5DB6883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06A1543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6.1.2 除专用合同条款另有约定外，承包人应自行承担修建临时设施的费用，需要临时占地的，应由发包人办理申请手续并承担相应费用。</w:t>
      </w:r>
    </w:p>
    <w:p w14:paraId="370539C4">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6.2 发包人提供的施工设备和临时设施</w:t>
      </w:r>
    </w:p>
    <w:p w14:paraId="6F2BF02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发包人提供的施工设备或临时设施在专用合同条款中约定。</w:t>
      </w:r>
    </w:p>
    <w:p w14:paraId="55FBA780">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6.3 要求承包人增加或更换施工设备</w:t>
      </w:r>
    </w:p>
    <w:p w14:paraId="30BA604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承包人使用的施工设备不能满足合同进度计划和（或）质量要求时，监理人有权要求承包人增加或更换施工设备，承包人应及时增加或更换，由此增加的费用和（或）工期延误由承包人承担。</w:t>
      </w:r>
    </w:p>
    <w:p w14:paraId="19B8B854">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6.4 施工设备和临时设施专用于合同工程</w:t>
      </w:r>
    </w:p>
    <w:p w14:paraId="0AF397B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6.4.1 除合同另有约定外，运入施工场地的所有施工设备以及在施工场地建设的临时设施应专用于合同工程。未经监理人同意，不得将上述施工设备和临时设施中的任何部分运出施工场地或挪作他用。</w:t>
      </w:r>
    </w:p>
    <w:p w14:paraId="68B81D1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6.4.2 经监理人同意，承包人可根据合同进度计划撤走闲置的施工设备。</w:t>
      </w:r>
    </w:p>
    <w:p w14:paraId="7489E8B9">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7  交通运输</w:t>
      </w:r>
    </w:p>
    <w:p w14:paraId="4FEA3A8B">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7.1  道路通行权和场外设施</w:t>
      </w:r>
    </w:p>
    <w:p w14:paraId="0DE5A514">
      <w:pPr>
        <w:spacing w:line="312" w:lineRule="auto"/>
        <w:rPr>
          <w:rFonts w:hint="eastAsia" w:ascii="宋体" w:hAnsi="宋体" w:cs="宋体"/>
          <w:color w:val="auto"/>
          <w:sz w:val="22"/>
          <w:highlight w:val="none"/>
        </w:rPr>
      </w:pPr>
      <w:r>
        <w:rPr>
          <w:rFonts w:hint="eastAsia" w:ascii="宋体" w:hAnsi="宋体" w:cs="宋体"/>
          <w:color w:val="auto"/>
          <w:sz w:val="22"/>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37617F55">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7.2  场内施工道路</w:t>
      </w:r>
    </w:p>
    <w:p w14:paraId="6FA96316">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457653C6">
      <w:pPr>
        <w:spacing w:line="312" w:lineRule="auto"/>
        <w:ind w:firstLine="435"/>
        <w:rPr>
          <w:rFonts w:hint="eastAsia" w:ascii="宋体" w:hAnsi="宋体" w:cs="宋体"/>
          <w:color w:val="auto"/>
          <w:sz w:val="22"/>
          <w:highlight w:val="none"/>
        </w:rPr>
      </w:pPr>
      <w:r>
        <w:rPr>
          <w:rFonts w:hint="eastAsia" w:ascii="宋体" w:hAnsi="宋体" w:cs="宋体"/>
          <w:color w:val="auto"/>
          <w:sz w:val="22"/>
          <w:highlight w:val="none"/>
        </w:rPr>
        <w:t>7.2.2  承包人修建的临时道路和交通设施：应免费提供发包人、监理人以及与本合同有关的其他承包人使用。</w:t>
      </w:r>
    </w:p>
    <w:p w14:paraId="3EE0E0CE">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7.3 场外交通</w:t>
      </w:r>
    </w:p>
    <w:p w14:paraId="71FF0CE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7.3.1 承包人车辆外出行驶所需的场外公共道路的通行费、养路费和税款等由承包人承担。</w:t>
      </w:r>
    </w:p>
    <w:p w14:paraId="4FD71B0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7.3.2 承包人应遵守有关交通法规，严格按照道路和桥梁的限制荷重安全行驶，并服从交通管理部门的检查和监督。</w:t>
      </w:r>
    </w:p>
    <w:p w14:paraId="15B89FFD">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7.4 超大件和超重件的运输</w:t>
      </w:r>
    </w:p>
    <w:p w14:paraId="4F23257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B7B8559">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7.5 道路和桥梁的损坏责任</w:t>
      </w:r>
    </w:p>
    <w:p w14:paraId="0F31143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因承包人运输造成施工场地内外公共道路和桥梁损坏的，由承包人承担修复损坏的全部费用和可能引起的赔偿。</w:t>
      </w:r>
    </w:p>
    <w:p w14:paraId="440C3A6B">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7.6 水路和航空运输</w:t>
      </w:r>
    </w:p>
    <w:p w14:paraId="3D33DBC4">
      <w:pPr>
        <w:spacing w:line="312" w:lineRule="auto"/>
        <w:ind w:firstLine="435"/>
        <w:rPr>
          <w:rFonts w:hint="eastAsia" w:ascii="宋体" w:hAnsi="宋体" w:cs="宋体"/>
          <w:color w:val="auto"/>
          <w:sz w:val="22"/>
          <w:highlight w:val="none"/>
        </w:rPr>
      </w:pPr>
      <w:r>
        <w:rPr>
          <w:rFonts w:hint="eastAsia" w:ascii="宋体" w:hAnsi="宋体" w:cs="宋体"/>
          <w:color w:val="auto"/>
          <w:sz w:val="22"/>
          <w:highlight w:val="none"/>
        </w:rPr>
        <w:t>本条上述各款的内容适用于水路运输和航空运输，其中“道路”一词的涵义包括河道、航线、船闸、机场、码头、堤防以及水路或航空运输中其他相似结构物；“车辆”一词的涯义包括船舶和飞机等。</w:t>
      </w:r>
    </w:p>
    <w:p w14:paraId="35040560">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8  测量放线</w:t>
      </w:r>
    </w:p>
    <w:p w14:paraId="3700D438">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8.1  施工控制网</w:t>
      </w:r>
    </w:p>
    <w:p w14:paraId="3795BD55">
      <w:pPr>
        <w:spacing w:line="312" w:lineRule="auto"/>
        <w:ind w:firstLine="435"/>
        <w:rPr>
          <w:rFonts w:hint="eastAsia" w:ascii="宋体" w:hAnsi="宋体" w:cs="宋体"/>
          <w:b/>
          <w:color w:val="auto"/>
          <w:sz w:val="22"/>
          <w:highlight w:val="none"/>
        </w:rPr>
      </w:pPr>
      <w:r>
        <w:rPr>
          <w:rFonts w:hint="eastAsia" w:ascii="宋体" w:hAnsi="宋体" w:cs="宋体"/>
          <w:color w:val="auto"/>
          <w:sz w:val="22"/>
          <w:highlight w:val="none"/>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361DB1B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8.1.2 承包人应负责管理施工控制网点。施工控制网点丢失或损坏的，承包人应及时修复。承包人应承担施工控制网点的管理与修复费用，并在工程竣工后将施工控制网点移交发包人。</w:t>
      </w:r>
    </w:p>
    <w:p w14:paraId="37962E19">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8.2 施工测量</w:t>
      </w:r>
    </w:p>
    <w:p w14:paraId="6C973CB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8.2.1 承包人应负责施工过程中的全部施工测量放线工作，并配置合格的人员、仪器、设备和其他物品。</w:t>
      </w:r>
    </w:p>
    <w:p w14:paraId="22A77FF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8.2.2 监理人可以指示承包人进行抽样复测，当复测中发现错误或出现超过合同约定的误差时，承包人应按监理人指示进行修正或补测，并承担相应的复测费用。</w:t>
      </w:r>
    </w:p>
    <w:p w14:paraId="5270536E">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8.3 基准资料错误的责任</w:t>
      </w:r>
    </w:p>
    <w:p w14:paraId="2C332C5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4104FD32">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8.4 监理人使用施工控制网</w:t>
      </w:r>
    </w:p>
    <w:p w14:paraId="54C4D80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监理人需要使用施工控制网的，承包人应提供必要的协助，发包人不再为此支付费用。</w:t>
      </w:r>
    </w:p>
    <w:p w14:paraId="29B21507">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8.5  补充地质勘探</w:t>
      </w:r>
    </w:p>
    <w:p w14:paraId="5DBDA48C">
      <w:pPr>
        <w:spacing w:line="312" w:lineRule="auto"/>
        <w:ind w:firstLine="435"/>
        <w:rPr>
          <w:rFonts w:hint="eastAsia" w:ascii="宋体" w:hAnsi="宋体" w:cs="宋体"/>
          <w:color w:val="auto"/>
          <w:sz w:val="22"/>
          <w:highlight w:val="none"/>
        </w:rPr>
      </w:pPr>
      <w:r>
        <w:rPr>
          <w:rFonts w:hint="eastAsia" w:ascii="宋体" w:hAnsi="宋体" w:cs="宋体"/>
          <w:color w:val="auto"/>
          <w:sz w:val="22"/>
          <w:highlight w:val="none"/>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2985FA53">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9  施工安全、治安保卫和环境保护</w:t>
      </w:r>
    </w:p>
    <w:p w14:paraId="0AEE1285">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9.1  发包人的施工安全责任</w:t>
      </w:r>
    </w:p>
    <w:p w14:paraId="66FB6EA0">
      <w:pPr>
        <w:spacing w:line="312" w:lineRule="auto"/>
        <w:ind w:firstLine="435"/>
        <w:rPr>
          <w:rFonts w:hint="eastAsia" w:ascii="宋体" w:hAnsi="宋体" w:cs="宋体"/>
          <w:color w:val="auto"/>
          <w:sz w:val="22"/>
          <w:highlight w:val="none"/>
        </w:rPr>
      </w:pPr>
      <w:r>
        <w:rPr>
          <w:rFonts w:hint="eastAsia" w:ascii="宋体" w:hAnsi="宋体" w:cs="宋体"/>
          <w:color w:val="auto"/>
          <w:sz w:val="22"/>
          <w:highlight w:val="none"/>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46516B1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9.1.2 发包人应对其现场机构雇佣的全部人员的工伤事故承担责任，但由于承包人原因造成发包人人员工伤的，应由承包人承担责任。</w:t>
      </w:r>
    </w:p>
    <w:p w14:paraId="432A08C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9.1.3 发包人应负责赔偿以下各种情况造成的第三者人身伤亡和财产损失：</w:t>
      </w:r>
    </w:p>
    <w:p w14:paraId="690C181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（l）工程或工程的任何部分对土地的占用所造成的第三者财产损失；</w:t>
      </w:r>
    </w:p>
    <w:p w14:paraId="4BFF7DD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（2）由于发包人原因在施工场地及其毗邻地带造成的第三者人身伤亡和财产损失。</w:t>
      </w:r>
    </w:p>
    <w:p w14:paraId="73D3F15D">
      <w:pPr>
        <w:spacing w:line="312" w:lineRule="auto"/>
        <w:ind w:firstLine="435"/>
        <w:rPr>
          <w:rFonts w:hint="eastAsia" w:ascii="宋体" w:hAnsi="宋体" w:cs="宋体"/>
          <w:color w:val="auto"/>
          <w:sz w:val="22"/>
          <w:highlight w:val="none"/>
        </w:rPr>
      </w:pPr>
      <w:r>
        <w:rPr>
          <w:rFonts w:hint="eastAsia" w:ascii="宋体" w:hAnsi="宋体" w:cs="宋体"/>
          <w:color w:val="auto"/>
          <w:sz w:val="22"/>
          <w:highlight w:val="none"/>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0E9EC8F0">
      <w:pPr>
        <w:spacing w:line="312" w:lineRule="auto"/>
        <w:ind w:firstLine="435"/>
        <w:rPr>
          <w:rFonts w:hint="eastAsia" w:ascii="宋体" w:hAnsi="宋体" w:cs="宋体"/>
          <w:color w:val="auto"/>
          <w:sz w:val="22"/>
          <w:highlight w:val="none"/>
        </w:rPr>
      </w:pPr>
      <w:r>
        <w:rPr>
          <w:rFonts w:hint="eastAsia" w:ascii="宋体" w:hAnsi="宋体" w:cs="宋体"/>
          <w:color w:val="auto"/>
          <w:sz w:val="22"/>
          <w:highlight w:val="none"/>
        </w:rPr>
        <w:t>9.1.5 发包人按照已标价工程量清单所列金额和合同约定的计量支付规定，支付安全作业环境及安全施工措施所需费用。</w:t>
      </w:r>
    </w:p>
    <w:p w14:paraId="01568458">
      <w:pPr>
        <w:spacing w:line="312" w:lineRule="auto"/>
        <w:ind w:firstLine="435"/>
        <w:rPr>
          <w:rFonts w:hint="eastAsia" w:ascii="宋体" w:hAnsi="宋体" w:cs="宋体"/>
          <w:color w:val="auto"/>
          <w:sz w:val="22"/>
          <w:highlight w:val="none"/>
        </w:rPr>
      </w:pPr>
      <w:r>
        <w:rPr>
          <w:rFonts w:hint="eastAsia" w:ascii="宋体" w:hAnsi="宋体" w:cs="宋体"/>
          <w:color w:val="auto"/>
          <w:sz w:val="22"/>
          <w:highlight w:val="none"/>
        </w:rPr>
        <w:t>9.1.6发包人负责组织工程参建单位编制保证安全生产的措施方案。工程开工前，就落实保证安全生产的措施进行全面系统的布置，进一步明确承包人的安全生产责任。</w:t>
      </w:r>
    </w:p>
    <w:p w14:paraId="16409BC9">
      <w:pPr>
        <w:spacing w:line="312" w:lineRule="auto"/>
        <w:ind w:firstLine="435"/>
        <w:rPr>
          <w:rFonts w:hint="eastAsia" w:ascii="宋体" w:hAnsi="宋体" w:cs="宋体"/>
          <w:color w:val="auto"/>
          <w:sz w:val="22"/>
          <w:highlight w:val="none"/>
        </w:rPr>
      </w:pPr>
      <w:r>
        <w:rPr>
          <w:rFonts w:hint="eastAsia" w:ascii="宋体" w:hAnsi="宋体" w:cs="宋体"/>
          <w:color w:val="auto"/>
          <w:sz w:val="22"/>
          <w:highlight w:val="none"/>
        </w:rPr>
        <w:t>9.1.7发包人负责在拆除工程和爆破工程施工“天前向有关部门或机构报送相关备案资料。</w:t>
      </w:r>
    </w:p>
    <w:p w14:paraId="6D354D3D">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9.2  承包人的施工安全责任</w:t>
      </w:r>
    </w:p>
    <w:p w14:paraId="7605BAC5">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1A67344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9.2.2 承包人应加强施工作业安全管理，特别应加强易燃、易爆材料、火工器材、有毒与腐蚀性材料和其他危险品的管理，以及对爆破作业和地下工程施工等危险作业的管理。</w:t>
      </w:r>
    </w:p>
    <w:p w14:paraId="474FE8E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9.2.3 承包人应严格按照国家安全标准制定施工安全操作规程，配备必要的安全生产和劳动保护设施，加强对承包人人员的安全教育，并发放安全工作手册和劳动保护用具。</w:t>
      </w:r>
    </w:p>
    <w:p w14:paraId="36F912A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9.2.4 承包人应按监理人的指示制定应对灾害的紧急预案，报送监理人审批。承包人还应按预案做好安全检查，配置必要的救助物资和器材，切实保护好有关人员的人身和财产安全。</w:t>
      </w:r>
    </w:p>
    <w:p w14:paraId="2342BE2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9.2.5 合同约定的安全作业环境及安全施工措施所需费用应遵守有关规定，并包括在相关工作的合同价格中。因采取合同未约定的安全作业环境及安全施工措施增加的费用，由监理人按第3.5 款商定或确定。</w:t>
      </w:r>
    </w:p>
    <w:p w14:paraId="6B41A63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9.2.6 承包人应对其履行合同所雇佣的全部人员，包括分包人人员的工伤事故承担责任，但由于发包人原因造成承包人人员工伤事故的，应由发包人承担责任。</w:t>
      </w:r>
    </w:p>
    <w:p w14:paraId="0B625A1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9.2.7 由于承包人原因在施工场地内及其毗邻地带造成的第三者人员伤亡和财产损失，由承包人负责赔偿。</w:t>
      </w:r>
    </w:p>
    <w:p w14:paraId="58F2EB0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9.2.8  承包人已标价工程量清单应包含工程安全作业环境及安全施工措施所需费用。</w:t>
      </w:r>
    </w:p>
    <w:p w14:paraId="6E97A84A">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61C24026">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9.2.10  承包人应设立安全生产管理机构，施工现场应有专职安全生产管理人员。</w:t>
      </w:r>
    </w:p>
    <w:p w14:paraId="7EC88BA8">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9.2.11  承包人应负责对特种作业人员进行专门的安全作业培训，并保证特种作业人员持证上岗。</w:t>
      </w:r>
    </w:p>
    <w:p w14:paraId="05D91F17">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3CC134B">
      <w:pPr>
        <w:spacing w:line="312" w:lineRule="auto"/>
        <w:ind w:firstLine="435"/>
        <w:rPr>
          <w:rFonts w:hint="eastAsia" w:ascii="宋体" w:hAnsi="宋体" w:cs="宋体"/>
          <w:color w:val="auto"/>
          <w:sz w:val="22"/>
          <w:highlight w:val="none"/>
        </w:rPr>
      </w:pPr>
      <w:r>
        <w:rPr>
          <w:rFonts w:hint="eastAsia" w:ascii="宋体" w:hAnsi="宋体" w:cs="宋体"/>
          <w:color w:val="auto"/>
          <w:sz w:val="22"/>
          <w:highlight w:val="none"/>
        </w:rPr>
        <w:t>9.2.13  承包人在使用施工起重机械和整体提升脚手架、模板等自升式架设设施前组织有关单位进行验收。</w:t>
      </w:r>
    </w:p>
    <w:p w14:paraId="5460630F">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9.3 治安保卫</w:t>
      </w:r>
    </w:p>
    <w:p w14:paraId="5DC1D39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9.3.1 除合同另有约定外，发包人应与当地公安部门协商，在现场建立治安管理机构或联防组织，统一管理施工场地的治安保卫事项，履行合同工程的治安保卫职责。</w:t>
      </w:r>
    </w:p>
    <w:p w14:paraId="103E1C8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9.3.2 发包人和承包人除应协助现场治安管理机构或联防组织维护施工场地的社会治安外，还应做好包括生活区在内的各自管辖区的治安保卫工作。</w:t>
      </w:r>
    </w:p>
    <w:p w14:paraId="58DE690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48AC1D12">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9.4 环境保护</w:t>
      </w:r>
    </w:p>
    <w:p w14:paraId="3315AD7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9.4.1 承包人在施工过程中，应遵守有关环境保护的法律，履行合同约定的环境保护义务，并对违反法律和合同约定义务所造成的环境破坏、人身伤害和财产损失负责。</w:t>
      </w:r>
    </w:p>
    <w:p w14:paraId="7484E4D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9.4.2 承包人应按合同约定的环保工作内容，编制施工环保措施计划，报送监理人审批。</w:t>
      </w:r>
    </w:p>
    <w:p w14:paraId="046643F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B867E7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9.4.4 承包人应按合同约定采取有效措施，对施工开挖的边坡及时进行支护，维护排水设施，并进行水土保护，避免因施工造成的地质灾害。</w:t>
      </w:r>
    </w:p>
    <w:p w14:paraId="2E81E5C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9.4.5 承包人应按国家饮用水管理标准定期对饮用水源进行监测，防止施工活动污染饮用水源。</w:t>
      </w:r>
    </w:p>
    <w:p w14:paraId="1A9746C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9.4.6 承包人应按合同约定，加强对噪声、粉尘、废气、废水和废油的控制，努力降低噪声，控制粉尘和废气浓度，做好废水和废油的治理和排放。</w:t>
      </w:r>
    </w:p>
    <w:p w14:paraId="613A7832">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9.5  事故处理</w:t>
      </w:r>
    </w:p>
    <w:p w14:paraId="5B7980DB">
      <w:pPr>
        <w:spacing w:line="312" w:lineRule="auto"/>
        <w:rPr>
          <w:rFonts w:hint="eastAsia" w:ascii="宋体" w:hAnsi="宋体" w:cs="宋体"/>
          <w:color w:val="auto"/>
          <w:sz w:val="22"/>
          <w:highlight w:val="none"/>
        </w:rPr>
      </w:pPr>
      <w:r>
        <w:rPr>
          <w:rFonts w:hint="eastAsia" w:ascii="宋体" w:hAnsi="宋体" w:cs="宋体"/>
          <w:color w:val="auto"/>
          <w:sz w:val="22"/>
          <w:highlight w:val="none"/>
        </w:rPr>
        <w:t>9.5.1  发包人负责组织参建单位制定本工程的质量与安全事故应急预案，建立质量与安全事故应急处置指挥部。</w:t>
      </w:r>
    </w:p>
    <w:p w14:paraId="69B594CE">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9.5.2  承包人应对施工现场易发生重大事故的部位、环节进行监控，配备救援器材、设备，并定期组织演练。</w:t>
      </w:r>
    </w:p>
    <w:p w14:paraId="11239DD7">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9.5.3  工程开工前，承包人应根据本工程的特点制定施工现场施工质量与安全事故应急预案，并报发包人备案。</w:t>
      </w:r>
    </w:p>
    <w:p w14:paraId="23BEF49B">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9.5.4  施工过程中发生事故时，发包人、承包人应立即启动应急预案。</w:t>
      </w:r>
    </w:p>
    <w:p w14:paraId="3F4923EA">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9.5.5  事故调查处理由发包人按相关规定履行手续，承包人应配合。</w:t>
      </w:r>
    </w:p>
    <w:p w14:paraId="7E5382CB">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9.6  水土保持</w:t>
      </w:r>
    </w:p>
    <w:p w14:paraId="11827D3A">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9.6.1  发包人应及时向承包人提供水土保持方案。</w:t>
      </w:r>
    </w:p>
    <w:p w14:paraId="134E22FB">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9.6.2  承包人在施工过程中，应遵守有关水土保持的法律法规和规章，履行合同约定的水土保持义务，并对其违反法律和合同约定义务所造成的水土流失灾害、人身伤害和财产损失负责。</w:t>
      </w:r>
    </w:p>
    <w:p w14:paraId="41C2D2CB">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9.6.3  承包人的水土保持措施计划，应满足技术标准和要求（合同技术条款）约定的要求。</w:t>
      </w:r>
    </w:p>
    <w:p w14:paraId="5BD0C931">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9.7  文明工地</w:t>
      </w:r>
    </w:p>
    <w:p w14:paraId="236F9087">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9.7.1  发包人应按专用合同条款的约定，负责建立创建文明建设工地的组织机构，制定创建文明建设工地的规划和办法。</w:t>
      </w:r>
    </w:p>
    <w:p w14:paraId="786051E9">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9.7.2  承包人应按创建文明建设工地的规划和办法，履行职责，承担相应责任。所需费用应含在已标价工程量清单中。</w:t>
      </w:r>
    </w:p>
    <w:p w14:paraId="515708BC">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9.8  防汛度汛</w:t>
      </w:r>
    </w:p>
    <w:p w14:paraId="57550F34">
      <w:pPr>
        <w:spacing w:line="312" w:lineRule="auto"/>
        <w:rPr>
          <w:rFonts w:hint="eastAsia" w:ascii="宋体" w:hAnsi="宋体" w:cs="宋体"/>
          <w:color w:val="auto"/>
          <w:sz w:val="22"/>
          <w:highlight w:val="none"/>
        </w:rPr>
      </w:pPr>
      <w:r>
        <w:rPr>
          <w:rFonts w:hint="eastAsia" w:ascii="宋体" w:hAnsi="宋体" w:cs="宋体"/>
          <w:color w:val="auto"/>
          <w:sz w:val="22"/>
          <w:highlight w:val="none"/>
        </w:rPr>
        <w:t>9.8.1  发包人负责组织工程参建单位编制本工程的度汛方案和措施。</w:t>
      </w:r>
    </w:p>
    <w:p w14:paraId="291E6CA1">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9.8.2  承包人应根据发包人编制的本工程度汛方案和措施，制定相应的度汛方案，报发包人批准后实施。</w:t>
      </w:r>
    </w:p>
    <w:p w14:paraId="1BB014EE">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10  进度计划</w:t>
      </w:r>
    </w:p>
    <w:p w14:paraId="4DCF01D1">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10.1  合同进度计划</w:t>
      </w:r>
    </w:p>
    <w:p w14:paraId="61F5E8B4">
      <w:pPr>
        <w:spacing w:line="312" w:lineRule="auto"/>
        <w:rPr>
          <w:rFonts w:hint="eastAsia" w:ascii="宋体" w:hAnsi="宋体" w:cs="宋体"/>
          <w:color w:val="auto"/>
          <w:sz w:val="22"/>
          <w:highlight w:val="none"/>
        </w:rPr>
      </w:pPr>
      <w:r>
        <w:rPr>
          <w:rFonts w:hint="eastAsia" w:ascii="宋体" w:hAnsi="宋体" w:cs="宋体"/>
          <w:color w:val="auto"/>
          <w:sz w:val="22"/>
          <w:highlight w:val="none"/>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26D500E0">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10.2  合同进度计划的修订</w:t>
      </w:r>
    </w:p>
    <w:p w14:paraId="11FDF266">
      <w:pPr>
        <w:spacing w:line="312" w:lineRule="auto"/>
        <w:rPr>
          <w:rFonts w:hint="eastAsia" w:ascii="宋体" w:hAnsi="宋体" w:cs="宋体"/>
          <w:color w:val="auto"/>
          <w:sz w:val="22"/>
          <w:highlight w:val="none"/>
        </w:rPr>
      </w:pPr>
      <w:r>
        <w:rPr>
          <w:rFonts w:hint="eastAsia" w:ascii="宋体" w:hAnsi="宋体" w:cs="宋体"/>
          <w:color w:val="auto"/>
          <w:sz w:val="22"/>
          <w:highlight w:val="none"/>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4F54197C">
      <w:pPr>
        <w:spacing w:line="312" w:lineRule="auto"/>
        <w:rPr>
          <w:rFonts w:hint="eastAsia" w:ascii="宋体" w:hAnsi="宋体" w:cs="宋体"/>
          <w:color w:val="auto"/>
          <w:sz w:val="22"/>
          <w:highlight w:val="none"/>
        </w:rPr>
      </w:pPr>
      <w:r>
        <w:rPr>
          <w:rFonts w:hint="eastAsia" w:ascii="宋体" w:hAnsi="宋体" w:cs="宋体"/>
          <w:color w:val="auto"/>
          <w:sz w:val="22"/>
          <w:highlight w:val="none"/>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01723EEB">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10.3  单位工程进度计划</w:t>
      </w:r>
    </w:p>
    <w:p w14:paraId="19275342">
      <w:pPr>
        <w:spacing w:line="312" w:lineRule="auto"/>
        <w:rPr>
          <w:rFonts w:hint="eastAsia" w:ascii="宋体" w:hAnsi="宋体" w:cs="宋体"/>
          <w:color w:val="auto"/>
          <w:sz w:val="22"/>
          <w:highlight w:val="none"/>
        </w:rPr>
      </w:pPr>
      <w:r>
        <w:rPr>
          <w:rFonts w:hint="eastAsia" w:ascii="宋体" w:hAnsi="宋体" w:cs="宋体"/>
          <w:color w:val="auto"/>
          <w:sz w:val="22"/>
          <w:highlight w:val="none"/>
        </w:rPr>
        <w:t>监理人认为有必要时，承包人应按监理人指示的内容和期限，并根据合同进度计划的进度控制要求，编制单位工程进度计划，提交监理人审批。</w:t>
      </w:r>
    </w:p>
    <w:p w14:paraId="6F4CAA5A">
      <w:pPr>
        <w:spacing w:line="312" w:lineRule="auto"/>
        <w:rPr>
          <w:rFonts w:hint="eastAsia" w:ascii="宋体" w:hAnsi="宋体" w:cs="宋体"/>
          <w:color w:val="auto"/>
          <w:sz w:val="22"/>
          <w:highlight w:val="none"/>
        </w:rPr>
      </w:pPr>
      <w:r>
        <w:rPr>
          <w:rFonts w:hint="eastAsia" w:ascii="宋体" w:hAnsi="宋体" w:cs="宋体"/>
          <w:b/>
          <w:color w:val="auto"/>
          <w:sz w:val="22"/>
          <w:highlight w:val="none"/>
        </w:rPr>
        <w:t>10.4  提交资金流估算表</w:t>
      </w:r>
    </w:p>
    <w:p w14:paraId="11BC3BA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08D7752D">
      <w:pPr>
        <w:spacing w:line="312" w:lineRule="auto"/>
        <w:ind w:firstLine="556"/>
        <w:rPr>
          <w:rFonts w:hint="eastAsia" w:ascii="宋体" w:hAnsi="宋体" w:cs="宋体"/>
          <w:color w:val="auto"/>
          <w:sz w:val="22"/>
          <w:highlight w:val="none"/>
        </w:rPr>
      </w:pPr>
    </w:p>
    <w:p w14:paraId="0942DBAE">
      <w:pPr>
        <w:spacing w:line="312" w:lineRule="auto"/>
        <w:ind w:firstLine="555"/>
        <w:jc w:val="right"/>
        <w:rPr>
          <w:rFonts w:hint="eastAsia" w:ascii="宋体" w:hAnsi="宋体" w:cs="宋体"/>
          <w:color w:val="auto"/>
          <w:sz w:val="22"/>
          <w:highlight w:val="none"/>
        </w:rPr>
      </w:pPr>
      <w:r>
        <w:rPr>
          <w:rFonts w:hint="eastAsia" w:ascii="宋体" w:hAnsi="宋体" w:cs="宋体"/>
          <w:color w:val="auto"/>
          <w:spacing w:val="12"/>
          <w:sz w:val="22"/>
          <w:highlight w:val="none"/>
        </w:rPr>
        <w:t>资金流估算表（参考格式）金额单位</w:t>
      </w:r>
    </w:p>
    <w:tbl>
      <w:tblPr>
        <w:tblStyle w:val="20"/>
        <w:tblW w:w="0" w:type="auto"/>
        <w:jc w:val="center"/>
        <w:tblLayout w:type="autofit"/>
        <w:tblCellMar>
          <w:top w:w="0" w:type="dxa"/>
          <w:left w:w="10" w:type="dxa"/>
          <w:bottom w:w="0" w:type="dxa"/>
          <w:right w:w="10" w:type="dxa"/>
        </w:tblCellMar>
      </w:tblPr>
      <w:tblGrid>
        <w:gridCol w:w="523"/>
        <w:gridCol w:w="523"/>
        <w:gridCol w:w="1120"/>
        <w:gridCol w:w="1528"/>
        <w:gridCol w:w="1495"/>
        <w:gridCol w:w="1120"/>
        <w:gridCol w:w="1119"/>
        <w:gridCol w:w="560"/>
        <w:gridCol w:w="747"/>
        <w:gridCol w:w="1119"/>
      </w:tblGrid>
      <w:tr w14:paraId="736E9FFE">
        <w:tblPrEx>
          <w:tblCellMar>
            <w:top w:w="0" w:type="dxa"/>
            <w:left w:w="10" w:type="dxa"/>
            <w:bottom w:w="0" w:type="dxa"/>
            <w:right w:w="10" w:type="dxa"/>
          </w:tblCellMar>
        </w:tblPrEx>
        <w:trPr>
          <w:trHeight w:val="600" w:hRule="atLeast"/>
          <w:jc w:val="center"/>
        </w:trPr>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94DD52">
            <w:pPr>
              <w:spacing w:line="312"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年</w:t>
            </w:r>
          </w:p>
        </w:tc>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87B554">
            <w:pPr>
              <w:spacing w:line="312"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月</w:t>
            </w: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7F1E16">
            <w:pPr>
              <w:spacing w:line="312"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工程预付款</w:t>
            </w:r>
          </w:p>
        </w:tc>
        <w:tc>
          <w:tcPr>
            <w:tcW w:w="15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55177D">
            <w:pPr>
              <w:spacing w:line="312"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完成工作量付款</w:t>
            </w:r>
          </w:p>
        </w:tc>
        <w:tc>
          <w:tcPr>
            <w:tcW w:w="14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CB2414">
            <w:pPr>
              <w:spacing w:line="312"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质量保证金扣留</w:t>
            </w: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F4108B">
            <w:pPr>
              <w:spacing w:line="312"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材料款扣除</w:t>
            </w: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FC7116">
            <w:pPr>
              <w:spacing w:line="312"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预付款扣还</w:t>
            </w:r>
          </w:p>
        </w:tc>
        <w:tc>
          <w:tcPr>
            <w:tcW w:w="56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1790F9">
            <w:pPr>
              <w:spacing w:line="312"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其它</w:t>
            </w:r>
          </w:p>
        </w:tc>
        <w:tc>
          <w:tcPr>
            <w:tcW w:w="7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4E08F5">
            <w:pPr>
              <w:spacing w:line="312"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应收款</w:t>
            </w: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1EF4EC">
            <w:pPr>
              <w:spacing w:line="312" w:lineRule="auto"/>
              <w:ind w:left="-90"/>
              <w:jc w:val="center"/>
              <w:rPr>
                <w:rFonts w:hint="eastAsia" w:ascii="宋体" w:hAnsi="宋体" w:cs="宋体"/>
                <w:color w:val="auto"/>
                <w:sz w:val="22"/>
                <w:highlight w:val="none"/>
              </w:rPr>
            </w:pPr>
            <w:r>
              <w:rPr>
                <w:rFonts w:hint="eastAsia" w:ascii="宋体" w:hAnsi="宋体" w:cs="宋体"/>
                <w:color w:val="auto"/>
                <w:spacing w:val="2"/>
                <w:sz w:val="22"/>
                <w:highlight w:val="none"/>
              </w:rPr>
              <w:t>累计应收款</w:t>
            </w:r>
          </w:p>
        </w:tc>
      </w:tr>
      <w:tr w14:paraId="7430E9E0">
        <w:tblPrEx>
          <w:tblCellMar>
            <w:top w:w="0" w:type="dxa"/>
            <w:left w:w="10" w:type="dxa"/>
            <w:bottom w:w="0" w:type="dxa"/>
            <w:right w:w="10" w:type="dxa"/>
          </w:tblCellMar>
        </w:tblPrEx>
        <w:trPr>
          <w:trHeight w:val="600" w:hRule="atLeast"/>
          <w:jc w:val="center"/>
        </w:trPr>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0817B5">
            <w:pPr>
              <w:spacing w:line="312" w:lineRule="auto"/>
              <w:ind w:left="-90"/>
              <w:jc w:val="center"/>
              <w:rPr>
                <w:rFonts w:hint="eastAsia" w:ascii="宋体" w:hAnsi="宋体" w:cs="宋体"/>
                <w:color w:val="auto"/>
                <w:sz w:val="22"/>
                <w:highlight w:val="none"/>
              </w:rPr>
            </w:pPr>
          </w:p>
        </w:tc>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FF6FEE">
            <w:pPr>
              <w:spacing w:line="312" w:lineRule="auto"/>
              <w:ind w:left="-90"/>
              <w:jc w:val="center"/>
              <w:rPr>
                <w:rFonts w:hint="eastAsia" w:ascii="宋体" w:hAnsi="宋体" w:cs="宋体"/>
                <w:color w:val="auto"/>
                <w:sz w:val="22"/>
                <w:highlight w:val="none"/>
              </w:rPr>
            </w:pP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199CAF">
            <w:pPr>
              <w:spacing w:line="312" w:lineRule="auto"/>
              <w:ind w:left="-90"/>
              <w:jc w:val="center"/>
              <w:rPr>
                <w:rFonts w:hint="eastAsia" w:ascii="宋体" w:hAnsi="宋体" w:cs="宋体"/>
                <w:color w:val="auto"/>
                <w:sz w:val="22"/>
                <w:highlight w:val="none"/>
              </w:rPr>
            </w:pPr>
          </w:p>
        </w:tc>
        <w:tc>
          <w:tcPr>
            <w:tcW w:w="15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06215F">
            <w:pPr>
              <w:spacing w:line="312" w:lineRule="auto"/>
              <w:ind w:left="-90"/>
              <w:jc w:val="center"/>
              <w:rPr>
                <w:rFonts w:hint="eastAsia" w:ascii="宋体" w:hAnsi="宋体" w:cs="宋体"/>
                <w:color w:val="auto"/>
                <w:sz w:val="22"/>
                <w:highlight w:val="none"/>
              </w:rPr>
            </w:pPr>
          </w:p>
        </w:tc>
        <w:tc>
          <w:tcPr>
            <w:tcW w:w="14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13DFC1">
            <w:pPr>
              <w:spacing w:line="312" w:lineRule="auto"/>
              <w:ind w:left="-90"/>
              <w:jc w:val="center"/>
              <w:rPr>
                <w:rFonts w:hint="eastAsia" w:ascii="宋体" w:hAnsi="宋体" w:cs="宋体"/>
                <w:color w:val="auto"/>
                <w:sz w:val="22"/>
                <w:highlight w:val="none"/>
              </w:rPr>
            </w:pP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79EA52">
            <w:pPr>
              <w:spacing w:line="312" w:lineRule="auto"/>
              <w:ind w:left="-90"/>
              <w:jc w:val="center"/>
              <w:rPr>
                <w:rFonts w:hint="eastAsia" w:ascii="宋体" w:hAnsi="宋体" w:cs="宋体"/>
                <w:color w:val="auto"/>
                <w:sz w:val="22"/>
                <w:highlight w:val="none"/>
              </w:rPr>
            </w:pP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3381FA">
            <w:pPr>
              <w:spacing w:line="312" w:lineRule="auto"/>
              <w:ind w:left="-90"/>
              <w:jc w:val="center"/>
              <w:rPr>
                <w:rFonts w:hint="eastAsia" w:ascii="宋体" w:hAnsi="宋体" w:cs="宋体"/>
                <w:color w:val="auto"/>
                <w:sz w:val="22"/>
                <w:highlight w:val="none"/>
              </w:rPr>
            </w:pPr>
          </w:p>
        </w:tc>
        <w:tc>
          <w:tcPr>
            <w:tcW w:w="56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D195FB">
            <w:pPr>
              <w:spacing w:line="312" w:lineRule="auto"/>
              <w:ind w:left="-90"/>
              <w:jc w:val="center"/>
              <w:rPr>
                <w:rFonts w:hint="eastAsia" w:ascii="宋体" w:hAnsi="宋体" w:cs="宋体"/>
                <w:color w:val="auto"/>
                <w:sz w:val="22"/>
                <w:highlight w:val="none"/>
              </w:rPr>
            </w:pPr>
          </w:p>
        </w:tc>
        <w:tc>
          <w:tcPr>
            <w:tcW w:w="7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C7C1EB">
            <w:pPr>
              <w:spacing w:line="312" w:lineRule="auto"/>
              <w:ind w:left="-90"/>
              <w:jc w:val="center"/>
              <w:rPr>
                <w:rFonts w:hint="eastAsia" w:ascii="宋体" w:hAnsi="宋体" w:cs="宋体"/>
                <w:color w:val="auto"/>
                <w:sz w:val="22"/>
                <w:highlight w:val="none"/>
              </w:rPr>
            </w:pP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2995C2">
            <w:pPr>
              <w:spacing w:line="312" w:lineRule="auto"/>
              <w:ind w:left="-90"/>
              <w:jc w:val="center"/>
              <w:rPr>
                <w:rFonts w:hint="eastAsia" w:ascii="宋体" w:hAnsi="宋体" w:cs="宋体"/>
                <w:color w:val="auto"/>
                <w:sz w:val="22"/>
                <w:highlight w:val="none"/>
              </w:rPr>
            </w:pPr>
          </w:p>
        </w:tc>
      </w:tr>
      <w:tr w14:paraId="69F01067">
        <w:tblPrEx>
          <w:tblCellMar>
            <w:top w:w="0" w:type="dxa"/>
            <w:left w:w="10" w:type="dxa"/>
            <w:bottom w:w="0" w:type="dxa"/>
            <w:right w:w="10" w:type="dxa"/>
          </w:tblCellMar>
        </w:tblPrEx>
        <w:trPr>
          <w:trHeight w:val="600" w:hRule="atLeast"/>
          <w:jc w:val="center"/>
        </w:trPr>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E91054">
            <w:pPr>
              <w:spacing w:line="312" w:lineRule="auto"/>
              <w:ind w:left="-90"/>
              <w:jc w:val="center"/>
              <w:rPr>
                <w:rFonts w:hint="eastAsia" w:ascii="宋体" w:hAnsi="宋体" w:cs="宋体"/>
                <w:color w:val="auto"/>
                <w:sz w:val="22"/>
                <w:highlight w:val="none"/>
              </w:rPr>
            </w:pPr>
          </w:p>
        </w:tc>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3F5782">
            <w:pPr>
              <w:spacing w:line="312" w:lineRule="auto"/>
              <w:ind w:left="-90"/>
              <w:jc w:val="center"/>
              <w:rPr>
                <w:rFonts w:hint="eastAsia" w:ascii="宋体" w:hAnsi="宋体" w:cs="宋体"/>
                <w:color w:val="auto"/>
                <w:sz w:val="22"/>
                <w:highlight w:val="none"/>
              </w:rPr>
            </w:pP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E163F9">
            <w:pPr>
              <w:spacing w:line="312" w:lineRule="auto"/>
              <w:ind w:left="-90"/>
              <w:jc w:val="center"/>
              <w:rPr>
                <w:rFonts w:hint="eastAsia" w:ascii="宋体" w:hAnsi="宋体" w:cs="宋体"/>
                <w:color w:val="auto"/>
                <w:sz w:val="22"/>
                <w:highlight w:val="none"/>
              </w:rPr>
            </w:pPr>
          </w:p>
        </w:tc>
        <w:tc>
          <w:tcPr>
            <w:tcW w:w="15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E85FDD">
            <w:pPr>
              <w:spacing w:line="312" w:lineRule="auto"/>
              <w:ind w:left="-90"/>
              <w:jc w:val="center"/>
              <w:rPr>
                <w:rFonts w:hint="eastAsia" w:ascii="宋体" w:hAnsi="宋体" w:cs="宋体"/>
                <w:color w:val="auto"/>
                <w:sz w:val="22"/>
                <w:highlight w:val="none"/>
              </w:rPr>
            </w:pPr>
          </w:p>
        </w:tc>
        <w:tc>
          <w:tcPr>
            <w:tcW w:w="14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C4110E">
            <w:pPr>
              <w:spacing w:line="312" w:lineRule="auto"/>
              <w:ind w:left="-90"/>
              <w:jc w:val="center"/>
              <w:rPr>
                <w:rFonts w:hint="eastAsia" w:ascii="宋体" w:hAnsi="宋体" w:cs="宋体"/>
                <w:color w:val="auto"/>
                <w:sz w:val="22"/>
                <w:highlight w:val="none"/>
              </w:rPr>
            </w:pP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37E59B">
            <w:pPr>
              <w:spacing w:line="312" w:lineRule="auto"/>
              <w:ind w:left="-90"/>
              <w:jc w:val="center"/>
              <w:rPr>
                <w:rFonts w:hint="eastAsia" w:ascii="宋体" w:hAnsi="宋体" w:cs="宋体"/>
                <w:color w:val="auto"/>
                <w:sz w:val="22"/>
                <w:highlight w:val="none"/>
              </w:rPr>
            </w:pP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37D5B4">
            <w:pPr>
              <w:spacing w:line="312" w:lineRule="auto"/>
              <w:ind w:left="-90"/>
              <w:jc w:val="center"/>
              <w:rPr>
                <w:rFonts w:hint="eastAsia" w:ascii="宋体" w:hAnsi="宋体" w:cs="宋体"/>
                <w:color w:val="auto"/>
                <w:sz w:val="22"/>
                <w:highlight w:val="none"/>
              </w:rPr>
            </w:pPr>
          </w:p>
        </w:tc>
        <w:tc>
          <w:tcPr>
            <w:tcW w:w="56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9D3F9E">
            <w:pPr>
              <w:spacing w:line="312" w:lineRule="auto"/>
              <w:ind w:left="-90"/>
              <w:jc w:val="center"/>
              <w:rPr>
                <w:rFonts w:hint="eastAsia" w:ascii="宋体" w:hAnsi="宋体" w:cs="宋体"/>
                <w:color w:val="auto"/>
                <w:sz w:val="22"/>
                <w:highlight w:val="none"/>
              </w:rPr>
            </w:pPr>
          </w:p>
        </w:tc>
        <w:tc>
          <w:tcPr>
            <w:tcW w:w="7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0BFCCD">
            <w:pPr>
              <w:spacing w:line="312" w:lineRule="auto"/>
              <w:ind w:left="-90"/>
              <w:jc w:val="center"/>
              <w:rPr>
                <w:rFonts w:hint="eastAsia" w:ascii="宋体" w:hAnsi="宋体" w:cs="宋体"/>
                <w:color w:val="auto"/>
                <w:sz w:val="22"/>
                <w:highlight w:val="none"/>
              </w:rPr>
            </w:pP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BA35BF">
            <w:pPr>
              <w:spacing w:line="312" w:lineRule="auto"/>
              <w:ind w:left="-90"/>
              <w:jc w:val="center"/>
              <w:rPr>
                <w:rFonts w:hint="eastAsia" w:ascii="宋体" w:hAnsi="宋体" w:cs="宋体"/>
                <w:color w:val="auto"/>
                <w:sz w:val="22"/>
                <w:highlight w:val="none"/>
              </w:rPr>
            </w:pPr>
          </w:p>
        </w:tc>
      </w:tr>
      <w:tr w14:paraId="0BA803F4">
        <w:tblPrEx>
          <w:tblCellMar>
            <w:top w:w="0" w:type="dxa"/>
            <w:left w:w="10" w:type="dxa"/>
            <w:bottom w:w="0" w:type="dxa"/>
            <w:right w:w="10" w:type="dxa"/>
          </w:tblCellMar>
        </w:tblPrEx>
        <w:trPr>
          <w:trHeight w:val="600" w:hRule="atLeast"/>
          <w:jc w:val="center"/>
        </w:trPr>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759B7F">
            <w:pPr>
              <w:spacing w:line="312" w:lineRule="auto"/>
              <w:ind w:left="-90"/>
              <w:jc w:val="center"/>
              <w:rPr>
                <w:rFonts w:hint="eastAsia" w:ascii="宋体" w:hAnsi="宋体" w:cs="宋体"/>
                <w:color w:val="auto"/>
                <w:sz w:val="22"/>
                <w:highlight w:val="none"/>
              </w:rPr>
            </w:pPr>
          </w:p>
        </w:tc>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B040BC">
            <w:pPr>
              <w:spacing w:line="312" w:lineRule="auto"/>
              <w:ind w:left="-90"/>
              <w:jc w:val="center"/>
              <w:rPr>
                <w:rFonts w:hint="eastAsia" w:ascii="宋体" w:hAnsi="宋体" w:cs="宋体"/>
                <w:color w:val="auto"/>
                <w:sz w:val="22"/>
                <w:highlight w:val="none"/>
              </w:rPr>
            </w:pP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AE777A">
            <w:pPr>
              <w:spacing w:line="312" w:lineRule="auto"/>
              <w:ind w:left="-90"/>
              <w:jc w:val="center"/>
              <w:rPr>
                <w:rFonts w:hint="eastAsia" w:ascii="宋体" w:hAnsi="宋体" w:cs="宋体"/>
                <w:color w:val="auto"/>
                <w:sz w:val="22"/>
                <w:highlight w:val="none"/>
              </w:rPr>
            </w:pPr>
          </w:p>
        </w:tc>
        <w:tc>
          <w:tcPr>
            <w:tcW w:w="15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C18BE7">
            <w:pPr>
              <w:spacing w:line="312" w:lineRule="auto"/>
              <w:ind w:left="-90"/>
              <w:jc w:val="center"/>
              <w:rPr>
                <w:rFonts w:hint="eastAsia" w:ascii="宋体" w:hAnsi="宋体" w:cs="宋体"/>
                <w:color w:val="auto"/>
                <w:sz w:val="22"/>
                <w:highlight w:val="none"/>
              </w:rPr>
            </w:pPr>
          </w:p>
        </w:tc>
        <w:tc>
          <w:tcPr>
            <w:tcW w:w="14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15F07D">
            <w:pPr>
              <w:spacing w:line="312" w:lineRule="auto"/>
              <w:ind w:left="-90"/>
              <w:jc w:val="center"/>
              <w:rPr>
                <w:rFonts w:hint="eastAsia" w:ascii="宋体" w:hAnsi="宋体" w:cs="宋体"/>
                <w:color w:val="auto"/>
                <w:sz w:val="22"/>
                <w:highlight w:val="none"/>
              </w:rPr>
            </w:pP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71C656">
            <w:pPr>
              <w:spacing w:line="312" w:lineRule="auto"/>
              <w:ind w:left="-90"/>
              <w:jc w:val="center"/>
              <w:rPr>
                <w:rFonts w:hint="eastAsia" w:ascii="宋体" w:hAnsi="宋体" w:cs="宋体"/>
                <w:color w:val="auto"/>
                <w:sz w:val="22"/>
                <w:highlight w:val="none"/>
              </w:rPr>
            </w:pP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382FEB">
            <w:pPr>
              <w:spacing w:line="312" w:lineRule="auto"/>
              <w:ind w:left="-90"/>
              <w:jc w:val="center"/>
              <w:rPr>
                <w:rFonts w:hint="eastAsia" w:ascii="宋体" w:hAnsi="宋体" w:cs="宋体"/>
                <w:color w:val="auto"/>
                <w:sz w:val="22"/>
                <w:highlight w:val="none"/>
              </w:rPr>
            </w:pPr>
          </w:p>
        </w:tc>
        <w:tc>
          <w:tcPr>
            <w:tcW w:w="56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06AC2F">
            <w:pPr>
              <w:spacing w:line="312" w:lineRule="auto"/>
              <w:ind w:left="-90"/>
              <w:jc w:val="center"/>
              <w:rPr>
                <w:rFonts w:hint="eastAsia" w:ascii="宋体" w:hAnsi="宋体" w:cs="宋体"/>
                <w:color w:val="auto"/>
                <w:sz w:val="22"/>
                <w:highlight w:val="none"/>
              </w:rPr>
            </w:pPr>
          </w:p>
        </w:tc>
        <w:tc>
          <w:tcPr>
            <w:tcW w:w="7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C7C236">
            <w:pPr>
              <w:spacing w:line="312" w:lineRule="auto"/>
              <w:ind w:left="-90"/>
              <w:jc w:val="center"/>
              <w:rPr>
                <w:rFonts w:hint="eastAsia" w:ascii="宋体" w:hAnsi="宋体" w:cs="宋体"/>
                <w:color w:val="auto"/>
                <w:sz w:val="22"/>
                <w:highlight w:val="none"/>
              </w:rPr>
            </w:pP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067CF9">
            <w:pPr>
              <w:spacing w:line="312" w:lineRule="auto"/>
              <w:ind w:left="-90"/>
              <w:jc w:val="center"/>
              <w:rPr>
                <w:rFonts w:hint="eastAsia" w:ascii="宋体" w:hAnsi="宋体" w:cs="宋体"/>
                <w:color w:val="auto"/>
                <w:sz w:val="22"/>
                <w:highlight w:val="none"/>
              </w:rPr>
            </w:pPr>
          </w:p>
        </w:tc>
      </w:tr>
    </w:tbl>
    <w:p w14:paraId="6BD8A6F8">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11  开工和竣工（完工）</w:t>
      </w:r>
    </w:p>
    <w:p w14:paraId="69DF3038">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11.1  开工</w:t>
      </w:r>
    </w:p>
    <w:p w14:paraId="477C56D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11.1.1 监理人应在开工日期7 天前向承包人发出开工通知。监理人在发出开工通知前应获得发包人同意。工期自监理人发出的开工通知中载明的开工日期起计算。承包人应在开工日期后尽快施工。</w:t>
      </w:r>
    </w:p>
    <w:p w14:paraId="31CC0C3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11.1.2 承包人应按第10.1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1B6D5A7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11.1.3  若发包人未能按合同约定向承包人提供开工的必要条件，承包人有权要求延长工期。监理人应在收到承包人的书面要求后，按第3.5款的约定，与合同双方商定或确定增加的费用和延长的工期。</w:t>
      </w:r>
    </w:p>
    <w:p w14:paraId="5B0F5E1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1F706593">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11.2  竣工（完工）</w:t>
      </w:r>
    </w:p>
    <w:p w14:paraId="1723853A">
      <w:pPr>
        <w:spacing w:line="312" w:lineRule="auto"/>
        <w:ind w:firstLine="360"/>
        <w:rPr>
          <w:rFonts w:hint="eastAsia" w:ascii="宋体" w:hAnsi="宋体" w:cs="宋体"/>
          <w:color w:val="auto"/>
          <w:sz w:val="22"/>
          <w:highlight w:val="none"/>
        </w:rPr>
      </w:pPr>
      <w:r>
        <w:rPr>
          <w:rFonts w:hint="eastAsia" w:ascii="宋体" w:hAnsi="宋体" w:cs="宋体"/>
          <w:color w:val="auto"/>
          <w:sz w:val="22"/>
          <w:highlight w:val="none"/>
        </w:rPr>
        <w:t>承包人应在第1.1.4.3目约定的期限内完成合同工程。合同工程实际完工日期在合同工程完工证书中明确。</w:t>
      </w:r>
    </w:p>
    <w:p w14:paraId="52D576E9">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11.3 发包人的工期延误</w:t>
      </w:r>
    </w:p>
    <w:p w14:paraId="6FB21F7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在履行合同过程中，由于发包人的下列原因造成工期延误的，承包人有权要求发包人延长工期和（或）增加费用，并支付合理利润。需要修订合同进度计划的，按照第10.2 款的约定办理。</w:t>
      </w:r>
    </w:p>
    <w:p w14:paraId="090DF7C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（l）增加合同工作内容；</w:t>
      </w:r>
    </w:p>
    <w:p w14:paraId="1CAEA38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（2）改变合同中任何一项工作的质量要求或其他特性；</w:t>
      </w:r>
    </w:p>
    <w:p w14:paraId="75D1B6D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（3）发包人迟延提供材料、工程设备或变更交货地点的；</w:t>
      </w:r>
    </w:p>
    <w:p w14:paraId="558350C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（4）因发包人原因导致的暂停施工；</w:t>
      </w:r>
    </w:p>
    <w:p w14:paraId="76A1235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（5）提供图纸延误；</w:t>
      </w:r>
    </w:p>
    <w:p w14:paraId="4FA6C27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（6）未按合同约定及时支付预付款、进度款；</w:t>
      </w:r>
    </w:p>
    <w:p w14:paraId="6230484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（7）发包人造成工期延误的其他原因。</w:t>
      </w:r>
    </w:p>
    <w:p w14:paraId="5CB51E5A">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11.4 异常恶劣的气候条件</w:t>
      </w:r>
    </w:p>
    <w:p w14:paraId="73FB262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11.4.1  当工程所在地发生危及施工安全的异常恶劣气候时，发包人和承包人应按本合同通用合同条款第12条的约定，及时采取暂停施工或部分暂停施工措施。异常恶劣气候条件解除后，承包人应及时安排复工。</w:t>
      </w:r>
    </w:p>
    <w:p w14:paraId="3AEC7B3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11.4.2  异常恶劣气候条件造成的工期延误和工程损坏，应由发包人与承包人参照本合同通用合同条款第21.3款的约定协商处理。</w:t>
      </w:r>
    </w:p>
    <w:p w14:paraId="382D64BF">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11.4.3本合同工程界定异常恶劣气候条件的范围在专用合同条款中约定。</w:t>
      </w:r>
    </w:p>
    <w:p w14:paraId="6115CF84">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11.5 承包人的工期延误</w:t>
      </w:r>
    </w:p>
    <w:p w14:paraId="38B74F0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0CC4282A">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11.6  工期提前</w:t>
      </w:r>
    </w:p>
    <w:p w14:paraId="737FEDE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60B8C91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发包人要求提前完工的，双方协商一致后应签订提前完工协议，协议内容包括：</w:t>
      </w:r>
    </w:p>
    <w:p w14:paraId="1187738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（1）提前的时间和修订后的进度计划</w:t>
      </w:r>
    </w:p>
    <w:p w14:paraId="1978629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（2）承包人的赶工措施；</w:t>
      </w:r>
    </w:p>
    <w:p w14:paraId="4FAD566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（3）发包人为赶工提供的条件；</w:t>
      </w:r>
    </w:p>
    <w:p w14:paraId="6AF46F0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（4）赶工费用（包括利润和奖金）。</w:t>
      </w:r>
    </w:p>
    <w:p w14:paraId="33E4E4FF">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12  暂停施工</w:t>
      </w:r>
    </w:p>
    <w:p w14:paraId="27A8CC8B">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12.1 承包人暂停施工的责任</w:t>
      </w:r>
    </w:p>
    <w:p w14:paraId="5F44C27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因下列暂停施工增加的费用和（或）工期延误由承包人承担：</w:t>
      </w:r>
    </w:p>
    <w:p w14:paraId="05E2C36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（1）承包人违约引起的暂停施工；</w:t>
      </w:r>
    </w:p>
    <w:p w14:paraId="5766F51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（2）由于承包人原因为工程合理施工和安全保障所必需的暂停施工；</w:t>
      </w:r>
    </w:p>
    <w:p w14:paraId="3BEDF6B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（3）承包人擅自暂停施工；</w:t>
      </w:r>
    </w:p>
    <w:p w14:paraId="0E7C9CB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（4）承包人其他原因引起的暂停施工；</w:t>
      </w:r>
    </w:p>
    <w:p w14:paraId="5746356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（5）专用合同条款约定由承包人承担的其他暂停施工。</w:t>
      </w:r>
    </w:p>
    <w:p w14:paraId="6CBBB488">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12.2  发包人暂停施工的责任</w:t>
      </w:r>
    </w:p>
    <w:p w14:paraId="5A31C2F8">
      <w:pPr>
        <w:spacing w:line="312" w:lineRule="auto"/>
        <w:rPr>
          <w:rFonts w:hint="eastAsia" w:ascii="宋体" w:hAnsi="宋体" w:cs="宋体"/>
          <w:color w:val="auto"/>
          <w:sz w:val="22"/>
          <w:highlight w:val="none"/>
        </w:rPr>
      </w:pPr>
      <w:r>
        <w:rPr>
          <w:rFonts w:hint="eastAsia" w:ascii="宋体" w:hAnsi="宋体" w:cs="宋体"/>
          <w:color w:val="auto"/>
          <w:sz w:val="22"/>
          <w:highlight w:val="none"/>
        </w:rPr>
        <w:t>由于发包人原因引起的暂停施工造成工期延误的，承包人有权要求发包人延长工期和（或）增加费用，并支付合理利润。</w:t>
      </w:r>
    </w:p>
    <w:p w14:paraId="2D942E94">
      <w:pPr>
        <w:spacing w:line="312" w:lineRule="auto"/>
        <w:rPr>
          <w:rFonts w:hint="eastAsia" w:ascii="宋体" w:hAnsi="宋体" w:cs="宋体"/>
          <w:color w:val="auto"/>
          <w:sz w:val="22"/>
          <w:highlight w:val="none"/>
        </w:rPr>
      </w:pPr>
      <w:r>
        <w:rPr>
          <w:rFonts w:hint="eastAsia" w:ascii="宋体" w:hAnsi="宋体" w:cs="宋体"/>
          <w:color w:val="auto"/>
          <w:sz w:val="22"/>
          <w:highlight w:val="none"/>
        </w:rPr>
        <w:t>属于下列任何一种情况引起的暂停施工，均为发包人的责任：</w:t>
      </w:r>
    </w:p>
    <w:p w14:paraId="3462550A">
      <w:pPr>
        <w:spacing w:line="312" w:lineRule="auto"/>
        <w:rPr>
          <w:rFonts w:hint="eastAsia" w:ascii="宋体" w:hAnsi="宋体" w:cs="宋体"/>
          <w:color w:val="auto"/>
          <w:sz w:val="22"/>
          <w:highlight w:val="none"/>
        </w:rPr>
      </w:pPr>
      <w:r>
        <w:rPr>
          <w:rFonts w:hint="eastAsia" w:ascii="宋体" w:hAnsi="宋体" w:cs="宋体"/>
          <w:color w:val="auto"/>
          <w:sz w:val="22"/>
          <w:highlight w:val="none"/>
        </w:rPr>
        <w:t>（1）由于发包人违约引起的暂停施工；</w:t>
      </w:r>
    </w:p>
    <w:p w14:paraId="69B460FE">
      <w:pPr>
        <w:spacing w:line="312" w:lineRule="auto"/>
        <w:rPr>
          <w:rFonts w:hint="eastAsia" w:ascii="宋体" w:hAnsi="宋体" w:cs="宋体"/>
          <w:color w:val="auto"/>
          <w:sz w:val="22"/>
          <w:highlight w:val="none"/>
        </w:rPr>
      </w:pPr>
      <w:r>
        <w:rPr>
          <w:rFonts w:hint="eastAsia" w:ascii="宋体" w:hAnsi="宋体" w:cs="宋体"/>
          <w:color w:val="auto"/>
          <w:sz w:val="22"/>
          <w:highlight w:val="none"/>
        </w:rPr>
        <w:t>（2）由于不可抗力的自然或社会因素引起的暂停施工；</w:t>
      </w:r>
    </w:p>
    <w:p w14:paraId="4C2F6758">
      <w:pPr>
        <w:spacing w:line="312" w:lineRule="auto"/>
        <w:ind w:firstLine="540"/>
        <w:rPr>
          <w:rFonts w:hint="eastAsia" w:ascii="宋体" w:hAnsi="宋体" w:cs="宋体"/>
          <w:color w:val="auto"/>
          <w:sz w:val="22"/>
          <w:highlight w:val="none"/>
        </w:rPr>
      </w:pPr>
      <w:r>
        <w:rPr>
          <w:rFonts w:hint="eastAsia" w:ascii="宋体" w:hAnsi="宋体" w:cs="宋体"/>
          <w:color w:val="auto"/>
          <w:sz w:val="22"/>
          <w:highlight w:val="none"/>
        </w:rPr>
        <w:t>（3）专用合同条款中约定的其它由于发包人原因引起的暂停施工。</w:t>
      </w:r>
    </w:p>
    <w:p w14:paraId="18B5999E">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12.3 监理人暂停施工指示</w:t>
      </w:r>
    </w:p>
    <w:p w14:paraId="5C07945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19C6113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0ECE866F">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12.4 暂停施工后的复工</w:t>
      </w:r>
    </w:p>
    <w:p w14:paraId="567F6B3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6730B01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12.4.2 承包人无故拖延和拒绝复工的，由此增加的费用和工期延误由承包人承担；因发包人原因无法按时复工的，承包人有权要求发包人延长工期和（或）增加费用，并支付合理利润。</w:t>
      </w:r>
    </w:p>
    <w:p w14:paraId="09587E5E">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12.5 暂停施工持续56 天以上</w:t>
      </w:r>
    </w:p>
    <w:p w14:paraId="658C5B4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12.5.1 监理人发出暂停施工指示后56 天内未向承包人发出复工通知，除了该项停工属于第12.1 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 款的规定办理。</w:t>
      </w:r>
    </w:p>
    <w:p w14:paraId="3426A7F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12.5.2 由于承包人责任引起的暂停施工，如承包人在收到监理人暂停施工指示后56 天内不认真采取有效的复工措施，造成工期延误，可视为承包人违约，应按第22.1 款的规定办理。</w:t>
      </w:r>
    </w:p>
    <w:p w14:paraId="666F3877">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13 工程质量</w:t>
      </w:r>
    </w:p>
    <w:p w14:paraId="7230AA2D">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13.1 工程质量要求</w:t>
      </w:r>
    </w:p>
    <w:p w14:paraId="08AA6688">
      <w:pPr>
        <w:spacing w:line="312" w:lineRule="auto"/>
        <w:ind w:firstLine="528"/>
        <w:rPr>
          <w:rFonts w:hint="eastAsia" w:ascii="宋体" w:hAnsi="宋体" w:cs="宋体"/>
          <w:color w:val="auto"/>
          <w:sz w:val="22"/>
          <w:highlight w:val="none"/>
        </w:rPr>
      </w:pPr>
      <w:r>
        <w:rPr>
          <w:rFonts w:hint="eastAsia" w:ascii="宋体" w:hAnsi="宋体" w:cs="宋体"/>
          <w:color w:val="auto"/>
          <w:sz w:val="22"/>
          <w:highlight w:val="none"/>
        </w:rPr>
        <w:t>13.1.1 工程质量验收按合同约定验收标准执行。</w:t>
      </w:r>
    </w:p>
    <w:p w14:paraId="52469605">
      <w:pPr>
        <w:spacing w:line="312" w:lineRule="auto"/>
        <w:ind w:firstLine="528"/>
        <w:rPr>
          <w:rFonts w:hint="eastAsia" w:ascii="宋体" w:hAnsi="宋体" w:cs="宋体"/>
          <w:color w:val="auto"/>
          <w:sz w:val="22"/>
          <w:highlight w:val="none"/>
        </w:rPr>
      </w:pPr>
      <w:r>
        <w:rPr>
          <w:rFonts w:hint="eastAsia" w:ascii="宋体" w:hAnsi="宋体" w:cs="宋体"/>
          <w:color w:val="auto"/>
          <w:sz w:val="22"/>
          <w:highlight w:val="none"/>
        </w:rPr>
        <w:t>13.1.2 因承包人原因造成工程质量达不到合同约定验收标准的，监理人有权要求承包人返工直至符合合同要求为止，由此造成的费用增加和（或）工期延误由承包人承担。</w:t>
      </w:r>
    </w:p>
    <w:p w14:paraId="3BD12848">
      <w:pPr>
        <w:spacing w:line="312" w:lineRule="auto"/>
        <w:ind w:firstLine="528"/>
        <w:rPr>
          <w:rFonts w:hint="eastAsia" w:ascii="宋体" w:hAnsi="宋体" w:cs="宋体"/>
          <w:color w:val="auto"/>
          <w:sz w:val="22"/>
          <w:highlight w:val="none"/>
        </w:rPr>
      </w:pPr>
      <w:r>
        <w:rPr>
          <w:rFonts w:hint="eastAsia" w:ascii="宋体" w:hAnsi="宋体" w:cs="宋体"/>
          <w:color w:val="auto"/>
          <w:sz w:val="22"/>
          <w:highlight w:val="none"/>
        </w:rPr>
        <w:t>13.1.3 因发包人原因造成工程质量达不到合同约定验收标准的，发包人应承担由于承包人返工造成的费用增加和（或）工期延误，并支付承包人合理利润。</w:t>
      </w:r>
    </w:p>
    <w:p w14:paraId="533CDB42">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13.2  承包人的质量管理</w:t>
      </w:r>
    </w:p>
    <w:p w14:paraId="69F41371">
      <w:pPr>
        <w:spacing w:line="312" w:lineRule="auto"/>
        <w:ind w:firstLine="465"/>
        <w:rPr>
          <w:rFonts w:hint="eastAsia" w:ascii="宋体" w:hAnsi="宋体" w:cs="宋体"/>
          <w:color w:val="auto"/>
          <w:sz w:val="22"/>
          <w:highlight w:val="none"/>
        </w:rPr>
      </w:pPr>
      <w:r>
        <w:rPr>
          <w:rFonts w:hint="eastAsia" w:ascii="宋体" w:hAnsi="宋体" w:cs="宋体"/>
          <w:color w:val="auto"/>
          <w:sz w:val="22"/>
          <w:highlight w:val="none"/>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6B0B60A5">
      <w:pPr>
        <w:spacing w:line="312" w:lineRule="auto"/>
        <w:ind w:firstLine="528"/>
        <w:rPr>
          <w:rFonts w:hint="eastAsia" w:ascii="宋体" w:hAnsi="宋体" w:cs="宋体"/>
          <w:color w:val="auto"/>
          <w:sz w:val="22"/>
          <w:highlight w:val="none"/>
        </w:rPr>
      </w:pPr>
      <w:r>
        <w:rPr>
          <w:rFonts w:hint="eastAsia" w:ascii="宋体" w:hAnsi="宋体" w:cs="宋体"/>
          <w:color w:val="auto"/>
          <w:sz w:val="22"/>
          <w:highlight w:val="none"/>
        </w:rPr>
        <w:t>13.2.2 承包人应加强对施工人员的质量教育和技术培训，定期考核施工人员的劳动技能，严格执行规范和操作规程。</w:t>
      </w:r>
    </w:p>
    <w:p w14:paraId="148F35A1">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13.3 承包人的质量检查</w:t>
      </w:r>
    </w:p>
    <w:p w14:paraId="33D98DA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承包人应按合同约定对材料、工程设备以及工程的所有部位及其施工工艺进行全过程的质量检查和检验，并作详细记录，编制工程质量报表，报送监理人审查。</w:t>
      </w:r>
    </w:p>
    <w:p w14:paraId="59E4D116">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13.4 监理人的质量检查</w:t>
      </w:r>
    </w:p>
    <w:p w14:paraId="45A5D61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7FF63BB8">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13.5 工程隐蔽部位覆盖前的检查</w:t>
      </w:r>
    </w:p>
    <w:p w14:paraId="7DD9E87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13.5.1 通知监理人检查</w:t>
      </w:r>
    </w:p>
    <w:p w14:paraId="4FCAF5B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150638A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13.5.2 监理人未到场检查</w:t>
      </w:r>
    </w:p>
    <w:p w14:paraId="518C567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监理人未按第13.5.l 项约定的时间进行检查的，除监理人另有指示外，承包人可自行完成覆盖工作，并作相应记录报送监理人，监理人应签字确认。监理人事后对检查记录有疑问的，可按第13.5.3 项的约定重新检查。</w:t>
      </w:r>
    </w:p>
    <w:p w14:paraId="0922F0F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13.5.3 监理人重新检查</w:t>
      </w:r>
    </w:p>
    <w:p w14:paraId="3D6F7F8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承包人按第13.5.1 项或第13.5.2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06CCFA1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13.5.4 承包人私自覆盖</w:t>
      </w:r>
    </w:p>
    <w:p w14:paraId="31A6C80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承包人未通知监理人到场检查，私自将工程隐蔽部位覆盖的，监理人有权指示承包人钻孔探测或揭开检查，由此增加的费用和（或）工期延误由承包人承担。</w:t>
      </w:r>
    </w:p>
    <w:p w14:paraId="17603BD8">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13.6 清除不合格工程</w:t>
      </w:r>
    </w:p>
    <w:p w14:paraId="6AA3DB3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543243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13.6.2 由于发包人提供的材料或工程设备不合格造成的工程不合格，需要承包人采取措施补救的，发包人应承担由此增加的费用和（或）工期延误，并支付承包人合理利润。</w:t>
      </w:r>
    </w:p>
    <w:p w14:paraId="66AC76E0">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13.7  质量评定</w:t>
      </w:r>
    </w:p>
    <w:p w14:paraId="5EDD8881">
      <w:pPr>
        <w:spacing w:line="312" w:lineRule="auto"/>
        <w:rPr>
          <w:rFonts w:hint="eastAsia" w:ascii="宋体" w:hAnsi="宋体" w:cs="宋体"/>
          <w:color w:val="auto"/>
          <w:sz w:val="22"/>
          <w:highlight w:val="none"/>
        </w:rPr>
      </w:pPr>
      <w:r>
        <w:rPr>
          <w:rFonts w:hint="eastAsia" w:ascii="宋体" w:hAnsi="宋体" w:cs="宋体"/>
          <w:color w:val="auto"/>
          <w:sz w:val="22"/>
          <w:highlight w:val="none"/>
        </w:rPr>
        <w:t>13.7.1  发包人应组织承包人进行工程划分，并确定单位工程、主要分部工程、重要隐蔽单元工程和关键部位单元工程。</w:t>
      </w:r>
    </w:p>
    <w:p w14:paraId="4E2A49BD">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13.7.2  工程实施过程中，单位工程、主要分部工程、重要隐蔽单元工程和关键部位单元工程的项目划分需要调整时，承包人应报发包人确认。</w:t>
      </w:r>
    </w:p>
    <w:p w14:paraId="2CA9E9D0">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13.7.3  承包人应在单元（工序）工程质量自评合格后，报监理人核定质量等级并签证认可。</w:t>
      </w:r>
    </w:p>
    <w:p w14:paraId="53C495B7">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1A405FF6">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13.7.5  承包人应在分部工程质量自评合格后，报监理人复核和发包人认定。发包人负责按有关规定完成分部工程质量结论报工程质量监督机构核备（核定）手续。</w:t>
      </w:r>
    </w:p>
    <w:p w14:paraId="62BEAA63">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13.7.6  承包人应在单位工程质量自评合格后，报监理人复核和发包人认定。发包人负责按完成单位工程质量结论报工程质量监督机构核定手续。</w:t>
      </w:r>
    </w:p>
    <w:p w14:paraId="791A31A0">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13.7.7 除专用合同条款另外约定外，工程质量等级分为合格和优良，应分别达到约定的标准。</w:t>
      </w:r>
    </w:p>
    <w:p w14:paraId="32FFF7D5">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13.8  质量事故处理</w:t>
      </w:r>
    </w:p>
    <w:p w14:paraId="184E4B64">
      <w:pPr>
        <w:spacing w:line="312" w:lineRule="auto"/>
        <w:rPr>
          <w:rFonts w:hint="eastAsia" w:ascii="宋体" w:hAnsi="宋体" w:cs="宋体"/>
          <w:color w:val="auto"/>
          <w:sz w:val="22"/>
          <w:highlight w:val="none"/>
        </w:rPr>
      </w:pPr>
      <w:r>
        <w:rPr>
          <w:rFonts w:hint="eastAsia" w:ascii="宋体" w:hAnsi="宋体" w:cs="宋体"/>
          <w:color w:val="auto"/>
          <w:sz w:val="22"/>
          <w:highlight w:val="none"/>
        </w:rPr>
        <w:t>13.8.1  发生质量事故时，承包人应及时向发包人和监理人报告。</w:t>
      </w:r>
    </w:p>
    <w:p w14:paraId="6B8E1D1E">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13.8.2  质量事故调查处理由发包人按相关规定履行手续，承包人应配合。</w:t>
      </w:r>
    </w:p>
    <w:p w14:paraId="7648162A">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13.8.3  承包人应对质量缺陷进行备案。发包人委托监理人对质量缺陷备案情况进行监督检查并履行相关手续。</w:t>
      </w:r>
    </w:p>
    <w:p w14:paraId="5947B9AD">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13.8.4  除专用合同条款另有约定外，工程竣工验收时，发包人负责向竣工验收委员会汇报并提交历次质量缺陷处理的备案资料。</w:t>
      </w:r>
    </w:p>
    <w:p w14:paraId="73518DC3">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14  试验和检验</w:t>
      </w:r>
    </w:p>
    <w:p w14:paraId="4750F591">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14.1  材料、工程设备和工程的试验和检验</w:t>
      </w:r>
    </w:p>
    <w:p w14:paraId="7DCE2BD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4DF9E8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14.1.2 监理人未按合同约定派员参加试验和检验的，除监理人另有指示外，承包人可自行试验和检验，并应立即将试验和检验结果报送监理人，监理人应签字确认。</w:t>
      </w:r>
    </w:p>
    <w:p w14:paraId="1960884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DDF28E3">
      <w:pPr>
        <w:spacing w:line="312" w:lineRule="auto"/>
        <w:ind w:firstLine="352"/>
        <w:rPr>
          <w:rFonts w:hint="eastAsia" w:ascii="宋体" w:hAnsi="宋体" w:cs="宋体"/>
          <w:color w:val="auto"/>
          <w:sz w:val="22"/>
          <w:highlight w:val="none"/>
        </w:rPr>
      </w:pPr>
      <w:r>
        <w:rPr>
          <w:rFonts w:hint="eastAsia" w:ascii="宋体" w:hAnsi="宋体" w:cs="宋体"/>
          <w:color w:val="auto"/>
          <w:sz w:val="22"/>
          <w:highlight w:val="none"/>
        </w:rPr>
        <w:t xml:space="preserve"> 14.1.4  承包人应按相关规定和标准对水泥、钢材等原材料与中间产品质量进行检验并报监理人复核。</w:t>
      </w:r>
    </w:p>
    <w:p w14:paraId="60A50AE0">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5D70F42A">
      <w:pPr>
        <w:spacing w:line="312" w:lineRule="auto"/>
        <w:ind w:firstLine="420"/>
        <w:rPr>
          <w:rFonts w:hint="eastAsia" w:ascii="宋体" w:hAnsi="宋体" w:cs="宋体"/>
          <w:color w:val="auto"/>
          <w:sz w:val="22"/>
          <w:highlight w:val="none"/>
        </w:rPr>
      </w:pPr>
      <w:r>
        <w:rPr>
          <w:rFonts w:hint="eastAsia" w:ascii="宋体" w:hAnsi="宋体" w:cs="宋体"/>
          <w:color w:val="auto"/>
          <w:sz w:val="22"/>
          <w:highlight w:val="none"/>
        </w:rPr>
        <w:t>14.1.6  对专用合同条款约定的试块、试件及有关材料，监理人实行见证取样。见证取样资料由承包人制备，记录应真实齐全，监理人、承包人等参与见证取样人员均应在相关文件上签字。</w:t>
      </w:r>
    </w:p>
    <w:p w14:paraId="0F14567F">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14.2 现场材料试验</w:t>
      </w:r>
    </w:p>
    <w:p w14:paraId="6136E4E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14.2.1 承包人根据合同约定或监理人指示进行的现场材料试验，应由承包人提供试验场所、试验人员、试验设备器材以及其他必要的试验条件。</w:t>
      </w:r>
    </w:p>
    <w:p w14:paraId="30084EF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14.2.2 监理人在必要时可以使用承包人的试验场所、试验设备器材以及其他试验条件，进行以工程质量检查为目的的复核性材料试验，承包人应予以协助。</w:t>
      </w:r>
    </w:p>
    <w:p w14:paraId="7D65DD9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14.3 现场工艺试验</w:t>
      </w:r>
    </w:p>
    <w:p w14:paraId="0FC4C66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3DAC66F3">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15  变更</w:t>
      </w:r>
    </w:p>
    <w:p w14:paraId="30FF6B13">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15.1  变更的范围和内容</w:t>
      </w:r>
    </w:p>
    <w:p w14:paraId="39CB856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在履行合同中发生以下情形之一，应按照本款规定进行变更。</w:t>
      </w:r>
    </w:p>
    <w:p w14:paraId="0766A36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（1）取消合同中任何一项工作，但被取消的工作不能转由发包人或其它人实施；</w:t>
      </w:r>
    </w:p>
    <w:p w14:paraId="1952900F">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（2）改变合同中任何一项工作的质量或其它特性；</w:t>
      </w:r>
    </w:p>
    <w:p w14:paraId="098AD7B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（3）改变合同工程的基线、标高、位置或尺寸；</w:t>
      </w:r>
    </w:p>
    <w:p w14:paraId="4465BDF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（4）改变合同中任何一项工作的施工时间或改变已批准的施工工艺或顺序；</w:t>
      </w:r>
    </w:p>
    <w:p w14:paraId="1A20167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（5）为完成工程需要追加的额外工作；</w:t>
      </w:r>
    </w:p>
    <w:p w14:paraId="1D1D500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（6）增加或减少专用合同条款中约定的关键项目工程量超过其工程总量的一定数量百分比。</w:t>
      </w:r>
    </w:p>
    <w:p w14:paraId="47F3978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上述第（1）～（6）目的变更内容引起工程施工组织和进度计划发生实质性变动和影响其原定的价格时，才调整该项目的单价。第（6）目情形下单价调整方式在专用合同条款中约定。</w:t>
      </w:r>
    </w:p>
    <w:p w14:paraId="27B91E70">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15.2 变更权</w:t>
      </w:r>
    </w:p>
    <w:p w14:paraId="7CA9357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在履行合同过程中，经发包人同意，监理人可按第15.3 款约定的变更程序向承包人作出变更指示，承包人应遵照执行。没有监理人的变更指示，承包人不得擅自变更。</w:t>
      </w:r>
    </w:p>
    <w:p w14:paraId="1710D819">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15.3 变更程序</w:t>
      </w:r>
    </w:p>
    <w:p w14:paraId="34F1AE8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15.3.1变更的提出</w:t>
      </w:r>
    </w:p>
    <w:p w14:paraId="079578F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（1）在合同履行过程中，可能发生第15.1 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14:paraId="72F8667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（2）在合同履行过程中，发生第15.1 款约定情形的，监理人应按照第15.3.3 项约定向承包人发出变更指示。</w:t>
      </w:r>
    </w:p>
    <w:p w14:paraId="25F817F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（3）承包人收到监理人按合同约定发出的图纸和文件，经检查认为其中存在第15.1 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14:paraId="379140C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（4）若承包人收到监理人的变更意向书后认为难以实施此项变更，应立即通知监理人，说明原因并附详细依据。监理人与承包人和发包人协商后确定撤销、改变或不改变原变更意向书。</w:t>
      </w:r>
    </w:p>
    <w:p w14:paraId="6A1EA60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15.3.2 变更估价</w:t>
      </w:r>
    </w:p>
    <w:p w14:paraId="225C79D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（l）除专用合同条款对期限另有约定外，承包人应在收到变更指示或变更意向书后的14 天内，向监理人提交变更报价书，报价内容应根据第15.4 款约定的估价原则，详细开列变更工作的价格组成及其依据，并附必要的施工方法说明和有关图纸。</w:t>
      </w:r>
    </w:p>
    <w:p w14:paraId="140BC0C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（2）变更工作影响工期的，承包人应提出调整工期的具体细节。监理人认为有必要时，可要求承包人提交要求提前或延长工期的施工进度计划及相应施工措施等详细资料。</w:t>
      </w:r>
    </w:p>
    <w:p w14:paraId="3A9E43B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（3）除专用合同条款对期限另有约定外，监理人收到承包人变更报价书后的14 天内，根据第15.4 款约定的估价原则，按照第3.5 款商定或确定变更价格。</w:t>
      </w:r>
    </w:p>
    <w:p w14:paraId="0F3C9DD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15.3.3 变更指示</w:t>
      </w:r>
    </w:p>
    <w:p w14:paraId="47FB0F2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（l）变更指示只能由监理人发出。</w:t>
      </w:r>
    </w:p>
    <w:p w14:paraId="29657EA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（2）变更指示应说明变更的目的、范围、变更内容以及变更的工程量及其进度和技术要求，并附有关图纸和文件。承包人收到变更指示后，应按变更指示进行变更工作。</w:t>
      </w:r>
    </w:p>
    <w:p w14:paraId="539C0E01">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15.4 变更的估价原则</w:t>
      </w:r>
    </w:p>
    <w:p w14:paraId="7A9C2AC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除专用合同条款另有约定外，因变更引起的价格调整按照本款约定处理。</w:t>
      </w:r>
    </w:p>
    <w:p w14:paraId="3ABAFE0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15.4.1 己标价工程量清单中有适用于变更工作的子目的，采用该子目的单价。</w:t>
      </w:r>
    </w:p>
    <w:p w14:paraId="03478AE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15.4.2 己标价工程量清单中无适用于变更工作的子目，但有类似子目的，可在合理范围内参照类似子目的单价，由监理人按第3.5 款商定或确定变更工作的单价。</w:t>
      </w:r>
    </w:p>
    <w:p w14:paraId="40072E6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15.4.3 己标价工程量清单中无适用或类似子目的单价，可按照成本加利润的原则，由监理人按第3. 5 款商定或确定变更工作的单价。</w:t>
      </w:r>
    </w:p>
    <w:p w14:paraId="1B681F35">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15.5 承包人的合理化建议</w:t>
      </w:r>
    </w:p>
    <w:p w14:paraId="7C817C6F">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654E544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15.5.2 承包人提出的合理化建议降低了合同价格、缩短了工期或者提高了工程经济效益的，发包人可按国家有关规定在专用合同条款中约定给予奖励。</w:t>
      </w:r>
    </w:p>
    <w:p w14:paraId="7C9CE08F">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15.6 暂列金额</w:t>
      </w:r>
    </w:p>
    <w:p w14:paraId="3191EAA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暂列金额只能按照监理人的指示使用，并对合同价格进行相应调整。</w:t>
      </w:r>
    </w:p>
    <w:p w14:paraId="48EAABC7">
      <w:pPr>
        <w:spacing w:line="312" w:lineRule="auto"/>
        <w:jc w:val="left"/>
        <w:rPr>
          <w:rFonts w:hint="eastAsia" w:ascii="宋体" w:hAnsi="宋体" w:cs="宋体"/>
          <w:b/>
          <w:color w:val="auto"/>
          <w:sz w:val="22"/>
          <w:highlight w:val="none"/>
        </w:rPr>
      </w:pPr>
      <w:r>
        <w:rPr>
          <w:rFonts w:hint="eastAsia" w:ascii="宋体" w:hAnsi="宋体" w:cs="宋体"/>
          <w:b/>
          <w:color w:val="auto"/>
          <w:sz w:val="22"/>
          <w:highlight w:val="none"/>
        </w:rPr>
        <w:t>15.7 计日工</w:t>
      </w:r>
    </w:p>
    <w:p w14:paraId="20A1BAD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15.7.1 发包人认为有必要时，由监理人通知承包人以计日工方式实施变更的零星工作。其价款按列入已标价工程量清单中的计日工计价子目及其单价进行计算。</w:t>
      </w:r>
    </w:p>
    <w:p w14:paraId="7F1B140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15.7.2 采用计日工计价的任何一项变更工作，应从暂列金额中支付，承包人应在该项变更的实施过程中，每天提交以下报表和有关凭证报送监理人审批：</w:t>
      </w:r>
    </w:p>
    <w:p w14:paraId="242301F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（l）工作名称、内容和数量；</w:t>
      </w:r>
    </w:p>
    <w:p w14:paraId="620858B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（2）投入该工作所有人员的姓名、工种、级别和耗用工时；</w:t>
      </w:r>
    </w:p>
    <w:p w14:paraId="4AAC3A5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（3）投入该工作的材料类别和数量；</w:t>
      </w:r>
    </w:p>
    <w:p w14:paraId="7C7C572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（4）投入该工作的施工设备型号、台数和耗用台时；</w:t>
      </w:r>
    </w:p>
    <w:p w14:paraId="73A01C9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（5）监理人要求提交的其他资料和凭证。</w:t>
      </w:r>
    </w:p>
    <w:p w14:paraId="3D712D3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15.7.3 计日工由承包人汇总后，按第17.3 .2 项的约定列入进度付款申请单，由监理人复核并经发包人同意后列入进度付款。</w:t>
      </w:r>
    </w:p>
    <w:p w14:paraId="4FA34258">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15.8  暂估价</w:t>
      </w:r>
    </w:p>
    <w:p w14:paraId="10C6B886">
      <w:pPr>
        <w:spacing w:line="312" w:lineRule="auto"/>
        <w:ind w:firstLine="495"/>
        <w:rPr>
          <w:rFonts w:hint="eastAsia" w:ascii="宋体" w:hAnsi="宋体" w:cs="宋体"/>
          <w:color w:val="auto"/>
          <w:sz w:val="22"/>
          <w:highlight w:val="none"/>
        </w:rPr>
      </w:pPr>
      <w:r>
        <w:rPr>
          <w:rFonts w:hint="eastAsia" w:ascii="宋体" w:hAnsi="宋体" w:cs="宋体"/>
          <w:color w:val="auto"/>
          <w:sz w:val="22"/>
          <w:highlight w:val="none"/>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666E9B2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15.8.2 发包人在工程量清单中给定暂估价的材料和工程设备不属于依法必须招标的范围或未达到规定的规模标准的，应由承包人按第5.1 款的约定提供。经监理人确认的材料、工程设备的价格与工程量清单中所列的暂估价的金额差以及相应的税金等其他费用列入合同价格。</w:t>
      </w:r>
    </w:p>
    <w:p w14:paraId="5F952A8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15.8.3发包人在工程量清单中给定暂估价的专业工程不属于依法必须招标的范围或未达到规定的规模标准的，由监理人按照第15.4 款进行估价，但专用合同条款另有约定的除外。经估价的专业工程与工程量清单中所列的暂估价的金额差以及相应的税金等其他费用列入合同价格。</w:t>
      </w:r>
    </w:p>
    <w:p w14:paraId="4A7113C1">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16  价格调整</w:t>
      </w:r>
    </w:p>
    <w:p w14:paraId="1949C395">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16.1  物价波动引起的价格调整</w:t>
      </w:r>
    </w:p>
    <w:p w14:paraId="34DB446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由于物价波动原因引起合同价格需要调整的，其价格调整方式在专用合同条款中约定。</w:t>
      </w:r>
    </w:p>
    <w:p w14:paraId="6F4D899F">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16.1.1 采用价格指数调整价格差额</w:t>
      </w:r>
    </w:p>
    <w:p w14:paraId="1285058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16.1.1.1 价格调整公式</w:t>
      </w:r>
    </w:p>
    <w:p w14:paraId="16FD620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因人工、材料和设备等价格波动影响合同价格时，根据投标函附录中的价格指数和权重表约定的数据，按以下公式计算差额并调整合同价格。</w:t>
      </w:r>
    </w:p>
    <w:p w14:paraId="16379245">
      <w:pPr>
        <w:spacing w:line="312" w:lineRule="auto"/>
        <w:ind w:firstLine="480"/>
        <w:rPr>
          <w:rFonts w:hint="eastAsia" w:ascii="宋体" w:hAnsi="宋体" w:cs="宋体"/>
          <w:color w:val="auto"/>
          <w:sz w:val="22"/>
          <w:highlight w:val="none"/>
        </w:rPr>
      </w:pPr>
    </w:p>
    <w:p w14:paraId="70C19B75">
      <w:pPr>
        <w:spacing w:line="312" w:lineRule="auto"/>
        <w:ind w:firstLine="2520"/>
        <w:rPr>
          <w:rFonts w:hint="eastAsia" w:ascii="宋体" w:hAnsi="宋体" w:cs="宋体"/>
          <w:color w:val="auto"/>
          <w:sz w:val="22"/>
          <w:highlight w:val="none"/>
        </w:rPr>
      </w:pPr>
      <w:r>
        <w:rPr>
          <w:rFonts w:hint="eastAsia" w:ascii="宋体" w:hAnsi="宋体" w:cs="宋体"/>
          <w:color w:val="auto"/>
          <w:sz w:val="22"/>
          <w:highlight w:val="none"/>
        </w:rPr>
        <w:t>F</w:t>
      </w:r>
      <w:r>
        <w:rPr>
          <w:rFonts w:hint="eastAsia" w:ascii="宋体" w:hAnsi="宋体" w:cs="宋体"/>
          <w:color w:val="auto"/>
          <w:sz w:val="22"/>
          <w:highlight w:val="none"/>
          <w:vertAlign w:val="subscript"/>
        </w:rPr>
        <w:t xml:space="preserve">t1        </w:t>
      </w:r>
      <w:r>
        <w:rPr>
          <w:rFonts w:hint="eastAsia" w:ascii="宋体" w:hAnsi="宋体" w:cs="宋体"/>
          <w:color w:val="auto"/>
          <w:sz w:val="22"/>
          <w:highlight w:val="none"/>
        </w:rPr>
        <w:t xml:space="preserve"> F</w:t>
      </w:r>
      <w:r>
        <w:rPr>
          <w:rFonts w:hint="eastAsia" w:ascii="宋体" w:hAnsi="宋体" w:cs="宋体"/>
          <w:color w:val="auto"/>
          <w:sz w:val="22"/>
          <w:highlight w:val="none"/>
          <w:vertAlign w:val="subscript"/>
        </w:rPr>
        <w:t xml:space="preserve">t2         </w:t>
      </w:r>
      <w:r>
        <w:rPr>
          <w:rFonts w:hint="eastAsia" w:ascii="宋体" w:hAnsi="宋体" w:cs="宋体"/>
          <w:color w:val="auto"/>
          <w:sz w:val="22"/>
          <w:highlight w:val="none"/>
        </w:rPr>
        <w:t>F</w:t>
      </w:r>
      <w:r>
        <w:rPr>
          <w:rFonts w:hint="eastAsia" w:ascii="宋体" w:hAnsi="宋体" w:cs="宋体"/>
          <w:color w:val="auto"/>
          <w:sz w:val="22"/>
          <w:highlight w:val="none"/>
          <w:vertAlign w:val="subscript"/>
        </w:rPr>
        <w:t xml:space="preserve">t3                 </w:t>
      </w:r>
      <w:r>
        <w:rPr>
          <w:rFonts w:hint="eastAsia" w:ascii="宋体" w:hAnsi="宋体" w:cs="宋体"/>
          <w:color w:val="auto"/>
          <w:sz w:val="22"/>
          <w:highlight w:val="none"/>
        </w:rPr>
        <w:t>F</w:t>
      </w:r>
      <w:r>
        <w:rPr>
          <w:rFonts w:hint="eastAsia" w:ascii="宋体" w:hAnsi="宋体" w:cs="宋体"/>
          <w:color w:val="auto"/>
          <w:sz w:val="22"/>
          <w:highlight w:val="none"/>
          <w:vertAlign w:val="subscript"/>
        </w:rPr>
        <w:t>tn</w:t>
      </w:r>
    </w:p>
    <w:p w14:paraId="3D58318E">
      <w:pPr>
        <w:numPr>
          <w:ilvl w:val="0"/>
          <w:numId w:val="2"/>
        </w:numPr>
        <w:tabs>
          <w:tab w:val="left" w:pos="780"/>
        </w:tabs>
        <w:spacing w:line="312" w:lineRule="auto"/>
        <w:ind w:left="780" w:hanging="360"/>
        <w:rPr>
          <w:rFonts w:hint="eastAsia" w:ascii="宋体" w:hAnsi="宋体" w:cs="宋体"/>
          <w:color w:val="auto"/>
          <w:sz w:val="22"/>
          <w:highlight w:val="none"/>
        </w:rPr>
      </w:pPr>
      <w:r>
        <w:rPr>
          <w:rFonts w:hint="eastAsia" w:ascii="宋体" w:hAnsi="宋体" w:cs="宋体"/>
          <w:color w:val="auto"/>
          <w:sz w:val="22"/>
          <w:highlight w:val="none"/>
        </w:rPr>
        <w:t>P=P</w:t>
      </w:r>
      <w:r>
        <w:rPr>
          <w:rFonts w:hint="eastAsia" w:ascii="宋体" w:hAnsi="宋体" w:cs="宋体"/>
          <w:color w:val="auto"/>
          <w:sz w:val="22"/>
          <w:highlight w:val="none"/>
          <w:vertAlign w:val="subscript"/>
        </w:rPr>
        <w:t>O</w:t>
      </w:r>
      <w:r>
        <w:rPr>
          <w:rFonts w:hint="eastAsia" w:ascii="宋体" w:hAnsi="宋体" w:cs="宋体"/>
          <w:color w:val="auto"/>
          <w:sz w:val="22"/>
          <w:highlight w:val="none"/>
        </w:rPr>
        <w:t>［A+｛B</w:t>
      </w:r>
      <w:r>
        <w:rPr>
          <w:rFonts w:hint="eastAsia" w:ascii="宋体" w:hAnsi="宋体" w:cs="宋体"/>
          <w:color w:val="auto"/>
          <w:sz w:val="22"/>
          <w:highlight w:val="none"/>
          <w:vertAlign w:val="subscript"/>
        </w:rPr>
        <w:t>1</w:t>
      </w:r>
      <w:r>
        <w:rPr>
          <w:rFonts w:hint="eastAsia" w:ascii="宋体" w:hAnsi="宋体" w:cs="宋体"/>
          <w:color w:val="auto"/>
          <w:sz w:val="22"/>
          <w:highlight w:val="none"/>
        </w:rPr>
        <w:t>×—＋B</w:t>
      </w:r>
      <w:r>
        <w:rPr>
          <w:rFonts w:hint="eastAsia" w:ascii="宋体" w:hAnsi="宋体" w:cs="宋体"/>
          <w:color w:val="auto"/>
          <w:sz w:val="22"/>
          <w:highlight w:val="none"/>
          <w:vertAlign w:val="subscript"/>
        </w:rPr>
        <w:t>2</w:t>
      </w:r>
      <w:r>
        <w:rPr>
          <w:rFonts w:hint="eastAsia" w:ascii="宋体" w:hAnsi="宋体" w:cs="宋体"/>
          <w:color w:val="auto"/>
          <w:sz w:val="22"/>
          <w:highlight w:val="none"/>
        </w:rPr>
        <w:t>×—＋B</w:t>
      </w:r>
      <w:r>
        <w:rPr>
          <w:rFonts w:hint="eastAsia" w:ascii="宋体" w:hAnsi="宋体" w:cs="宋体"/>
          <w:color w:val="auto"/>
          <w:sz w:val="22"/>
          <w:highlight w:val="none"/>
          <w:vertAlign w:val="subscript"/>
        </w:rPr>
        <w:t>3</w:t>
      </w:r>
      <w:r>
        <w:rPr>
          <w:rFonts w:hint="eastAsia" w:ascii="宋体" w:hAnsi="宋体" w:cs="宋体"/>
          <w:color w:val="auto"/>
          <w:sz w:val="22"/>
          <w:highlight w:val="none"/>
        </w:rPr>
        <w:t>×—＋…＋B</w:t>
      </w:r>
      <w:r>
        <w:rPr>
          <w:rFonts w:hint="eastAsia" w:ascii="宋体" w:hAnsi="宋体" w:cs="宋体"/>
          <w:color w:val="auto"/>
          <w:sz w:val="22"/>
          <w:highlight w:val="none"/>
          <w:vertAlign w:val="subscript"/>
        </w:rPr>
        <w:t>n</w:t>
      </w:r>
      <w:r>
        <w:rPr>
          <w:rFonts w:hint="eastAsia" w:ascii="宋体" w:hAnsi="宋体" w:cs="宋体"/>
          <w:color w:val="auto"/>
          <w:sz w:val="22"/>
          <w:highlight w:val="none"/>
        </w:rPr>
        <w:t>×—｝－1］</w:t>
      </w:r>
    </w:p>
    <w:p w14:paraId="3461674C">
      <w:pPr>
        <w:spacing w:line="312" w:lineRule="auto"/>
        <w:ind w:left="420" w:firstLine="2040"/>
        <w:rPr>
          <w:rFonts w:hint="eastAsia" w:ascii="宋体" w:hAnsi="宋体" w:cs="宋体"/>
          <w:color w:val="auto"/>
          <w:sz w:val="22"/>
          <w:highlight w:val="none"/>
        </w:rPr>
      </w:pPr>
      <w:r>
        <w:rPr>
          <w:rFonts w:hint="eastAsia" w:ascii="宋体" w:hAnsi="宋体" w:cs="宋体"/>
          <w:color w:val="auto"/>
          <w:sz w:val="22"/>
          <w:highlight w:val="none"/>
        </w:rPr>
        <w:t>F</w:t>
      </w:r>
      <w:r>
        <w:rPr>
          <w:rFonts w:hint="eastAsia" w:ascii="宋体" w:hAnsi="宋体" w:cs="宋体"/>
          <w:color w:val="auto"/>
          <w:sz w:val="22"/>
          <w:highlight w:val="none"/>
          <w:vertAlign w:val="subscript"/>
        </w:rPr>
        <w:t xml:space="preserve">01        </w:t>
      </w:r>
      <w:r>
        <w:rPr>
          <w:rFonts w:hint="eastAsia" w:ascii="宋体" w:hAnsi="宋体" w:cs="宋体"/>
          <w:color w:val="auto"/>
          <w:sz w:val="22"/>
          <w:highlight w:val="none"/>
        </w:rPr>
        <w:t>F</w:t>
      </w:r>
      <w:r>
        <w:rPr>
          <w:rFonts w:hint="eastAsia" w:ascii="宋体" w:hAnsi="宋体" w:cs="宋体"/>
          <w:color w:val="auto"/>
          <w:sz w:val="22"/>
          <w:highlight w:val="none"/>
          <w:vertAlign w:val="subscript"/>
        </w:rPr>
        <w:t xml:space="preserve">02       </w:t>
      </w:r>
      <w:r>
        <w:rPr>
          <w:rFonts w:hint="eastAsia" w:ascii="宋体" w:hAnsi="宋体" w:cs="宋体"/>
          <w:color w:val="auto"/>
          <w:sz w:val="22"/>
          <w:highlight w:val="none"/>
        </w:rPr>
        <w:t>F</w:t>
      </w:r>
      <w:r>
        <w:rPr>
          <w:rFonts w:hint="eastAsia" w:ascii="宋体" w:hAnsi="宋体" w:cs="宋体"/>
          <w:color w:val="auto"/>
          <w:sz w:val="22"/>
          <w:highlight w:val="none"/>
          <w:vertAlign w:val="subscript"/>
        </w:rPr>
        <w:t xml:space="preserve">03              </w:t>
      </w:r>
      <w:r>
        <w:rPr>
          <w:rFonts w:hint="eastAsia" w:ascii="宋体" w:hAnsi="宋体" w:cs="宋体"/>
          <w:color w:val="auto"/>
          <w:sz w:val="22"/>
          <w:highlight w:val="none"/>
        </w:rPr>
        <w:t>F</w:t>
      </w:r>
      <w:r>
        <w:rPr>
          <w:rFonts w:hint="eastAsia" w:ascii="宋体" w:hAnsi="宋体" w:cs="宋体"/>
          <w:color w:val="auto"/>
          <w:sz w:val="22"/>
          <w:highlight w:val="none"/>
          <w:vertAlign w:val="subscript"/>
        </w:rPr>
        <w:t>04</w:t>
      </w:r>
    </w:p>
    <w:p w14:paraId="00DBF91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式中：△ P 一需调整的价格差额；</w:t>
      </w:r>
    </w:p>
    <w:p w14:paraId="2122F8FF">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P</w:t>
      </w:r>
      <w:r>
        <w:rPr>
          <w:rFonts w:hint="eastAsia" w:ascii="宋体" w:hAnsi="宋体" w:cs="宋体"/>
          <w:color w:val="auto"/>
          <w:sz w:val="22"/>
          <w:highlight w:val="none"/>
          <w:vertAlign w:val="subscript"/>
        </w:rPr>
        <w:t>O</w:t>
      </w:r>
      <w:r>
        <w:rPr>
          <w:rFonts w:hint="eastAsia" w:ascii="宋体" w:hAnsi="宋体" w:cs="宋体"/>
          <w:color w:val="auto"/>
          <w:sz w:val="22"/>
          <w:highlight w:val="none"/>
        </w:rPr>
        <w:t>一第17.3.3 项、第17.5.2 项和第17.6.2 项约定的付款证书中承包人应得到的己完成工程量的金额。此项金额应不包括价格调整、不计质量保证金的扣留和支付、预付款的支付和扣回。第15条约定的变更及其他金额已按现行价格计价的，也不计在内；</w:t>
      </w:r>
    </w:p>
    <w:p w14:paraId="6AB4134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A ---定值权重（即不调部分的权重）；</w:t>
      </w:r>
    </w:p>
    <w:p w14:paraId="26F1AA8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B</w:t>
      </w:r>
      <w:r>
        <w:rPr>
          <w:rFonts w:hint="eastAsia" w:ascii="宋体" w:hAnsi="宋体" w:cs="宋体"/>
          <w:color w:val="auto"/>
          <w:sz w:val="22"/>
          <w:highlight w:val="none"/>
          <w:vertAlign w:val="subscript"/>
        </w:rPr>
        <w:t>1</w:t>
      </w:r>
      <w:r>
        <w:rPr>
          <w:rFonts w:hint="eastAsia" w:ascii="宋体" w:hAnsi="宋体" w:cs="宋体"/>
          <w:color w:val="auto"/>
          <w:sz w:val="22"/>
          <w:highlight w:val="none"/>
        </w:rPr>
        <w:t>；B</w:t>
      </w:r>
      <w:r>
        <w:rPr>
          <w:rFonts w:hint="eastAsia" w:ascii="宋体" w:hAnsi="宋体" w:cs="宋体"/>
          <w:color w:val="auto"/>
          <w:sz w:val="22"/>
          <w:highlight w:val="none"/>
          <w:vertAlign w:val="subscript"/>
        </w:rPr>
        <w:t>2</w:t>
      </w:r>
      <w:r>
        <w:rPr>
          <w:rFonts w:hint="eastAsia" w:ascii="宋体" w:hAnsi="宋体" w:cs="宋体"/>
          <w:color w:val="auto"/>
          <w:sz w:val="22"/>
          <w:highlight w:val="none"/>
        </w:rPr>
        <w:t>；B</w:t>
      </w:r>
      <w:r>
        <w:rPr>
          <w:rFonts w:hint="eastAsia" w:ascii="宋体" w:hAnsi="宋体" w:cs="宋体"/>
          <w:color w:val="auto"/>
          <w:sz w:val="22"/>
          <w:highlight w:val="none"/>
          <w:vertAlign w:val="subscript"/>
        </w:rPr>
        <w:t>3</w:t>
      </w:r>
      <w:r>
        <w:rPr>
          <w:rFonts w:hint="eastAsia" w:ascii="宋体" w:hAnsi="宋体" w:cs="宋体"/>
          <w:color w:val="auto"/>
          <w:sz w:val="22"/>
          <w:highlight w:val="none"/>
        </w:rPr>
        <w:t>；……B</w:t>
      </w:r>
      <w:r>
        <w:rPr>
          <w:rFonts w:hint="eastAsia" w:ascii="宋体" w:hAnsi="宋体" w:cs="宋体"/>
          <w:color w:val="auto"/>
          <w:sz w:val="22"/>
          <w:highlight w:val="none"/>
          <w:vertAlign w:val="subscript"/>
        </w:rPr>
        <w:t>n</w:t>
      </w:r>
      <w:r>
        <w:rPr>
          <w:rFonts w:hint="eastAsia" w:ascii="宋体" w:hAnsi="宋体" w:cs="宋体"/>
          <w:color w:val="auto"/>
          <w:sz w:val="22"/>
          <w:highlight w:val="none"/>
        </w:rPr>
        <w:t>---各可调因子的变值权重（即可调部分的权重）为各可调因子在投标函投标总报价中所占的比例；</w:t>
      </w:r>
    </w:p>
    <w:p w14:paraId="1079DBB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F</w:t>
      </w:r>
      <w:r>
        <w:rPr>
          <w:rFonts w:hint="eastAsia" w:ascii="宋体" w:hAnsi="宋体" w:cs="宋体"/>
          <w:color w:val="auto"/>
          <w:sz w:val="22"/>
          <w:highlight w:val="none"/>
          <w:vertAlign w:val="subscript"/>
        </w:rPr>
        <w:t>t1</w:t>
      </w:r>
      <w:r>
        <w:rPr>
          <w:rFonts w:hint="eastAsia" w:ascii="宋体" w:hAnsi="宋体" w:cs="宋体"/>
          <w:color w:val="auto"/>
          <w:sz w:val="22"/>
          <w:highlight w:val="none"/>
        </w:rPr>
        <w:t>；F</w:t>
      </w:r>
      <w:r>
        <w:rPr>
          <w:rFonts w:hint="eastAsia" w:ascii="宋体" w:hAnsi="宋体" w:cs="宋体"/>
          <w:color w:val="auto"/>
          <w:sz w:val="22"/>
          <w:highlight w:val="none"/>
          <w:vertAlign w:val="subscript"/>
        </w:rPr>
        <w:t>t2</w:t>
      </w:r>
      <w:r>
        <w:rPr>
          <w:rFonts w:hint="eastAsia" w:ascii="宋体" w:hAnsi="宋体" w:cs="宋体"/>
          <w:color w:val="auto"/>
          <w:sz w:val="22"/>
          <w:highlight w:val="none"/>
        </w:rPr>
        <w:t>；F</w:t>
      </w:r>
      <w:r>
        <w:rPr>
          <w:rFonts w:hint="eastAsia" w:ascii="宋体" w:hAnsi="宋体" w:cs="宋体"/>
          <w:color w:val="auto"/>
          <w:sz w:val="22"/>
          <w:highlight w:val="none"/>
          <w:vertAlign w:val="subscript"/>
        </w:rPr>
        <w:t>t3</w:t>
      </w:r>
      <w:r>
        <w:rPr>
          <w:rFonts w:hint="eastAsia" w:ascii="宋体" w:hAnsi="宋体" w:cs="宋体"/>
          <w:color w:val="auto"/>
          <w:sz w:val="22"/>
          <w:highlight w:val="none"/>
        </w:rPr>
        <w:t>；……F</w:t>
      </w:r>
      <w:r>
        <w:rPr>
          <w:rFonts w:hint="eastAsia" w:ascii="宋体" w:hAnsi="宋体" w:cs="宋体"/>
          <w:color w:val="auto"/>
          <w:sz w:val="22"/>
          <w:highlight w:val="none"/>
          <w:vertAlign w:val="subscript"/>
        </w:rPr>
        <w:t>tn</w:t>
      </w:r>
      <w:r>
        <w:rPr>
          <w:rFonts w:hint="eastAsia" w:ascii="宋体" w:hAnsi="宋体" w:cs="宋体"/>
          <w:color w:val="auto"/>
          <w:sz w:val="22"/>
          <w:highlight w:val="none"/>
        </w:rPr>
        <w:t>---各可调因子的现行价格指数，指第17.3.3 项、第17.5.2 项和第17.6.2 项约定的付款证书相关周期最后一天的前42天的各可调因子的价格指数；</w:t>
      </w:r>
    </w:p>
    <w:p w14:paraId="38070AE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F</w:t>
      </w:r>
      <w:r>
        <w:rPr>
          <w:rFonts w:hint="eastAsia" w:ascii="宋体" w:hAnsi="宋体" w:cs="宋体"/>
          <w:color w:val="auto"/>
          <w:sz w:val="22"/>
          <w:highlight w:val="none"/>
          <w:vertAlign w:val="subscript"/>
        </w:rPr>
        <w:t>01</w:t>
      </w:r>
      <w:r>
        <w:rPr>
          <w:rFonts w:hint="eastAsia" w:ascii="宋体" w:hAnsi="宋体" w:cs="宋体"/>
          <w:color w:val="auto"/>
          <w:sz w:val="22"/>
          <w:highlight w:val="none"/>
        </w:rPr>
        <w:t>；F</w:t>
      </w:r>
      <w:r>
        <w:rPr>
          <w:rFonts w:hint="eastAsia" w:ascii="宋体" w:hAnsi="宋体" w:cs="宋体"/>
          <w:color w:val="auto"/>
          <w:sz w:val="22"/>
          <w:highlight w:val="none"/>
          <w:vertAlign w:val="subscript"/>
        </w:rPr>
        <w:t>02</w:t>
      </w:r>
      <w:r>
        <w:rPr>
          <w:rFonts w:hint="eastAsia" w:ascii="宋体" w:hAnsi="宋体" w:cs="宋体"/>
          <w:color w:val="auto"/>
          <w:sz w:val="22"/>
          <w:highlight w:val="none"/>
        </w:rPr>
        <w:t>；F</w:t>
      </w:r>
      <w:r>
        <w:rPr>
          <w:rFonts w:hint="eastAsia" w:ascii="宋体" w:hAnsi="宋体" w:cs="宋体"/>
          <w:color w:val="auto"/>
          <w:sz w:val="22"/>
          <w:highlight w:val="none"/>
          <w:vertAlign w:val="subscript"/>
        </w:rPr>
        <w:t>03</w:t>
      </w:r>
      <w:r>
        <w:rPr>
          <w:rFonts w:hint="eastAsia" w:ascii="宋体" w:hAnsi="宋体" w:cs="宋体"/>
          <w:color w:val="auto"/>
          <w:sz w:val="22"/>
          <w:highlight w:val="none"/>
        </w:rPr>
        <w:t>；……F</w:t>
      </w:r>
      <w:r>
        <w:rPr>
          <w:rFonts w:hint="eastAsia" w:ascii="宋体" w:hAnsi="宋体" w:cs="宋体"/>
          <w:color w:val="auto"/>
          <w:sz w:val="22"/>
          <w:highlight w:val="none"/>
          <w:vertAlign w:val="subscript"/>
        </w:rPr>
        <w:t>0n</w:t>
      </w:r>
      <w:r>
        <w:rPr>
          <w:rFonts w:hint="eastAsia" w:ascii="宋体" w:hAnsi="宋体" w:cs="宋体"/>
          <w:color w:val="auto"/>
          <w:sz w:val="22"/>
          <w:highlight w:val="none"/>
        </w:rPr>
        <w:t>---各可调因子的基本价格指数，指基准日期的各可调因子的价格指数。</w:t>
      </w:r>
    </w:p>
    <w:p w14:paraId="70E05F1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4DB0BA4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16.1.1.2 暂时确定调整差额</w:t>
      </w:r>
    </w:p>
    <w:p w14:paraId="40C1B2B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在计算调整差额时得不到现行价格指数的，可暂用上一次价格指数计算，并在以后的付款中再按实际价格指数进行调整。</w:t>
      </w:r>
    </w:p>
    <w:p w14:paraId="5680E7C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16.1.1.3 权重的调整</w:t>
      </w:r>
    </w:p>
    <w:p w14:paraId="381AED0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按第15.1 款约定的变更导致原定合同中的权重不合理时，由监理人与承包人和发包人协商后进行调整。</w:t>
      </w:r>
    </w:p>
    <w:p w14:paraId="160BBBE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16.1.1.4 承包人工期延误后的价格调整</w:t>
      </w:r>
    </w:p>
    <w:p w14:paraId="1EEA2C4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由于承包人原因未在约定的工期内竣工的，则对原约定竣工日期后继续施工的工程，在使用第16.1.1. 1目价格调整公式时，应采用原约定竣工日期与实际竣工日期的两个价格指数中较低的一个作为现行价格指数。</w:t>
      </w:r>
    </w:p>
    <w:p w14:paraId="00AA21D6">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16.1.2  采用造价信息调整价格差额</w:t>
      </w:r>
    </w:p>
    <w:p w14:paraId="0803D8A5">
      <w:pPr>
        <w:spacing w:line="312" w:lineRule="auto"/>
        <w:rPr>
          <w:rFonts w:hint="eastAsia" w:ascii="宋体" w:hAnsi="宋体" w:cs="宋体"/>
          <w:color w:val="auto"/>
          <w:sz w:val="22"/>
          <w:highlight w:val="none"/>
        </w:rPr>
      </w:pPr>
      <w:r>
        <w:rPr>
          <w:rFonts w:hint="eastAsia" w:ascii="宋体" w:hAnsi="宋体" w:cs="宋体"/>
          <w:color w:val="auto"/>
          <w:sz w:val="22"/>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54F6A849">
      <w:pPr>
        <w:spacing w:line="312" w:lineRule="auto"/>
        <w:ind w:firstLine="420"/>
        <w:rPr>
          <w:rFonts w:hint="eastAsia" w:ascii="宋体" w:hAnsi="宋体" w:cs="宋体"/>
          <w:color w:val="auto"/>
          <w:sz w:val="22"/>
          <w:highlight w:val="none"/>
        </w:rPr>
      </w:pPr>
      <w:r>
        <w:rPr>
          <w:rFonts w:hint="eastAsia" w:ascii="宋体" w:hAnsi="宋体" w:cs="宋体"/>
          <w:color w:val="auto"/>
          <w:sz w:val="22"/>
          <w:highlight w:val="none"/>
        </w:rPr>
        <w:t>工程造价信息的来源以及价格调整的项目和系数在专用合同条款中约定。</w:t>
      </w:r>
    </w:p>
    <w:p w14:paraId="53B978EB">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16.2 法律变化引起的价格调整</w:t>
      </w:r>
    </w:p>
    <w:p w14:paraId="3B805B8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在基准日后，因法律变化导致承包人在合同履行中所需要的工程费用发生除第16.1 款约定以外的增减时，监理人应根据法律、国家或省、自治区、直辖市有关部门的规定，按第3.5 款商定或确定需调整的合同价款。</w:t>
      </w:r>
    </w:p>
    <w:p w14:paraId="4B17DDCA">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17  计量与支付</w:t>
      </w:r>
    </w:p>
    <w:p w14:paraId="12DC5F9F">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17.1  计量</w:t>
      </w:r>
    </w:p>
    <w:p w14:paraId="0F81199F">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17.1.1 计量单位</w:t>
      </w:r>
    </w:p>
    <w:p w14:paraId="20B834A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计量采用国家法定的计量单位。</w:t>
      </w:r>
    </w:p>
    <w:p w14:paraId="6907D2CB">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17.1.2  计量方法</w:t>
      </w:r>
    </w:p>
    <w:p w14:paraId="3D690DBC">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结算工程量应按工程量清单中约定的方法计量。</w:t>
      </w:r>
    </w:p>
    <w:p w14:paraId="360E4F9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17.1.3 计量周期</w:t>
      </w:r>
    </w:p>
    <w:p w14:paraId="04BCC2A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除专用合同条款另有约定外，单价子目已完成工程量按月计量，总价子目的计量周期按批准的支付分解报告确定。</w:t>
      </w:r>
    </w:p>
    <w:p w14:paraId="757D48B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17.1.4 单价子目的计量</w:t>
      </w:r>
    </w:p>
    <w:p w14:paraId="778A7EC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（l）已标价工程量清单中的单价子目工程量为估算工程量。结算工程量是承包人实际完成的，并按合同约定的计量方法进行计量的工程量。</w:t>
      </w:r>
    </w:p>
    <w:p w14:paraId="3B46162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（2）承包人对己完成的工程进行计量，向监理人提交进度付款申请单、己完成工程量报表和有关计量资料。</w:t>
      </w:r>
    </w:p>
    <w:p w14:paraId="650689C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（3）监理人对承包人提交的工程量报表进行复核，以确定实际完成的工程量。对数量有异议的，可要求承包人按第8.2 款约定进行共同复核和抽样复测。承包人应协助监理人进行复核并按监理人要求提供补充计量资料。承包人未按监理人要求参加复核，监理人复核或修正的工程量视为承包人实际完成的工程量。</w:t>
      </w:r>
    </w:p>
    <w:p w14:paraId="1A23952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（4）监理人认为有必要时，可通知承包人共同进行联合测量、计量，承包人应遵照执行。</w:t>
      </w:r>
    </w:p>
    <w:p w14:paraId="6ED8156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14:paraId="31F08FD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（6）监理人应在收到承包人提交的工程量报表后的7 天内进行复核，监理人未在约定时间内复核的，承包人提交的工程量报表中的工程量视为承包人实际完成的工程量，据此计算工程价款。</w:t>
      </w:r>
    </w:p>
    <w:p w14:paraId="755D18A2">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17.1.5  总价子目的计量</w:t>
      </w:r>
    </w:p>
    <w:p w14:paraId="05FEE752">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总价子目的分解和计量按照下述约定进行。</w:t>
      </w:r>
    </w:p>
    <w:p w14:paraId="7ED7D8E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（1）总价子目的计量和支付应以总价为基础，不因第16.1款中的因素而进行调整。承包人实际完成的工程量，是进行工程目标管理和控制进度支付的依据。</w:t>
      </w:r>
    </w:p>
    <w:p w14:paraId="184C6F8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778B426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（3）监理人对承包人提交的上述资料进行复核，以确定分阶段实际完成的工程量和工程形象目标。对其有异议的，可要求承包人按第8.2款约定进行共同复核和抽样复测。</w:t>
      </w:r>
    </w:p>
    <w:p w14:paraId="03E638CD">
      <w:pPr>
        <w:spacing w:line="312" w:lineRule="auto"/>
        <w:ind w:firstLine="470"/>
        <w:rPr>
          <w:rFonts w:hint="eastAsia" w:ascii="宋体" w:hAnsi="宋体" w:cs="宋体"/>
          <w:color w:val="auto"/>
          <w:sz w:val="22"/>
          <w:highlight w:val="none"/>
        </w:rPr>
      </w:pPr>
      <w:r>
        <w:rPr>
          <w:rFonts w:hint="eastAsia" w:ascii="宋体" w:hAnsi="宋体" w:cs="宋体"/>
          <w:color w:val="auto"/>
          <w:sz w:val="22"/>
          <w:highlight w:val="none"/>
        </w:rPr>
        <w:t>（4）除按照第15条约定的变更外，总价子目的工程量是承包人用于结算的最终工程量。</w:t>
      </w:r>
    </w:p>
    <w:p w14:paraId="04E94D09">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17.2  预付款</w:t>
      </w:r>
    </w:p>
    <w:p w14:paraId="7DA7D3E3">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17.2.1  预付款</w:t>
      </w:r>
    </w:p>
    <w:p w14:paraId="206088A9">
      <w:pPr>
        <w:spacing w:line="312" w:lineRule="auto"/>
        <w:rPr>
          <w:rFonts w:hint="eastAsia" w:ascii="宋体" w:hAnsi="宋体" w:cs="宋体"/>
          <w:color w:val="auto"/>
          <w:sz w:val="22"/>
          <w:highlight w:val="none"/>
        </w:rPr>
      </w:pPr>
      <w:r>
        <w:rPr>
          <w:rFonts w:hint="eastAsia" w:ascii="宋体" w:hAnsi="宋体" w:cs="宋体"/>
          <w:color w:val="auto"/>
          <w:sz w:val="22"/>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547A5C09">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17.2.2  预付款保函（担保）</w:t>
      </w:r>
    </w:p>
    <w:p w14:paraId="107FFF91">
      <w:pPr>
        <w:spacing w:line="312" w:lineRule="auto"/>
        <w:rPr>
          <w:rFonts w:hint="eastAsia" w:ascii="宋体" w:hAnsi="宋体" w:cs="宋体"/>
          <w:color w:val="auto"/>
          <w:sz w:val="22"/>
          <w:highlight w:val="none"/>
        </w:rPr>
      </w:pPr>
      <w:r>
        <w:rPr>
          <w:rFonts w:hint="eastAsia" w:ascii="宋体" w:hAnsi="宋体" w:cs="宋体"/>
          <w:color w:val="auto"/>
          <w:sz w:val="22"/>
          <w:highlight w:val="none"/>
        </w:rPr>
        <w:t>（1）承包人应在收到第一次工程预付款的同时向发包人提交工程预付款担保，担保金额应与第一次工程预付款金额相同，工程预付款担保在第一次工程预付款被发包人扣回前一直有效。</w:t>
      </w:r>
    </w:p>
    <w:p w14:paraId="58C600D8">
      <w:pPr>
        <w:spacing w:line="312" w:lineRule="auto"/>
        <w:rPr>
          <w:rFonts w:hint="eastAsia" w:ascii="宋体" w:hAnsi="宋体" w:cs="宋体"/>
          <w:color w:val="auto"/>
          <w:sz w:val="22"/>
          <w:highlight w:val="none"/>
        </w:rPr>
      </w:pPr>
      <w:r>
        <w:rPr>
          <w:rFonts w:hint="eastAsia" w:ascii="宋体" w:hAnsi="宋体" w:cs="宋体"/>
          <w:color w:val="auto"/>
          <w:sz w:val="22"/>
          <w:highlight w:val="none"/>
        </w:rPr>
        <w:t>（2）工程材料预付款的担保在专用合同条款中约定。</w:t>
      </w:r>
    </w:p>
    <w:p w14:paraId="1B8A747E">
      <w:pPr>
        <w:spacing w:line="312" w:lineRule="auto"/>
        <w:rPr>
          <w:rFonts w:hint="eastAsia" w:ascii="宋体" w:hAnsi="宋体" w:cs="宋体"/>
          <w:color w:val="auto"/>
          <w:sz w:val="22"/>
          <w:highlight w:val="none"/>
        </w:rPr>
      </w:pPr>
      <w:r>
        <w:rPr>
          <w:rFonts w:hint="eastAsia" w:ascii="宋体" w:hAnsi="宋体" w:cs="宋体"/>
          <w:color w:val="auto"/>
          <w:sz w:val="22"/>
          <w:highlight w:val="none"/>
        </w:rPr>
        <w:t>（3）预付款担保的担保金额可根据预付款扣回的金额相应递减</w:t>
      </w:r>
    </w:p>
    <w:p w14:paraId="71A49049">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17.2.3  预付款的扣回与还清</w:t>
      </w:r>
    </w:p>
    <w:p w14:paraId="3FF07238">
      <w:pPr>
        <w:spacing w:line="312" w:lineRule="auto"/>
        <w:rPr>
          <w:rFonts w:hint="eastAsia" w:ascii="宋体" w:hAnsi="宋体" w:cs="宋体"/>
          <w:color w:val="auto"/>
          <w:sz w:val="22"/>
          <w:highlight w:val="none"/>
        </w:rPr>
      </w:pPr>
      <w:r>
        <w:rPr>
          <w:rFonts w:hint="eastAsia" w:ascii="宋体" w:hAnsi="宋体" w:cs="宋体"/>
          <w:color w:val="auto"/>
          <w:sz w:val="22"/>
          <w:highlight w:val="non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35D6FCDD">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17.3 工程进度付款</w:t>
      </w:r>
    </w:p>
    <w:p w14:paraId="7C40EBFA">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17.3.1 付款周期</w:t>
      </w:r>
    </w:p>
    <w:p w14:paraId="4789C453">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付款周期同计量周期。</w:t>
      </w:r>
    </w:p>
    <w:p w14:paraId="05FB34CA">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17.3.2 进度付款申请单</w:t>
      </w:r>
    </w:p>
    <w:p w14:paraId="710534BF">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承包人应在每个付款周期末，按监理人批准的格式和专用合同条款约定的份数，向监理人提交进度付款中请单，并附相应的支持性证明文件。除专用合同条款另有约定外，进度付款申请单应包括下列内容：</w:t>
      </w:r>
    </w:p>
    <w:p w14:paraId="6D9D4658">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（l）截至本次付款周期末己实施工程的价款；</w:t>
      </w:r>
    </w:p>
    <w:p w14:paraId="01504426">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（2）根据第23条应增加和扣减的变更金额；</w:t>
      </w:r>
    </w:p>
    <w:p w14:paraId="37D8756A">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（3）根据第23 条应增加和扣减的索赔金额；</w:t>
      </w:r>
    </w:p>
    <w:p w14:paraId="0FB42049">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（4）根据第17.2 款约定应支付的预付款和扣减的返还预付款；</w:t>
      </w:r>
    </w:p>
    <w:p w14:paraId="0FEDAA17">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（5）根据第17.4.1 项约定应扣减的质量保证金；</w:t>
      </w:r>
    </w:p>
    <w:p w14:paraId="59D854C4">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（6）根据合同应增加和扣减的其他金额。</w:t>
      </w:r>
    </w:p>
    <w:p w14:paraId="7788A2BE">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17.3.3 进度付款证书和支付时间</w:t>
      </w:r>
    </w:p>
    <w:p w14:paraId="179A3E13">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656D0DDE">
      <w:pPr>
        <w:spacing w:line="312" w:lineRule="auto"/>
        <w:ind w:firstLine="408"/>
        <w:rPr>
          <w:rFonts w:hint="eastAsia" w:ascii="宋体" w:hAnsi="宋体" w:cs="宋体"/>
          <w:color w:val="auto"/>
          <w:sz w:val="22"/>
          <w:highlight w:val="none"/>
        </w:rPr>
      </w:pPr>
      <w:r>
        <w:rPr>
          <w:rFonts w:hint="eastAsia" w:ascii="宋体" w:hAnsi="宋体" w:cs="宋体"/>
          <w:color w:val="auto"/>
          <w:sz w:val="22"/>
          <w:highlight w:val="none"/>
        </w:rPr>
        <w:t>（2）发包人应在监理人收到进度付款中请单后的28 天内，将进度应付款支付给承包人。发包人不按期支付的，按专用合同条款的约定支付逾期付款违约金。</w:t>
      </w:r>
    </w:p>
    <w:p w14:paraId="45DB58DB">
      <w:pPr>
        <w:spacing w:line="312" w:lineRule="auto"/>
        <w:ind w:firstLine="408"/>
        <w:rPr>
          <w:rFonts w:hint="eastAsia" w:ascii="宋体" w:hAnsi="宋体" w:cs="宋体"/>
          <w:color w:val="auto"/>
          <w:sz w:val="22"/>
          <w:highlight w:val="none"/>
        </w:rPr>
      </w:pPr>
      <w:r>
        <w:rPr>
          <w:rFonts w:hint="eastAsia" w:ascii="宋体" w:hAnsi="宋体" w:cs="宋体"/>
          <w:color w:val="auto"/>
          <w:sz w:val="22"/>
          <w:highlight w:val="none"/>
        </w:rPr>
        <w:t>（3）监理人出具进度付款证书，不应视为监理人己同意、批准或接受了承包人完成的该部分工作。</w:t>
      </w:r>
    </w:p>
    <w:p w14:paraId="76CA3C96">
      <w:pPr>
        <w:spacing w:line="312" w:lineRule="auto"/>
        <w:ind w:firstLine="408"/>
        <w:rPr>
          <w:rFonts w:hint="eastAsia" w:ascii="宋体" w:hAnsi="宋体" w:cs="宋体"/>
          <w:color w:val="auto"/>
          <w:sz w:val="22"/>
          <w:highlight w:val="none"/>
        </w:rPr>
      </w:pPr>
      <w:r>
        <w:rPr>
          <w:rFonts w:hint="eastAsia" w:ascii="宋体" w:hAnsi="宋体" w:cs="宋体"/>
          <w:color w:val="auto"/>
          <w:sz w:val="22"/>
          <w:highlight w:val="none"/>
        </w:rPr>
        <w:t>（4）进度付款涉及政府投资资金的，按照国库集中支付等国家相关规定和专用合同条款的约定办理。</w:t>
      </w:r>
    </w:p>
    <w:p w14:paraId="709FABC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17.3.4 工程进度付款的修正</w:t>
      </w:r>
    </w:p>
    <w:p w14:paraId="4D19A48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6E368C9E">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17.4  质量保证金</w:t>
      </w:r>
    </w:p>
    <w:p w14:paraId="43EDAB57">
      <w:pPr>
        <w:adjustRightInd w:val="0"/>
        <w:snapToGrid w:val="0"/>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17.4.1 款修改如下：</w:t>
      </w:r>
    </w:p>
    <w:p w14:paraId="73C2C0D0">
      <w:pPr>
        <w:adjustRightInd w:val="0"/>
        <w:snapToGrid w:val="0"/>
        <w:spacing w:line="312" w:lineRule="auto"/>
        <w:ind w:left="330" w:leftChars="157" w:firstLine="440" w:firstLineChars="200"/>
        <w:rPr>
          <w:rFonts w:hint="eastAsia" w:ascii="宋体" w:hAnsi="宋体" w:cs="宋体"/>
          <w:color w:val="auto"/>
          <w:sz w:val="22"/>
          <w:highlight w:val="none"/>
        </w:rPr>
      </w:pPr>
      <w:r>
        <w:rPr>
          <w:rFonts w:hint="eastAsia" w:ascii="宋体" w:hAnsi="宋体" w:cs="宋体"/>
          <w:color w:val="auto"/>
          <w:sz w:val="22"/>
          <w:highlight w:val="none"/>
        </w:rPr>
        <w:t>质量保证金为财政部门最终审定工程结算价款的3%，以有效的银行保函形式代替。</w:t>
      </w:r>
    </w:p>
    <w:p w14:paraId="497DF31B">
      <w:pPr>
        <w:adjustRightInd w:val="0"/>
        <w:snapToGrid w:val="0"/>
        <w:spacing w:line="312" w:lineRule="auto"/>
        <w:rPr>
          <w:rFonts w:hint="eastAsia" w:ascii="宋体" w:hAnsi="宋体" w:cs="宋体"/>
          <w:color w:val="auto"/>
          <w:sz w:val="22"/>
          <w:highlight w:val="none"/>
        </w:rPr>
      </w:pPr>
      <w:r>
        <w:rPr>
          <w:rFonts w:hint="eastAsia" w:ascii="宋体" w:hAnsi="宋体" w:cs="宋体"/>
          <w:color w:val="auto"/>
          <w:sz w:val="22"/>
          <w:highlight w:val="none"/>
        </w:rPr>
        <w:t>增加：</w:t>
      </w:r>
    </w:p>
    <w:p w14:paraId="19D12C4E">
      <w:pPr>
        <w:adjustRightInd w:val="0"/>
        <w:snapToGrid w:val="0"/>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17.4.2中标单位提交了银行保函、保证保险后，本项目不再扣留工程质量保证金。</w:t>
      </w:r>
    </w:p>
    <w:p w14:paraId="26EC2046">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17.5  竣工结算（完工结算）</w:t>
      </w:r>
    </w:p>
    <w:p w14:paraId="7A305ADC">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17.5.1  竣工（完工）付款申请单</w:t>
      </w:r>
    </w:p>
    <w:p w14:paraId="3DBDBB7B">
      <w:pPr>
        <w:spacing w:line="312" w:lineRule="auto"/>
        <w:ind w:firstLine="420"/>
        <w:rPr>
          <w:rFonts w:hint="eastAsia" w:ascii="宋体" w:hAnsi="宋体" w:cs="宋体"/>
          <w:color w:val="auto"/>
          <w:sz w:val="22"/>
          <w:highlight w:val="none"/>
        </w:rPr>
      </w:pPr>
      <w:r>
        <w:rPr>
          <w:rFonts w:hint="eastAsia" w:ascii="宋体" w:hAnsi="宋体" w:cs="宋体"/>
          <w:color w:val="auto"/>
          <w:sz w:val="22"/>
          <w:highlight w:val="none"/>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7017B1E8">
      <w:pPr>
        <w:spacing w:line="312" w:lineRule="auto"/>
        <w:rPr>
          <w:rFonts w:hint="eastAsia" w:ascii="宋体" w:hAnsi="宋体" w:cs="宋体"/>
          <w:color w:val="auto"/>
          <w:sz w:val="22"/>
          <w:highlight w:val="none"/>
        </w:rPr>
      </w:pPr>
      <w:r>
        <w:rPr>
          <w:rFonts w:hint="eastAsia" w:ascii="宋体" w:hAnsi="宋体" w:cs="宋体"/>
          <w:color w:val="auto"/>
          <w:sz w:val="22"/>
          <w:highlight w:val="none"/>
        </w:rPr>
        <w:t>（2）监理人对完工付款申请单有异议的，有权要求承包人进行修正和提供补充资料</w:t>
      </w:r>
    </w:p>
    <w:p w14:paraId="05BC684A">
      <w:pPr>
        <w:spacing w:line="312" w:lineRule="auto"/>
        <w:rPr>
          <w:rFonts w:hint="eastAsia" w:ascii="宋体" w:hAnsi="宋体" w:cs="宋体"/>
          <w:color w:val="auto"/>
          <w:sz w:val="22"/>
          <w:highlight w:val="none"/>
        </w:rPr>
      </w:pPr>
      <w:r>
        <w:rPr>
          <w:rFonts w:hint="eastAsia" w:ascii="宋体" w:hAnsi="宋体" w:cs="宋体"/>
          <w:color w:val="auto"/>
          <w:sz w:val="22"/>
          <w:highlight w:val="none"/>
        </w:rPr>
        <w:t>监理人和承包人协商后，由承包人向监理人提交修正后的完工付款申请单。</w:t>
      </w:r>
    </w:p>
    <w:p w14:paraId="34C00239">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17.5.2  竣工（完工）付款证书及支付时间</w:t>
      </w:r>
    </w:p>
    <w:p w14:paraId="4819A2EE">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内审核又未提出具体意见的，监理人提出发包人到期应支付给承包人的价款视为已经发包人同意。</w:t>
      </w:r>
    </w:p>
    <w:p w14:paraId="5BFD0E83">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（2）发包人应在监理人出具完工付款证书后的14天内，将应支付款支付给承包人。发包人不按期支付的，按第17.3.3（2）目的约定，将逾期付款违约金支付给承包人。</w:t>
      </w:r>
    </w:p>
    <w:p w14:paraId="0AAA0D7F">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（3）承包人对发包人签认的完工付款证书有异议的，发包人可出具完工付款申请单中承包人已同意部分的临时付款证书。存在争议的部分，按第24条的约定办理。</w:t>
      </w:r>
    </w:p>
    <w:p w14:paraId="7C443663">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（4）完工付款涉及政府投资资金的，按第17.3.3（4）目的约定办理。</w:t>
      </w:r>
    </w:p>
    <w:p w14:paraId="0E407946">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17.6  最终结清</w:t>
      </w:r>
    </w:p>
    <w:p w14:paraId="678DD541">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 xml:space="preserve"> 17.6.1  最终结清申请单</w:t>
      </w:r>
    </w:p>
    <w:p w14:paraId="7C319498">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（1）工程质量保修责任终止证书签发后，承包人应按监理人批准的格式提交最终结清申请单。提交最终结清申请单的份数在专用合同条款中约定。</w:t>
      </w:r>
    </w:p>
    <w:p w14:paraId="1D60F2F9">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（2）发包人对最终结清申请单内容有异议的，有权要求承包人进行修正和提供补充资料，由承包人向监理人提交修正后的最终结清申请单。</w:t>
      </w:r>
    </w:p>
    <w:p w14:paraId="65332460">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17.6.2 最终结清证书和支付时间</w:t>
      </w:r>
    </w:p>
    <w:p w14:paraId="7B1DFF60">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己经监理人核查同意；发包人未在约定时间内审核又未提出具体意见的，监理人提出应支付给承包人的价款视为已经发包人同意。</w:t>
      </w:r>
    </w:p>
    <w:p w14:paraId="40BB736C">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（2）发包人应在监理人出具最终结清证书后的14 天内，将应支付款支付给承包人。</w:t>
      </w:r>
    </w:p>
    <w:p w14:paraId="0B650B99">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发包人不按期支付的，按第17.3.3（2）目的约定，将逾期付款违约金支付给承包人。</w:t>
      </w:r>
    </w:p>
    <w:p w14:paraId="0F5ABC2D">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（3）承包人对发包人签认的最终结清证书有异议的，按第24条的约定办理。</w:t>
      </w:r>
    </w:p>
    <w:p w14:paraId="61369FA0">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（4）最终结清付款涉及政府投资资金的，按第17.3.3（4）目的约定办理。</w:t>
      </w:r>
    </w:p>
    <w:p w14:paraId="49B2AC93">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17.7  竣工财务决算</w:t>
      </w:r>
    </w:p>
    <w:p w14:paraId="375D3296">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发包人负责编制本工程竣工财务决算，承包人应按专用合同条款的约定提供竣工财务决算编制所需的相关材料。</w:t>
      </w:r>
    </w:p>
    <w:p w14:paraId="1ADA51BD">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17.8  竣工审计</w:t>
      </w:r>
    </w:p>
    <w:p w14:paraId="69DCF31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发包人负责完成本工程竣工审计手续，承包人应完成相关配合工作。</w:t>
      </w:r>
    </w:p>
    <w:p w14:paraId="30B23C2D">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18  竣工验收（验收）</w:t>
      </w:r>
    </w:p>
    <w:p w14:paraId="2D68D133">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18.1  验收工作分类</w:t>
      </w:r>
    </w:p>
    <w:p w14:paraId="38C8E587">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5C8104CF">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18.2  分部工程验收</w:t>
      </w:r>
    </w:p>
    <w:p w14:paraId="4349FAF9">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18.2.1  分部工程具备验收条件时，承包人应向发包人提交验收申请报告，发包人应在收到验收申请报告之日起10个工作日内决定是否同意进行验收。</w:t>
      </w:r>
    </w:p>
    <w:p w14:paraId="2088AB52">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18.2.2  除专用合同条款另有约定外，监理人主持分部工程验收，承包人应派符合条件的代表参加验收工作组。</w:t>
      </w:r>
    </w:p>
    <w:p w14:paraId="7A123702">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18.2.3  分部工程验收通过后，发包人向承包人发送分部工程验收鉴定书。承包人应及时完成分部工程验收鉴定书载明应由承包人处理的遗留问题。</w:t>
      </w:r>
    </w:p>
    <w:p w14:paraId="2887FF50">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18.3  单位工程验收</w:t>
      </w:r>
    </w:p>
    <w:p w14:paraId="00535541">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18.3.1  单位工程具备验收条件时，承包人应向发包人提交验收申请报告，发包人应在收到验收申请报告之日起10个工作日内决定是否同意进行验收。</w:t>
      </w:r>
    </w:p>
    <w:p w14:paraId="54E41DAD">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18.3.2  发包人主持单位工程验收，承包人应派符合条件的代表参加验收工作组。</w:t>
      </w:r>
    </w:p>
    <w:p w14:paraId="35537042">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18.3.3  单位工程验收通过后，发包人向承包人发送单位工程验收鉴定书。承包人应及时完成单位工程验收鉴定书载明应由承包人处理的遗留问题。</w:t>
      </w:r>
    </w:p>
    <w:p w14:paraId="76D5E7BA">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18.3.4  需提前投入使用的单位工程在专用合同条款中明确。</w:t>
      </w:r>
    </w:p>
    <w:p w14:paraId="01EEC145">
      <w:pPr>
        <w:spacing w:line="312" w:lineRule="auto"/>
        <w:rPr>
          <w:rFonts w:hint="eastAsia" w:ascii="宋体" w:hAnsi="宋体" w:cs="宋体"/>
          <w:color w:val="auto"/>
          <w:sz w:val="22"/>
          <w:highlight w:val="none"/>
        </w:rPr>
      </w:pPr>
      <w:r>
        <w:rPr>
          <w:rFonts w:hint="eastAsia" w:ascii="宋体" w:hAnsi="宋体" w:cs="宋体"/>
          <w:b/>
          <w:color w:val="auto"/>
          <w:sz w:val="22"/>
          <w:highlight w:val="none"/>
        </w:rPr>
        <w:t>18.4  合同工程完工验收</w:t>
      </w:r>
    </w:p>
    <w:p w14:paraId="20C07B4F">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18.4.1  合同工程具备验收条件时，承包人应向发包人提交验收申请报告，发包人应在收到验收申请报告之日起20个工作日内决定是否同意进行验收。</w:t>
      </w:r>
    </w:p>
    <w:p w14:paraId="6F076BEC">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18.4.2  发包人主持合同工程完工验收，承包人应派代表参加验收工作组。</w:t>
      </w:r>
    </w:p>
    <w:p w14:paraId="522AD99F">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18.4.3  合同工程完工验收通过后，发包人向承包人发送合同工程完工验收鉴定书。承包人应及时完成合同工程完工验收鉴定书载明应由承包人处理的遗留问题。</w:t>
      </w:r>
    </w:p>
    <w:p w14:paraId="5077D7BA">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7004A83D">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18.5  阶段验收</w:t>
      </w:r>
    </w:p>
    <w:p w14:paraId="3AEF5183">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18.5.1工程建设具备阶段验收条件时，发包人负责提出阶段验收申请报告。承包人应派代表参加阶段验收：并作为被验收单位在验收鉴定书上签字。阶段验收的具体类别在专用合同条款中约定。</w:t>
      </w:r>
    </w:p>
    <w:p w14:paraId="5074174B">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18.5.2承包人应及时完成阶段验收鉴定书载明应由承包人处理的遗留问题。</w:t>
      </w:r>
    </w:p>
    <w:p w14:paraId="69C4426C">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18.6  专项验收</w:t>
      </w:r>
    </w:p>
    <w:p w14:paraId="00DA0318">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18.6.1发包人负责提出专项验收申请报告。承包人应按专项验收的相关规定参加专项验收。专项验收的具体类别在专用合同条款中约定。</w:t>
      </w:r>
    </w:p>
    <w:p w14:paraId="3100839A">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18.6.2承包人应及时完成专项验收成果性文件载明应由承包人处理的遗留问题。</w:t>
      </w:r>
    </w:p>
    <w:p w14:paraId="1CDCEC82">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18.7  竣工验收</w:t>
      </w:r>
    </w:p>
    <w:p w14:paraId="2383ACCF">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18.7.1  申请竣工验收前，发包人组织竣工验收自查，承包人应派代表参加。</w:t>
      </w:r>
    </w:p>
    <w:p w14:paraId="3CCD5758">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18.7.2  竣工验收分为竣工技术预验收和竣工验收两个阶段。发包人应通知承包人派代表参加技术预验收和竣工验收。</w:t>
      </w:r>
    </w:p>
    <w:p w14:paraId="3C2E5917">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18.7.3  专用合同条款约定工程需要进行技术鉴定的，承包人应提交有关资料并完成配合工作。</w:t>
      </w:r>
    </w:p>
    <w:p w14:paraId="46C3D03A">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18.7.4  竣工验收需要进行质量检测的，所需费用由发包人承担，但因承包人原因造成质量不合格的除外。</w:t>
      </w:r>
    </w:p>
    <w:p w14:paraId="787D882D">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18.7.5  工程质量保修期满以及竣工验收遗留问题和尾工处理完成并通过验收后，发包人负责将处理情况和验收成果报送竣工验收主持单位，申请领取工程竣工证书，并发送承包人。</w:t>
      </w:r>
    </w:p>
    <w:p w14:paraId="6875D97C">
      <w:pPr>
        <w:spacing w:line="312" w:lineRule="auto"/>
        <w:rPr>
          <w:rFonts w:hint="eastAsia" w:ascii="宋体" w:hAnsi="宋体" w:cs="宋体"/>
          <w:color w:val="auto"/>
          <w:sz w:val="22"/>
          <w:highlight w:val="none"/>
        </w:rPr>
      </w:pPr>
      <w:r>
        <w:rPr>
          <w:rFonts w:hint="eastAsia" w:ascii="宋体" w:hAnsi="宋体" w:cs="宋体"/>
          <w:b/>
          <w:color w:val="auto"/>
          <w:sz w:val="22"/>
          <w:highlight w:val="none"/>
        </w:rPr>
        <w:t>18.8  施工期运行</w:t>
      </w:r>
    </w:p>
    <w:p w14:paraId="08B7CE42">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114E8DAC">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18.8.2  在施工期运行中发现工程或工程设备损坏或存在缺陷的，由承包人按第19.2款约定进行修复。</w:t>
      </w:r>
    </w:p>
    <w:p w14:paraId="59318C8B">
      <w:pPr>
        <w:spacing w:line="312" w:lineRule="auto"/>
        <w:rPr>
          <w:rFonts w:hint="eastAsia" w:ascii="宋体" w:hAnsi="宋体" w:cs="宋体"/>
          <w:color w:val="auto"/>
          <w:sz w:val="22"/>
          <w:highlight w:val="none"/>
        </w:rPr>
      </w:pPr>
      <w:r>
        <w:rPr>
          <w:rFonts w:hint="eastAsia" w:ascii="宋体" w:hAnsi="宋体" w:cs="宋体"/>
          <w:b/>
          <w:color w:val="auto"/>
          <w:sz w:val="22"/>
          <w:highlight w:val="none"/>
        </w:rPr>
        <w:t>18.9  试运行</w:t>
      </w:r>
    </w:p>
    <w:p w14:paraId="6BDDA62F">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18.9.1  除专用合同条款另有约定外，承包人应按规定进行工程及工程设备试运行，负责提供试运行所需的人员、器材和必要的条件，并承担全部试运行费用。</w:t>
      </w:r>
    </w:p>
    <w:p w14:paraId="7D8F54F3">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AC9C0C7">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18.10  竣工（完工）清场</w:t>
      </w:r>
    </w:p>
    <w:p w14:paraId="58AD6E5D">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18.10.1  工程竣工（完工）清场的工作范围和内容在技术标准和要求（合同技术条款）中约定。</w:t>
      </w:r>
    </w:p>
    <w:p w14:paraId="4BEA3D17">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18.10.2  承包人未按监理人的要求恢复临时占地，或者场地清理未达到合同约定的，发包人有权委托其它人恢复或清理，所发生的金额从拟支付给承包人的款项中扣除。</w:t>
      </w:r>
    </w:p>
    <w:p w14:paraId="5027E1E9">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18.11  施工队伍的撤离</w:t>
      </w:r>
    </w:p>
    <w:p w14:paraId="055801D9">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00D3B8A0">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19  缺陷责任与保修责任</w:t>
      </w:r>
    </w:p>
    <w:p w14:paraId="76E762CB">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19.1  缺陷责任期（工程质量保修期）的起算时间</w:t>
      </w:r>
    </w:p>
    <w:p w14:paraId="4371176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2B5F22BD">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19.2 缺陷责任</w:t>
      </w:r>
    </w:p>
    <w:p w14:paraId="09D7639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19.2.1 承包人应在缺陷责任期内对己交付使用的工程承担缺陷责任。</w:t>
      </w:r>
    </w:p>
    <w:p w14:paraId="3174DBA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19.2.2 缺陷责任期内，发包人对己接收使用的工程负责日常维护工作。发包人在使用过程中，发现己接收的工程存在新的缺陷或已修复的缺陷部位或部件又遭损坏的，承包人应负责修复，直至检验合格为止。</w:t>
      </w:r>
    </w:p>
    <w:p w14:paraId="72AB419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2DEE4A7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19.2.4 承包人不能在合理时间内修复缺陷的，发包人可自行修复或委托其他人修复，所需费用和利润的承担，按第19.2.3 项约定办理。</w:t>
      </w:r>
    </w:p>
    <w:p w14:paraId="5FE20682">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19.3 缺陷责任期的延长</w:t>
      </w:r>
    </w:p>
    <w:p w14:paraId="1351049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3C28509A">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19.4 进一步试验和试运行</w:t>
      </w:r>
    </w:p>
    <w:p w14:paraId="0205E38F">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任何一项缺陷或损坏修复后，经检查证明其影响了工程或工程设备的使用性能，承包人应重新进行合同约定的试验和试运行，试验和试运行的全部费用应由责任方承担。</w:t>
      </w:r>
    </w:p>
    <w:p w14:paraId="6EDD5C24">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19.5 承包人的进入权</w:t>
      </w:r>
    </w:p>
    <w:p w14:paraId="1E06A91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缺陷责任期内承包人为缺陷修复工作需要，有权进入工程现场，但应遵守发包人的保安和保密规定。</w:t>
      </w:r>
    </w:p>
    <w:p w14:paraId="7838F2B9">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19.6  缺陷责任期终止证书（工程质量保修责任终止证书）</w:t>
      </w:r>
    </w:p>
    <w:p w14:paraId="27E355EC">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合同工程完工验收或投入使用验收后，发包人与承包人应办理工程交接手续，承包人应向发包人递交工程质量保修书。</w:t>
      </w:r>
    </w:p>
    <w:p w14:paraId="6EF8A209">
      <w:pPr>
        <w:spacing w:line="312"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缺陷责任期（工程质量保修期）满后30个工作日内，发包人应向承包人颁发工程质量保修责任终止证书，并退还剩余的质量保证金，但保修责任范围内的质量缺陷未处理完成的应除外。</w:t>
      </w:r>
    </w:p>
    <w:p w14:paraId="57472244">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19.7 保修责任</w:t>
      </w:r>
    </w:p>
    <w:p w14:paraId="52B428D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30096DEF">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20  保险</w:t>
      </w:r>
    </w:p>
    <w:p w14:paraId="5682D2A3">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20.1 工程保险</w:t>
      </w:r>
    </w:p>
    <w:p w14:paraId="6404CA7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1FFA7CE2">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20.2 人员工伤事故的保险</w:t>
      </w:r>
    </w:p>
    <w:p w14:paraId="152654D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20.2.1 承包人员工伤事故的保险</w:t>
      </w:r>
    </w:p>
    <w:p w14:paraId="0F86424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承包人应依照有关法律规定参加工伤保险，为其履行合同所雇佣的全部人员，缴纳工伤保险费，并要求其分包人也进行此项保险。</w:t>
      </w:r>
    </w:p>
    <w:p w14:paraId="7E80069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20.2.2 发包人员工伤事故的保险</w:t>
      </w:r>
    </w:p>
    <w:p w14:paraId="648CD08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发包人应依照有关法律规定参加工伤保险，为其现场机构雇佣的全部人员，缴纳工伤保险费，并要求其监理人也进行此项保险。</w:t>
      </w:r>
    </w:p>
    <w:p w14:paraId="3D02B215">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20.3 人身意外伤害险</w:t>
      </w:r>
    </w:p>
    <w:p w14:paraId="6EBE21A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20.3.1 发包人应在整个施工期间为其现场机构雇用的全部人员，投保人身意外伤害险，缴纳保险费，并要求其监理人也进行此项保险。</w:t>
      </w:r>
    </w:p>
    <w:p w14:paraId="7BD49E7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20.3.2 承包人应在整个施工期间为其现场机构雇用的全部人员，投保人身意外伤害险，缴纳保险费，并要求其分包人也进行此项保险。</w:t>
      </w:r>
    </w:p>
    <w:p w14:paraId="479C080F">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20.4 第三者责任险</w:t>
      </w:r>
    </w:p>
    <w:p w14:paraId="77399F1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021E613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20.4.2 在缺陷责任期终止证书颁发前，承包人应以承包人和发包人的共同名义，投保第20.4.1 项约定的第三者责任险，其保险费率、保险金额等有关内容在专用合同条款中约定。</w:t>
      </w:r>
    </w:p>
    <w:p w14:paraId="505FF1C9">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20.5 其他保险</w:t>
      </w:r>
    </w:p>
    <w:p w14:paraId="61D76AA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除专用合同条款另有约定外，承包人应为其施工设备、进场的材料和工程设备等办理保险。</w:t>
      </w:r>
    </w:p>
    <w:p w14:paraId="5BB9ADF2">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20.6  对各项保险的一般要求</w:t>
      </w:r>
    </w:p>
    <w:p w14:paraId="2D9CFFB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20.6.1 保险凭证</w:t>
      </w:r>
    </w:p>
    <w:p w14:paraId="5507DA9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承包人应在专用合同条款约定的期限内向发包人提交各项保险生效的证据和保险单副本，保险单必须与专用合同条款约定的条件保持一致。</w:t>
      </w:r>
    </w:p>
    <w:p w14:paraId="7BDEE30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20.6.2 保险合同条款的变动</w:t>
      </w:r>
    </w:p>
    <w:p w14:paraId="4D94893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承包人需要变动保险合同条款时，应事先征得发包人同意，并通知监理人。保险人作出变动的，承包人应在收到保险人通知后立即通知发包人和监理人。</w:t>
      </w:r>
    </w:p>
    <w:p w14:paraId="6D76134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20.6.3 持续保险</w:t>
      </w:r>
    </w:p>
    <w:p w14:paraId="3321199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承包人应与保险人保持联系，使保险人能够随时了解工程实施中的变动，并确保按保险合同条款要求持续保险。</w:t>
      </w:r>
    </w:p>
    <w:p w14:paraId="571649F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20.6.4  保险金不足以补偿损失时，应由承包人和发包人各自负责补偿的范围和金额在专用合同条款中约定。</w:t>
      </w:r>
    </w:p>
    <w:p w14:paraId="06D0776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20.6.5 未按约定投保的补救</w:t>
      </w:r>
    </w:p>
    <w:p w14:paraId="428C406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（l）由于负有投保义务的一方当事人未按合同约定办理保险，或未能使保险持续有效的，另一方当事人可代为办理，所需费用由对方当事人承担。</w:t>
      </w:r>
    </w:p>
    <w:p w14:paraId="5DD73F9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（2）由于负有投保义务的一方当事人未按合同约定办理某项保险，导致受益人未能得到保险人的赔偿，原应从该项保险得到的保险金应由负有投保义务的一方当事人支付。</w:t>
      </w:r>
    </w:p>
    <w:p w14:paraId="0E47C3C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20.6.6 报告义务</w:t>
      </w:r>
    </w:p>
    <w:p w14:paraId="454F414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当保险事故发生时，投保人应按照保险单规定的条件和期限及时向保险人报告。</w:t>
      </w:r>
    </w:p>
    <w:p w14:paraId="4D2FC7A6">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20.7  风险责任的转移</w:t>
      </w:r>
    </w:p>
    <w:p w14:paraId="1DBF654F">
      <w:pPr>
        <w:spacing w:line="312" w:lineRule="auto"/>
        <w:rPr>
          <w:rFonts w:hint="eastAsia" w:ascii="宋体" w:hAnsi="宋体" w:cs="宋体"/>
          <w:color w:val="auto"/>
          <w:sz w:val="22"/>
          <w:highlight w:val="none"/>
        </w:rPr>
      </w:pPr>
      <w:r>
        <w:rPr>
          <w:rFonts w:hint="eastAsia" w:ascii="宋体" w:hAnsi="宋体" w:cs="宋体"/>
          <w:color w:val="auto"/>
          <w:sz w:val="22"/>
          <w:highlight w:val="none"/>
        </w:rPr>
        <w:t>工程通过合同工程完工验收并移交给发包人后：原由承包人应承担的风险责任，以及保险的责任、权利和义务同时转移给发包人，但承包人在缺陷责任期（工程质量保修期）前造成损失和损坏情形除外。</w:t>
      </w:r>
    </w:p>
    <w:p w14:paraId="20E34C0D">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21  不可抗力</w:t>
      </w:r>
    </w:p>
    <w:p w14:paraId="50223218">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21.1 不可抗力的确认</w:t>
      </w:r>
    </w:p>
    <w:p w14:paraId="0BE0A4D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12C99DB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21.1.2 不可抗力发生后，发包人和承包人应及时认真统计所造成的损失，收集不可抗力造成损失的证据。合同双方对是否属于不可抗力或其损失的意见不一致的，由监理人按第3.5 款商定或确定。发生争议时，按第24条的约定办理。</w:t>
      </w:r>
    </w:p>
    <w:p w14:paraId="01621716">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21.2 不可抗力的通知</w:t>
      </w:r>
    </w:p>
    <w:p w14:paraId="392AFE8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21.2.1 合同一方当事人遇到不可抗力事件，使其履行合同义务受到阻碍时，应立即通知合同另一方当事人和监理人，书面说明不可抗力和受阻碍的详细情况，并提供必要的证明。</w:t>
      </w:r>
    </w:p>
    <w:p w14:paraId="55C9A63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0AA4CFF0">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21.3 不可抗力后果及其处理</w:t>
      </w:r>
    </w:p>
    <w:p w14:paraId="5EC159C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21.3.1 不可抗力造成损害的责任</w:t>
      </w:r>
    </w:p>
    <w:p w14:paraId="1A5E5FE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除专用合同条款另有约定外，不可抗力导致的人员伤亡、财产损失、费用增加和（或）工期延误等后果，由合同双方按以下原则承担：</w:t>
      </w:r>
    </w:p>
    <w:p w14:paraId="2ECFA09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（1）永久工程，包括己运至施工场地的材料和工程设备的损害，以及因工程损害造成的第三者人员伤亡和财产损失由发包人承担；</w:t>
      </w:r>
    </w:p>
    <w:p w14:paraId="1A851C0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（2）承包人设备的损坏由承包人承担；</w:t>
      </w:r>
    </w:p>
    <w:p w14:paraId="3B818A3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（3）发包人和承包人各自承担其人员伤亡和其他财产损失及其相关费用；</w:t>
      </w:r>
    </w:p>
    <w:p w14:paraId="30F691A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（4）承包人的停工损失由承包人承担，但停工期间应监理人要求照管工程和清理、修复工程的金额由发包人承担；</w:t>
      </w:r>
    </w:p>
    <w:p w14:paraId="0FE3292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（5）不能按期竣工的，应合理延长工期，承包人不需支付逾期竣工违约金。发包人要求赶工的，承包人应采取赶工措施，赶工费用由发包人承担。</w:t>
      </w:r>
    </w:p>
    <w:p w14:paraId="7A12439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21.3.2 延迟履行期间发生的不可抗力</w:t>
      </w:r>
    </w:p>
    <w:p w14:paraId="44B4A71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合同一方当事人延迟履行，在延迟履行期间发生不可抗力的，不免除其责任。</w:t>
      </w:r>
    </w:p>
    <w:p w14:paraId="1ECA32D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21.3.3 避免和减少不可抗力损失</w:t>
      </w:r>
    </w:p>
    <w:p w14:paraId="294506E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不可抗力发生后，发包人和承包人均应采取措施尽量避免和减少损失的扩大，任何一方没有采取有效措施导致损失扩大的，应对扩大的损失承担责任。</w:t>
      </w:r>
    </w:p>
    <w:p w14:paraId="4A40C1D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21.3.4 因不可抗力解除合同</w:t>
      </w:r>
    </w:p>
    <w:p w14:paraId="5DCC240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合同一方当事人因不可抗力不能履行合同的，应当及时通知对方解除合同。合同解除后，承包人应按照第22.2.5 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 款商定或确定。</w:t>
      </w:r>
    </w:p>
    <w:p w14:paraId="0C2DB45A">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22  违约</w:t>
      </w:r>
    </w:p>
    <w:p w14:paraId="567CE7DA">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22.1 承包人违约</w:t>
      </w:r>
    </w:p>
    <w:p w14:paraId="5C09355A">
      <w:pPr>
        <w:spacing w:line="312" w:lineRule="auto"/>
        <w:ind w:firstLine="352"/>
        <w:rPr>
          <w:rFonts w:hint="eastAsia" w:ascii="宋体" w:hAnsi="宋体" w:cs="宋体"/>
          <w:color w:val="auto"/>
          <w:sz w:val="22"/>
          <w:highlight w:val="none"/>
        </w:rPr>
      </w:pPr>
      <w:r>
        <w:rPr>
          <w:rFonts w:hint="eastAsia" w:ascii="宋体" w:hAnsi="宋体" w:cs="宋体"/>
          <w:color w:val="auto"/>
          <w:sz w:val="22"/>
          <w:highlight w:val="none"/>
        </w:rPr>
        <w:t>22.1.1  承包人违约的情形</w:t>
      </w:r>
    </w:p>
    <w:p w14:paraId="7A1A831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在履行合同过程中发生的下列情况属承包人违约：</w:t>
      </w:r>
    </w:p>
    <w:p w14:paraId="0A9E02F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（1）承包人违反第1.8款或第4.3款的约定，私自将合同的全部或部分权利转让给其他人，或私自将合同的全部或部分义务转移给其他人；</w:t>
      </w:r>
    </w:p>
    <w:p w14:paraId="136952D2">
      <w:pPr>
        <w:spacing w:line="312" w:lineRule="auto"/>
        <w:rPr>
          <w:rFonts w:hint="eastAsia" w:ascii="宋体" w:hAnsi="宋体" w:cs="宋体"/>
          <w:color w:val="auto"/>
          <w:sz w:val="22"/>
          <w:highlight w:val="none"/>
        </w:rPr>
      </w:pPr>
      <w:r>
        <w:rPr>
          <w:rFonts w:hint="eastAsia" w:ascii="宋体" w:hAnsi="宋体" w:cs="宋体"/>
          <w:color w:val="auto"/>
          <w:sz w:val="22"/>
          <w:highlight w:val="none"/>
        </w:rPr>
        <w:t>（2）承包人违反第5.3款或第6.4款的约定，未经监理人批准，私自将已按合同约定进入施工场地的施工设备、临时设施或材料撤离施工场地；</w:t>
      </w:r>
    </w:p>
    <w:p w14:paraId="3AC345F3">
      <w:pPr>
        <w:spacing w:line="312" w:lineRule="auto"/>
        <w:rPr>
          <w:rFonts w:hint="eastAsia" w:ascii="宋体" w:hAnsi="宋体" w:cs="宋体"/>
          <w:color w:val="auto"/>
          <w:sz w:val="22"/>
          <w:highlight w:val="none"/>
        </w:rPr>
      </w:pPr>
      <w:r>
        <w:rPr>
          <w:rFonts w:hint="eastAsia" w:ascii="宋体" w:hAnsi="宋体" w:cs="宋体"/>
          <w:color w:val="auto"/>
          <w:sz w:val="22"/>
          <w:highlight w:val="none"/>
        </w:rPr>
        <w:t>（3）承包人违反第5．4款的约定使用了不合格材料或工程设备，工程质量达不到标准要求，又拒绝清除不合格工程；</w:t>
      </w:r>
    </w:p>
    <w:p w14:paraId="633FCB2F">
      <w:pPr>
        <w:spacing w:line="312" w:lineRule="auto"/>
        <w:rPr>
          <w:rFonts w:hint="eastAsia" w:ascii="宋体" w:hAnsi="宋体" w:cs="宋体"/>
          <w:color w:val="auto"/>
          <w:sz w:val="22"/>
          <w:highlight w:val="none"/>
        </w:rPr>
      </w:pPr>
      <w:r>
        <w:rPr>
          <w:rFonts w:hint="eastAsia" w:ascii="宋体" w:hAnsi="宋体" w:cs="宋体"/>
          <w:color w:val="auto"/>
          <w:sz w:val="22"/>
          <w:highlight w:val="none"/>
        </w:rPr>
        <w:t>（4）承包人未能按合同进度计划及时完成合同约定的工作，已造成或预期造成工期延误；</w:t>
      </w:r>
    </w:p>
    <w:p w14:paraId="33B62560">
      <w:pPr>
        <w:spacing w:line="312" w:lineRule="auto"/>
        <w:rPr>
          <w:rFonts w:hint="eastAsia" w:ascii="宋体" w:hAnsi="宋体" w:cs="宋体"/>
          <w:color w:val="auto"/>
          <w:sz w:val="22"/>
          <w:highlight w:val="none"/>
        </w:rPr>
      </w:pPr>
      <w:r>
        <w:rPr>
          <w:rFonts w:hint="eastAsia" w:ascii="宋体" w:hAnsi="宋体" w:cs="宋体"/>
          <w:color w:val="auto"/>
          <w:sz w:val="22"/>
          <w:highlight w:val="none"/>
        </w:rPr>
        <w:t>（5）承包人在缺陷责任期（工程质量保修期）内，未能对合同工程完工验收鉴定书所列的缺陷清单的内容或缺陷责任期（工程质量保修期）内发生的缺陷进行修复，而又拒绝按监理人指示再进行修补；</w:t>
      </w:r>
    </w:p>
    <w:p w14:paraId="60690495">
      <w:pPr>
        <w:spacing w:line="312" w:lineRule="auto"/>
        <w:rPr>
          <w:rFonts w:hint="eastAsia" w:ascii="宋体" w:hAnsi="宋体" w:cs="宋体"/>
          <w:color w:val="auto"/>
          <w:sz w:val="22"/>
          <w:highlight w:val="none"/>
        </w:rPr>
      </w:pPr>
      <w:r>
        <w:rPr>
          <w:rFonts w:hint="eastAsia" w:ascii="宋体" w:hAnsi="宋体" w:cs="宋体"/>
          <w:color w:val="auto"/>
          <w:sz w:val="22"/>
          <w:highlight w:val="none"/>
        </w:rPr>
        <w:t>（6）承包人无法继续履行或明确表示不履行或实质上已停止履行合同；</w:t>
      </w:r>
    </w:p>
    <w:p w14:paraId="651FC73B">
      <w:pPr>
        <w:spacing w:line="312" w:lineRule="auto"/>
        <w:ind w:firstLine="420"/>
        <w:rPr>
          <w:rFonts w:hint="eastAsia" w:ascii="宋体" w:hAnsi="宋体" w:cs="宋体"/>
          <w:color w:val="auto"/>
          <w:sz w:val="22"/>
          <w:highlight w:val="none"/>
        </w:rPr>
      </w:pPr>
      <w:r>
        <w:rPr>
          <w:rFonts w:hint="eastAsia" w:ascii="宋体" w:hAnsi="宋体" w:cs="宋体"/>
          <w:color w:val="auto"/>
          <w:sz w:val="22"/>
          <w:highlight w:val="none"/>
        </w:rPr>
        <w:t>（7）承包人不按合同约定履行义务的其它情况。</w:t>
      </w:r>
    </w:p>
    <w:p w14:paraId="1C56F62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22.1.2 对承包人违约的处理</w:t>
      </w:r>
    </w:p>
    <w:p w14:paraId="671AB77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（l）承包人发生第22.1.1（6）目约定的违约情况时，发包人可通知承包人立即解除合同，并按有关法律处理。</w:t>
      </w:r>
    </w:p>
    <w:p w14:paraId="3D0432F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（2）承包人发生除第22.1.1（6）目约定以外的其他违约情况时，监理人可向承包人发出整改通知，要求其在指定的期限内改正。承包人应承担其违约所引起的费用增加和（或）工期延误。</w:t>
      </w:r>
    </w:p>
    <w:p w14:paraId="68B8E25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（3）经检查证明承包人已采取了有效措施纠正违约行为，具备复工条件的，可由监理人签发复工通知复工。</w:t>
      </w:r>
    </w:p>
    <w:p w14:paraId="4C3192B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22.1.3 承包人违约解除合同</w:t>
      </w:r>
    </w:p>
    <w:p w14:paraId="334B68B8">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DAE748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22.1.4 合同解除后的估价、付款和结清</w:t>
      </w:r>
    </w:p>
    <w:p w14:paraId="5623D83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（1）合同解除后，监理人按第3.5 款商定或确定承包人实际完成工作的价值，以及承包人己提供的材料、施工设备、工程设备和临时工程等的价值。</w:t>
      </w:r>
    </w:p>
    <w:p w14:paraId="4EB060A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（2）合同解除后，发包人应暂停对承包人的一切付款，查清各项付款和己扣款金额，包括承包人应支付的违约金。</w:t>
      </w:r>
    </w:p>
    <w:p w14:paraId="15B7853B">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（3）合同解除后，发包人应按第23.4 款的约定向承包人索赔由于解除合同给发包人造成的损失。</w:t>
      </w:r>
    </w:p>
    <w:p w14:paraId="3ED8AD0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（4）合同双方确认上述往来款项后，出具最终结清付款证书，结清全部合同款项。</w:t>
      </w:r>
    </w:p>
    <w:p w14:paraId="03394A8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（5）发包人和承包人未能就解除合同后的结清达成一致而形成争议的，按第24条的约定办理。</w:t>
      </w:r>
    </w:p>
    <w:p w14:paraId="01D54E1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22.1.5 协议利益的转让</w:t>
      </w:r>
    </w:p>
    <w:p w14:paraId="57EBC67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因承包人违约解除合同的，发包人有权要求承包人将其为实施合同而签订的材料和设备的订货协议或任何服务协议利益转让给发包人，并在解除合同后的14天内，依法办理转让手续。</w:t>
      </w:r>
    </w:p>
    <w:p w14:paraId="080E65A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22.1.6 紧急情况下无能力或不愿进行抢救</w:t>
      </w:r>
    </w:p>
    <w:p w14:paraId="5EE381C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D0A5732">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22.2 发包人违约</w:t>
      </w:r>
    </w:p>
    <w:p w14:paraId="7164999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22.2.1 发包人违约的情形</w:t>
      </w:r>
    </w:p>
    <w:p w14:paraId="323BE17F">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在履行合同过程中发生的下列情形，属发包人违约：</w:t>
      </w:r>
    </w:p>
    <w:p w14:paraId="790D1C1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（l）发包人未能按合同约定支付预付款或合同价款，或拖延、拒绝批准付款申请和支付凭证，导致付款延误的；</w:t>
      </w:r>
    </w:p>
    <w:p w14:paraId="29BCE02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（2）发包人原因造成停工的；</w:t>
      </w:r>
    </w:p>
    <w:p w14:paraId="7902A88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（3）监理人无正当理由没有在约定期限内发出复工指示，导致承包人无法复工的；</w:t>
      </w:r>
    </w:p>
    <w:p w14:paraId="3CAC468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（4）发包人无法继续履行或明确表示不履行或实质上已停止履行合同的；</w:t>
      </w:r>
    </w:p>
    <w:p w14:paraId="26EBB0D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（5）发包人不履行合同约定其他义务的。</w:t>
      </w:r>
    </w:p>
    <w:p w14:paraId="16006D23">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22.2.2 承包人有权暂停施工</w:t>
      </w:r>
    </w:p>
    <w:p w14:paraId="26BB966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7C6EEC0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22.2.3 发包人违约解除合同</w:t>
      </w:r>
    </w:p>
    <w:p w14:paraId="1930308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（1）发生第22.2.1（4）目的违约情况时，承包人可书面通知发包人解除合同。</w:t>
      </w:r>
    </w:p>
    <w:p w14:paraId="2B375EA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（2）承包人按22.2.2 项暂停施工28天后，发包人仍不纠正违约行为的，承包人可向发包人发出解除合同通知。但承包人的这一行动不免除发包人承担的违约责任，也不影响承包人根据合同约定享有的索赔权利。</w:t>
      </w:r>
    </w:p>
    <w:p w14:paraId="66A657B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22.2.4 解除合同后的付款</w:t>
      </w:r>
    </w:p>
    <w:p w14:paraId="10AE245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因发包人违约解除合同的，发包人应在解除合同后28天内向承包人支付下列金额，承包人应在此期限内及时向发包人提交要求支付下列金额的有关资料和凭证：</w:t>
      </w:r>
    </w:p>
    <w:p w14:paraId="60C845F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（l）合同解除日以前所完成工作的价款；</w:t>
      </w:r>
    </w:p>
    <w:p w14:paraId="36B169A7">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（2）承包人为该工程施工订购并己付款的材料、工程设备和其他物品的金额。发包人付还后，该材料、工程设备和其他物品归发包人所有；</w:t>
      </w:r>
    </w:p>
    <w:p w14:paraId="488DE0F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（3）承包人为完成工程所发生的，而发包人未支付的金额；</w:t>
      </w:r>
    </w:p>
    <w:p w14:paraId="44E30EB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（4）承包人撤离施工场地以及遣散承包人人员的金额；</w:t>
      </w:r>
    </w:p>
    <w:p w14:paraId="7D00F25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（5）由于解除合同应赔偿的承包人损失；</w:t>
      </w:r>
    </w:p>
    <w:p w14:paraId="79DEAC3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（6）按合同约定在合同解除日前应支付给承包人的其他金额。</w:t>
      </w:r>
    </w:p>
    <w:p w14:paraId="23012A3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发包人应按本项约定支付上述金额并退还质量保证金和履约担保，但有权要求承包人支付应偿还给发包人的各项金额。</w:t>
      </w:r>
    </w:p>
    <w:p w14:paraId="542709A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22.2.5 解除合同后的承包人撤离</w:t>
      </w:r>
    </w:p>
    <w:p w14:paraId="77CE87D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因发包人违约而解除合同后，承包人应妥善做好已竣工工程和己购材料、设备的保护和移交工作，按发包人要求将承包人设备和人员撤出施工场地。承包人撤出施工场地应遵守第18.7.1 项的约定，发包人应为承包人撤出提供必要条件。</w:t>
      </w:r>
    </w:p>
    <w:p w14:paraId="761E2B5E">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22.3 第三人造成的违约</w:t>
      </w:r>
    </w:p>
    <w:p w14:paraId="68D894B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在履行合同过程中，一方当事人因第三人的原因造成违约的，应当向对方当事人承担违约责任。一方当事人和第三人之间的纠纷，依照法律规定或者按照约定解决。</w:t>
      </w:r>
    </w:p>
    <w:p w14:paraId="786288E8">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23  索赔</w:t>
      </w:r>
    </w:p>
    <w:p w14:paraId="2971F3FD">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23.1 承包人索赔的提出</w:t>
      </w:r>
    </w:p>
    <w:p w14:paraId="5336A50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根据合同约定，承包人认为有权得到追加付款和（或）延长工期的，应按以下程序向发包人提出索赔：</w:t>
      </w:r>
    </w:p>
    <w:p w14:paraId="31CA5460">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（l）承包人应在知道或应当知道索赔事件发生后28 天内，向监理人递交索赔意向通知书，并说明发生索赔事件的事由。承包人未在前述28天内发出索赔意向通知书的，丧失要求追加付款和（或）延长工期的权利：</w:t>
      </w:r>
    </w:p>
    <w:p w14:paraId="20E1BE1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（2）承包人应在发出索赔意向通知书后28天内，向监理人正式递交索赔通知书。索赔通知书应详细说明索赔理由以及要求追加的付款金额和（或）延长的工期，并附必要的记录和证明材料；</w:t>
      </w:r>
    </w:p>
    <w:p w14:paraId="0F30DC4E">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（3）索赔事件具有连续影响的，承包人应按合理时间间隔继续递交延续索赔通知，说明连续影响的实际情况和记录，列出累计的追加付款金额和（或）工期延长天数；</w:t>
      </w:r>
    </w:p>
    <w:p w14:paraId="7CE5341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（4）在索赔事件影响结束后的28 天内，承包人应向监理人递交最终索赔通知书，说明最终要求索赔的追加付款金额和延长的工期，并附必要的记录和证明材料。</w:t>
      </w:r>
    </w:p>
    <w:p w14:paraId="1DD58711">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23.2 承包人索赔处理程序</w:t>
      </w:r>
    </w:p>
    <w:p w14:paraId="0A1D49F9">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（1）监理人收到承包人提交的索赔通知书后，应及时审查索赔通知书的内容、杳验承包人的记录和证明材料，必要时监理人可要求承包人提交全部原始记录副本。</w:t>
      </w:r>
    </w:p>
    <w:p w14:paraId="5005C64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（2）监理人应按第3.5 款商定或确定追加的付款和（或）延长的工期，并在收到上述索赔通知书或有关索赔的进一步证明材料后的42天内，将索赔处理结果答复承包人。</w:t>
      </w:r>
    </w:p>
    <w:p w14:paraId="247E76A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（3）承包人接受索赔处理结果的，发包人应在作出索赔处理结果答复后28 天内完成赔付。承包人不接受索赔处理结果的，按第24条的约定办理。</w:t>
      </w:r>
    </w:p>
    <w:p w14:paraId="5AE1D542">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23.3  承包人提出索赔的期限</w:t>
      </w:r>
    </w:p>
    <w:p w14:paraId="7ED942BE">
      <w:pPr>
        <w:spacing w:line="312" w:lineRule="auto"/>
        <w:rPr>
          <w:rFonts w:hint="eastAsia" w:ascii="宋体" w:hAnsi="宋体" w:cs="宋体"/>
          <w:color w:val="auto"/>
          <w:sz w:val="22"/>
          <w:highlight w:val="none"/>
        </w:rPr>
      </w:pPr>
      <w:r>
        <w:rPr>
          <w:rFonts w:hint="eastAsia" w:ascii="宋体" w:hAnsi="宋体" w:cs="宋体"/>
          <w:color w:val="auto"/>
          <w:sz w:val="22"/>
          <w:highlight w:val="none"/>
        </w:rPr>
        <w:t>23.3.1  承包人按第17.5款的约定接受了完工付款证书后，应被认为已无权再提出在合同工程完工证书颁发前所发生的任何索赔。</w:t>
      </w:r>
    </w:p>
    <w:p w14:paraId="27DCC10D">
      <w:pPr>
        <w:spacing w:line="312" w:lineRule="auto"/>
        <w:rPr>
          <w:rFonts w:hint="eastAsia" w:ascii="宋体" w:hAnsi="宋体" w:cs="宋体"/>
          <w:color w:val="auto"/>
          <w:sz w:val="22"/>
          <w:highlight w:val="none"/>
        </w:rPr>
      </w:pPr>
      <w:r>
        <w:rPr>
          <w:rFonts w:hint="eastAsia" w:ascii="宋体" w:hAnsi="宋体" w:cs="宋体"/>
          <w:color w:val="auto"/>
          <w:sz w:val="22"/>
          <w:highlight w:val="none"/>
        </w:rPr>
        <w:t xml:space="preserve">    23.3.2  承包人按第17.6款的约定提交的最终结清申请单中，只限于提出合同工程完工证书颁发后发生的索赔。提出索赔的期限自接受最终结清证书时终止。</w:t>
      </w:r>
    </w:p>
    <w:p w14:paraId="0C45840F">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23.4  发包人的索赔</w:t>
      </w:r>
    </w:p>
    <w:p w14:paraId="0208626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23.4.1 发生索赔事件后，监理人应及时书面通知承包人，详细说明发包人有权得到的索赔金额和（或）延长缺陷责任期的细节和依据。发包人提出索赔的期限和要求与第23.3 款的约定相同，延长缺陷责任期的通知应在缺陷责任期届满前发出。</w:t>
      </w:r>
    </w:p>
    <w:p w14:paraId="614541C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23.4.2 监理人按第3.5 款商定或确定发包人从承包人处得到赔付的金额和（或）缺陷责任期的延长期。承包人应付给发包人的金额可从拟支付给承包人的合同价款中扣除，或由承包人以其他方式支付给发包人。</w:t>
      </w:r>
    </w:p>
    <w:p w14:paraId="053C367F">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22886BE1">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24  争议的解决</w:t>
      </w:r>
    </w:p>
    <w:p w14:paraId="4BEEAD4E">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24.1 争议的解决方式</w:t>
      </w:r>
    </w:p>
    <w:p w14:paraId="13FDEB64">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2EA97431">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（l）向约定的仲裁委员会申请仲裁；</w:t>
      </w:r>
    </w:p>
    <w:p w14:paraId="2FC38922">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（2）向有管辖权的人民法院提起诉讼。</w:t>
      </w:r>
    </w:p>
    <w:p w14:paraId="1B5410C2">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24.2 友好解决</w:t>
      </w:r>
    </w:p>
    <w:p w14:paraId="1942550A">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在提请争议评审、仲裁或者诉讼前，以及在争议评审、仲裁或诉讼过程中，发包人和承包人均可共同努力友好协商解决争议。</w:t>
      </w:r>
    </w:p>
    <w:p w14:paraId="7168B5E1">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24.3 争议评审</w:t>
      </w:r>
    </w:p>
    <w:p w14:paraId="6F9D7366">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24.3.1 采用争议评审的，发包人和承包人应在开工日后的28天内或在争议发生后，协商成立争议评审组。争议评审组由有合同管理和工程实践经验的专家组成。</w:t>
      </w:r>
    </w:p>
    <w:p w14:paraId="6E802AB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24.3.2 合同双方的争议，应首先由申请人向争议评审组提交一份详细的评审申请报告，并附必要的文件、图纸和证明材料，申请人还应将上述报告的副本同时提交给被申请人和监理人。</w:t>
      </w:r>
    </w:p>
    <w:p w14:paraId="034554E5">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24.3.3 被申请人在收到申请人评审申请报告副本后的28 天内，向争议评审组提交一份答辩报告，并附证明材料。被申请人应将答辩报告的副本同时提交给申请人和监理人。</w:t>
      </w:r>
    </w:p>
    <w:p w14:paraId="3B9D159F">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4DBDF3C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47C8049C">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24.3.6 发包人和承包人接受评审意见的，由监理人根据评审意见拟定执行协议，经争议双方签字后作为合同的补充文件，并遵照执行。</w:t>
      </w:r>
    </w:p>
    <w:p w14:paraId="688FB73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14:paraId="4E55EECE">
      <w:pPr>
        <w:spacing w:line="312" w:lineRule="auto"/>
        <w:rPr>
          <w:rFonts w:hint="eastAsia" w:ascii="宋体" w:hAnsi="宋体" w:cs="宋体"/>
          <w:b/>
          <w:color w:val="auto"/>
          <w:sz w:val="22"/>
          <w:highlight w:val="none"/>
        </w:rPr>
      </w:pPr>
      <w:r>
        <w:rPr>
          <w:rFonts w:hint="eastAsia" w:ascii="宋体" w:hAnsi="宋体" w:cs="宋体"/>
          <w:b/>
          <w:color w:val="auto"/>
          <w:sz w:val="22"/>
          <w:highlight w:val="none"/>
        </w:rPr>
        <w:t>24.4  仲裁</w:t>
      </w:r>
    </w:p>
    <w:p w14:paraId="1D63CF9D">
      <w:pPr>
        <w:spacing w:line="312" w:lineRule="auto"/>
        <w:ind w:firstLine="480"/>
        <w:rPr>
          <w:rFonts w:hint="eastAsia" w:ascii="宋体" w:hAnsi="宋体" w:cs="宋体"/>
          <w:color w:val="auto"/>
          <w:sz w:val="22"/>
          <w:highlight w:val="none"/>
        </w:rPr>
      </w:pPr>
      <w:r>
        <w:rPr>
          <w:rFonts w:hint="eastAsia" w:ascii="宋体" w:hAnsi="宋体" w:cs="宋体"/>
          <w:color w:val="auto"/>
          <w:sz w:val="22"/>
          <w:highlight w:val="none"/>
        </w:rPr>
        <w:t>24.4.1  若合同双方商定直接向仲裁机构申请仲裁，应签订仲裁协议并约定仲裁机构。</w:t>
      </w:r>
    </w:p>
    <w:p w14:paraId="5648F01B">
      <w:pPr>
        <w:spacing w:line="312" w:lineRule="auto"/>
        <w:ind w:firstLine="440" w:firstLineChars="200"/>
        <w:rPr>
          <w:rFonts w:hint="eastAsia" w:cs="宋体" w:asciiTheme="majorEastAsia" w:hAnsiTheme="majorEastAsia" w:eastAsiaTheme="majorEastAsia"/>
          <w:color w:val="auto"/>
          <w:sz w:val="24"/>
          <w:highlight w:val="none"/>
        </w:rPr>
      </w:pPr>
      <w:r>
        <w:rPr>
          <w:rFonts w:hint="eastAsia" w:ascii="宋体" w:hAnsi="宋体" w:cs="宋体"/>
          <w:color w:val="auto"/>
          <w:sz w:val="22"/>
          <w:highlight w:val="none"/>
        </w:rPr>
        <w:t>24.4.2  若合同双方未能达成仲裁协议，则本合同的仲裁条款无效，任一方均有权向人民法院提起诉讼。</w:t>
      </w:r>
    </w:p>
    <w:p w14:paraId="146C98A8">
      <w:pPr>
        <w:spacing w:line="400" w:lineRule="exact"/>
        <w:rPr>
          <w:rFonts w:hint="eastAsia" w:cs="宋体" w:asciiTheme="majorEastAsia" w:hAnsiTheme="majorEastAsia" w:eastAsiaTheme="majorEastAsia"/>
          <w:color w:val="auto"/>
          <w:sz w:val="24"/>
          <w:highlight w:val="none"/>
        </w:rPr>
      </w:pPr>
    </w:p>
    <w:p w14:paraId="235F294E">
      <w:pPr>
        <w:spacing w:line="400" w:lineRule="exact"/>
        <w:rPr>
          <w:rFonts w:hint="eastAsia" w:cs="宋体" w:asciiTheme="majorEastAsia" w:hAnsiTheme="majorEastAsia" w:eastAsiaTheme="majorEastAsia"/>
          <w:color w:val="auto"/>
          <w:sz w:val="24"/>
          <w:highlight w:val="none"/>
        </w:rPr>
      </w:pPr>
    </w:p>
    <w:p w14:paraId="74B733CB">
      <w:pPr>
        <w:spacing w:line="400" w:lineRule="exact"/>
        <w:rPr>
          <w:rFonts w:hint="eastAsia"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br w:type="page"/>
      </w:r>
    </w:p>
    <w:p w14:paraId="0561DADD">
      <w:pPr>
        <w:keepNext/>
        <w:keepLines/>
        <w:spacing w:line="360" w:lineRule="auto"/>
        <w:jc w:val="cente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第</w:t>
      </w:r>
      <w:r>
        <w:rPr>
          <w:rFonts w:cs="宋体" w:asciiTheme="majorEastAsia" w:hAnsiTheme="majorEastAsia" w:eastAsiaTheme="majorEastAsia"/>
          <w:b/>
          <w:color w:val="auto"/>
          <w:sz w:val="32"/>
          <w:highlight w:val="none"/>
        </w:rPr>
        <w:t>2</w:t>
      </w:r>
      <w:r>
        <w:rPr>
          <w:rFonts w:hint="eastAsia" w:cs="宋体" w:asciiTheme="majorEastAsia" w:hAnsiTheme="majorEastAsia" w:eastAsiaTheme="majorEastAsia"/>
          <w:b/>
          <w:color w:val="auto"/>
          <w:sz w:val="32"/>
          <w:highlight w:val="none"/>
        </w:rPr>
        <w:t>节专用合同条款</w:t>
      </w:r>
    </w:p>
    <w:p w14:paraId="3DF1BD67">
      <w:pPr>
        <w:autoSpaceDE w:val="0"/>
        <w:autoSpaceDN w:val="0"/>
        <w:adjustRightInd w:val="0"/>
        <w:snapToGrid w:val="0"/>
        <w:spacing w:line="360" w:lineRule="auto"/>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专用合同条款中的各条款是补充和修改通用合同条款号相同的条款或当需要时增加新的条款，两者应对照阅读。一旦出现矛盾或不一致，则以专用合同条款为准，通用合同条款中未补充和修改的部分仍有效。</w:t>
      </w:r>
    </w:p>
    <w:p w14:paraId="6A41B3FD">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  一般约定</w:t>
      </w:r>
    </w:p>
    <w:p w14:paraId="49DDBAD5">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1.1 词语定义</w:t>
      </w:r>
    </w:p>
    <w:p w14:paraId="5ABDF6B0">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 合同当事人和人员</w:t>
      </w:r>
    </w:p>
    <w:p w14:paraId="51C357E3">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1.1.2.2 发包人：</w:t>
      </w:r>
      <w:r>
        <w:rPr>
          <w:rFonts w:hint="eastAsia" w:ascii="宋体" w:hAnsi="宋体" w:cs="宋体"/>
          <w:bCs/>
          <w:color w:val="auto"/>
          <w:sz w:val="22"/>
          <w:highlight w:val="none"/>
          <w:u w:val="single"/>
        </w:rPr>
        <w:t>翁源县水利水电工程建设管理中心</w:t>
      </w:r>
      <w:r>
        <w:rPr>
          <w:rFonts w:hint="eastAsia" w:ascii="宋体" w:hAnsi="宋体" w:cs="宋体"/>
          <w:color w:val="auto"/>
          <w:sz w:val="22"/>
          <w:highlight w:val="none"/>
        </w:rPr>
        <w:t>。</w:t>
      </w:r>
    </w:p>
    <w:p w14:paraId="4E4D826C">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1.1.2.3 承包人：</w:t>
      </w:r>
      <w:r>
        <w:rPr>
          <w:rFonts w:hint="eastAsia" w:ascii="宋体" w:hAnsi="宋体" w:cs="宋体"/>
          <w:bCs/>
          <w:color w:val="auto"/>
          <w:sz w:val="22"/>
          <w:highlight w:val="none"/>
          <w:u w:val="single"/>
        </w:rPr>
        <w:t xml:space="preserve">   待定                 </w:t>
      </w:r>
      <w:r>
        <w:rPr>
          <w:rFonts w:hint="eastAsia" w:ascii="宋体" w:hAnsi="宋体" w:cs="宋体"/>
          <w:color w:val="auto"/>
          <w:sz w:val="22"/>
          <w:highlight w:val="none"/>
        </w:rPr>
        <w:t>。</w:t>
      </w:r>
    </w:p>
    <w:p w14:paraId="015E52EC">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1.1.2.5 分包人：</w:t>
      </w:r>
      <w:r>
        <w:rPr>
          <w:rFonts w:hint="eastAsia" w:ascii="宋体" w:hAnsi="宋体" w:cs="宋体"/>
          <w:color w:val="auto"/>
          <w:sz w:val="22"/>
          <w:highlight w:val="none"/>
          <w:u w:val="single"/>
        </w:rPr>
        <w:t>无</w:t>
      </w:r>
      <w:r>
        <w:rPr>
          <w:rFonts w:hint="eastAsia" w:ascii="宋体" w:hAnsi="宋体" w:cs="宋体"/>
          <w:color w:val="auto"/>
          <w:sz w:val="22"/>
          <w:highlight w:val="none"/>
        </w:rPr>
        <w:t>。</w:t>
      </w:r>
    </w:p>
    <w:p w14:paraId="47E3320D">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1.1.2.6 监理人：</w:t>
      </w:r>
      <w:r>
        <w:rPr>
          <w:rFonts w:hint="eastAsia" w:ascii="宋体" w:hAnsi="宋体" w:cs="宋体"/>
          <w:color w:val="auto"/>
          <w:sz w:val="22"/>
          <w:highlight w:val="none"/>
          <w:u w:val="single"/>
        </w:rPr>
        <w:t xml:space="preserve">   待定                 </w:t>
      </w:r>
      <w:r>
        <w:rPr>
          <w:rFonts w:hint="eastAsia" w:ascii="宋体" w:hAnsi="宋体" w:cs="宋体"/>
          <w:color w:val="auto"/>
          <w:sz w:val="22"/>
          <w:highlight w:val="none"/>
        </w:rPr>
        <w:t>。</w:t>
      </w:r>
    </w:p>
    <w:p w14:paraId="4CA810BA">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增1.1.2.8</w:t>
      </w:r>
      <w:r>
        <w:rPr>
          <w:rFonts w:hint="eastAsia" w:ascii="宋体" w:hAnsi="宋体" w:cs="宋体"/>
          <w:color w:val="auto"/>
          <w:kern w:val="0"/>
          <w:sz w:val="22"/>
          <w:highlight w:val="none"/>
        </w:rPr>
        <w:t>工程质量监督部门：</w:t>
      </w:r>
      <w:r>
        <w:rPr>
          <w:rFonts w:hint="eastAsia" w:ascii="宋体" w:hAnsi="宋体" w:cs="宋体"/>
          <w:color w:val="auto"/>
          <w:kern w:val="0"/>
          <w:sz w:val="22"/>
          <w:highlight w:val="none"/>
          <w:u w:val="single"/>
        </w:rPr>
        <w:t>翁源县水务局</w:t>
      </w:r>
      <w:r>
        <w:rPr>
          <w:rFonts w:hint="eastAsia" w:ascii="宋体" w:hAnsi="宋体" w:cs="宋体"/>
          <w:color w:val="auto"/>
          <w:kern w:val="0"/>
          <w:sz w:val="22"/>
          <w:highlight w:val="none"/>
        </w:rPr>
        <w:t>。</w:t>
      </w:r>
    </w:p>
    <w:p w14:paraId="7FAF3669">
      <w:pPr>
        <w:tabs>
          <w:tab w:val="left" w:pos="4140"/>
        </w:tabs>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1.1.4 日期</w:t>
      </w:r>
    </w:p>
    <w:p w14:paraId="2FE565B4">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1.1.4.3 工期：</w:t>
      </w:r>
      <w:r>
        <w:rPr>
          <w:rFonts w:hint="eastAsia" w:ascii="宋体" w:hAnsi="宋体" w:cs="宋体"/>
          <w:color w:val="auto"/>
          <w:sz w:val="22"/>
          <w:highlight w:val="none"/>
          <w:u w:val="single"/>
        </w:rPr>
        <w:t>275日历天</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4F44B1D3">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1.1.4.5 缺陷责任期（工程质量保修期）：</w:t>
      </w:r>
      <w:r>
        <w:rPr>
          <w:rFonts w:hint="eastAsia" w:ascii="宋体" w:hAnsi="宋体" w:cs="宋体"/>
          <w:color w:val="auto"/>
          <w:sz w:val="22"/>
          <w:highlight w:val="none"/>
          <w:u w:val="single"/>
        </w:rPr>
        <w:t>合同工程完工验收后满1年</w:t>
      </w:r>
      <w:r>
        <w:rPr>
          <w:rFonts w:hint="eastAsia" w:ascii="宋体" w:hAnsi="宋体" w:cs="宋体"/>
          <w:color w:val="auto"/>
          <w:sz w:val="22"/>
          <w:highlight w:val="none"/>
        </w:rPr>
        <w:t>。</w:t>
      </w:r>
    </w:p>
    <w:p w14:paraId="7E0A7D85">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1.4 合同文件的优先顺序</w:t>
      </w:r>
    </w:p>
    <w:p w14:paraId="7DA52B49">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进入合同文件的各项文件及其优先顺序是：</w:t>
      </w:r>
    </w:p>
    <w:p w14:paraId="557EF7C3">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（l）合同协议书（包括协议书备忘录、补充协议书）；</w:t>
      </w:r>
    </w:p>
    <w:p w14:paraId="63C9C79E">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（2）中标通知书；</w:t>
      </w:r>
    </w:p>
    <w:p w14:paraId="54BB0D56">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（3）投标函及投标函附录；</w:t>
      </w:r>
    </w:p>
    <w:p w14:paraId="5401AB27">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（4）专用合同条款；</w:t>
      </w:r>
    </w:p>
    <w:p w14:paraId="17C497C7">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（5）通用合同条款；</w:t>
      </w:r>
    </w:p>
    <w:p w14:paraId="62B93570">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（6）技术标准和要求；</w:t>
      </w:r>
    </w:p>
    <w:p w14:paraId="7941EF76">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（7）图纸；</w:t>
      </w:r>
    </w:p>
    <w:p w14:paraId="0315988F">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（8）已标价的工程量清单；</w:t>
      </w:r>
    </w:p>
    <w:p w14:paraId="072078E9">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（9）其他合同文件。</w:t>
      </w:r>
    </w:p>
    <w:p w14:paraId="4AC51ADD">
      <w:pPr>
        <w:spacing w:line="360" w:lineRule="auto"/>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以下几项经业主批准进入合同的补充资料：</w:t>
      </w:r>
    </w:p>
    <w:p w14:paraId="23DD5C40">
      <w:pPr>
        <w:spacing w:line="360" w:lineRule="auto"/>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a） 招标人经批准的有效招标文件及在招标期内发布的所有有效补充通知；</w:t>
      </w:r>
    </w:p>
    <w:p w14:paraId="08251AD4">
      <w:pPr>
        <w:spacing w:line="360" w:lineRule="auto"/>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b） 投标人在投标有效期内补充的所有书面文件；</w:t>
      </w:r>
    </w:p>
    <w:p w14:paraId="1B2E6453">
      <w:pPr>
        <w:spacing w:line="360" w:lineRule="auto"/>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c） 承包人在投标时随同投标文件一起递送的资料与附图。</w:t>
      </w:r>
    </w:p>
    <w:p w14:paraId="2423306E">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1.7 联络</w:t>
      </w:r>
    </w:p>
    <w:p w14:paraId="0985C5A0">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 xml:space="preserve">1.7.2 来往函件均应按技术标准和要求（合同技术条款）约定的期限送达 </w:t>
      </w:r>
      <w:r>
        <w:rPr>
          <w:rFonts w:hint="eastAsia" w:ascii="宋体" w:hAnsi="宋体" w:cs="宋体"/>
          <w:color w:val="auto"/>
          <w:sz w:val="22"/>
          <w:highlight w:val="none"/>
          <w:u w:val="single"/>
        </w:rPr>
        <w:t>翁源县水利水电工程建设管理中心</w:t>
      </w:r>
      <w:r>
        <w:rPr>
          <w:rFonts w:hint="eastAsia" w:ascii="宋体" w:hAnsi="宋体" w:cs="宋体"/>
          <w:color w:val="auto"/>
          <w:sz w:val="22"/>
          <w:highlight w:val="none"/>
        </w:rPr>
        <w:t>。</w:t>
      </w:r>
    </w:p>
    <w:p w14:paraId="3FB9B360">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2 发包人义务</w:t>
      </w:r>
    </w:p>
    <w:p w14:paraId="0CA6AAB6">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2.3 提供施工场地</w:t>
      </w:r>
    </w:p>
    <w:p w14:paraId="5DB95B0F">
      <w:pPr>
        <w:adjustRightInd w:val="0"/>
        <w:snapToGrid w:val="0"/>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rPr>
        <w:t>2.3.2发包人提供的施工场地范围为：发包人负责向承包人提供施工用地范围。承包人只能在指定用地范围内安排施工。施工场地范围为：</w:t>
      </w:r>
      <w:r>
        <w:rPr>
          <w:rFonts w:hint="eastAsia" w:ascii="宋体" w:hAnsi="宋体" w:cs="宋体"/>
          <w:color w:val="auto"/>
          <w:sz w:val="22"/>
          <w:highlight w:val="none"/>
          <w:u w:val="single"/>
        </w:rPr>
        <w:t>见工程总体平面布置图</w:t>
      </w:r>
      <w:r>
        <w:rPr>
          <w:rFonts w:hint="eastAsia" w:ascii="宋体" w:hAnsi="宋体" w:cs="宋体"/>
          <w:color w:val="auto"/>
          <w:sz w:val="22"/>
          <w:highlight w:val="none"/>
        </w:rPr>
        <w:t>。</w:t>
      </w:r>
      <w:r>
        <w:rPr>
          <w:rFonts w:hint="eastAsia" w:ascii="宋体" w:hAnsi="宋体" w:cs="宋体"/>
          <w:color w:val="auto"/>
          <w:sz w:val="22"/>
          <w:highlight w:val="none"/>
          <w:lang w:val="zh-CN"/>
        </w:rPr>
        <w:t>如发包方因未能及时移交施工用地，造成工期延误，仅负责工期顺延，不给予经济补偿。</w:t>
      </w:r>
    </w:p>
    <w:p w14:paraId="2DD3581B">
      <w:pPr>
        <w:adjustRightInd w:val="0"/>
        <w:snapToGrid w:val="0"/>
        <w:spacing w:line="360" w:lineRule="auto"/>
        <w:ind w:firstLine="440" w:firstLineChars="200"/>
        <w:rPr>
          <w:rFonts w:hint="eastAsia" w:ascii="宋体" w:hAnsi="宋体" w:cs="宋体"/>
          <w:color w:val="auto"/>
          <w:sz w:val="22"/>
          <w:highlight w:val="none"/>
        </w:rPr>
      </w:pPr>
      <w:bookmarkStart w:id="17" w:name="_Toc48667232"/>
      <w:r>
        <w:rPr>
          <w:rFonts w:hint="eastAsia" w:ascii="宋体" w:hAnsi="宋体" w:cs="宋体"/>
          <w:color w:val="auto"/>
          <w:sz w:val="22"/>
          <w:highlight w:val="none"/>
        </w:rPr>
        <w:t>承包人自行勘察的施工场地范围为：</w:t>
      </w:r>
      <w:r>
        <w:rPr>
          <w:rFonts w:hint="eastAsia" w:ascii="宋体" w:hAnsi="宋体" w:cs="宋体"/>
          <w:color w:val="auto"/>
          <w:sz w:val="22"/>
          <w:highlight w:val="none"/>
          <w:u w:val="single"/>
        </w:rPr>
        <w:t xml:space="preserve">          /            </w:t>
      </w:r>
      <w:r>
        <w:rPr>
          <w:rFonts w:hint="eastAsia" w:ascii="宋体" w:hAnsi="宋体" w:cs="宋体"/>
          <w:color w:val="auto"/>
          <w:sz w:val="22"/>
          <w:highlight w:val="none"/>
        </w:rPr>
        <w:t>。</w:t>
      </w:r>
      <w:bookmarkEnd w:id="17"/>
    </w:p>
    <w:p w14:paraId="5862D2B3">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2.8 其他义务</w:t>
      </w:r>
    </w:p>
    <w:p w14:paraId="1B879FCB">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（根据发包人的合同管理要求补充）</w:t>
      </w:r>
    </w:p>
    <w:p w14:paraId="31D7E846">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bCs/>
          <w:color w:val="auto"/>
          <w:kern w:val="0"/>
          <w:sz w:val="22"/>
          <w:highlight w:val="none"/>
        </w:rPr>
        <w:t>负责本工程施工期间安全渡汛的统一协调、指挥。</w:t>
      </w:r>
    </w:p>
    <w:p w14:paraId="033832F4">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Cs/>
          <w:color w:val="auto"/>
          <w:kern w:val="0"/>
          <w:sz w:val="22"/>
          <w:highlight w:val="none"/>
        </w:rPr>
        <w:t>定期或不定期检查工程施工安全、质量、进度等。</w:t>
      </w:r>
    </w:p>
    <w:p w14:paraId="70D705DE">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3  监理人</w:t>
      </w:r>
    </w:p>
    <w:p w14:paraId="6524F17A">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3.1 监理人的职责和权力</w:t>
      </w:r>
    </w:p>
    <w:p w14:paraId="1CDD3183">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3.1.1 监理人须根据发包人事先批准的权力范围行使权力，发包人批准的权力范围：</w:t>
      </w:r>
    </w:p>
    <w:p w14:paraId="6520FC8D">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u w:val="single"/>
        </w:rPr>
        <w:t>按照本工程《监理合同》中的相关约定执行。</w:t>
      </w:r>
    </w:p>
    <w:p w14:paraId="6E0476E5">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4  承包人</w:t>
      </w:r>
    </w:p>
    <w:p w14:paraId="0A34C761">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4.1 承包人的一般义务</w:t>
      </w:r>
    </w:p>
    <w:p w14:paraId="769059F7">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4.1.10 其他义务</w:t>
      </w:r>
    </w:p>
    <w:p w14:paraId="6473F6DB">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（1）承包人与发包人签订合同一周内未按要求进场施工的，发包人有权终止合同并没收其履约保证金，由此所造成的一切后果及损失承包人承担。</w:t>
      </w:r>
    </w:p>
    <w:p w14:paraId="10FC0661">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（2）承包人在施工期间应注意保护原有地下设施和公用设施,如发生损坏，应负责修复并承担与此有关的一切费用。</w:t>
      </w:r>
    </w:p>
    <w:p w14:paraId="07BFB26D">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（3）承包人在施工过程中要自行做好多方面的协调工作，保证农民的合法权益不受侵害，如有损坏农作物或侵害农民的利益，一切责任及损失由承包人承担。</w:t>
      </w:r>
    </w:p>
    <w:p w14:paraId="32251A3F">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（4）按发包方提供的年度施工计划组织工程施工，服从发包方的年度施工计划按排。</w:t>
      </w:r>
    </w:p>
    <w:p w14:paraId="5853E01E">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5）承包人在施工过程中必须服从发包人的管理，如有违约行为并经教育未能在规定时间内未能按要求整改完毕时，招标人有权终止合约，并将其列入黑名单上报市水利行政主管部门，禁止其进入本市区水利建设市场。</w:t>
      </w:r>
    </w:p>
    <w:p w14:paraId="4C5D9F5B">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(6) 承包人必须听从发包人在安全度汛期间的统一指挥。</w:t>
      </w:r>
    </w:p>
    <w:p w14:paraId="4285E0EA">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(7) 自行负责施工用水用电，并承担其费用。负责为发包方一人及监理方二人提供合理的交通便利条件。</w:t>
      </w:r>
    </w:p>
    <w:p w14:paraId="608D47AD">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8）配合发包方定期或不定期检查工程的安全生产、施工质量、施工进度等，并做好相应工作。承包方应在工程开工当月的下一个月开始，在每月的29日至31日以书面形式向发包方和监理方上报工程进度情况。每缺一次罚款人民币2000元。</w:t>
      </w:r>
    </w:p>
    <w:p w14:paraId="1521D246">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承包人进驻本工程的项目经理及技术负责人必须与投标文件中承诺的相同，若有特殊情况需换人时必须征得监理人和发包人的同意，否则每更换一人发包人将罚款人民币2000元/人。项目经理与技术负责人不能同时离开工地。其中一位离开工地时必须征得监理人和发包人同意，否则将被罚款人民币2000元/天；两人同时离开工地，将被罚款2000元/人/天。</w:t>
      </w:r>
    </w:p>
    <w:p w14:paraId="056D9733">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（10）工地主要管理人员和专业技术骨干在工地施工现场必须挂牌上岗。</w:t>
      </w:r>
    </w:p>
    <w:p w14:paraId="1525B64D">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施工单位在施工中偷工减料、以次充好、使用不合格的建筑材料、建筑构配件或设备、不按照工程设计图纸、施工技术标准施工，应负责无偿修理或返工，每发现一处应支付合同价款千分之三的违约金给建设单位（代建单位）。</w:t>
      </w:r>
    </w:p>
    <w:p w14:paraId="5DF5E68A">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（12）隐蔽工程未经建设单位（代建单位）、设计单位、质量中心、全过程造价咨询单位进行现场验收而擅自隐蔽的，需重新挖开并无条件修复。</w:t>
      </w:r>
    </w:p>
    <w:p w14:paraId="08ED0BE8">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（13）除提供工程建设纸质档案外，还须在合同完工的同时提供二套工程建设电子档案（光盘）。</w:t>
      </w:r>
    </w:p>
    <w:p w14:paraId="317897D4">
      <w:pPr>
        <w:autoSpaceDE w:val="0"/>
        <w:autoSpaceDN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4.3分包</w:t>
      </w:r>
    </w:p>
    <w:p w14:paraId="254D9C04">
      <w:pPr>
        <w:autoSpaceDE w:val="0"/>
        <w:autoSpaceDN w:val="0"/>
        <w:spacing w:line="360" w:lineRule="auto"/>
        <w:ind w:firstLine="442" w:firstLineChars="200"/>
        <w:rPr>
          <w:rFonts w:hint="eastAsia" w:ascii="宋体" w:hAnsi="宋体" w:cs="宋体"/>
          <w:color w:val="auto"/>
          <w:sz w:val="22"/>
          <w:highlight w:val="none"/>
        </w:rPr>
      </w:pPr>
      <w:r>
        <w:rPr>
          <w:rFonts w:hint="eastAsia" w:ascii="宋体" w:hAnsi="宋体" w:cs="宋体"/>
          <w:b/>
          <w:color w:val="auto"/>
          <w:sz w:val="22"/>
          <w:highlight w:val="none"/>
        </w:rPr>
        <w:t>本工程不允许分包</w:t>
      </w:r>
      <w:r>
        <w:rPr>
          <w:rFonts w:hint="eastAsia" w:ascii="宋体" w:hAnsi="宋体" w:cs="宋体"/>
          <w:color w:val="auto"/>
          <w:sz w:val="22"/>
          <w:highlight w:val="none"/>
        </w:rPr>
        <w:t>。</w:t>
      </w:r>
    </w:p>
    <w:p w14:paraId="4AB8ADFB">
      <w:pPr>
        <w:autoSpaceDE w:val="0"/>
        <w:autoSpaceDN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4.4联合体</w:t>
      </w:r>
    </w:p>
    <w:p w14:paraId="7A288E82">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删去通用合同条款4.4.1、4.4.2、4.4.3全文，并以下文代替：</w:t>
      </w:r>
    </w:p>
    <w:p w14:paraId="2E494015">
      <w:pPr>
        <w:autoSpaceDE w:val="0"/>
        <w:autoSpaceDN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本工程不允许联合体承包。</w:t>
      </w:r>
    </w:p>
    <w:p w14:paraId="3BA68538">
      <w:pPr>
        <w:snapToGrid w:val="0"/>
        <w:spacing w:line="360" w:lineRule="auto"/>
        <w:ind w:firstLine="442" w:firstLineChars="200"/>
        <w:rPr>
          <w:rFonts w:hint="eastAsia" w:ascii="宋体" w:hAnsi="宋体" w:cs="宋体"/>
          <w:b/>
          <w:bCs/>
          <w:color w:val="auto"/>
          <w:sz w:val="22"/>
          <w:highlight w:val="none"/>
        </w:rPr>
      </w:pPr>
      <w:bookmarkStart w:id="18" w:name="_Toc48667251"/>
      <w:r>
        <w:rPr>
          <w:rFonts w:hint="eastAsia" w:ascii="宋体" w:hAnsi="宋体" w:cs="宋体"/>
          <w:b/>
          <w:bCs/>
          <w:color w:val="auto"/>
          <w:sz w:val="22"/>
          <w:highlight w:val="none"/>
        </w:rPr>
        <w:t>4.5承包人项目经理</w:t>
      </w:r>
      <w:bookmarkEnd w:id="18"/>
    </w:p>
    <w:p w14:paraId="0290F06E">
      <w:pPr>
        <w:overflowPunct w:val="0"/>
        <w:autoSpaceDE w:val="0"/>
        <w:autoSpaceDN w:val="0"/>
        <w:adjustRightInd w:val="0"/>
        <w:snapToGrid w:val="0"/>
        <w:spacing w:line="360" w:lineRule="auto"/>
        <w:ind w:firstLine="442" w:firstLineChars="200"/>
        <w:rPr>
          <w:rFonts w:hint="eastAsia" w:ascii="宋体" w:hAnsi="宋体" w:cs="宋体"/>
          <w:color w:val="auto"/>
          <w:sz w:val="22"/>
          <w:highlight w:val="none"/>
        </w:rPr>
      </w:pPr>
      <w:bookmarkStart w:id="19" w:name="_Toc48667252"/>
      <w:r>
        <w:rPr>
          <w:rFonts w:hint="eastAsia" w:ascii="宋体" w:hAnsi="宋体" w:cs="宋体"/>
          <w:b/>
          <w:color w:val="auto"/>
          <w:sz w:val="22"/>
          <w:highlight w:val="none"/>
        </w:rPr>
        <w:t>4.5.1</w:t>
      </w:r>
      <w:r>
        <w:rPr>
          <w:rFonts w:hint="eastAsia" w:ascii="宋体" w:hAnsi="宋体" w:cs="宋体"/>
          <w:color w:val="auto"/>
          <w:sz w:val="22"/>
          <w:highlight w:val="none"/>
        </w:rPr>
        <w:t>本款修改为“承包人应按合同约定指派项目经理，并在监理人发出开工通知后5天内到职。合同履行期间，项目经理无特殊原因不得更换，特殊原因更换项目经理，须经发包人同意，可用资历相同并与承包人有正式的劳动合同关系(以社保证明为准)的项目经理更换，只能更换一次；如第二次及以后再要求更换，视为承包人违约，每更换一次的违约金为20000元，在当期进度款中扣除。</w:t>
      </w:r>
      <w:bookmarkEnd w:id="19"/>
    </w:p>
    <w:p w14:paraId="1A5E2DE0">
      <w:pPr>
        <w:snapToGrid w:val="0"/>
        <w:spacing w:line="360" w:lineRule="auto"/>
        <w:ind w:firstLine="442" w:firstLineChars="200"/>
        <w:rPr>
          <w:rFonts w:hint="eastAsia" w:ascii="宋体" w:hAnsi="宋体" w:cs="宋体"/>
          <w:b/>
          <w:bCs/>
          <w:color w:val="auto"/>
          <w:sz w:val="22"/>
          <w:highlight w:val="none"/>
        </w:rPr>
      </w:pPr>
      <w:bookmarkStart w:id="20" w:name="_Toc48667253"/>
      <w:r>
        <w:rPr>
          <w:rFonts w:hint="eastAsia" w:ascii="宋体" w:hAnsi="宋体" w:cs="宋体"/>
          <w:b/>
          <w:bCs/>
          <w:color w:val="auto"/>
          <w:sz w:val="22"/>
          <w:highlight w:val="none"/>
        </w:rPr>
        <w:t>4.6承包人人员的管理</w:t>
      </w:r>
      <w:bookmarkEnd w:id="20"/>
    </w:p>
    <w:p w14:paraId="7BE06432">
      <w:pPr>
        <w:overflowPunct w:val="0"/>
        <w:autoSpaceDE w:val="0"/>
        <w:autoSpaceDN w:val="0"/>
        <w:adjustRightInd w:val="0"/>
        <w:snapToGrid w:val="0"/>
        <w:spacing w:line="360" w:lineRule="auto"/>
        <w:ind w:firstLine="440" w:firstLineChars="200"/>
        <w:rPr>
          <w:rFonts w:hint="eastAsia" w:ascii="宋体" w:hAnsi="宋体" w:cs="宋体"/>
          <w:color w:val="auto"/>
          <w:sz w:val="22"/>
          <w:highlight w:val="none"/>
        </w:rPr>
      </w:pPr>
      <w:bookmarkStart w:id="21" w:name="_Toc48667254"/>
      <w:r>
        <w:rPr>
          <w:rFonts w:hint="eastAsia" w:ascii="宋体" w:hAnsi="宋体" w:cs="宋体"/>
          <w:color w:val="auto"/>
          <w:sz w:val="22"/>
          <w:highlight w:val="none"/>
        </w:rPr>
        <w:t>4.6.1 本款中的“28天内”修改为“7天内”。</w:t>
      </w:r>
      <w:bookmarkEnd w:id="21"/>
    </w:p>
    <w:p w14:paraId="2417FE50">
      <w:pPr>
        <w:overflowPunct w:val="0"/>
        <w:autoSpaceDE w:val="0"/>
        <w:autoSpaceDN w:val="0"/>
        <w:adjustRightInd w:val="0"/>
        <w:snapToGrid w:val="0"/>
        <w:spacing w:line="360" w:lineRule="auto"/>
        <w:ind w:firstLine="440" w:firstLineChars="200"/>
        <w:rPr>
          <w:rFonts w:hint="eastAsia" w:ascii="宋体" w:hAnsi="宋体" w:cs="宋体"/>
          <w:color w:val="auto"/>
          <w:sz w:val="22"/>
          <w:highlight w:val="none"/>
        </w:rPr>
      </w:pPr>
      <w:bookmarkStart w:id="22" w:name="_Toc48667255"/>
      <w:r>
        <w:rPr>
          <w:rFonts w:hint="eastAsia" w:ascii="宋体" w:hAnsi="宋体" w:cs="宋体"/>
          <w:color w:val="auto"/>
          <w:sz w:val="22"/>
          <w:highlight w:val="none"/>
        </w:rPr>
        <w:t>4.6.3 本款的内容修改为：“承包人安排在施工场地的主要管理人员(指项目经理、技术负责人、安全管理人员(专职安全生产管理人员)、质量管理人员、财务负责人)和技术骨干应相对稳定，上述人员的调动应经监理人和发包人同意。</w:t>
      </w:r>
      <w:bookmarkEnd w:id="22"/>
    </w:p>
    <w:p w14:paraId="12B39786">
      <w:pPr>
        <w:overflowPunct w:val="0"/>
        <w:autoSpaceDE w:val="0"/>
        <w:autoSpaceDN w:val="0"/>
        <w:adjustRightInd w:val="0"/>
        <w:snapToGrid w:val="0"/>
        <w:spacing w:line="360" w:lineRule="auto"/>
        <w:ind w:firstLine="440" w:firstLineChars="200"/>
        <w:rPr>
          <w:rFonts w:hint="eastAsia" w:ascii="宋体" w:hAnsi="宋体" w:cs="宋体"/>
          <w:color w:val="auto"/>
          <w:sz w:val="22"/>
          <w:highlight w:val="none"/>
        </w:rPr>
      </w:pPr>
      <w:bookmarkStart w:id="23" w:name="_Toc48667256"/>
      <w:r>
        <w:rPr>
          <w:rFonts w:hint="eastAsia" w:ascii="宋体" w:hAnsi="宋体" w:cs="宋体"/>
          <w:color w:val="auto"/>
          <w:sz w:val="22"/>
          <w:highlight w:val="none"/>
        </w:rPr>
        <w:t>增加4.6.5、4.6.6</w:t>
      </w:r>
      <w:bookmarkEnd w:id="23"/>
      <w:r>
        <w:rPr>
          <w:rFonts w:hint="eastAsia" w:ascii="宋体" w:hAnsi="宋体" w:cs="宋体"/>
          <w:color w:val="auto"/>
          <w:sz w:val="22"/>
          <w:highlight w:val="none"/>
        </w:rPr>
        <w:t>、4.6.7款</w:t>
      </w:r>
    </w:p>
    <w:p w14:paraId="14D3A26E">
      <w:pPr>
        <w:overflowPunct w:val="0"/>
        <w:autoSpaceDE w:val="0"/>
        <w:autoSpaceDN w:val="0"/>
        <w:adjustRightInd w:val="0"/>
        <w:snapToGrid w:val="0"/>
        <w:spacing w:line="360" w:lineRule="auto"/>
        <w:ind w:firstLine="440" w:firstLineChars="200"/>
        <w:rPr>
          <w:rFonts w:hint="eastAsia" w:ascii="宋体" w:hAnsi="宋体" w:cs="宋体"/>
          <w:color w:val="auto"/>
          <w:sz w:val="22"/>
          <w:highlight w:val="none"/>
        </w:rPr>
      </w:pPr>
      <w:bookmarkStart w:id="24" w:name="_Toc48667257"/>
      <w:r>
        <w:rPr>
          <w:rFonts w:hint="eastAsia" w:ascii="宋体" w:hAnsi="宋体" w:cs="宋体"/>
          <w:color w:val="auto"/>
          <w:sz w:val="22"/>
          <w:highlight w:val="none"/>
        </w:rPr>
        <w:t>4.6.5 承包人在投标文件中所列的投入本工程的主要管理人员必须在监理人发出开工通知后5天内全部进驻施工现场开展工作，个别确因特殊情况不能进场或中途退出的，须经发包人同意，并更换与原人员具有相同资历条件的并与承包人有正式的劳动合同关系(以社保证明为准)的人员，同时提供相关证明，否则视为承包人违约。</w:t>
      </w:r>
      <w:bookmarkEnd w:id="24"/>
    </w:p>
    <w:p w14:paraId="2E91BD2C">
      <w:pPr>
        <w:overflowPunct w:val="0"/>
        <w:autoSpaceDE w:val="0"/>
        <w:autoSpaceDN w:val="0"/>
        <w:adjustRightInd w:val="0"/>
        <w:snapToGrid w:val="0"/>
        <w:spacing w:line="360" w:lineRule="auto"/>
        <w:ind w:firstLine="440" w:firstLineChars="200"/>
        <w:rPr>
          <w:rFonts w:hint="eastAsia" w:ascii="宋体" w:hAnsi="宋体" w:cs="宋体"/>
          <w:color w:val="auto"/>
          <w:sz w:val="22"/>
          <w:highlight w:val="none"/>
        </w:rPr>
      </w:pPr>
      <w:bookmarkStart w:id="25" w:name="_Toc48667258"/>
      <w:r>
        <w:rPr>
          <w:rFonts w:hint="eastAsia" w:ascii="宋体" w:hAnsi="宋体" w:cs="宋体"/>
          <w:color w:val="auto"/>
          <w:sz w:val="22"/>
          <w:highlight w:val="none"/>
        </w:rPr>
        <w:t>4.6.6 如果在监理人发出开工通知后30天内，承包人的主要管理人员未能全部进驻现场，则发包人认定承包人合同履行严重不到位，并将根据《广东省水利工程建设市场不良行为认定标准(修订)》和《广东省水利建设市场主体信用信息管理办法(试行)》的规定，作为不良行为记录信息上报上级水利行政主管部门 。</w:t>
      </w:r>
    </w:p>
    <w:p w14:paraId="12F8F80A">
      <w:pPr>
        <w:autoSpaceDE w:val="0"/>
        <w:autoSpaceDN w:val="0"/>
        <w:spacing w:line="360" w:lineRule="auto"/>
        <w:ind w:firstLine="440" w:firstLineChars="200"/>
        <w:rPr>
          <w:rFonts w:hint="eastAsia" w:ascii="宋体" w:hAnsi="宋体" w:cs="宋体"/>
          <w:b/>
          <w:color w:val="auto"/>
          <w:sz w:val="22"/>
          <w:highlight w:val="none"/>
        </w:rPr>
      </w:pPr>
      <w:r>
        <w:rPr>
          <w:rFonts w:hint="eastAsia" w:ascii="宋体" w:hAnsi="宋体" w:cs="宋体"/>
          <w:color w:val="auto"/>
          <w:sz w:val="22"/>
          <w:highlight w:val="none"/>
        </w:rPr>
        <w:t>4.6.7 承包人须严格按照投标文件中拟投入人员进驻施工现场，合同履行期间人员更换须经发包人同意，且承包人应提供相应的岗位证书及单位社保证明。各岗位人员总数只能更换一人次，如第二次及以后再要求更换，视为承包人违约，项目经理每更换一次罚款20000元，其他岗位人员每更换一次的违约金为5000元，在当期进度款中扣除。</w:t>
      </w:r>
      <w:bookmarkEnd w:id="25"/>
    </w:p>
    <w:p w14:paraId="0ED4FDFB">
      <w:pPr>
        <w:autoSpaceDE w:val="0"/>
        <w:autoSpaceDN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4.8 保障承包人人员的合法权益</w:t>
      </w:r>
    </w:p>
    <w:p w14:paraId="1A135C0B">
      <w:pPr>
        <w:adjustRightInd w:val="0"/>
        <w:snapToGrid w:val="0"/>
        <w:spacing w:line="360" w:lineRule="auto"/>
        <w:ind w:firstLine="440" w:firstLineChars="200"/>
        <w:rPr>
          <w:rFonts w:hint="eastAsia" w:ascii="宋体" w:hAnsi="宋体" w:cs="宋体"/>
          <w:b/>
          <w:color w:val="auto"/>
          <w:sz w:val="22"/>
          <w:highlight w:val="none"/>
        </w:rPr>
      </w:pPr>
      <w:bookmarkStart w:id="26" w:name="_Toc48667260"/>
      <w:r>
        <w:rPr>
          <w:rFonts w:hint="eastAsia" w:ascii="宋体" w:hAnsi="宋体" w:cs="宋体"/>
          <w:color w:val="auto"/>
          <w:sz w:val="22"/>
          <w:highlight w:val="none"/>
        </w:rPr>
        <w:t>4.8.1 将通用合同条款4.8.1条修改为：承包人应与其雇用的人员(含民工)签订劳动合同，并按时发放工资，工资标准不能低于政府发布的最低工资标准，并不得拖欠或克扣雇佣人员的工资，否则发包人有权扣留相应数额的工程款支付雇佣人员(含民工)工资。</w:t>
      </w:r>
      <w:bookmarkEnd w:id="26"/>
      <w:r>
        <w:rPr>
          <w:rFonts w:hint="eastAsia" w:ascii="宋体" w:hAnsi="宋体" w:cs="宋体"/>
          <w:color w:val="auto"/>
          <w:sz w:val="22"/>
          <w:highlight w:val="none"/>
        </w:rPr>
        <w:t>承包人如未履行本项约定，应当赔偿发包人因此受到的全部经济损失。</w:t>
      </w:r>
    </w:p>
    <w:p w14:paraId="09910940">
      <w:pPr>
        <w:spacing w:line="360" w:lineRule="auto"/>
        <w:ind w:firstLine="442" w:firstLineChars="200"/>
        <w:rPr>
          <w:rFonts w:hint="eastAsia" w:ascii="宋体" w:hAnsi="宋体" w:cs="宋体"/>
          <w:b/>
          <w:color w:val="auto"/>
          <w:sz w:val="22"/>
          <w:highlight w:val="none"/>
        </w:rPr>
      </w:pPr>
      <w:bookmarkStart w:id="27" w:name="_Toc48667261"/>
      <w:r>
        <w:rPr>
          <w:rFonts w:hint="eastAsia" w:ascii="宋体" w:hAnsi="宋体" w:cs="宋体"/>
          <w:b/>
          <w:color w:val="auto"/>
          <w:sz w:val="22"/>
          <w:highlight w:val="none"/>
        </w:rPr>
        <w:t>4.11 不利物质条件</w:t>
      </w:r>
      <w:bookmarkEnd w:id="27"/>
    </w:p>
    <w:p w14:paraId="61099F04">
      <w:pPr>
        <w:adjustRightInd w:val="0"/>
        <w:snapToGrid w:val="0"/>
        <w:spacing w:line="360" w:lineRule="auto"/>
        <w:ind w:firstLine="440" w:firstLineChars="200"/>
        <w:rPr>
          <w:rFonts w:hint="eastAsia" w:ascii="宋体" w:hAnsi="宋体" w:cs="宋体"/>
          <w:b/>
          <w:color w:val="auto"/>
          <w:sz w:val="22"/>
          <w:highlight w:val="none"/>
        </w:rPr>
      </w:pPr>
      <w:bookmarkStart w:id="28" w:name="_Toc48667262"/>
      <w:r>
        <w:rPr>
          <w:rFonts w:hint="eastAsia" w:ascii="宋体" w:hAnsi="宋体" w:cs="宋体"/>
          <w:color w:val="auto"/>
          <w:sz w:val="22"/>
          <w:highlight w:val="none"/>
        </w:rPr>
        <w:t>4.11.1不利物质条件的范围：</w:t>
      </w:r>
      <w:r>
        <w:rPr>
          <w:rFonts w:hint="eastAsia" w:ascii="宋体" w:hAnsi="宋体" w:cs="宋体"/>
          <w:color w:val="auto"/>
          <w:sz w:val="22"/>
          <w:highlight w:val="none"/>
          <w:u w:val="single"/>
        </w:rPr>
        <w:t>无</w:t>
      </w:r>
      <w:r>
        <w:rPr>
          <w:rFonts w:hint="eastAsia" w:ascii="宋体" w:hAnsi="宋体" w:cs="宋体"/>
          <w:color w:val="auto"/>
          <w:sz w:val="22"/>
          <w:highlight w:val="none"/>
        </w:rPr>
        <w:t>。</w:t>
      </w:r>
      <w:bookmarkEnd w:id="28"/>
    </w:p>
    <w:p w14:paraId="09563CA8">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5．材料和工程设备</w:t>
      </w:r>
    </w:p>
    <w:p w14:paraId="05B7EC01">
      <w:pPr>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5.1 承包人提供的材料和工程设备</w:t>
      </w:r>
    </w:p>
    <w:p w14:paraId="5877B337">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5.1.1 删除通用合同条款5.1.1条全文，并以下文代替：为完成本合同各项工作所需的材料和工程设备均由承包人负责采购、验收、运输和保管。工程用砂必须使用具有河砂开采资质单位提供的合格产品，并索取正式发票。</w:t>
      </w:r>
    </w:p>
    <w:p w14:paraId="7824DF71">
      <w:pPr>
        <w:autoSpaceDE w:val="0"/>
        <w:autoSpaceDN w:val="0"/>
        <w:spacing w:line="360" w:lineRule="auto"/>
        <w:ind w:firstLine="440" w:firstLineChars="200"/>
        <w:rPr>
          <w:rFonts w:hint="eastAsia" w:ascii="宋体" w:hAnsi="宋体" w:cs="宋体"/>
          <w:b/>
          <w:color w:val="auto"/>
          <w:sz w:val="22"/>
          <w:highlight w:val="none"/>
        </w:rPr>
      </w:pPr>
      <w:bookmarkStart w:id="29" w:name="_Toc48667266"/>
      <w:bookmarkStart w:id="30" w:name="_Toc199155905"/>
      <w:r>
        <w:rPr>
          <w:rFonts w:hint="eastAsia" w:ascii="宋体" w:hAnsi="宋体" w:cs="宋体"/>
          <w:color w:val="auto"/>
          <w:sz w:val="22"/>
          <w:highlight w:val="none"/>
        </w:rPr>
        <w:t>5.1.2 删除通用合同条款5.1.2条全文，并以下文代替：承包人应将各项材料和工程设备的供货人及品种、规格、数量、质量等级和供货时间等报送业主和监理人审批。承包人应向监理人提交其负责提供的材料和工程设备的质量证明文件及供货人资质证明材料，并满足合同约定的质量标准。</w:t>
      </w:r>
      <w:bookmarkEnd w:id="29"/>
      <w:r>
        <w:rPr>
          <w:rFonts w:hint="eastAsia" w:ascii="宋体" w:hAnsi="宋体" w:cs="宋体"/>
          <w:color w:val="auto"/>
          <w:sz w:val="22"/>
          <w:highlight w:val="none"/>
        </w:rPr>
        <w:t>承包人应对其采购的材料和设备负责。</w:t>
      </w:r>
    </w:p>
    <w:p w14:paraId="5805246A">
      <w:pPr>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5.2 发包人提供的材料和工程设备</w:t>
      </w:r>
      <w:bookmarkEnd w:id="30"/>
    </w:p>
    <w:p w14:paraId="71B2F6C4">
      <w:pPr>
        <w:autoSpaceDE w:val="0"/>
        <w:autoSpaceDN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发包人不提供材料和工程设备。</w:t>
      </w:r>
    </w:p>
    <w:p w14:paraId="314671DC">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6  施工设备和临时设施</w:t>
      </w:r>
    </w:p>
    <w:p w14:paraId="15D541DB">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发包人提供的临时设施：</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78382C4E">
      <w:pPr>
        <w:pStyle w:val="6"/>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增加：禁止使用冒黑烟高排放的工程机械，落实扬尘污染控制措施。</w:t>
      </w:r>
    </w:p>
    <w:p w14:paraId="151927D2">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7．交通运输</w:t>
      </w:r>
    </w:p>
    <w:p w14:paraId="0FED88BD">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 xml:space="preserve">7.1 道路通行权和场外设施 </w:t>
      </w:r>
    </w:p>
    <w:p w14:paraId="54E846FA">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 xml:space="preserve">道路通行权和场外设施的约定：按相关管理规定。 </w:t>
      </w:r>
    </w:p>
    <w:p w14:paraId="32DBC5FC">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lang w:val="zh-CN"/>
        </w:rPr>
        <w:t>增加</w:t>
      </w:r>
      <w:r>
        <w:rPr>
          <w:rFonts w:hint="eastAsia" w:ascii="宋体" w:hAnsi="宋体" w:cs="宋体"/>
          <w:color w:val="auto"/>
          <w:sz w:val="22"/>
          <w:highlight w:val="none"/>
        </w:rPr>
        <w:t>：</w:t>
      </w:r>
      <w:r>
        <w:rPr>
          <w:rFonts w:hint="eastAsia" w:ascii="宋体" w:hAnsi="宋体" w:cs="宋体"/>
          <w:color w:val="auto"/>
          <w:sz w:val="22"/>
          <w:highlight w:val="none"/>
          <w:lang w:val="zh-CN"/>
        </w:rPr>
        <w:t>我市在建的水利工程材料及机械运输</w:t>
      </w:r>
      <w:r>
        <w:rPr>
          <w:rFonts w:hint="eastAsia" w:ascii="宋体" w:hAnsi="宋体" w:cs="宋体"/>
          <w:color w:val="auto"/>
          <w:sz w:val="22"/>
          <w:highlight w:val="none"/>
        </w:rPr>
        <w:t>规定：</w:t>
      </w:r>
      <w:r>
        <w:rPr>
          <w:rFonts w:hint="eastAsia" w:ascii="宋体" w:hAnsi="宋体" w:cs="宋体"/>
          <w:color w:val="auto"/>
          <w:sz w:val="22"/>
          <w:highlight w:val="none"/>
          <w:lang w:val="zh-CN"/>
        </w:rPr>
        <w:t>材料及机械运输车辆在我市</w:t>
      </w:r>
      <w:r>
        <w:rPr>
          <w:rFonts w:hint="eastAsia" w:ascii="宋体" w:hAnsi="宋体" w:cs="宋体"/>
          <w:color w:val="auto"/>
          <w:sz w:val="22"/>
          <w:highlight w:val="none"/>
        </w:rPr>
        <w:t>县道和乡道必须遵守交通部门相关管理规定，禁止超载；施工单位若损坏路道必须自行修复，费用自理，否则从工程保质金中扣留修复款项。</w:t>
      </w:r>
    </w:p>
    <w:p w14:paraId="2C7219A4">
      <w:pPr>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8  测量放线　</w:t>
      </w:r>
    </w:p>
    <w:p w14:paraId="31F440BD">
      <w:pPr>
        <w:spacing w:line="360" w:lineRule="auto"/>
        <w:ind w:firstLine="442" w:firstLineChars="200"/>
        <w:rPr>
          <w:rFonts w:hint="eastAsia" w:ascii="宋体" w:hAnsi="宋体" w:cs="宋体"/>
          <w:color w:val="auto"/>
          <w:sz w:val="22"/>
          <w:highlight w:val="none"/>
        </w:rPr>
      </w:pPr>
      <w:bookmarkStart w:id="31" w:name="_Toc48667276"/>
      <w:r>
        <w:rPr>
          <w:rFonts w:hint="eastAsia" w:ascii="宋体" w:hAnsi="宋体" w:cs="宋体"/>
          <w:b/>
          <w:color w:val="auto"/>
          <w:sz w:val="22"/>
          <w:highlight w:val="none"/>
        </w:rPr>
        <w:t>8.1  施工控制网</w:t>
      </w:r>
      <w:bookmarkEnd w:id="31"/>
      <w:r>
        <w:rPr>
          <w:rFonts w:hint="eastAsia" w:ascii="宋体" w:hAnsi="宋体" w:cs="宋体"/>
          <w:color w:val="auto"/>
          <w:sz w:val="22"/>
          <w:highlight w:val="none"/>
        </w:rPr>
        <w:t>　</w:t>
      </w:r>
    </w:p>
    <w:p w14:paraId="122D8754">
      <w:pPr>
        <w:spacing w:line="360" w:lineRule="auto"/>
        <w:ind w:firstLine="440" w:firstLineChars="200"/>
        <w:rPr>
          <w:rFonts w:hint="eastAsia" w:ascii="宋体" w:hAnsi="宋体" w:cs="宋体"/>
          <w:color w:val="auto"/>
          <w:sz w:val="22"/>
          <w:highlight w:val="none"/>
        </w:rPr>
      </w:pPr>
      <w:bookmarkStart w:id="32" w:name="_Toc48667277"/>
      <w:r>
        <w:rPr>
          <w:rFonts w:hint="eastAsia" w:ascii="宋体" w:hAnsi="宋体" w:cs="宋体"/>
          <w:color w:val="auto"/>
          <w:sz w:val="22"/>
          <w:highlight w:val="none"/>
        </w:rPr>
        <w:t>8.1.1 施工控制网的约定：</w:t>
      </w:r>
      <w:r>
        <w:rPr>
          <w:rFonts w:hint="eastAsia" w:ascii="宋体" w:hAnsi="宋体" w:cs="宋体"/>
          <w:color w:val="auto"/>
          <w:sz w:val="22"/>
          <w:highlight w:val="none"/>
          <w:u w:val="single"/>
        </w:rPr>
        <w:t>用导线控制</w:t>
      </w:r>
      <w:r>
        <w:rPr>
          <w:rFonts w:hint="eastAsia" w:ascii="宋体" w:hAnsi="宋体" w:cs="宋体"/>
          <w:color w:val="auto"/>
          <w:sz w:val="22"/>
          <w:highlight w:val="none"/>
        </w:rPr>
        <w:t>。</w:t>
      </w:r>
      <w:bookmarkEnd w:id="32"/>
      <w:r>
        <w:rPr>
          <w:rFonts w:hint="eastAsia" w:ascii="宋体" w:hAnsi="宋体" w:cs="宋体"/>
          <w:color w:val="auto"/>
          <w:sz w:val="22"/>
          <w:highlight w:val="none"/>
        </w:rPr>
        <w:t>　</w:t>
      </w:r>
    </w:p>
    <w:p w14:paraId="33B22EEE">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9  施工安全、治安保卫和环境保护</w:t>
      </w:r>
    </w:p>
    <w:p w14:paraId="50A0D148">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9.1.5承包人自行承担完成本工程安全生产、安全作业环境及安全施工措施所需的费用。</w:t>
      </w:r>
    </w:p>
    <w:p w14:paraId="557F493C">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9.2承包人的施工安全责任增加：</w:t>
      </w:r>
    </w:p>
    <w:p w14:paraId="1102DDCB">
      <w:pPr>
        <w:tabs>
          <w:tab w:val="left" w:pos="2340"/>
        </w:tabs>
        <w:autoSpaceDE w:val="0"/>
        <w:autoSpaceDN w:val="0"/>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（1）承包人应在工地配备必要的消防设备和救助设施，所需费用由承包人承担。</w:t>
      </w:r>
    </w:p>
    <w:p w14:paraId="4B217099">
      <w:pPr>
        <w:tabs>
          <w:tab w:val="left" w:pos="2340"/>
        </w:tabs>
        <w:autoSpaceDE w:val="0"/>
        <w:autoSpaceDN w:val="0"/>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承包人负责施工范围内的施工安全及相应防护设施，如防护栏、防护网、警示牌及警示标语等，相关的设施费用由承包人承担，承包人应加强安全管理及安全教育，按有关施工规范规程施工，否则在施工工地范围内出现安全事故，由承包人承担相应责任。</w:t>
      </w:r>
    </w:p>
    <w:p w14:paraId="1BF92EEC">
      <w:pPr>
        <w:tabs>
          <w:tab w:val="left" w:pos="2340"/>
        </w:tabs>
        <w:autoSpaceDE w:val="0"/>
        <w:autoSpaceDN w:val="0"/>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（3）施工工地范围必须加强管理，禁止与工程无关人员进入施工现场。否则在施工工地范围导致第三方出现安全事故，概由承包人承担相应责任。</w:t>
      </w:r>
    </w:p>
    <w:p w14:paraId="0EF59322">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（4）承包人必须按照&lt;&lt;中华人民共和国安全生产法&gt;&gt;的相关规定,采取相关措施，确保安全生产。</w:t>
      </w:r>
    </w:p>
    <w:p w14:paraId="587C6CE4">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增加条款9.2.14</w:t>
      </w:r>
    </w:p>
    <w:p w14:paraId="2660F890">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(1) 承包人项目经理对承包人的安全生产工作全面负责，为第一责任人；安全生产负责人为安全生产直接责任人。承包人必须严格执行国家、广东省及行业的安全法规、规章，承包人在工地应建立专业或业余消防队伍。达不到安全要求，发包人将对承包人进行处罚。发生重大或以上安全事故，按有关法律法规对承包人进行处罚。</w:t>
      </w:r>
    </w:p>
    <w:p w14:paraId="6EC02A9B">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 xml:space="preserve"> (2) 进入施工现场的各类人员应当戴好安全帽，系好帽带；临空和高空作业的人员应当系好安全带；各类洞口和脚手架应当设置安全网。安全帽、安全带、安全网应当符合技术安全标准；设置带安全护拦的行走通道往每个施工工作面；不符合安全要求的，除责令立即停止工作外，每人次按100元</w:t>
      </w:r>
      <w:r>
        <w:rPr>
          <w:rFonts w:hint="eastAsia" w:ascii="宋体" w:hAnsi="宋体" w:cs="宋体"/>
          <w:color w:val="auto"/>
          <w:sz w:val="22"/>
          <w:highlight w:val="none"/>
        </w:rPr>
        <w:t>的违约金计</w:t>
      </w:r>
      <w:r>
        <w:rPr>
          <w:rFonts w:hint="eastAsia" w:ascii="宋体" w:hAnsi="宋体" w:cs="宋体"/>
          <w:color w:val="auto"/>
          <w:sz w:val="22"/>
          <w:highlight w:val="none"/>
          <w:lang w:val="zh-CN"/>
        </w:rPr>
        <w:t>，并累计计算。</w:t>
      </w:r>
    </w:p>
    <w:p w14:paraId="263FEB51">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(3) 施工现场的用电线路、用电设施的安装和使用应当符合安装规范和安全操作规程，并按照施工组织设计进行架设，禁止任意拉线接电。施工现场应当设有保证施工安全要求的夜间照明、危险潮湿场所照明以及手持照明灯具，应当采用符合安全要求的电压；</w:t>
      </w:r>
    </w:p>
    <w:p w14:paraId="46042E56">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(4) 施工现场内木材加工间、易爆、易燃仓库禁止烟火。危险作业场所禁止吸烟。各类易爆易燃的化学物品、建材、油料必须入库存放，不得露天堆积。乙炔和氧气使用时地、两瓶间距必须大于5米以上，存放时必须封闭隔离。运用明火必须由项目经理和安全负责人在现场核验签字后方可进行，操作人员必须持证上岗，现场按规定配备足够的各类有效防火器材，并经常检查。</w:t>
      </w:r>
    </w:p>
    <w:p w14:paraId="22B01F38">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(5) 施工现场内宿舍、办公室、仓库禁止使用电热器具取暖和煮饭，宿舍仓库不得混用。</w:t>
      </w:r>
    </w:p>
    <w:p w14:paraId="3CB73447">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(6) 特种作业人员必须按照国家有关规定经过专门的安全作业培训，并取得特种作业操作资格证书后，方可上岗作业，并把证件影印件报监理人备查。</w:t>
      </w:r>
    </w:p>
    <w:p w14:paraId="07790F8C">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(7) 危险地段作业，必须将《安全施工防护措施》在施工前5天送监理工程师审批，经采取有效防护措施并经监理工程师检查合格后，方可作业。</w:t>
      </w:r>
    </w:p>
    <w:p w14:paraId="233CCE58">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(8) 施工区爆破作业时间应报监理工程师，由监理工程师根据整个工程的实际情况报发包人批准后统一安排时间，任何单位和个人，未经监理工程师同意，不得在规定时间之外进行爆破。</w:t>
      </w:r>
    </w:p>
    <w:p w14:paraId="60A48D2A">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(9) 施工区爆破作业，必须设置安全警戒哨。并按统一的信号进行爆破。对爆破作业可能影响到的作业面，必须在爆破前通知到位。统一信号由监理工程师监管。</w:t>
      </w:r>
    </w:p>
    <w:p w14:paraId="37D45A11">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(10) 施工作业面使用的防护设施不符合要求，经监理认定后，必须立即整改，五天内整改完毕，每延迟一天，按500元</w:t>
      </w:r>
      <w:r>
        <w:rPr>
          <w:rFonts w:hint="eastAsia" w:ascii="宋体" w:hAnsi="宋体" w:cs="宋体"/>
          <w:color w:val="auto"/>
          <w:sz w:val="22"/>
          <w:highlight w:val="none"/>
        </w:rPr>
        <w:t>的违约金计</w:t>
      </w:r>
      <w:r>
        <w:rPr>
          <w:rFonts w:hint="eastAsia" w:ascii="宋体" w:hAnsi="宋体" w:cs="宋体"/>
          <w:color w:val="auto"/>
          <w:sz w:val="22"/>
          <w:highlight w:val="none"/>
          <w:lang w:val="zh-CN"/>
        </w:rPr>
        <w:t>；拒不整改的，监理有权责令其停止工作。</w:t>
      </w:r>
    </w:p>
    <w:p w14:paraId="34EB1097">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(11) 施工作业面无安全警示牌、标语的，自整改通知书下达之日起十天内完成。每延迟一天处以500元罚款；十天后，由监理派人强制实施，费用由被整改方负责，并追究该单位责任。</w:t>
      </w:r>
    </w:p>
    <w:p w14:paraId="24C2E29D">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(12) 道路、水上作业人员必须穿带相应警示标识及防护用具。</w:t>
      </w:r>
    </w:p>
    <w:p w14:paraId="4AA29510">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(13) 承包人应及时整改安全生产隐患，未按整改期限要求完成的视情节轻重按</w:t>
      </w:r>
      <w:r>
        <w:rPr>
          <w:rFonts w:hint="eastAsia" w:ascii="宋体" w:hAnsi="宋体" w:cs="宋体"/>
          <w:color w:val="auto"/>
          <w:sz w:val="22"/>
          <w:highlight w:val="none"/>
        </w:rPr>
        <w:t>违约金</w:t>
      </w:r>
      <w:r>
        <w:rPr>
          <w:rFonts w:hint="eastAsia" w:ascii="宋体" w:hAnsi="宋体" w:cs="宋体"/>
          <w:color w:val="auto"/>
          <w:sz w:val="22"/>
          <w:highlight w:val="none"/>
          <w:lang w:val="zh-CN"/>
        </w:rPr>
        <w:t>2000到5000元</w:t>
      </w:r>
      <w:r>
        <w:rPr>
          <w:rFonts w:hint="eastAsia" w:ascii="宋体" w:hAnsi="宋体" w:cs="宋体"/>
          <w:color w:val="auto"/>
          <w:sz w:val="22"/>
          <w:highlight w:val="none"/>
        </w:rPr>
        <w:t>计</w:t>
      </w:r>
      <w:r>
        <w:rPr>
          <w:rFonts w:hint="eastAsia" w:ascii="宋体" w:hAnsi="宋体" w:cs="宋体"/>
          <w:color w:val="auto"/>
          <w:sz w:val="22"/>
          <w:highlight w:val="none"/>
          <w:lang w:val="zh-CN"/>
        </w:rPr>
        <w:t>。</w:t>
      </w:r>
    </w:p>
    <w:p w14:paraId="59F8D909">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(14) 工程发生重大及以上安全生产事故，该承包人将被列入全省施工企业诚信管理系统黑名单，并通报全省。</w:t>
      </w:r>
    </w:p>
    <w:p w14:paraId="3711AD26">
      <w:pPr>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9.7  文明工地</w:t>
      </w:r>
    </w:p>
    <w:p w14:paraId="0737E030">
      <w:pPr>
        <w:spacing w:line="360" w:lineRule="auto"/>
        <w:ind w:firstLine="440" w:firstLineChars="200"/>
        <w:rPr>
          <w:rFonts w:hint="eastAsia" w:ascii="宋体" w:hAnsi="宋体" w:cs="宋体"/>
          <w:strike/>
          <w:color w:val="auto"/>
          <w:sz w:val="22"/>
          <w:highlight w:val="none"/>
        </w:rPr>
      </w:pPr>
      <w:r>
        <w:rPr>
          <w:rFonts w:hint="eastAsia" w:ascii="宋体" w:hAnsi="宋体" w:cs="宋体"/>
          <w:color w:val="auto"/>
          <w:sz w:val="22"/>
          <w:highlight w:val="none"/>
        </w:rPr>
        <w:t>9.7.1 本合同文明工地的约定：</w:t>
      </w:r>
    </w:p>
    <w:p w14:paraId="12CF3DAD">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承包人应按创建文明建设工地的规划和办法，履行职责，承担相应责任。所需费用应含在投标报价中。</w:t>
      </w:r>
    </w:p>
    <w:p w14:paraId="121A2D31">
      <w:pPr>
        <w:adjustRightInd w:val="0"/>
        <w:snapToGrid w:val="0"/>
        <w:spacing w:line="360" w:lineRule="auto"/>
        <w:ind w:firstLine="440" w:firstLineChars="200"/>
        <w:rPr>
          <w:rFonts w:hint="eastAsia" w:ascii="宋体" w:hAnsi="宋体" w:cs="宋体"/>
          <w:color w:val="auto"/>
          <w:sz w:val="22"/>
          <w:highlight w:val="none"/>
        </w:rPr>
      </w:pPr>
      <w:bookmarkStart w:id="33" w:name="_Toc48667285"/>
      <w:r>
        <w:rPr>
          <w:rFonts w:hint="eastAsia" w:ascii="宋体" w:hAnsi="宋体" w:cs="宋体"/>
          <w:color w:val="auto"/>
          <w:sz w:val="22"/>
          <w:highlight w:val="none"/>
        </w:rPr>
        <w:t xml:space="preserve">(1) </w:t>
      </w:r>
      <w:r>
        <w:rPr>
          <w:rFonts w:hint="eastAsia" w:ascii="宋体" w:hAnsi="宋体" w:cs="宋体"/>
          <w:color w:val="auto"/>
          <w:sz w:val="22"/>
          <w:highlight w:val="none"/>
          <w:lang w:val="zh-CN"/>
        </w:rPr>
        <w:t>工程开工前承包人应编制文明施工专项方案，报监理人批准，并报发包人备案后实施。</w:t>
      </w:r>
      <w:bookmarkEnd w:id="33"/>
    </w:p>
    <w:p w14:paraId="7EEA987D">
      <w:pPr>
        <w:adjustRightInd w:val="0"/>
        <w:snapToGrid w:val="0"/>
        <w:spacing w:line="360" w:lineRule="auto"/>
        <w:ind w:firstLine="440" w:firstLineChars="200"/>
        <w:rPr>
          <w:rFonts w:hint="eastAsia" w:ascii="宋体" w:hAnsi="宋体" w:cs="宋体"/>
          <w:color w:val="auto"/>
          <w:sz w:val="22"/>
          <w:highlight w:val="none"/>
        </w:rPr>
      </w:pPr>
      <w:bookmarkStart w:id="34" w:name="_Toc48667286"/>
      <w:r>
        <w:rPr>
          <w:rFonts w:hint="eastAsia" w:ascii="宋体" w:hAnsi="宋体" w:cs="宋体"/>
          <w:color w:val="auto"/>
          <w:sz w:val="22"/>
          <w:highlight w:val="none"/>
        </w:rPr>
        <w:t xml:space="preserve">(2) </w:t>
      </w:r>
      <w:r>
        <w:rPr>
          <w:rFonts w:hint="eastAsia" w:ascii="宋体" w:hAnsi="宋体" w:cs="宋体"/>
          <w:color w:val="auto"/>
          <w:sz w:val="22"/>
          <w:highlight w:val="none"/>
          <w:lang w:val="zh-CN"/>
        </w:rPr>
        <w:t>本工程施工实行施工封闭化、围挡标准化、现场临时施工道路采用泥结石路面、保持经常洒水、清扫和养护施工道路、现场硬地化、厨房和厕所卫生化、宿舍和办公室规范化。鼓励美化建筑工地周围环境；</w:t>
      </w:r>
      <w:bookmarkEnd w:id="34"/>
    </w:p>
    <w:p w14:paraId="292071D9">
      <w:pPr>
        <w:adjustRightInd w:val="0"/>
        <w:snapToGrid w:val="0"/>
        <w:spacing w:line="360" w:lineRule="auto"/>
        <w:ind w:firstLine="440" w:firstLineChars="200"/>
        <w:rPr>
          <w:rFonts w:hint="eastAsia" w:ascii="宋体" w:hAnsi="宋体" w:cs="宋体"/>
          <w:color w:val="auto"/>
          <w:sz w:val="22"/>
          <w:highlight w:val="none"/>
        </w:rPr>
      </w:pPr>
      <w:bookmarkStart w:id="35" w:name="_Toc48667287"/>
      <w:r>
        <w:rPr>
          <w:rFonts w:hint="eastAsia" w:ascii="宋体" w:hAnsi="宋体" w:cs="宋体"/>
          <w:color w:val="auto"/>
          <w:sz w:val="22"/>
          <w:highlight w:val="none"/>
        </w:rPr>
        <w:t xml:space="preserve">(3) </w:t>
      </w:r>
      <w:r>
        <w:rPr>
          <w:rFonts w:hint="eastAsia" w:ascii="宋体" w:hAnsi="宋体" w:cs="宋体"/>
          <w:color w:val="auto"/>
          <w:sz w:val="22"/>
          <w:highlight w:val="none"/>
          <w:lang w:val="zh-CN"/>
        </w:rPr>
        <w:t>承包人应对施工现场的设备、材料堆放、场地道路、临时生产和生活设施进行统一合理布局，并纳入施工组织设计，报监理人审核同意后执行；</w:t>
      </w:r>
      <w:bookmarkEnd w:id="35"/>
    </w:p>
    <w:p w14:paraId="7C17F1C5">
      <w:pPr>
        <w:adjustRightInd w:val="0"/>
        <w:snapToGrid w:val="0"/>
        <w:spacing w:line="360" w:lineRule="auto"/>
        <w:ind w:firstLine="440" w:firstLineChars="200"/>
        <w:rPr>
          <w:rFonts w:hint="eastAsia" w:ascii="宋体" w:hAnsi="宋体" w:cs="宋体"/>
          <w:color w:val="auto"/>
          <w:sz w:val="22"/>
          <w:highlight w:val="none"/>
        </w:rPr>
      </w:pPr>
      <w:bookmarkStart w:id="36" w:name="_Toc48667288"/>
      <w:r>
        <w:rPr>
          <w:rFonts w:hint="eastAsia" w:ascii="宋体" w:hAnsi="宋体" w:cs="宋体"/>
          <w:color w:val="auto"/>
          <w:sz w:val="22"/>
          <w:highlight w:val="none"/>
        </w:rPr>
        <w:t xml:space="preserve">(4) </w:t>
      </w:r>
      <w:r>
        <w:rPr>
          <w:rFonts w:hint="eastAsia" w:ascii="宋体" w:hAnsi="宋体" w:cs="宋体"/>
          <w:color w:val="auto"/>
          <w:sz w:val="22"/>
          <w:highlight w:val="none"/>
          <w:lang w:val="zh-CN"/>
        </w:rPr>
        <w:t>生活区（办公室、宿舍、厨房、厕所、临时水电设施、仓库）统一采用预制板房或砖房，临设布置符合文明施工标准，生活污水经处理后再排放，职工宿舍及周围环境要求卫生、整洁、安全，每间宿舍居住人数不得超过</w:t>
      </w:r>
      <w:r>
        <w:rPr>
          <w:rFonts w:hint="eastAsia" w:ascii="宋体" w:hAnsi="宋体" w:cs="宋体"/>
          <w:color w:val="auto"/>
          <w:sz w:val="22"/>
          <w:highlight w:val="none"/>
        </w:rPr>
        <w:t>16</w:t>
      </w:r>
      <w:r>
        <w:rPr>
          <w:rFonts w:hint="eastAsia" w:ascii="宋体" w:hAnsi="宋体" w:cs="宋体"/>
          <w:color w:val="auto"/>
          <w:sz w:val="22"/>
          <w:highlight w:val="none"/>
          <w:lang w:val="zh-CN"/>
        </w:rPr>
        <w:t>人，消防通道宽不小于</w:t>
      </w:r>
      <w:r>
        <w:rPr>
          <w:rFonts w:hint="eastAsia" w:ascii="宋体" w:hAnsi="宋体" w:cs="宋体"/>
          <w:color w:val="auto"/>
          <w:sz w:val="22"/>
          <w:highlight w:val="none"/>
        </w:rPr>
        <w:t>1.2m</w:t>
      </w:r>
      <w:r>
        <w:rPr>
          <w:rFonts w:hint="eastAsia" w:ascii="宋体" w:hAnsi="宋体" w:cs="宋体"/>
          <w:color w:val="auto"/>
          <w:sz w:val="22"/>
          <w:highlight w:val="none"/>
          <w:lang w:val="zh-CN"/>
        </w:rPr>
        <w:t>并保持畅通，宿舍内空气要保持流通。宿舍内应当使用双层铁架床或其他合格的床铺，严禁设置通铺，禁止男女混居。宿舍内应设置封闭式餐具柜，个人物品应摆放整齐，保持卫生整洁。宿舍用电应设置独立的漏电、短路保护器和安全插座，电线必须套管，禁止电线乱拉乱接。宿舍要有管理制度，并落实治安、防火和卫生管理责任人。</w:t>
      </w:r>
      <w:bookmarkEnd w:id="36"/>
    </w:p>
    <w:p w14:paraId="123B50F5">
      <w:pPr>
        <w:adjustRightInd w:val="0"/>
        <w:snapToGrid w:val="0"/>
        <w:spacing w:line="360" w:lineRule="auto"/>
        <w:ind w:firstLine="440" w:firstLineChars="200"/>
        <w:rPr>
          <w:rFonts w:hint="eastAsia" w:ascii="宋体" w:hAnsi="宋体" w:cs="宋体"/>
          <w:color w:val="auto"/>
          <w:sz w:val="22"/>
          <w:highlight w:val="none"/>
        </w:rPr>
      </w:pPr>
      <w:bookmarkStart w:id="37" w:name="_Toc48667289"/>
      <w:r>
        <w:rPr>
          <w:rFonts w:hint="eastAsia" w:ascii="宋体" w:hAnsi="宋体" w:cs="宋体"/>
          <w:color w:val="auto"/>
          <w:sz w:val="22"/>
          <w:highlight w:val="none"/>
        </w:rPr>
        <w:t xml:space="preserve">(5) </w:t>
      </w:r>
      <w:r>
        <w:rPr>
          <w:rFonts w:hint="eastAsia" w:ascii="宋体" w:hAnsi="宋体" w:cs="宋体"/>
          <w:color w:val="auto"/>
          <w:sz w:val="22"/>
          <w:highlight w:val="none"/>
          <w:lang w:val="zh-CN"/>
        </w:rPr>
        <w:t>生产区临设布置合理，修理厂污水应设隔油池处理后再排放，拌和站污水经三级沉淀池处理后再排放，施工道路采用泥结石路面并定期洒水保证空气质量；</w:t>
      </w:r>
      <w:bookmarkEnd w:id="37"/>
    </w:p>
    <w:p w14:paraId="5BEC2D9B">
      <w:pPr>
        <w:adjustRightInd w:val="0"/>
        <w:snapToGrid w:val="0"/>
        <w:spacing w:line="360" w:lineRule="auto"/>
        <w:ind w:firstLine="440" w:firstLineChars="200"/>
        <w:rPr>
          <w:rFonts w:hint="eastAsia" w:ascii="宋体" w:hAnsi="宋体" w:cs="宋体"/>
          <w:color w:val="auto"/>
          <w:sz w:val="22"/>
          <w:highlight w:val="none"/>
        </w:rPr>
      </w:pPr>
      <w:bookmarkStart w:id="38" w:name="_Toc48667290"/>
      <w:r>
        <w:rPr>
          <w:rFonts w:hint="eastAsia" w:ascii="宋体" w:hAnsi="宋体" w:cs="宋体"/>
          <w:color w:val="auto"/>
          <w:sz w:val="22"/>
          <w:highlight w:val="none"/>
        </w:rPr>
        <w:t xml:space="preserve">(6) </w:t>
      </w:r>
      <w:r>
        <w:rPr>
          <w:rFonts w:hint="eastAsia" w:ascii="宋体" w:hAnsi="宋体" w:cs="宋体"/>
          <w:color w:val="auto"/>
          <w:sz w:val="22"/>
          <w:highlight w:val="none"/>
          <w:lang w:val="zh-CN"/>
        </w:rPr>
        <w:t>无审批手续，不应乱搭乱建生产、生活、临时建筑设施、或擅自改变用途，除处罚款外，并责令拆除。</w:t>
      </w:r>
      <w:bookmarkEnd w:id="38"/>
    </w:p>
    <w:p w14:paraId="2F05B51F">
      <w:pPr>
        <w:adjustRightInd w:val="0"/>
        <w:snapToGrid w:val="0"/>
        <w:spacing w:line="360" w:lineRule="auto"/>
        <w:ind w:firstLine="440" w:firstLineChars="200"/>
        <w:rPr>
          <w:rFonts w:hint="eastAsia" w:ascii="宋体" w:hAnsi="宋体" w:cs="宋体"/>
          <w:color w:val="auto"/>
          <w:sz w:val="22"/>
          <w:highlight w:val="none"/>
        </w:rPr>
      </w:pPr>
      <w:bookmarkStart w:id="39" w:name="_Toc48667291"/>
      <w:r>
        <w:rPr>
          <w:rFonts w:hint="eastAsia" w:ascii="宋体" w:hAnsi="宋体" w:cs="宋体"/>
          <w:color w:val="auto"/>
          <w:sz w:val="22"/>
          <w:highlight w:val="none"/>
        </w:rPr>
        <w:t xml:space="preserve">(7) </w:t>
      </w:r>
      <w:r>
        <w:rPr>
          <w:rFonts w:hint="eastAsia" w:ascii="宋体" w:hAnsi="宋体" w:cs="宋体"/>
          <w:color w:val="auto"/>
          <w:sz w:val="22"/>
          <w:highlight w:val="none"/>
          <w:lang w:val="zh-CN"/>
        </w:rPr>
        <w:t>施工现场的建设材料和设施，不得堆放在围墙和围板外，如确需要占用堆放的，必须按有关规定办理手续，并设置临时围栏，房屋工程的首层建好后（其他工程的一旦条件许可），材料要移入围墙内。材料堆放应当离开围墙地，与生活设施分隔，分类堆放整齐，标识清楚，散料要砌池围筑、杆料要立杆设栏、块料要起堆又叠又放，堆放高度不得高于</w:t>
      </w:r>
      <w:r>
        <w:rPr>
          <w:rFonts w:hint="eastAsia" w:ascii="宋体" w:hAnsi="宋体" w:cs="宋体"/>
          <w:color w:val="auto"/>
          <w:sz w:val="22"/>
          <w:highlight w:val="none"/>
        </w:rPr>
        <w:t>1.6</w:t>
      </w:r>
      <w:r>
        <w:rPr>
          <w:rFonts w:hint="eastAsia" w:ascii="宋体" w:hAnsi="宋体" w:cs="宋体"/>
          <w:color w:val="auto"/>
          <w:sz w:val="22"/>
          <w:highlight w:val="none"/>
          <w:lang w:val="zh-CN"/>
        </w:rPr>
        <w:t>米。</w:t>
      </w:r>
      <w:bookmarkEnd w:id="39"/>
    </w:p>
    <w:p w14:paraId="514ADCD0">
      <w:pPr>
        <w:adjustRightInd w:val="0"/>
        <w:snapToGrid w:val="0"/>
        <w:spacing w:line="360" w:lineRule="auto"/>
        <w:ind w:firstLine="440" w:firstLineChars="200"/>
        <w:rPr>
          <w:rFonts w:hint="eastAsia" w:ascii="宋体" w:hAnsi="宋体" w:cs="宋体"/>
          <w:color w:val="auto"/>
          <w:sz w:val="22"/>
          <w:highlight w:val="none"/>
        </w:rPr>
      </w:pPr>
      <w:bookmarkStart w:id="40" w:name="_Toc48667292"/>
      <w:r>
        <w:rPr>
          <w:rFonts w:hint="eastAsia" w:ascii="宋体" w:hAnsi="宋体" w:cs="宋体"/>
          <w:color w:val="auto"/>
          <w:sz w:val="22"/>
          <w:highlight w:val="none"/>
        </w:rPr>
        <w:t xml:space="preserve">(8) </w:t>
      </w:r>
      <w:r>
        <w:rPr>
          <w:rFonts w:hint="eastAsia" w:ascii="宋体" w:hAnsi="宋体" w:cs="宋体"/>
          <w:color w:val="auto"/>
          <w:sz w:val="22"/>
          <w:highlight w:val="none"/>
          <w:lang w:val="zh-CN"/>
        </w:rPr>
        <w:t>施工区公路沿线，禁止停放大型机械、车辆，特别是主要道路交叉口禁止停放闲置设备，任何单位和个人的运输及机械设备，不得占用有效路面。</w:t>
      </w:r>
      <w:bookmarkEnd w:id="40"/>
    </w:p>
    <w:p w14:paraId="38BBB1FD">
      <w:pPr>
        <w:adjustRightInd w:val="0"/>
        <w:snapToGrid w:val="0"/>
        <w:spacing w:line="360" w:lineRule="auto"/>
        <w:ind w:firstLine="440" w:firstLineChars="200"/>
        <w:rPr>
          <w:rFonts w:hint="eastAsia" w:ascii="宋体" w:hAnsi="宋体" w:cs="宋体"/>
          <w:color w:val="auto"/>
          <w:sz w:val="22"/>
          <w:highlight w:val="none"/>
          <w:lang w:val="zh-CN"/>
        </w:rPr>
      </w:pPr>
      <w:bookmarkStart w:id="41" w:name="_Toc48667293"/>
      <w:r>
        <w:rPr>
          <w:rFonts w:hint="eastAsia" w:ascii="宋体" w:hAnsi="宋体" w:cs="宋体"/>
          <w:color w:val="auto"/>
          <w:sz w:val="22"/>
          <w:highlight w:val="none"/>
          <w:lang w:val="zh-CN"/>
        </w:rPr>
        <w:t>(9) 各承包人参与工程建设的车辆，必须车况良好，其中混凝土、砂、石料场外运输必须覆盖，并由承包人统一上报车型、编号，办理场内机动车辆通行证。</w:t>
      </w:r>
      <w:bookmarkEnd w:id="41"/>
    </w:p>
    <w:p w14:paraId="3A5AF259">
      <w:pPr>
        <w:adjustRightInd w:val="0"/>
        <w:snapToGrid w:val="0"/>
        <w:spacing w:line="360" w:lineRule="auto"/>
        <w:ind w:firstLine="440" w:firstLineChars="200"/>
        <w:rPr>
          <w:rFonts w:hint="eastAsia" w:ascii="宋体" w:hAnsi="宋体" w:cs="宋体"/>
          <w:color w:val="auto"/>
          <w:sz w:val="22"/>
          <w:highlight w:val="none"/>
          <w:lang w:val="zh-CN"/>
        </w:rPr>
      </w:pPr>
      <w:bookmarkStart w:id="42" w:name="_Toc48667294"/>
      <w:r>
        <w:rPr>
          <w:rFonts w:hint="eastAsia" w:ascii="宋体" w:hAnsi="宋体" w:cs="宋体"/>
          <w:color w:val="auto"/>
          <w:sz w:val="22"/>
          <w:highlight w:val="none"/>
          <w:lang w:val="zh-CN"/>
        </w:rPr>
        <w:t>(10) 承包人有责任处理好与当地居民及其他承包人之间的关系，服从发包人及当地政府的管理，避免产生矛盾和冲突，严禁打架斗殴。</w:t>
      </w:r>
      <w:bookmarkEnd w:id="42"/>
    </w:p>
    <w:p w14:paraId="0CF4CC57">
      <w:pPr>
        <w:adjustRightInd w:val="0"/>
        <w:snapToGrid w:val="0"/>
        <w:spacing w:line="360" w:lineRule="auto"/>
        <w:ind w:firstLine="440" w:firstLineChars="200"/>
        <w:rPr>
          <w:rFonts w:hint="eastAsia" w:ascii="宋体" w:hAnsi="宋体" w:cs="宋体"/>
          <w:color w:val="auto"/>
          <w:sz w:val="22"/>
          <w:highlight w:val="none"/>
          <w:lang w:val="zh-CN"/>
        </w:rPr>
      </w:pPr>
      <w:bookmarkStart w:id="43" w:name="_Toc48667295"/>
      <w:r>
        <w:rPr>
          <w:rFonts w:hint="eastAsia" w:ascii="宋体" w:hAnsi="宋体" w:cs="宋体"/>
          <w:color w:val="auto"/>
          <w:sz w:val="22"/>
          <w:highlight w:val="none"/>
          <w:lang w:val="zh-CN"/>
        </w:rPr>
        <w:t>(11) 承包人应在工地营造文明、和谐的建设氛围。</w:t>
      </w:r>
      <w:bookmarkEnd w:id="43"/>
    </w:p>
    <w:p w14:paraId="5933355C">
      <w:pPr>
        <w:adjustRightInd w:val="0"/>
        <w:snapToGrid w:val="0"/>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(12)  承包人违反文明施工管理规定，发包人将视其情节的轻重处以200-5000元的罚款，罚款在每月进度支付中扣除。</w:t>
      </w:r>
    </w:p>
    <w:p w14:paraId="0284B3EB">
      <w:pPr>
        <w:adjustRightInd w:val="0"/>
        <w:snapToGrid w:val="0"/>
        <w:spacing w:line="360" w:lineRule="auto"/>
        <w:ind w:firstLine="442" w:firstLineChars="200"/>
        <w:rPr>
          <w:rFonts w:hint="eastAsia" w:ascii="宋体" w:hAnsi="宋体" w:cs="宋体"/>
          <w:b/>
          <w:color w:val="auto"/>
          <w:sz w:val="22"/>
          <w:highlight w:val="none"/>
        </w:rPr>
      </w:pPr>
      <w:bookmarkStart w:id="44" w:name="_Toc48667296"/>
      <w:r>
        <w:rPr>
          <w:rFonts w:hint="eastAsia" w:ascii="宋体" w:hAnsi="宋体" w:cs="宋体"/>
          <w:b/>
          <w:color w:val="auto"/>
          <w:sz w:val="22"/>
          <w:highlight w:val="none"/>
        </w:rPr>
        <w:t>10  进度计划</w:t>
      </w:r>
      <w:bookmarkEnd w:id="44"/>
    </w:p>
    <w:p w14:paraId="42869A4E">
      <w:pPr>
        <w:adjustRightInd w:val="0"/>
        <w:snapToGrid w:val="0"/>
        <w:spacing w:line="360" w:lineRule="auto"/>
        <w:ind w:firstLine="442" w:firstLineChars="200"/>
        <w:rPr>
          <w:rFonts w:hint="eastAsia" w:ascii="宋体" w:hAnsi="宋体" w:cs="宋体"/>
          <w:b/>
          <w:color w:val="auto"/>
          <w:sz w:val="22"/>
          <w:highlight w:val="none"/>
        </w:rPr>
      </w:pPr>
      <w:bookmarkStart w:id="45" w:name="_Toc48667297"/>
      <w:r>
        <w:rPr>
          <w:rFonts w:hint="eastAsia" w:ascii="宋体" w:hAnsi="宋体" w:cs="宋体"/>
          <w:b/>
          <w:color w:val="auto"/>
          <w:sz w:val="22"/>
          <w:highlight w:val="none"/>
        </w:rPr>
        <w:t>10.1  合同进度计划</w:t>
      </w:r>
      <w:bookmarkEnd w:id="45"/>
    </w:p>
    <w:p w14:paraId="059C385A">
      <w:pPr>
        <w:adjustRightInd w:val="0"/>
        <w:snapToGrid w:val="0"/>
        <w:spacing w:line="360" w:lineRule="auto"/>
        <w:ind w:firstLine="440" w:firstLineChars="200"/>
        <w:rPr>
          <w:rFonts w:hint="eastAsia" w:ascii="宋体" w:hAnsi="宋体" w:cs="宋体"/>
          <w:color w:val="auto"/>
          <w:sz w:val="22"/>
          <w:highlight w:val="none"/>
        </w:rPr>
      </w:pPr>
      <w:bookmarkStart w:id="46" w:name="_Toc48667298"/>
      <w:r>
        <w:rPr>
          <w:rFonts w:hint="eastAsia" w:ascii="宋体" w:hAnsi="宋体" w:cs="宋体"/>
          <w:color w:val="auto"/>
          <w:sz w:val="22"/>
          <w:highlight w:val="none"/>
        </w:rPr>
        <w:t>本款增加：</w:t>
      </w:r>
      <w:bookmarkEnd w:id="46"/>
    </w:p>
    <w:p w14:paraId="594B628C">
      <w:pPr>
        <w:adjustRightInd w:val="0"/>
        <w:snapToGrid w:val="0"/>
        <w:spacing w:line="360" w:lineRule="auto"/>
        <w:ind w:firstLine="440" w:firstLineChars="200"/>
        <w:rPr>
          <w:rFonts w:hint="eastAsia" w:ascii="宋体" w:hAnsi="宋体" w:cs="宋体"/>
          <w:bCs/>
          <w:color w:val="auto"/>
          <w:sz w:val="22"/>
          <w:highlight w:val="none"/>
          <w:lang w:val="zh-CN"/>
        </w:rPr>
      </w:pPr>
      <w:bookmarkStart w:id="47" w:name="_Toc48667302"/>
      <w:r>
        <w:rPr>
          <w:rFonts w:hint="eastAsia" w:ascii="宋体" w:hAnsi="宋体" w:cs="宋体"/>
          <w:bCs/>
          <w:color w:val="auto"/>
          <w:sz w:val="22"/>
          <w:highlight w:val="none"/>
          <w:lang w:val="zh-CN"/>
        </w:rPr>
        <w:t>(1)  第一次技术交底后，承包人一周内提交一份施工总进度计划（用P3软件编制，以下同）报监理人审批，其格式和细节应符合监理工程师的合理要求；</w:t>
      </w:r>
    </w:p>
    <w:p w14:paraId="7187D6A7">
      <w:pPr>
        <w:adjustRightInd w:val="0"/>
        <w:snapToGrid w:val="0"/>
        <w:spacing w:line="360" w:lineRule="auto"/>
        <w:ind w:firstLine="440" w:firstLineChars="200"/>
        <w:rPr>
          <w:rFonts w:hint="eastAsia" w:ascii="宋体" w:hAnsi="宋体" w:cs="宋体"/>
          <w:bCs/>
          <w:color w:val="auto"/>
          <w:sz w:val="22"/>
          <w:highlight w:val="none"/>
          <w:lang w:val="zh-CN"/>
        </w:rPr>
      </w:pPr>
      <w:r>
        <w:rPr>
          <w:rFonts w:hint="eastAsia" w:ascii="宋体" w:hAnsi="宋体" w:cs="宋体"/>
          <w:bCs/>
          <w:color w:val="auto"/>
          <w:sz w:val="22"/>
          <w:highlight w:val="none"/>
          <w:lang w:val="zh-CN"/>
        </w:rPr>
        <w:t>(2)  承包人向监理人每季度（及年度）末提供下季度（年度）施工进度计划，每月25日前提供下个月施工进度计划及相关施工投入的人员、设备表;</w:t>
      </w:r>
    </w:p>
    <w:p w14:paraId="194F74C8">
      <w:pPr>
        <w:adjustRightInd w:val="0"/>
        <w:snapToGrid w:val="0"/>
        <w:spacing w:line="360" w:lineRule="auto"/>
        <w:ind w:firstLine="440" w:firstLineChars="200"/>
        <w:rPr>
          <w:rFonts w:hint="eastAsia" w:ascii="宋体" w:hAnsi="宋体" w:cs="宋体"/>
          <w:bCs/>
          <w:color w:val="auto"/>
          <w:sz w:val="22"/>
          <w:highlight w:val="none"/>
          <w:lang w:val="zh-CN"/>
        </w:rPr>
      </w:pPr>
      <w:r>
        <w:rPr>
          <w:rFonts w:hint="eastAsia" w:ascii="宋体" w:hAnsi="宋体" w:cs="宋体"/>
          <w:bCs/>
          <w:color w:val="auto"/>
          <w:sz w:val="22"/>
          <w:highlight w:val="none"/>
          <w:lang w:val="zh-CN"/>
        </w:rPr>
        <w:t>(3)  每周（月、季、年）例会及重要协调会议，承包人必须由项目经理和项目总工（技术负责人）参加，汇报材料要有项目经理签字的纸质文件和做ppt文件汇报，其中要有现场进度相片。</w:t>
      </w:r>
    </w:p>
    <w:p w14:paraId="21E389BB">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10.2  合同进度计划的修订</w:t>
      </w:r>
      <w:bookmarkEnd w:id="47"/>
    </w:p>
    <w:p w14:paraId="02B65A63">
      <w:pPr>
        <w:adjustRightInd w:val="0"/>
        <w:snapToGrid w:val="0"/>
        <w:spacing w:line="360" w:lineRule="auto"/>
        <w:ind w:firstLine="440" w:firstLineChars="200"/>
        <w:rPr>
          <w:rFonts w:hint="eastAsia" w:ascii="宋体" w:hAnsi="宋体" w:cs="宋体"/>
          <w:b/>
          <w:color w:val="auto"/>
          <w:sz w:val="22"/>
          <w:highlight w:val="none"/>
        </w:rPr>
      </w:pPr>
      <w:bookmarkStart w:id="48" w:name="_Toc48667303"/>
      <w:r>
        <w:rPr>
          <w:rFonts w:hint="eastAsia" w:ascii="宋体" w:hAnsi="宋体" w:cs="宋体"/>
          <w:color w:val="auto"/>
          <w:sz w:val="22"/>
          <w:highlight w:val="none"/>
          <w:lang w:val="zh-CN"/>
        </w:rPr>
        <w:t>本款增加：为了达到工期目标，经监理人批准的工程进度计划，承包人必须采取一切措施保证工期，不允许延误。如监理人认为月进度计划不能满足确保关键工期的要求，监理人可指示承包人修改原施工计划并提供施工保证措施。承包人应无条件服从并不得向发包人提出任何的补偿要求。</w:t>
      </w:r>
      <w:bookmarkEnd w:id="48"/>
    </w:p>
    <w:p w14:paraId="5112355F">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11  开工和竣工（完工）</w:t>
      </w:r>
    </w:p>
    <w:p w14:paraId="29597180">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11.4 异常恶劣的气候条件</w:t>
      </w:r>
    </w:p>
    <w:p w14:paraId="7851D4E2">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11.4.3 本合同工程界定异常恶劣气候条件的范围为：</w:t>
      </w:r>
    </w:p>
    <w:p w14:paraId="5A3AAAE0">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（1）日降雨量大于</w:t>
      </w:r>
      <w:r>
        <w:rPr>
          <w:rFonts w:hint="eastAsia" w:ascii="宋体" w:hAnsi="宋体" w:cs="宋体"/>
          <w:color w:val="auto"/>
          <w:sz w:val="22"/>
          <w:highlight w:val="none"/>
          <w:u w:val="single"/>
        </w:rPr>
        <w:t xml:space="preserve">  100 </w:t>
      </w:r>
      <w:r>
        <w:rPr>
          <w:rFonts w:hint="eastAsia" w:ascii="宋体" w:hAnsi="宋体" w:cs="宋体"/>
          <w:color w:val="auto"/>
          <w:sz w:val="22"/>
          <w:highlight w:val="none"/>
        </w:rPr>
        <w:t>mm的雨日超过</w:t>
      </w:r>
      <w:r>
        <w:rPr>
          <w:rFonts w:hint="eastAsia" w:ascii="宋体" w:hAnsi="宋体" w:cs="宋体"/>
          <w:color w:val="auto"/>
          <w:sz w:val="22"/>
          <w:highlight w:val="none"/>
          <w:u w:val="single"/>
        </w:rPr>
        <w:t xml:space="preserve">3 </w:t>
      </w:r>
      <w:r>
        <w:rPr>
          <w:rFonts w:hint="eastAsia" w:ascii="宋体" w:hAnsi="宋体" w:cs="宋体"/>
          <w:color w:val="auto"/>
          <w:sz w:val="22"/>
          <w:highlight w:val="none"/>
        </w:rPr>
        <w:t>天；</w:t>
      </w:r>
    </w:p>
    <w:p w14:paraId="1FF8DD70">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（2）风速大于</w:t>
      </w:r>
      <w:r>
        <w:rPr>
          <w:rFonts w:hint="eastAsia" w:ascii="宋体" w:hAnsi="宋体" w:cs="宋体"/>
          <w:color w:val="auto"/>
          <w:sz w:val="22"/>
          <w:highlight w:val="none"/>
          <w:u w:val="single"/>
        </w:rPr>
        <w:t xml:space="preserve"> \ </w:t>
      </w:r>
      <w:r>
        <w:rPr>
          <w:rFonts w:hint="eastAsia" w:ascii="宋体" w:hAnsi="宋体" w:cs="宋体"/>
          <w:color w:val="auto"/>
          <w:sz w:val="22"/>
          <w:highlight w:val="none"/>
        </w:rPr>
        <w:t>m/s的</w:t>
      </w:r>
      <w:r>
        <w:rPr>
          <w:rFonts w:hint="eastAsia" w:ascii="宋体" w:hAnsi="宋体" w:cs="宋体"/>
          <w:color w:val="auto"/>
          <w:sz w:val="22"/>
          <w:highlight w:val="none"/>
          <w:u w:val="single"/>
        </w:rPr>
        <w:t xml:space="preserve">  6  </w:t>
      </w:r>
      <w:r>
        <w:rPr>
          <w:rFonts w:hint="eastAsia" w:ascii="宋体" w:hAnsi="宋体" w:cs="宋体"/>
          <w:color w:val="auto"/>
          <w:sz w:val="22"/>
          <w:highlight w:val="none"/>
        </w:rPr>
        <w:t>级以上台风灾害；</w:t>
      </w:r>
    </w:p>
    <w:p w14:paraId="780993B3">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（3）日气温超过</w:t>
      </w:r>
      <w:r>
        <w:rPr>
          <w:rFonts w:hint="eastAsia" w:ascii="宋体" w:hAnsi="宋体" w:cs="宋体"/>
          <w:color w:val="auto"/>
          <w:sz w:val="22"/>
          <w:highlight w:val="none"/>
          <w:u w:val="single"/>
        </w:rPr>
        <w:t xml:space="preserve">38 </w:t>
      </w:r>
      <w:r>
        <w:rPr>
          <w:rFonts w:hint="eastAsia" w:ascii="宋体" w:hAnsi="宋体" w:cs="宋体"/>
          <w:color w:val="auto"/>
          <w:sz w:val="22"/>
          <w:highlight w:val="none"/>
        </w:rPr>
        <w:t>℃的高温大于</w:t>
      </w:r>
      <w:r>
        <w:rPr>
          <w:rFonts w:hint="eastAsia" w:ascii="宋体" w:hAnsi="宋体" w:cs="宋体"/>
          <w:color w:val="auto"/>
          <w:sz w:val="22"/>
          <w:highlight w:val="none"/>
          <w:u w:val="single"/>
        </w:rPr>
        <w:t xml:space="preserve"> 3  </w:t>
      </w:r>
      <w:r>
        <w:rPr>
          <w:rFonts w:hint="eastAsia" w:ascii="宋体" w:hAnsi="宋体" w:cs="宋体"/>
          <w:color w:val="auto"/>
          <w:sz w:val="22"/>
          <w:highlight w:val="none"/>
        </w:rPr>
        <w:t>天；</w:t>
      </w:r>
    </w:p>
    <w:p w14:paraId="234C5AFC">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（4）日气温低于</w:t>
      </w:r>
      <w:r>
        <w:rPr>
          <w:rFonts w:hint="eastAsia" w:ascii="宋体" w:hAnsi="宋体" w:cs="宋体"/>
          <w:color w:val="auto"/>
          <w:sz w:val="22"/>
          <w:highlight w:val="none"/>
          <w:u w:val="single"/>
        </w:rPr>
        <w:t>0</w:t>
      </w:r>
      <w:r>
        <w:rPr>
          <w:rFonts w:hint="eastAsia" w:ascii="宋体" w:hAnsi="宋体" w:cs="宋体"/>
          <w:color w:val="auto"/>
          <w:sz w:val="22"/>
          <w:highlight w:val="none"/>
        </w:rPr>
        <w:t>℃的严寒大于</w:t>
      </w:r>
      <w:r>
        <w:rPr>
          <w:rFonts w:hint="eastAsia" w:ascii="宋体" w:hAnsi="宋体" w:cs="宋体"/>
          <w:color w:val="auto"/>
          <w:sz w:val="22"/>
          <w:highlight w:val="none"/>
          <w:u w:val="single"/>
        </w:rPr>
        <w:t xml:space="preserve"> 3 </w:t>
      </w:r>
      <w:r>
        <w:rPr>
          <w:rFonts w:hint="eastAsia" w:ascii="宋体" w:hAnsi="宋体" w:cs="宋体"/>
          <w:color w:val="auto"/>
          <w:sz w:val="22"/>
          <w:highlight w:val="none"/>
        </w:rPr>
        <w:t>天；</w:t>
      </w:r>
    </w:p>
    <w:p w14:paraId="521F6BF0">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（5）造成工程损坏的冰雹和大雪灾害：</w:t>
      </w:r>
      <w:r>
        <w:rPr>
          <w:rFonts w:hint="eastAsia" w:ascii="宋体" w:hAnsi="宋体" w:cs="宋体"/>
          <w:color w:val="auto"/>
          <w:sz w:val="22"/>
          <w:highlight w:val="none"/>
          <w:u w:val="single"/>
        </w:rPr>
        <w:t xml:space="preserve"> 日降雪量10mm及以上  </w:t>
      </w:r>
      <w:r>
        <w:rPr>
          <w:rFonts w:hint="eastAsia" w:ascii="宋体" w:hAnsi="宋体" w:cs="宋体"/>
          <w:color w:val="auto"/>
          <w:sz w:val="22"/>
          <w:highlight w:val="none"/>
        </w:rPr>
        <w:t>；</w:t>
      </w:r>
    </w:p>
    <w:p w14:paraId="53521D72">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（6）其他异常恶劣气候灾害；</w:t>
      </w:r>
    </w:p>
    <w:p w14:paraId="54F7F0E3">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（7）因天气原因，当地政府或应急部门要求停工的。</w:t>
      </w:r>
    </w:p>
    <w:p w14:paraId="3CDCE5F1">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11.5承包人工期延误</w:t>
      </w:r>
    </w:p>
    <w:p w14:paraId="01348E6A">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（1）逾期完工违约金表：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456"/>
        <w:gridCol w:w="2146"/>
        <w:gridCol w:w="2146"/>
      </w:tblGrid>
      <w:tr w14:paraId="5DB3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34" w:type="dxa"/>
            <w:vAlign w:val="center"/>
          </w:tcPr>
          <w:p w14:paraId="2086AEC5">
            <w:pPr>
              <w:adjustRightInd w:val="0"/>
              <w:snapToGrid w:val="0"/>
              <w:spacing w:line="360" w:lineRule="auto"/>
              <w:ind w:firstLine="440" w:firstLineChars="200"/>
              <w:jc w:val="center"/>
              <w:rPr>
                <w:rFonts w:hint="eastAsia" w:ascii="宋体" w:hAnsi="宋体" w:cs="宋体"/>
                <w:color w:val="auto"/>
                <w:sz w:val="22"/>
                <w:highlight w:val="none"/>
              </w:rPr>
            </w:pPr>
            <w:r>
              <w:rPr>
                <w:rFonts w:hint="eastAsia" w:ascii="宋体" w:hAnsi="宋体" w:cs="宋体"/>
                <w:color w:val="auto"/>
                <w:sz w:val="22"/>
                <w:highlight w:val="none"/>
              </w:rPr>
              <w:t>序号</w:t>
            </w:r>
          </w:p>
        </w:tc>
        <w:tc>
          <w:tcPr>
            <w:tcW w:w="3456" w:type="dxa"/>
            <w:vAlign w:val="center"/>
          </w:tcPr>
          <w:p w14:paraId="2112896A">
            <w:pPr>
              <w:adjustRightInd w:val="0"/>
              <w:snapToGrid w:val="0"/>
              <w:spacing w:line="360" w:lineRule="auto"/>
              <w:ind w:firstLine="440" w:firstLineChars="200"/>
              <w:jc w:val="center"/>
              <w:rPr>
                <w:rFonts w:hint="eastAsia" w:ascii="宋体" w:hAnsi="宋体" w:cs="宋体"/>
                <w:color w:val="auto"/>
                <w:sz w:val="22"/>
                <w:highlight w:val="none"/>
              </w:rPr>
            </w:pPr>
            <w:r>
              <w:rPr>
                <w:rFonts w:hint="eastAsia" w:ascii="宋体" w:hAnsi="宋体" w:cs="宋体"/>
                <w:color w:val="auto"/>
                <w:sz w:val="22"/>
                <w:highlight w:val="none"/>
              </w:rPr>
              <w:t>项目及其说明</w:t>
            </w:r>
          </w:p>
        </w:tc>
        <w:tc>
          <w:tcPr>
            <w:tcW w:w="2146" w:type="dxa"/>
            <w:vAlign w:val="center"/>
          </w:tcPr>
          <w:p w14:paraId="51CDB771">
            <w:pPr>
              <w:adjustRightInd w:val="0"/>
              <w:snapToGrid w:val="0"/>
              <w:spacing w:line="360" w:lineRule="auto"/>
              <w:ind w:firstLine="440" w:firstLineChars="200"/>
              <w:jc w:val="center"/>
              <w:rPr>
                <w:rFonts w:hint="eastAsia" w:ascii="宋体" w:hAnsi="宋体" w:cs="宋体"/>
                <w:color w:val="auto"/>
                <w:sz w:val="22"/>
                <w:highlight w:val="none"/>
              </w:rPr>
            </w:pPr>
            <w:r>
              <w:rPr>
                <w:rFonts w:hint="eastAsia" w:ascii="宋体" w:hAnsi="宋体" w:cs="宋体"/>
                <w:color w:val="auto"/>
                <w:sz w:val="22"/>
                <w:highlight w:val="none"/>
              </w:rPr>
              <w:t>要求完工期</w:t>
            </w:r>
          </w:p>
        </w:tc>
        <w:tc>
          <w:tcPr>
            <w:tcW w:w="2146" w:type="dxa"/>
            <w:vAlign w:val="center"/>
          </w:tcPr>
          <w:p w14:paraId="4223D2D1">
            <w:pPr>
              <w:adjustRightInd w:val="0"/>
              <w:snapToGrid w:val="0"/>
              <w:spacing w:line="360" w:lineRule="auto"/>
              <w:ind w:firstLine="440" w:firstLineChars="200"/>
              <w:jc w:val="center"/>
              <w:rPr>
                <w:rFonts w:hint="eastAsia" w:ascii="宋体" w:hAnsi="宋体" w:cs="宋体"/>
                <w:color w:val="auto"/>
                <w:sz w:val="22"/>
                <w:highlight w:val="none"/>
              </w:rPr>
            </w:pPr>
            <w:r>
              <w:rPr>
                <w:rFonts w:hint="eastAsia" w:ascii="宋体" w:hAnsi="宋体" w:cs="宋体"/>
                <w:color w:val="auto"/>
                <w:sz w:val="22"/>
                <w:highlight w:val="none"/>
              </w:rPr>
              <w:t>违约金（元/天）</w:t>
            </w:r>
          </w:p>
        </w:tc>
      </w:tr>
      <w:tr w14:paraId="16A3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34" w:type="dxa"/>
            <w:vAlign w:val="center"/>
          </w:tcPr>
          <w:p w14:paraId="5BFB4724">
            <w:pPr>
              <w:adjustRightInd w:val="0"/>
              <w:snapToGrid w:val="0"/>
              <w:spacing w:line="360" w:lineRule="auto"/>
              <w:ind w:firstLine="440" w:firstLineChars="200"/>
              <w:jc w:val="center"/>
              <w:rPr>
                <w:rFonts w:hint="eastAsia" w:ascii="宋体" w:hAnsi="宋体" w:cs="宋体"/>
                <w:color w:val="auto"/>
                <w:sz w:val="22"/>
                <w:highlight w:val="none"/>
              </w:rPr>
            </w:pPr>
            <w:r>
              <w:rPr>
                <w:rFonts w:hint="eastAsia" w:ascii="宋体" w:hAnsi="宋体" w:cs="宋体"/>
                <w:color w:val="auto"/>
                <w:sz w:val="22"/>
                <w:highlight w:val="none"/>
              </w:rPr>
              <w:t>1</w:t>
            </w:r>
          </w:p>
        </w:tc>
        <w:tc>
          <w:tcPr>
            <w:tcW w:w="3456" w:type="dxa"/>
            <w:vAlign w:val="center"/>
          </w:tcPr>
          <w:p w14:paraId="6622969C">
            <w:pPr>
              <w:adjustRightInd w:val="0"/>
              <w:snapToGrid w:val="0"/>
              <w:spacing w:line="360" w:lineRule="auto"/>
              <w:ind w:firstLine="440" w:firstLineChars="200"/>
              <w:jc w:val="center"/>
              <w:rPr>
                <w:rFonts w:hint="eastAsia" w:ascii="宋体" w:hAnsi="宋体" w:cs="宋体"/>
                <w:color w:val="auto"/>
                <w:sz w:val="22"/>
                <w:highlight w:val="none"/>
              </w:rPr>
            </w:pPr>
            <w:r>
              <w:rPr>
                <w:rFonts w:hint="eastAsia" w:ascii="宋体" w:hAnsi="宋体" w:cs="宋体"/>
                <w:color w:val="auto"/>
                <w:sz w:val="22"/>
                <w:highlight w:val="none"/>
              </w:rPr>
              <w:t>全部工程（按图纸内容）</w:t>
            </w:r>
          </w:p>
        </w:tc>
        <w:tc>
          <w:tcPr>
            <w:tcW w:w="2146" w:type="dxa"/>
            <w:vAlign w:val="center"/>
          </w:tcPr>
          <w:p w14:paraId="7F06B0B0">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275日历天</w:t>
            </w:r>
          </w:p>
        </w:tc>
        <w:tc>
          <w:tcPr>
            <w:tcW w:w="2146" w:type="dxa"/>
            <w:vAlign w:val="center"/>
          </w:tcPr>
          <w:p w14:paraId="35E36E00">
            <w:pPr>
              <w:adjustRightInd w:val="0"/>
              <w:snapToGrid w:val="0"/>
              <w:spacing w:line="360" w:lineRule="auto"/>
              <w:ind w:firstLine="440" w:firstLineChars="200"/>
              <w:jc w:val="center"/>
              <w:rPr>
                <w:rFonts w:hint="eastAsia" w:ascii="宋体" w:hAnsi="宋体" w:cs="宋体"/>
                <w:color w:val="auto"/>
                <w:sz w:val="22"/>
                <w:highlight w:val="none"/>
              </w:rPr>
            </w:pPr>
            <w:r>
              <w:rPr>
                <w:rFonts w:hint="eastAsia" w:ascii="宋体" w:hAnsi="宋体" w:cs="宋体"/>
                <w:color w:val="auto"/>
                <w:sz w:val="22"/>
                <w:highlight w:val="none"/>
              </w:rPr>
              <w:t>10000</w:t>
            </w:r>
          </w:p>
        </w:tc>
      </w:tr>
    </w:tbl>
    <w:p w14:paraId="242D6424">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（2）全部逾期完工违约金的总额为</w:t>
      </w:r>
      <w:r>
        <w:rPr>
          <w:rFonts w:hint="eastAsia" w:ascii="宋体" w:hAnsi="宋体" w:cs="宋体"/>
          <w:color w:val="auto"/>
          <w:sz w:val="22"/>
          <w:highlight w:val="none"/>
          <w:u w:val="single"/>
        </w:rPr>
        <w:t xml:space="preserve">  不超过签约合同价的10 %  </w:t>
      </w:r>
      <w:r>
        <w:rPr>
          <w:rFonts w:hint="eastAsia" w:ascii="宋体" w:hAnsi="宋体" w:cs="宋体"/>
          <w:color w:val="auto"/>
          <w:sz w:val="22"/>
          <w:highlight w:val="none"/>
        </w:rPr>
        <w:t>。</w:t>
      </w:r>
    </w:p>
    <w:p w14:paraId="339AD925">
      <w:pPr>
        <w:adjustRightInd w:val="0"/>
        <w:snapToGrid w:val="0"/>
        <w:spacing w:line="360" w:lineRule="auto"/>
        <w:ind w:firstLine="440" w:firstLineChars="200"/>
        <w:rPr>
          <w:rFonts w:hint="eastAsia" w:ascii="宋体" w:hAnsi="宋体" w:cs="宋体"/>
          <w:b/>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zh-CN"/>
        </w:rPr>
        <w:t>如因发包人原因造成的工期延误（如征地、拆迁等）及自然灾害（如</w:t>
      </w:r>
      <w:r>
        <w:rPr>
          <w:rFonts w:hint="eastAsia" w:ascii="宋体" w:hAnsi="宋体" w:cs="宋体"/>
          <w:color w:val="auto"/>
          <w:sz w:val="22"/>
          <w:highlight w:val="none"/>
        </w:rPr>
        <w:t>常恶劣气候条件</w:t>
      </w:r>
      <w:r>
        <w:rPr>
          <w:rFonts w:hint="eastAsia" w:ascii="宋体" w:hAnsi="宋体" w:cs="宋体"/>
          <w:color w:val="auto"/>
          <w:sz w:val="22"/>
          <w:highlight w:val="none"/>
          <w:lang w:val="zh-CN"/>
        </w:rPr>
        <w:t>等无法正常开工的），工期顺延。</w:t>
      </w:r>
    </w:p>
    <w:p w14:paraId="5250797A">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11.6 工期提前</w:t>
      </w:r>
    </w:p>
    <w:p w14:paraId="0EC0CCC0">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工期提前的奖金约定：</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58CAA6D7">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12  暂停施工</w:t>
      </w:r>
    </w:p>
    <w:p w14:paraId="33229607">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12.1 承包人暂停施工的责任</w:t>
      </w:r>
    </w:p>
    <w:p w14:paraId="6FABF1D3">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（5）承包人承担暂停施工责任的其他情形：</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76192812">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12.2 发包人暂停施工的责任</w:t>
      </w:r>
    </w:p>
    <w:p w14:paraId="7362BCC7">
      <w:pPr>
        <w:snapToGrid w:val="0"/>
        <w:spacing w:line="360" w:lineRule="auto"/>
        <w:ind w:firstLine="440" w:firstLineChars="200"/>
        <w:rPr>
          <w:rFonts w:hint="eastAsia" w:ascii="宋体" w:hAnsi="宋体" w:cs="宋体"/>
          <w:color w:val="auto"/>
          <w:sz w:val="22"/>
          <w:highlight w:val="none"/>
        </w:rPr>
      </w:pPr>
      <w:bookmarkStart w:id="49" w:name="_Toc48667321"/>
      <w:r>
        <w:rPr>
          <w:rFonts w:hint="eastAsia" w:ascii="宋体" w:hAnsi="宋体" w:cs="宋体"/>
          <w:color w:val="auto"/>
          <w:sz w:val="22"/>
          <w:highlight w:val="none"/>
        </w:rPr>
        <w:t>将通用条款中的“由于发包人原因引起的暂停施工造成工期延误的，承包人有权要求发包人延长工期和(或)增加费用，并支付合理利润。”更改为“由于发包人原因引起的暂停施工造成工期延误的，承包人有权要求发包人延长工期，但发包人不向承包人补偿任何费用。”</w:t>
      </w:r>
      <w:bookmarkEnd w:id="49"/>
    </w:p>
    <w:p w14:paraId="43C227E9">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13  工程质量</w:t>
      </w:r>
    </w:p>
    <w:p w14:paraId="54C7C2C1">
      <w:pPr>
        <w:spacing w:line="360" w:lineRule="auto"/>
        <w:ind w:firstLine="440" w:firstLineChars="200"/>
        <w:rPr>
          <w:rFonts w:hint="eastAsia" w:ascii="宋体" w:hAnsi="宋体" w:cs="宋体"/>
          <w:color w:val="auto"/>
          <w:sz w:val="22"/>
          <w:highlight w:val="none"/>
        </w:rPr>
      </w:pPr>
      <w:bookmarkStart w:id="50" w:name="_Toc48667324"/>
      <w:r>
        <w:rPr>
          <w:rFonts w:hint="eastAsia" w:ascii="宋体" w:hAnsi="宋体" w:cs="宋体"/>
          <w:color w:val="auto"/>
          <w:sz w:val="22"/>
          <w:highlight w:val="none"/>
          <w:lang w:val="zh-CN"/>
        </w:rPr>
        <w:t>(1) 本工程质量目标：工程的单元工程全部质量合格且较大及以上质量事故为零。</w:t>
      </w:r>
      <w:bookmarkEnd w:id="50"/>
    </w:p>
    <w:p w14:paraId="5A7B9AA4">
      <w:pPr>
        <w:spacing w:line="360" w:lineRule="auto"/>
        <w:ind w:firstLine="440" w:firstLineChars="200"/>
        <w:rPr>
          <w:rFonts w:hint="eastAsia" w:ascii="宋体" w:hAnsi="宋体" w:cs="宋体"/>
          <w:color w:val="auto"/>
          <w:sz w:val="22"/>
          <w:highlight w:val="none"/>
        </w:rPr>
      </w:pPr>
      <w:bookmarkStart w:id="51" w:name="_Toc48667325"/>
      <w:r>
        <w:rPr>
          <w:rFonts w:hint="eastAsia" w:ascii="宋体" w:hAnsi="宋体" w:cs="宋体"/>
          <w:color w:val="auto"/>
          <w:sz w:val="22"/>
          <w:highlight w:val="none"/>
          <w:lang w:val="zh-CN"/>
        </w:rPr>
        <w:t>(2)承包人必须接受相关部门的监督检查。</w:t>
      </w:r>
      <w:bookmarkEnd w:id="51"/>
    </w:p>
    <w:p w14:paraId="09EEE987">
      <w:pPr>
        <w:spacing w:line="360" w:lineRule="auto"/>
        <w:ind w:firstLine="440" w:firstLineChars="200"/>
        <w:rPr>
          <w:rFonts w:hint="eastAsia" w:ascii="宋体" w:hAnsi="宋体" w:cs="宋体"/>
          <w:color w:val="auto"/>
          <w:sz w:val="22"/>
          <w:highlight w:val="none"/>
          <w:lang w:val="zh-CN"/>
        </w:rPr>
      </w:pPr>
      <w:bookmarkStart w:id="52" w:name="_Toc48667326"/>
      <w:r>
        <w:rPr>
          <w:rFonts w:hint="eastAsia" w:ascii="宋体" w:hAnsi="宋体" w:cs="宋体"/>
          <w:color w:val="auto"/>
          <w:sz w:val="22"/>
          <w:highlight w:val="none"/>
          <w:lang w:val="zh-CN"/>
        </w:rPr>
        <w:t>(3) 承包人应在各单位工程和重要分部工程开工前，向监理人报送施工组织设计，经发包人同意后，由监理人批准实施。施工组织设计应符合设计文件的要求，施工方案和具体措施要确保工程质量和安全。</w:t>
      </w:r>
      <w:bookmarkEnd w:id="52"/>
    </w:p>
    <w:p w14:paraId="5E8EF1A0">
      <w:pPr>
        <w:spacing w:line="360" w:lineRule="auto"/>
        <w:ind w:firstLine="440" w:firstLineChars="200"/>
        <w:rPr>
          <w:rFonts w:hint="eastAsia" w:ascii="宋体" w:hAnsi="宋体" w:cs="宋体"/>
          <w:color w:val="auto"/>
          <w:sz w:val="22"/>
          <w:highlight w:val="none"/>
          <w:lang w:val="zh-CN"/>
        </w:rPr>
      </w:pPr>
      <w:bookmarkStart w:id="53" w:name="_Toc48667327"/>
      <w:r>
        <w:rPr>
          <w:rFonts w:hint="eastAsia" w:ascii="宋体" w:hAnsi="宋体" w:cs="宋体"/>
          <w:color w:val="auto"/>
          <w:sz w:val="22"/>
          <w:highlight w:val="none"/>
          <w:lang w:val="zh-CN"/>
        </w:rPr>
        <w:t>(4) 承包人必须建立健全《工程质量和安全岗位责任制度》、《质量管理制度》、《原材料、中间产品设备质量检验制度》、《施工质量检验制度》、《工序及单元工程验收制度》、《工程质量等级自评制度》、《质量缺陷检查及处理制度》、《质量事故及重大质量问题责任追究制度》等质量管理规章制度。并在工地设立专门的质量检查机构，配备专职的质量检查人员。</w:t>
      </w:r>
      <w:bookmarkEnd w:id="53"/>
    </w:p>
    <w:p w14:paraId="05FCD75B">
      <w:pPr>
        <w:spacing w:line="360" w:lineRule="auto"/>
        <w:ind w:firstLine="440" w:firstLineChars="200"/>
        <w:rPr>
          <w:rFonts w:hint="eastAsia" w:ascii="宋体" w:hAnsi="宋体" w:cs="宋体"/>
          <w:color w:val="auto"/>
          <w:sz w:val="22"/>
          <w:highlight w:val="none"/>
          <w:lang w:val="zh-CN"/>
        </w:rPr>
      </w:pPr>
      <w:bookmarkStart w:id="54" w:name="_Toc48667328"/>
      <w:r>
        <w:rPr>
          <w:rFonts w:hint="eastAsia" w:ascii="宋体" w:hAnsi="宋体" w:cs="宋体"/>
          <w:color w:val="auto"/>
          <w:sz w:val="22"/>
          <w:highlight w:val="none"/>
          <w:lang w:val="zh-CN"/>
        </w:rPr>
        <w:t>(5) 严禁承包人擅自掩盖或处理工程质量缺陷。工程施工中如出现质量缺陷，应根据实际情况制定处理方案，并报经监理、设计和发包人等单位同意后，方可实施。</w:t>
      </w:r>
      <w:bookmarkEnd w:id="54"/>
    </w:p>
    <w:p w14:paraId="63D9440F">
      <w:pPr>
        <w:adjustRightInd w:val="0"/>
        <w:snapToGrid w:val="0"/>
        <w:spacing w:line="360" w:lineRule="auto"/>
        <w:ind w:firstLine="440" w:firstLineChars="200"/>
        <w:rPr>
          <w:rFonts w:hint="eastAsia" w:ascii="宋体" w:hAnsi="宋体" w:cs="宋体"/>
          <w:b/>
          <w:color w:val="auto"/>
          <w:sz w:val="22"/>
          <w:highlight w:val="none"/>
        </w:rPr>
      </w:pPr>
      <w:bookmarkStart w:id="55" w:name="_Toc48667329"/>
      <w:r>
        <w:rPr>
          <w:rFonts w:hint="eastAsia" w:ascii="宋体" w:hAnsi="宋体" w:cs="宋体"/>
          <w:color w:val="auto"/>
          <w:sz w:val="22"/>
          <w:highlight w:val="none"/>
          <w:lang w:val="zh-CN"/>
        </w:rPr>
        <w:t>(6) 承包人必须建立工程技术档案，及时、准确、完整地记录、提供施工过程中的质量、技术控制情况和试验成果等资料，作为工程质量等级核定和工程验收的依据。及时根据工程进展和完成情况，及时向发包人提交阶段（中间）验收和完工验收申请报告。</w:t>
      </w:r>
      <w:bookmarkEnd w:id="55"/>
    </w:p>
    <w:p w14:paraId="1D553696">
      <w:pPr>
        <w:adjustRightInd w:val="0"/>
        <w:snapToGrid w:val="0"/>
        <w:spacing w:line="360" w:lineRule="auto"/>
        <w:ind w:firstLine="440" w:firstLineChars="200"/>
        <w:rPr>
          <w:rFonts w:hint="eastAsia" w:ascii="宋体" w:hAnsi="宋体" w:cs="宋体"/>
          <w:b/>
          <w:color w:val="auto"/>
          <w:sz w:val="22"/>
          <w:highlight w:val="none"/>
        </w:rPr>
      </w:pPr>
      <w:r>
        <w:rPr>
          <w:rFonts w:hint="eastAsia" w:ascii="宋体" w:hAnsi="宋体" w:cs="宋体"/>
          <w:color w:val="auto"/>
          <w:sz w:val="22"/>
          <w:highlight w:val="none"/>
        </w:rPr>
        <w:t>增加：</w:t>
      </w:r>
      <w:r>
        <w:rPr>
          <w:rFonts w:hint="eastAsia" w:ascii="宋体" w:hAnsi="宋体" w:cs="宋体"/>
          <w:color w:val="auto"/>
          <w:sz w:val="22"/>
          <w:highlight w:val="none"/>
          <w:lang w:val="zh-CN"/>
        </w:rPr>
        <w:t>承包人必须建立工程技术档案，及时、准确、完整地记录、提供施工过程中的质量、技术控制情况和试验成果等资料，作为工程质量等级核定和工程验收的依据。及时根据工程进展和完成情况，及时向发包人提交阶段（中间）验收和完工验收申请报告。在合同工程完工验收后一个月内，提交工程技术档案资料，每延误一天罚款2000元。</w:t>
      </w:r>
    </w:p>
    <w:p w14:paraId="7BD651A8">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13.7 质量评定</w:t>
      </w:r>
    </w:p>
    <w:p w14:paraId="28D76EBC">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13.7.7 工程合格标准为：</w:t>
      </w:r>
      <w:r>
        <w:rPr>
          <w:rFonts w:hint="eastAsia" w:ascii="宋体" w:hAnsi="宋体" w:cs="宋体"/>
          <w:color w:val="auto"/>
          <w:sz w:val="22"/>
          <w:highlight w:val="none"/>
          <w:u w:val="single"/>
        </w:rPr>
        <w:t xml:space="preserve">合格 </w:t>
      </w:r>
      <w:r>
        <w:rPr>
          <w:rFonts w:hint="eastAsia" w:ascii="宋体" w:hAnsi="宋体" w:cs="宋体"/>
          <w:color w:val="auto"/>
          <w:sz w:val="22"/>
          <w:highlight w:val="none"/>
        </w:rPr>
        <w:t>；优良标准为：</w:t>
      </w:r>
      <w:r>
        <w:rPr>
          <w:rFonts w:hint="eastAsia" w:ascii="宋体" w:hAnsi="宋体" w:cs="宋体"/>
          <w:color w:val="auto"/>
          <w:sz w:val="22"/>
          <w:highlight w:val="none"/>
          <w:u w:val="single"/>
        </w:rPr>
        <w:t>优良</w:t>
      </w:r>
      <w:r>
        <w:rPr>
          <w:rFonts w:hint="eastAsia" w:ascii="宋体" w:hAnsi="宋体" w:cs="宋体"/>
          <w:color w:val="auto"/>
          <w:sz w:val="22"/>
          <w:highlight w:val="none"/>
        </w:rPr>
        <w:t>。达到优良的奖金为：</w:t>
      </w:r>
      <w:r>
        <w:rPr>
          <w:rFonts w:hint="eastAsia" w:ascii="宋体" w:hAnsi="宋体" w:cs="宋体"/>
          <w:color w:val="auto"/>
          <w:sz w:val="22"/>
          <w:highlight w:val="none"/>
          <w:u w:val="single"/>
        </w:rPr>
        <w:t>无</w:t>
      </w:r>
      <w:r>
        <w:rPr>
          <w:rFonts w:hint="eastAsia" w:ascii="宋体" w:hAnsi="宋体" w:cs="宋体"/>
          <w:color w:val="auto"/>
          <w:sz w:val="22"/>
          <w:highlight w:val="none"/>
        </w:rPr>
        <w:t>。</w:t>
      </w:r>
    </w:p>
    <w:p w14:paraId="399432AF">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13.8 质量事故处理</w:t>
      </w:r>
    </w:p>
    <w:p w14:paraId="4CB62021">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(1)若工程项目验收质量等级评定达不到上述13.7款要求，发包人有权扣留工程款的1%作为工程施工质量未达质量目标的罚金。</w:t>
      </w:r>
    </w:p>
    <w:p w14:paraId="2C9E5673">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(2)根据监理工程师日常质量检查情况，施工时违反工艺技术要求和经审核批准的施工组织设计，同一分部分项工程收到监理工程师下发的《施工违规警告通知单》，除按要求负责处理外，从第二次起，每次罚款1000元；</w:t>
      </w:r>
    </w:p>
    <w:p w14:paraId="0ED2E223">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(3)违反施工验收程序，上道工序未经验收或验收通不过即进行下道工序施工，同一分部分项工程从第二次收到《监理工程师通知》起，除按合同相关规定进行处理外，每次罚款1000元。</w:t>
      </w:r>
    </w:p>
    <w:p w14:paraId="5A2AD364">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(4)使用未经检验或检验不合格的工程材料，除按合同相关规定进行处理外，每次罚款2000元。</w:t>
      </w:r>
    </w:p>
    <w:p w14:paraId="1005465F">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(5)根据工程监理工序验收月度统计情况，验收“一次合格率”低于80%，当月罚款2000元。</w:t>
      </w:r>
    </w:p>
    <w:p w14:paraId="1EF79E70">
      <w:pPr>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(6)由承包人负主要责任的质量事故，承包人除按设计要求自费返工外，直接经济损失5万元以下的一般质量事故，每次罚款5000元；直接经济损失5万元以上20万元以下的重大质量事故，每次罚款3～5万元；直接经济损失20万元以上的特大质量事故，每次罚款10万元或以上，直至追究单位和个人责任。</w:t>
      </w:r>
    </w:p>
    <w:p w14:paraId="07C909A7">
      <w:pPr>
        <w:adjustRightInd w:val="0"/>
        <w:snapToGrid w:val="0"/>
        <w:spacing w:line="360" w:lineRule="auto"/>
        <w:ind w:firstLine="440" w:firstLineChars="200"/>
        <w:rPr>
          <w:rFonts w:hint="eastAsia" w:ascii="宋体" w:hAnsi="宋体" w:cs="宋体"/>
          <w:b/>
          <w:color w:val="auto"/>
          <w:sz w:val="22"/>
          <w:highlight w:val="none"/>
        </w:rPr>
      </w:pPr>
      <w:r>
        <w:rPr>
          <w:rFonts w:hint="eastAsia" w:ascii="宋体" w:hAnsi="宋体" w:cs="宋体"/>
          <w:color w:val="auto"/>
          <w:sz w:val="22"/>
          <w:highlight w:val="none"/>
          <w:lang w:val="zh-CN"/>
        </w:rPr>
        <w:t>(7)工程发生重大及以上质量事故，该承包人将被列入全省施工企业诚信管理系统黑名单，并通报全省。</w:t>
      </w:r>
    </w:p>
    <w:p w14:paraId="00A2115B">
      <w:pPr>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13.9质量检测</w:t>
      </w:r>
    </w:p>
    <w:p w14:paraId="5B57CA00">
      <w:pPr>
        <w:adjustRightInd w:val="0"/>
        <w:snapToGrid w:val="0"/>
        <w:spacing w:line="360" w:lineRule="auto"/>
        <w:ind w:firstLine="440" w:firstLineChars="200"/>
        <w:rPr>
          <w:rFonts w:hint="eastAsia" w:ascii="宋体" w:hAnsi="宋体" w:cs="宋体"/>
          <w:b/>
          <w:color w:val="auto"/>
          <w:sz w:val="22"/>
          <w:highlight w:val="none"/>
        </w:rPr>
      </w:pPr>
      <w:bookmarkStart w:id="56" w:name="_Toc48667332"/>
      <w:r>
        <w:rPr>
          <w:rFonts w:hint="eastAsia" w:ascii="宋体" w:hAnsi="宋体" w:cs="宋体"/>
          <w:color w:val="auto"/>
          <w:sz w:val="22"/>
          <w:highlight w:val="none"/>
          <w:lang w:val="zh-CN"/>
        </w:rPr>
        <w:t>具有相应资质的质量检测机构对本工程的原材料、中间产品和工程实体质量等按现行的规范规程进行材料试验和工程试验等检测工作，用于统计、分析、评定和验收的工程质量数据。检测的内容和数量由发、承包人及设计和监理人共同确定。第三方质量检测不能免除承包人在质量保证体系中的质量自控检测及工程质量责任。</w:t>
      </w:r>
      <w:bookmarkEnd w:id="56"/>
    </w:p>
    <w:p w14:paraId="0D5A39AB">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14  试验和检验</w:t>
      </w:r>
    </w:p>
    <w:p w14:paraId="4674AC6D">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14.1 材料、工程设备和工程的试验和检验</w:t>
      </w:r>
    </w:p>
    <w:p w14:paraId="52370A1D">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14.1.6 本工程实行见证取样的试块、试件及有关材料：</w:t>
      </w:r>
      <w:r>
        <w:rPr>
          <w:rFonts w:hint="eastAsia" w:ascii="宋体" w:hAnsi="宋体" w:cs="宋体"/>
          <w:color w:val="auto"/>
          <w:sz w:val="22"/>
          <w:highlight w:val="none"/>
          <w:u w:val="single"/>
        </w:rPr>
        <w:t xml:space="preserve"> 按有关规范、规程  </w:t>
      </w:r>
      <w:r>
        <w:rPr>
          <w:rFonts w:hint="eastAsia" w:ascii="宋体" w:hAnsi="宋体" w:cs="宋体"/>
          <w:color w:val="auto"/>
          <w:sz w:val="22"/>
          <w:highlight w:val="none"/>
        </w:rPr>
        <w:t>。</w:t>
      </w:r>
    </w:p>
    <w:p w14:paraId="442F3AEA">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15  变更</w:t>
      </w:r>
    </w:p>
    <w:p w14:paraId="05B59DD4">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15.1 变更的范围和内容</w:t>
      </w:r>
    </w:p>
    <w:p w14:paraId="4C026AAE">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单价调整方式：</w:t>
      </w:r>
      <w:r>
        <w:rPr>
          <w:rFonts w:hint="eastAsia" w:ascii="宋体" w:hAnsi="宋体" w:cs="宋体"/>
          <w:color w:val="auto"/>
          <w:sz w:val="22"/>
          <w:highlight w:val="none"/>
          <w:u w:val="single"/>
        </w:rPr>
        <w:t xml:space="preserve"> 单价不作调整 </w:t>
      </w:r>
      <w:r>
        <w:rPr>
          <w:rFonts w:hint="eastAsia" w:ascii="宋体" w:hAnsi="宋体" w:cs="宋体"/>
          <w:color w:val="auto"/>
          <w:sz w:val="22"/>
          <w:highlight w:val="none"/>
        </w:rPr>
        <w:t>。</w:t>
      </w:r>
    </w:p>
    <w:p w14:paraId="0396B2CF">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15.4变更的估价原则</w:t>
      </w:r>
    </w:p>
    <w:p w14:paraId="22A81504">
      <w:pPr>
        <w:overflowPunct w:val="0"/>
        <w:autoSpaceDE w:val="0"/>
        <w:autoSpaceDN w:val="0"/>
        <w:adjustRightInd w:val="0"/>
        <w:snapToGrid w:val="0"/>
        <w:spacing w:line="360" w:lineRule="auto"/>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15.4.3己标价工程量清单中无适用或类似子目的单价，则按投标人投标报价时的取费费率、材料价格、机械台班费及下浮率,根据最新广东省水利预算定额并按投标时投标报价下浮率下浮确定变更单价。</w:t>
      </w:r>
      <w:r>
        <w:rPr>
          <w:rFonts w:hint="eastAsia" w:ascii="宋体" w:hAnsi="宋体" w:cs="宋体"/>
          <w:color w:val="auto"/>
          <w:sz w:val="22"/>
          <w:highlight w:val="none"/>
        </w:rPr>
        <w:t>结算以财政部门最终审定为准。</w:t>
      </w:r>
    </w:p>
    <w:p w14:paraId="3EB23825">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15.5 承包人的合理化建议</w:t>
      </w:r>
    </w:p>
    <w:p w14:paraId="0C103FBE">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15.5.2 承包人实现合理化建议的奖励金额为：</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275696C0">
      <w:pPr>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15.6  暂列金额</w:t>
      </w:r>
    </w:p>
    <w:p w14:paraId="4DDFE4F5">
      <w:pPr>
        <w:spacing w:line="360" w:lineRule="auto"/>
        <w:ind w:firstLine="440" w:firstLineChars="200"/>
        <w:rPr>
          <w:rFonts w:hint="eastAsia" w:ascii="宋体" w:hAnsi="宋体" w:cs="宋体"/>
          <w:b/>
          <w:color w:val="auto"/>
          <w:sz w:val="22"/>
          <w:highlight w:val="none"/>
        </w:rPr>
      </w:pPr>
      <w:r>
        <w:rPr>
          <w:rFonts w:hint="eastAsia" w:ascii="宋体" w:hAnsi="宋体" w:cs="宋体"/>
          <w:color w:val="auto"/>
          <w:sz w:val="22"/>
          <w:highlight w:val="none"/>
          <w:lang w:val="zh-CN"/>
        </w:rPr>
        <w:t>本合同暂列金额（基本预备费）虽计入工程造价总价，但不归施工单位所有，而是归建设单位所有，用于支付发包人及其监理人指示增加的零星项目，暂列金额调整时对合同总价进行调整。</w:t>
      </w:r>
    </w:p>
    <w:p w14:paraId="5386036A">
      <w:pPr>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15.8  暂估价</w:t>
      </w:r>
    </w:p>
    <w:p w14:paraId="380AABED">
      <w:pPr>
        <w:adjustRightInd w:val="0"/>
        <w:snapToGrid w:val="0"/>
        <w:spacing w:line="360" w:lineRule="auto"/>
        <w:ind w:firstLine="440" w:firstLineChars="200"/>
        <w:rPr>
          <w:rFonts w:hint="eastAsia" w:ascii="宋体" w:hAnsi="宋体" w:cs="宋体"/>
          <w:b/>
          <w:color w:val="auto"/>
          <w:sz w:val="22"/>
          <w:highlight w:val="none"/>
        </w:rPr>
      </w:pPr>
      <w:r>
        <w:rPr>
          <w:rFonts w:hint="eastAsia" w:ascii="宋体" w:hAnsi="宋体" w:cs="宋体"/>
          <w:color w:val="auto"/>
          <w:sz w:val="22"/>
          <w:highlight w:val="none"/>
          <w:lang w:val="zh-CN"/>
        </w:rPr>
        <w:t>本合同暂估价（基本预备费）虽计入工程造价总价，但不归施工单位所有，而是归建设单位所有，用于支付发包人及其监理人指示增加的零星项目，暂估价调整时对合同总价进行调整。</w:t>
      </w:r>
    </w:p>
    <w:p w14:paraId="451345B4">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16  价格调整</w:t>
      </w:r>
    </w:p>
    <w:p w14:paraId="1B3FE58B">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16.1 物价波动引起的价格调整</w:t>
      </w:r>
    </w:p>
    <w:p w14:paraId="159ACDBA">
      <w:pPr>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lang w:val="zh-CN"/>
        </w:rPr>
        <w:t>物价波动引起的价格</w:t>
      </w:r>
      <w:r>
        <w:rPr>
          <w:rFonts w:hint="eastAsia" w:ascii="宋体" w:hAnsi="宋体" w:cs="宋体"/>
          <w:color w:val="auto"/>
          <w:sz w:val="22"/>
          <w:highlight w:val="none"/>
        </w:rPr>
        <w:t>不做</w:t>
      </w:r>
      <w:r>
        <w:rPr>
          <w:rFonts w:hint="eastAsia" w:ascii="宋体" w:hAnsi="宋体" w:cs="宋体"/>
          <w:color w:val="auto"/>
          <w:sz w:val="22"/>
          <w:highlight w:val="none"/>
          <w:lang w:val="zh-CN"/>
        </w:rPr>
        <w:t>调整。</w:t>
      </w:r>
    </w:p>
    <w:p w14:paraId="53AABC55">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17  计量与支付</w:t>
      </w:r>
    </w:p>
    <w:p w14:paraId="4AAE1D4A">
      <w:pPr>
        <w:adjustRightInd w:val="0"/>
        <w:snapToGrid w:val="0"/>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无</w:t>
      </w:r>
    </w:p>
    <w:p w14:paraId="3327AC2B">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17.2 预付款</w:t>
      </w:r>
    </w:p>
    <w:p w14:paraId="45ED22DB">
      <w:pPr>
        <w:adjustRightInd w:val="0"/>
        <w:snapToGrid w:val="0"/>
        <w:spacing w:line="360" w:lineRule="auto"/>
        <w:ind w:firstLine="440" w:firstLineChars="200"/>
        <w:rPr>
          <w:rFonts w:hint="eastAsia" w:ascii="宋体" w:hAnsi="宋体" w:cs="宋体"/>
          <w:color w:val="auto"/>
          <w:sz w:val="22"/>
          <w:highlight w:val="none"/>
        </w:rPr>
      </w:pPr>
      <w:bookmarkStart w:id="57" w:name="_Toc48667349"/>
      <w:r>
        <w:rPr>
          <w:rFonts w:hint="eastAsia" w:ascii="宋体" w:hAnsi="宋体" w:cs="宋体"/>
          <w:color w:val="auto"/>
          <w:sz w:val="22"/>
          <w:highlight w:val="none"/>
        </w:rPr>
        <w:t>17.2.1 预付款：</w:t>
      </w:r>
      <w:bookmarkEnd w:id="57"/>
    </w:p>
    <w:p w14:paraId="2021F95A">
      <w:pPr>
        <w:adjustRightInd w:val="0"/>
        <w:snapToGrid w:val="0"/>
        <w:spacing w:line="360" w:lineRule="auto"/>
        <w:ind w:firstLine="440" w:firstLineChars="200"/>
        <w:rPr>
          <w:rFonts w:hint="eastAsia" w:ascii="宋体" w:hAnsi="宋体" w:cs="宋体"/>
          <w:i/>
          <w:iCs/>
          <w:color w:val="auto"/>
          <w:sz w:val="22"/>
          <w:highlight w:val="none"/>
        </w:rPr>
      </w:pPr>
      <w:bookmarkStart w:id="58" w:name="_Toc48667350"/>
      <w:r>
        <w:rPr>
          <w:rFonts w:hint="eastAsia" w:ascii="宋体" w:hAnsi="宋体" w:cs="宋体"/>
          <w:color w:val="auto"/>
          <w:sz w:val="22"/>
          <w:highlight w:val="none"/>
        </w:rPr>
        <w:t>（1）工程预付款的总金额为签约合同价（不含预备费）的</w:t>
      </w:r>
      <w:r>
        <w:rPr>
          <w:rFonts w:hint="eastAsia" w:ascii="宋体" w:hAnsi="宋体" w:cs="宋体"/>
          <w:color w:val="auto"/>
          <w:sz w:val="22"/>
          <w:highlight w:val="none"/>
          <w:u w:val="single"/>
        </w:rPr>
        <w:t>30</w:t>
      </w:r>
      <w:r>
        <w:rPr>
          <w:rFonts w:hint="eastAsia" w:ascii="宋体" w:hAnsi="宋体" w:cs="宋体"/>
          <w:color w:val="auto"/>
          <w:sz w:val="22"/>
          <w:highlight w:val="none"/>
        </w:rPr>
        <w:t>%,分</w:t>
      </w:r>
      <w:r>
        <w:rPr>
          <w:rFonts w:hint="eastAsia" w:ascii="宋体" w:hAnsi="宋体" w:cs="宋体"/>
          <w:color w:val="auto"/>
          <w:sz w:val="22"/>
          <w:highlight w:val="none"/>
          <w:u w:val="single"/>
        </w:rPr>
        <w:t>1</w:t>
      </w:r>
      <w:r>
        <w:rPr>
          <w:rFonts w:hint="eastAsia" w:ascii="宋体" w:hAnsi="宋体" w:cs="宋体"/>
          <w:color w:val="auto"/>
          <w:sz w:val="22"/>
          <w:highlight w:val="none"/>
        </w:rPr>
        <w:t>次支付给承包人。</w:t>
      </w:r>
      <w:bookmarkEnd w:id="58"/>
      <w:r>
        <w:rPr>
          <w:rFonts w:hint="eastAsia" w:ascii="宋体" w:hAnsi="宋体" w:cs="宋体"/>
          <w:color w:val="auto"/>
          <w:sz w:val="22"/>
          <w:highlight w:val="none"/>
        </w:rPr>
        <w:t>若由于上级资金未到位，延期付款不计息。</w:t>
      </w:r>
    </w:p>
    <w:p w14:paraId="1FB05363">
      <w:pPr>
        <w:adjustRightInd w:val="0"/>
        <w:snapToGrid w:val="0"/>
        <w:spacing w:line="360" w:lineRule="auto"/>
        <w:ind w:firstLine="440" w:firstLineChars="200"/>
        <w:rPr>
          <w:rFonts w:hint="eastAsia" w:ascii="宋体" w:hAnsi="宋体" w:cs="宋体"/>
          <w:color w:val="auto"/>
          <w:sz w:val="22"/>
          <w:highlight w:val="none"/>
          <w:u w:val="single"/>
        </w:rPr>
      </w:pPr>
      <w:bookmarkStart w:id="59" w:name="_Toc48667351"/>
      <w:r>
        <w:rPr>
          <w:rFonts w:hint="eastAsia" w:ascii="宋体" w:hAnsi="宋体" w:cs="宋体"/>
          <w:color w:val="auto"/>
          <w:sz w:val="22"/>
          <w:highlight w:val="none"/>
        </w:rPr>
        <w:t>（2）工程预付款支付：</w:t>
      </w:r>
      <w:bookmarkEnd w:id="59"/>
      <w:bookmarkStart w:id="60" w:name="_Toc48667352"/>
      <w:r>
        <w:rPr>
          <w:rFonts w:hint="eastAsia" w:ascii="宋体" w:hAnsi="宋体" w:cs="宋体"/>
          <w:color w:val="auto"/>
          <w:sz w:val="22"/>
          <w:highlight w:val="none"/>
          <w:u w:val="single"/>
        </w:rPr>
        <w:t>监理单位签发开工令后7天内办理，预付款一次性支付。</w:t>
      </w:r>
    </w:p>
    <w:p w14:paraId="4F2FF724">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17.2.2 预付款保函（担保）</w:t>
      </w:r>
      <w:bookmarkEnd w:id="60"/>
      <w:bookmarkStart w:id="61" w:name="_Toc48667353"/>
      <w:r>
        <w:rPr>
          <w:rFonts w:hint="eastAsia" w:ascii="宋体" w:hAnsi="宋体" w:cs="宋体"/>
          <w:color w:val="auto"/>
          <w:sz w:val="22"/>
          <w:highlight w:val="none"/>
        </w:rPr>
        <w:t>：</w:t>
      </w:r>
      <w:bookmarkEnd w:id="61"/>
      <w:r>
        <w:rPr>
          <w:rFonts w:hint="eastAsia" w:ascii="宋体" w:hAnsi="宋体" w:cs="宋体"/>
          <w:color w:val="auto"/>
          <w:sz w:val="22"/>
          <w:highlight w:val="none"/>
          <w:u w:val="single"/>
        </w:rPr>
        <w:t>中标人提供银行保函或保险保函。</w:t>
      </w:r>
    </w:p>
    <w:p w14:paraId="3179E9BA">
      <w:pPr>
        <w:adjustRightInd w:val="0"/>
        <w:snapToGrid w:val="0"/>
        <w:spacing w:line="360" w:lineRule="auto"/>
        <w:ind w:firstLine="440" w:firstLineChars="200"/>
        <w:rPr>
          <w:rFonts w:hint="eastAsia" w:ascii="宋体" w:hAnsi="宋体" w:cs="宋体"/>
          <w:color w:val="auto"/>
          <w:sz w:val="22"/>
          <w:highlight w:val="none"/>
        </w:rPr>
      </w:pPr>
      <w:bookmarkStart w:id="62" w:name="_Toc48667354"/>
      <w:r>
        <w:rPr>
          <w:rFonts w:hint="eastAsia" w:ascii="宋体" w:hAnsi="宋体" w:cs="宋体"/>
          <w:color w:val="auto"/>
          <w:sz w:val="22"/>
          <w:highlight w:val="none"/>
        </w:rPr>
        <w:t>17.2.3 预付款的扣回与还清</w:t>
      </w:r>
      <w:bookmarkEnd w:id="62"/>
    </w:p>
    <w:p w14:paraId="6D221AB8">
      <w:pPr>
        <w:adjustRightInd w:val="0"/>
        <w:snapToGrid w:val="0"/>
        <w:spacing w:line="360" w:lineRule="auto"/>
        <w:ind w:firstLine="440" w:firstLineChars="200"/>
        <w:rPr>
          <w:rFonts w:hint="eastAsia" w:ascii="宋体" w:hAnsi="宋体" w:cs="宋体"/>
          <w:color w:val="auto"/>
          <w:sz w:val="22"/>
          <w:highlight w:val="none"/>
        </w:rPr>
      </w:pPr>
      <w:bookmarkStart w:id="63" w:name="_Toc48667355"/>
      <w:r>
        <w:rPr>
          <w:rFonts w:hint="eastAsia" w:ascii="宋体" w:hAnsi="宋体" w:cs="宋体"/>
          <w:color w:val="auto"/>
          <w:sz w:val="22"/>
          <w:highlight w:val="none"/>
        </w:rPr>
        <w:t>（1） 工程预付款在合同累计完成金额达到签约合同价的</w:t>
      </w:r>
      <w:r>
        <w:rPr>
          <w:rFonts w:hint="eastAsia" w:ascii="宋体" w:hAnsi="宋体" w:cs="宋体"/>
          <w:color w:val="auto"/>
          <w:sz w:val="22"/>
          <w:highlight w:val="none"/>
          <w:u w:val="single"/>
        </w:rPr>
        <w:t>20</w:t>
      </w:r>
      <w:r>
        <w:rPr>
          <w:rFonts w:hint="eastAsia" w:ascii="宋体" w:hAnsi="宋体" w:cs="宋体"/>
          <w:color w:val="auto"/>
          <w:sz w:val="22"/>
          <w:highlight w:val="none"/>
        </w:rPr>
        <w:t>%时开始扣款，直至合同累计完成金额达到签约合同价的</w:t>
      </w:r>
      <w:r>
        <w:rPr>
          <w:rFonts w:hint="eastAsia" w:ascii="宋体" w:hAnsi="宋体" w:cs="宋体"/>
          <w:color w:val="auto"/>
          <w:sz w:val="22"/>
          <w:highlight w:val="none"/>
          <w:u w:val="single"/>
        </w:rPr>
        <w:t>80</w:t>
      </w:r>
      <w:r>
        <w:rPr>
          <w:rFonts w:hint="eastAsia" w:ascii="宋体" w:hAnsi="宋体" w:cs="宋体"/>
          <w:color w:val="auto"/>
          <w:sz w:val="22"/>
          <w:highlight w:val="none"/>
        </w:rPr>
        <w:t>%时全部扣清。</w:t>
      </w:r>
      <w:bookmarkEnd w:id="63"/>
    </w:p>
    <w:p w14:paraId="53661130">
      <w:pPr>
        <w:adjustRightInd w:val="0"/>
        <w:snapToGrid w:val="0"/>
        <w:spacing w:line="360" w:lineRule="auto"/>
        <w:ind w:firstLine="440" w:firstLineChars="200"/>
        <w:jc w:val="center"/>
        <w:rPr>
          <w:rFonts w:hint="eastAsia" w:ascii="宋体" w:hAnsi="宋体" w:cs="宋体"/>
          <w:color w:val="auto"/>
          <w:sz w:val="22"/>
          <w:highlight w:val="none"/>
        </w:rPr>
      </w:pPr>
      <w:bookmarkStart w:id="64" w:name="_Toc48667356"/>
      <w:r>
        <w:rPr>
          <w:rFonts w:hint="eastAsia" w:ascii="宋体" w:hAnsi="宋体" w:cs="宋体"/>
          <w:color w:val="auto"/>
          <w:kern w:val="0"/>
          <w:sz w:val="22"/>
          <w:highlight w:val="none"/>
        </w:rPr>
        <w:t>R=A(C-F</w:t>
      </w:r>
      <w:r>
        <w:rPr>
          <w:rFonts w:hint="eastAsia" w:ascii="宋体" w:hAnsi="宋体" w:cs="宋体"/>
          <w:color w:val="auto"/>
          <w:kern w:val="0"/>
          <w:sz w:val="22"/>
          <w:highlight w:val="none"/>
          <w:vertAlign w:val="subscript"/>
        </w:rPr>
        <w:t>1</w:t>
      </w:r>
      <w:r>
        <w:rPr>
          <w:rFonts w:hint="eastAsia" w:ascii="宋体" w:hAnsi="宋体" w:cs="宋体"/>
          <w:color w:val="auto"/>
          <w:kern w:val="0"/>
          <w:sz w:val="22"/>
          <w:highlight w:val="none"/>
        </w:rPr>
        <w:t>S)/(F</w:t>
      </w:r>
      <w:r>
        <w:rPr>
          <w:rFonts w:hint="eastAsia" w:ascii="宋体" w:hAnsi="宋体" w:cs="宋体"/>
          <w:color w:val="auto"/>
          <w:kern w:val="0"/>
          <w:sz w:val="22"/>
          <w:highlight w:val="none"/>
          <w:vertAlign w:val="subscript"/>
        </w:rPr>
        <w:t>2</w:t>
      </w:r>
      <w:r>
        <w:rPr>
          <w:rFonts w:hint="eastAsia" w:ascii="宋体" w:hAnsi="宋体" w:cs="宋体"/>
          <w:color w:val="auto"/>
          <w:kern w:val="0"/>
          <w:sz w:val="22"/>
          <w:highlight w:val="none"/>
        </w:rPr>
        <w:t>-F</w:t>
      </w:r>
      <w:r>
        <w:rPr>
          <w:rFonts w:hint="eastAsia" w:ascii="宋体" w:hAnsi="宋体" w:cs="宋体"/>
          <w:color w:val="auto"/>
          <w:kern w:val="0"/>
          <w:sz w:val="22"/>
          <w:highlight w:val="none"/>
          <w:vertAlign w:val="subscript"/>
        </w:rPr>
        <w:t>1</w:t>
      </w:r>
      <w:r>
        <w:rPr>
          <w:rFonts w:hint="eastAsia" w:ascii="宋体" w:hAnsi="宋体" w:cs="宋体"/>
          <w:color w:val="auto"/>
          <w:kern w:val="0"/>
          <w:sz w:val="22"/>
          <w:highlight w:val="none"/>
        </w:rPr>
        <w:t>)S</w:t>
      </w:r>
      <w:bookmarkEnd w:id="64"/>
    </w:p>
    <w:p w14:paraId="0F21DA77">
      <w:pPr>
        <w:adjustRightInd w:val="0"/>
        <w:snapToGrid w:val="0"/>
        <w:spacing w:line="360" w:lineRule="auto"/>
        <w:ind w:firstLine="440" w:firstLineChars="200"/>
        <w:rPr>
          <w:rFonts w:hint="eastAsia" w:ascii="宋体" w:hAnsi="宋体" w:cs="宋体"/>
          <w:color w:val="auto"/>
          <w:sz w:val="22"/>
          <w:highlight w:val="none"/>
        </w:rPr>
      </w:pPr>
      <w:bookmarkStart w:id="65" w:name="_Toc48667357"/>
      <w:r>
        <w:rPr>
          <w:rFonts w:hint="eastAsia" w:ascii="宋体" w:hAnsi="宋体" w:cs="宋体"/>
          <w:color w:val="auto"/>
          <w:sz w:val="22"/>
          <w:highlight w:val="none"/>
        </w:rPr>
        <w:t>式中  R——每次进度付款中累计扣回的金额；</w:t>
      </w:r>
      <w:bookmarkEnd w:id="65"/>
    </w:p>
    <w:p w14:paraId="118B8E60">
      <w:pPr>
        <w:adjustRightInd w:val="0"/>
        <w:snapToGrid w:val="0"/>
        <w:spacing w:line="360" w:lineRule="auto"/>
        <w:ind w:firstLine="440" w:firstLineChars="200"/>
        <w:rPr>
          <w:rFonts w:hint="eastAsia" w:ascii="宋体" w:hAnsi="宋体" w:cs="宋体"/>
          <w:color w:val="auto"/>
          <w:sz w:val="22"/>
          <w:highlight w:val="none"/>
        </w:rPr>
      </w:pPr>
      <w:bookmarkStart w:id="66" w:name="_Toc48667358"/>
      <w:r>
        <w:rPr>
          <w:rFonts w:hint="eastAsia" w:ascii="宋体" w:hAnsi="宋体" w:cs="宋体"/>
          <w:color w:val="auto"/>
          <w:sz w:val="22"/>
          <w:highlight w:val="none"/>
        </w:rPr>
        <w:t>A——工程预付款总金额；</w:t>
      </w:r>
      <w:bookmarkEnd w:id="66"/>
    </w:p>
    <w:p w14:paraId="752F7E47">
      <w:pPr>
        <w:adjustRightInd w:val="0"/>
        <w:snapToGrid w:val="0"/>
        <w:spacing w:line="360" w:lineRule="auto"/>
        <w:ind w:firstLine="440" w:firstLineChars="200"/>
        <w:rPr>
          <w:rFonts w:hint="eastAsia" w:ascii="宋体" w:hAnsi="宋体" w:cs="宋体"/>
          <w:color w:val="auto"/>
          <w:sz w:val="22"/>
          <w:highlight w:val="none"/>
        </w:rPr>
      </w:pPr>
      <w:bookmarkStart w:id="67" w:name="_Toc48667359"/>
      <w:r>
        <w:rPr>
          <w:rFonts w:hint="eastAsia" w:ascii="宋体" w:hAnsi="宋体" w:cs="宋体"/>
          <w:color w:val="auto"/>
          <w:sz w:val="22"/>
          <w:highlight w:val="none"/>
        </w:rPr>
        <w:t>S——签约合同价；</w:t>
      </w:r>
      <w:bookmarkEnd w:id="67"/>
    </w:p>
    <w:p w14:paraId="7331C1D8">
      <w:pPr>
        <w:adjustRightInd w:val="0"/>
        <w:snapToGrid w:val="0"/>
        <w:spacing w:line="360" w:lineRule="auto"/>
        <w:ind w:firstLine="440" w:firstLineChars="200"/>
        <w:rPr>
          <w:rFonts w:hint="eastAsia" w:ascii="宋体" w:hAnsi="宋体" w:cs="宋体"/>
          <w:color w:val="auto"/>
          <w:sz w:val="22"/>
          <w:highlight w:val="none"/>
        </w:rPr>
      </w:pPr>
      <w:bookmarkStart w:id="68" w:name="_Toc48667360"/>
      <w:r>
        <w:rPr>
          <w:rFonts w:hint="eastAsia" w:ascii="宋体" w:hAnsi="宋体" w:cs="宋体"/>
          <w:color w:val="auto"/>
          <w:sz w:val="22"/>
          <w:highlight w:val="none"/>
        </w:rPr>
        <w:t>C——合同累计完成金额；</w:t>
      </w:r>
      <w:bookmarkEnd w:id="68"/>
    </w:p>
    <w:p w14:paraId="3977B0F2">
      <w:pPr>
        <w:adjustRightInd w:val="0"/>
        <w:snapToGrid w:val="0"/>
        <w:spacing w:line="360" w:lineRule="auto"/>
        <w:ind w:firstLine="440" w:firstLineChars="200"/>
        <w:rPr>
          <w:rFonts w:hint="eastAsia" w:ascii="宋体" w:hAnsi="宋体" w:cs="宋体"/>
          <w:color w:val="auto"/>
          <w:sz w:val="22"/>
          <w:highlight w:val="none"/>
        </w:rPr>
      </w:pPr>
      <w:bookmarkStart w:id="69" w:name="_Toc48667361"/>
      <w:r>
        <w:rPr>
          <w:rFonts w:hint="eastAsia" w:ascii="宋体" w:hAnsi="宋体" w:cs="宋体"/>
          <w:color w:val="auto"/>
          <w:sz w:val="22"/>
          <w:highlight w:val="none"/>
        </w:rPr>
        <w:t>F1——开始扣款时合同累计完成金额达到签约合同价的比例；</w:t>
      </w:r>
      <w:bookmarkEnd w:id="69"/>
    </w:p>
    <w:p w14:paraId="1AE7FAEB">
      <w:pPr>
        <w:adjustRightInd w:val="0"/>
        <w:snapToGrid w:val="0"/>
        <w:spacing w:line="360" w:lineRule="auto"/>
        <w:ind w:firstLine="440" w:firstLineChars="200"/>
        <w:rPr>
          <w:rFonts w:hint="eastAsia" w:ascii="宋体" w:hAnsi="宋体" w:cs="宋体"/>
          <w:color w:val="auto"/>
          <w:sz w:val="22"/>
          <w:highlight w:val="none"/>
        </w:rPr>
      </w:pPr>
      <w:bookmarkStart w:id="70" w:name="_Toc48667362"/>
      <w:r>
        <w:rPr>
          <w:rFonts w:hint="eastAsia" w:ascii="宋体" w:hAnsi="宋体" w:cs="宋体"/>
          <w:color w:val="auto"/>
          <w:sz w:val="22"/>
          <w:highlight w:val="none"/>
        </w:rPr>
        <w:t>F2——全部扣清时合同累计完成金额达到签约合同价的比例。</w:t>
      </w:r>
      <w:bookmarkEnd w:id="70"/>
      <w:bookmarkStart w:id="71" w:name="_Toc48667363"/>
    </w:p>
    <w:p w14:paraId="235E4708">
      <w:pPr>
        <w:adjustRightInd w:val="0"/>
        <w:snapToGrid w:val="0"/>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上述合同累计完成金额均指价格调整前未扣质量保证金的金额。</w:t>
      </w:r>
      <w:bookmarkEnd w:id="71"/>
    </w:p>
    <w:p w14:paraId="3EA59B49">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17.3 工程进度付款</w:t>
      </w:r>
    </w:p>
    <w:p w14:paraId="5FFA3B3C">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17.3.3 进度付款证书和支付时间</w:t>
      </w:r>
    </w:p>
    <w:p w14:paraId="414B6C39">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增加：</w:t>
      </w:r>
    </w:p>
    <w:p w14:paraId="1B4354C2">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（1）发包人根据资金到位情况支付工程进度款。延期付款不计息。</w:t>
      </w:r>
    </w:p>
    <w:p w14:paraId="066C6991">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（2）承包人如违反本合同条款中的有关规定而受到发包方或监理方的罚款处罚时，承包人应在收到罚款通知书后7日内缴纳，否则发包人和监理人有权在进度款中或履约保证金中扣除。</w:t>
      </w:r>
    </w:p>
    <w:p w14:paraId="6D89788A">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（3）删除原专用合同条款中本条款，增加：</w:t>
      </w:r>
    </w:p>
    <w:p w14:paraId="5A2569FE">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①发包人收到监理人签证的进度付款证书并审批后支付给承包人，支付金额应按本期实际完成工程量计取的实际完成投资金额的80%，再扣除预付款后的金额。</w:t>
      </w:r>
    </w:p>
    <w:p w14:paraId="426DA7CF">
      <w:pPr>
        <w:adjustRightInd w:val="0"/>
        <w:snapToGrid w:val="0"/>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②工程完工并经合同工程完工验收及发包人收到承包人报送的经财政部门结算审核的结算书后3个月内支付至该结算价的100%，同时承包人需按照结算价的3%提供质保金保函。</w:t>
      </w:r>
    </w:p>
    <w:p w14:paraId="2229E764">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③保修期满后经承包人申请1个月内将质保金保函退还给承包人。</w:t>
      </w:r>
    </w:p>
    <w:p w14:paraId="3860CC7B">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第(4)目修改为：(4)根据广东省基本建设财政资金集中支付的规定，工程进度款和竣工结算价款的支付时间最终以财政拨付的时间为准。因财政基本建设资金的支付需财政部门的审批和办理，发包人不对财政部门审批和办理所需时间承担任何责任。承包人须协助监理人和发包人办理有关集中支付所需的资料。</w:t>
      </w:r>
    </w:p>
    <w:p w14:paraId="29BDE177">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增加(5)：</w:t>
      </w:r>
    </w:p>
    <w:p w14:paraId="4AA23CE9">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（5）临时工程按主体工程进度款的比例支付。</w:t>
      </w:r>
    </w:p>
    <w:p w14:paraId="4A025629">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17.4  质量保证金</w:t>
      </w:r>
    </w:p>
    <w:p w14:paraId="2629D966">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17.4.1 款修改如下：</w:t>
      </w:r>
    </w:p>
    <w:p w14:paraId="6725DC81">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质量保证金为财政部门最终审定工程结算价款的3%，以有效的银行保函形式代替。</w:t>
      </w:r>
    </w:p>
    <w:p w14:paraId="7D4916C3">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增加：</w:t>
      </w:r>
    </w:p>
    <w:p w14:paraId="15A52B58">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17.4.2中标单位提交了银行保函、保证保险后，本项目不再扣留工程质量保证金。</w:t>
      </w:r>
    </w:p>
    <w:p w14:paraId="20C2DE52">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17.5 竣工（完工）结算</w:t>
      </w:r>
    </w:p>
    <w:p w14:paraId="43E2D92E">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17.5.1 竣工（完工）付款申请单</w:t>
      </w:r>
    </w:p>
    <w:p w14:paraId="4E93E1F2">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 承包人应提交完工付款申请单一式</w:t>
      </w:r>
      <w:r>
        <w:rPr>
          <w:rFonts w:hint="eastAsia" w:ascii="宋体" w:hAnsi="宋体" w:cs="宋体"/>
          <w:color w:val="auto"/>
          <w:sz w:val="22"/>
          <w:highlight w:val="none"/>
          <w:u w:val="single"/>
        </w:rPr>
        <w:t xml:space="preserve"> 6 </w:t>
      </w:r>
      <w:r>
        <w:rPr>
          <w:rFonts w:hint="eastAsia" w:ascii="宋体" w:hAnsi="宋体" w:cs="宋体"/>
          <w:color w:val="auto"/>
          <w:sz w:val="22"/>
          <w:highlight w:val="none"/>
        </w:rPr>
        <w:t>份。</w:t>
      </w:r>
    </w:p>
    <w:p w14:paraId="45D1F728">
      <w:pPr>
        <w:adjustRightInd w:val="0"/>
        <w:snapToGrid w:val="0"/>
        <w:spacing w:line="360" w:lineRule="auto"/>
        <w:ind w:firstLine="440" w:firstLineChars="200"/>
        <w:rPr>
          <w:rFonts w:hint="eastAsia" w:ascii="宋体" w:hAnsi="宋体" w:cs="宋体"/>
          <w:b/>
          <w:color w:val="auto"/>
          <w:sz w:val="22"/>
          <w:highlight w:val="none"/>
        </w:rPr>
      </w:pPr>
      <w:r>
        <w:rPr>
          <w:rFonts w:hint="eastAsia" w:ascii="宋体" w:hAnsi="宋体" w:cs="宋体"/>
          <w:color w:val="auto"/>
          <w:sz w:val="22"/>
          <w:highlight w:val="none"/>
        </w:rPr>
        <w:t>增加条款17.5.2（1）工程完工验收合格后，经财政投资评审中心对完工结算评审定稿后，</w:t>
      </w:r>
      <w:r>
        <w:rPr>
          <w:rFonts w:hint="eastAsia" w:ascii="宋体" w:hAnsi="宋体" w:cs="宋体"/>
          <w:bCs/>
          <w:color w:val="auto"/>
          <w:sz w:val="22"/>
          <w:highlight w:val="none"/>
          <w:lang w:val="zh-CN"/>
        </w:rPr>
        <w:t>提供审核结算价</w:t>
      </w:r>
      <w:r>
        <w:rPr>
          <w:rFonts w:hint="eastAsia" w:ascii="宋体" w:hAnsi="宋体" w:cs="宋体"/>
          <w:color w:val="auto"/>
          <w:sz w:val="22"/>
          <w:highlight w:val="none"/>
        </w:rPr>
        <w:t>3%等额</w:t>
      </w:r>
      <w:r>
        <w:rPr>
          <w:rFonts w:hint="eastAsia" w:ascii="宋体" w:hAnsi="宋体" w:cs="宋体"/>
          <w:bCs/>
          <w:color w:val="auto"/>
          <w:sz w:val="22"/>
          <w:highlight w:val="none"/>
        </w:rPr>
        <w:t>有效的</w:t>
      </w:r>
      <w:r>
        <w:rPr>
          <w:rFonts w:hint="eastAsia" w:ascii="宋体" w:hAnsi="宋体" w:cs="宋体"/>
          <w:color w:val="auto"/>
          <w:sz w:val="22"/>
          <w:highlight w:val="none"/>
        </w:rPr>
        <w:t>质量保证金</w:t>
      </w:r>
      <w:r>
        <w:rPr>
          <w:rFonts w:hint="eastAsia" w:ascii="宋体" w:hAnsi="宋体" w:cs="宋体"/>
          <w:bCs/>
          <w:color w:val="auto"/>
          <w:sz w:val="22"/>
          <w:highlight w:val="none"/>
        </w:rPr>
        <w:t>银行保函</w:t>
      </w:r>
      <w:r>
        <w:rPr>
          <w:rFonts w:hint="eastAsia" w:ascii="宋体" w:hAnsi="宋体" w:cs="宋体"/>
          <w:color w:val="auto"/>
          <w:sz w:val="22"/>
          <w:highlight w:val="none"/>
        </w:rPr>
        <w:t>可</w:t>
      </w:r>
      <w:r>
        <w:rPr>
          <w:rFonts w:hint="eastAsia" w:ascii="宋体" w:hAnsi="宋体" w:cs="宋体"/>
          <w:bCs/>
          <w:color w:val="auto"/>
          <w:sz w:val="22"/>
          <w:highlight w:val="none"/>
          <w:lang w:val="zh-CN"/>
        </w:rPr>
        <w:t>支付至审核结算价的100%，</w:t>
      </w:r>
      <w:r>
        <w:rPr>
          <w:rFonts w:hint="eastAsia" w:ascii="宋体" w:hAnsi="宋体" w:cs="宋体"/>
          <w:color w:val="auto"/>
          <w:sz w:val="22"/>
          <w:highlight w:val="none"/>
        </w:rPr>
        <w:t>质量保函缺陷责任期为1年（从合同工程完工验收之日起算），在缺陷责任期满后一个月内申请办理工程质量保修期责任终止证书。</w:t>
      </w:r>
    </w:p>
    <w:p w14:paraId="738BFBA8">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17.6 最终结清</w:t>
      </w:r>
    </w:p>
    <w:p w14:paraId="442E3F21">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17.6.1 最终结清申请单</w:t>
      </w:r>
    </w:p>
    <w:p w14:paraId="76904EBD">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 承包人应提交最终结清申请单一式</w:t>
      </w:r>
      <w:r>
        <w:rPr>
          <w:rFonts w:hint="eastAsia" w:ascii="宋体" w:hAnsi="宋体" w:cs="宋体"/>
          <w:color w:val="auto"/>
          <w:sz w:val="22"/>
          <w:highlight w:val="none"/>
          <w:u w:val="single"/>
        </w:rPr>
        <w:t xml:space="preserve"> 6 </w:t>
      </w:r>
      <w:r>
        <w:rPr>
          <w:rFonts w:hint="eastAsia" w:ascii="宋体" w:hAnsi="宋体" w:cs="宋体"/>
          <w:color w:val="auto"/>
          <w:sz w:val="22"/>
          <w:highlight w:val="none"/>
        </w:rPr>
        <w:t>份。</w:t>
      </w:r>
    </w:p>
    <w:p w14:paraId="6EB99305">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17.7 竣工财务决算</w:t>
      </w:r>
    </w:p>
    <w:p w14:paraId="7414BC8E">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承包人应为竣工财务决算编制提供的资料：</w:t>
      </w:r>
      <w:r>
        <w:rPr>
          <w:rFonts w:hint="eastAsia" w:ascii="宋体" w:hAnsi="宋体" w:cs="宋体"/>
          <w:color w:val="auto"/>
          <w:sz w:val="22"/>
          <w:highlight w:val="none"/>
          <w:u w:val="single"/>
        </w:rPr>
        <w:t xml:space="preserve"> 按有关规定</w:t>
      </w:r>
      <w:r>
        <w:rPr>
          <w:rFonts w:hint="eastAsia" w:ascii="宋体" w:hAnsi="宋体" w:cs="宋体"/>
          <w:color w:val="auto"/>
          <w:sz w:val="22"/>
          <w:highlight w:val="none"/>
        </w:rPr>
        <w:t>。</w:t>
      </w:r>
    </w:p>
    <w:p w14:paraId="79B89850">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18  竣工验收（验收）</w:t>
      </w:r>
    </w:p>
    <w:p w14:paraId="7A412941">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18.1 验收工作分类</w:t>
      </w:r>
    </w:p>
    <w:p w14:paraId="3A7815BA">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本工程法人验收包括：</w:t>
      </w:r>
      <w:r>
        <w:rPr>
          <w:rFonts w:hint="eastAsia" w:ascii="宋体" w:hAnsi="宋体" w:cs="宋体"/>
          <w:color w:val="auto"/>
          <w:sz w:val="22"/>
          <w:highlight w:val="none"/>
          <w:u w:val="single"/>
        </w:rPr>
        <w:t xml:space="preserve"> 分部、单位工程及合同工程完工验收</w:t>
      </w:r>
      <w:r>
        <w:rPr>
          <w:rFonts w:hint="eastAsia" w:ascii="宋体" w:hAnsi="宋体" w:cs="宋体"/>
          <w:color w:val="auto"/>
          <w:sz w:val="22"/>
          <w:highlight w:val="none"/>
        </w:rPr>
        <w:t>；政府验收包括：</w:t>
      </w:r>
      <w:r>
        <w:rPr>
          <w:rFonts w:hint="eastAsia" w:ascii="宋体" w:hAnsi="宋体" w:cs="宋体"/>
          <w:color w:val="auto"/>
          <w:sz w:val="22"/>
          <w:highlight w:val="none"/>
          <w:u w:val="single"/>
        </w:rPr>
        <w:t xml:space="preserve">阶段、专项、竣工验收 </w:t>
      </w:r>
      <w:r>
        <w:rPr>
          <w:rFonts w:hint="eastAsia" w:ascii="宋体" w:hAnsi="宋体" w:cs="宋体"/>
          <w:color w:val="auto"/>
          <w:sz w:val="22"/>
          <w:highlight w:val="none"/>
        </w:rPr>
        <w:t>。验收条件为：</w:t>
      </w:r>
      <w:r>
        <w:rPr>
          <w:rFonts w:hint="eastAsia" w:ascii="宋体" w:hAnsi="宋体" w:cs="宋体"/>
          <w:color w:val="auto"/>
          <w:sz w:val="22"/>
          <w:highlight w:val="none"/>
          <w:u w:val="single"/>
        </w:rPr>
        <w:t xml:space="preserve"> 符合有关规范规定 </w:t>
      </w:r>
      <w:r>
        <w:rPr>
          <w:rFonts w:hint="eastAsia" w:ascii="宋体" w:hAnsi="宋体" w:cs="宋体"/>
          <w:color w:val="auto"/>
          <w:sz w:val="22"/>
          <w:highlight w:val="none"/>
        </w:rPr>
        <w:t>，验收程序为：</w:t>
      </w:r>
      <w:r>
        <w:rPr>
          <w:rFonts w:hint="eastAsia" w:ascii="宋体" w:hAnsi="宋体" w:cs="宋体"/>
          <w:color w:val="auto"/>
          <w:sz w:val="22"/>
          <w:highlight w:val="none"/>
          <w:u w:val="single"/>
        </w:rPr>
        <w:t xml:space="preserve"> 符合有关规范规定 </w:t>
      </w:r>
      <w:r>
        <w:rPr>
          <w:rFonts w:hint="eastAsia" w:ascii="宋体" w:hAnsi="宋体" w:cs="宋体"/>
          <w:color w:val="auto"/>
          <w:sz w:val="22"/>
          <w:highlight w:val="none"/>
        </w:rPr>
        <w:t>。</w:t>
      </w:r>
    </w:p>
    <w:p w14:paraId="731D55E4">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18.7 竣工验收</w:t>
      </w:r>
    </w:p>
    <w:p w14:paraId="205AC920">
      <w:pPr>
        <w:adjustRightInd w:val="0"/>
        <w:snapToGrid w:val="0"/>
        <w:spacing w:line="360" w:lineRule="auto"/>
        <w:ind w:firstLine="440" w:firstLineChars="200"/>
        <w:rPr>
          <w:rFonts w:hint="eastAsia" w:ascii="宋体" w:hAnsi="宋体" w:cs="宋体"/>
          <w:b/>
          <w:color w:val="auto"/>
          <w:sz w:val="22"/>
          <w:highlight w:val="none"/>
        </w:rPr>
      </w:pPr>
      <w:r>
        <w:rPr>
          <w:rFonts w:hint="eastAsia" w:ascii="宋体" w:hAnsi="宋体" w:cs="宋体"/>
          <w:color w:val="auto"/>
          <w:sz w:val="22"/>
          <w:highlight w:val="none"/>
        </w:rPr>
        <w:t xml:space="preserve"> 增加18.7.6 ：所有资料应提交电子文档光盘2套及相关视频，文字材料采用“WORD”、“EXECL”格式2003版本，图纸采用“DWG”格式，相片采用“JPG”或“JPEG”格式。</w:t>
      </w:r>
    </w:p>
    <w:p w14:paraId="46D05B0C">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19  缺陷责任与保修责任</w:t>
      </w:r>
    </w:p>
    <w:p w14:paraId="5ACAD438">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19.1 缺陷责任期（工程质量保修期）的起算时间</w:t>
      </w:r>
    </w:p>
    <w:p w14:paraId="1C0E873F">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本工程缺陷责任期（工程质量保修期）计算如下：</w:t>
      </w:r>
      <w:r>
        <w:rPr>
          <w:rFonts w:hint="eastAsia" w:ascii="宋体" w:hAnsi="宋体" w:cs="宋体"/>
          <w:color w:val="auto"/>
          <w:sz w:val="22"/>
          <w:highlight w:val="none"/>
          <w:u w:val="single"/>
        </w:rPr>
        <w:t>自合同工程完工验收合格之日开始算起 ，时间为1年</w:t>
      </w:r>
      <w:r>
        <w:rPr>
          <w:rFonts w:hint="eastAsia" w:ascii="宋体" w:hAnsi="宋体" w:cs="宋体"/>
          <w:color w:val="auto"/>
          <w:sz w:val="22"/>
          <w:highlight w:val="none"/>
        </w:rPr>
        <w:t>。</w:t>
      </w:r>
    </w:p>
    <w:p w14:paraId="37C15167">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20  保险</w:t>
      </w:r>
    </w:p>
    <w:p w14:paraId="4BA98792">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20.1 工程保险</w:t>
      </w:r>
    </w:p>
    <w:p w14:paraId="1ACF2CE0">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建筑工程一切险和（或）安装工程一切险投保人：</w:t>
      </w:r>
      <w:r>
        <w:rPr>
          <w:rFonts w:hint="eastAsia" w:ascii="宋体" w:hAnsi="宋体" w:cs="宋体"/>
          <w:color w:val="auto"/>
          <w:sz w:val="22"/>
          <w:highlight w:val="none"/>
          <w:u w:val="single"/>
        </w:rPr>
        <w:t>按照相关规定执行</w:t>
      </w:r>
      <w:r>
        <w:rPr>
          <w:rFonts w:hint="eastAsia" w:ascii="宋体" w:hAnsi="宋体" w:cs="宋体"/>
          <w:color w:val="auto"/>
          <w:sz w:val="22"/>
          <w:highlight w:val="none"/>
        </w:rPr>
        <w:t>；</w:t>
      </w:r>
    </w:p>
    <w:p w14:paraId="55A433D2">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保险金额、保险费率和保险期限：</w:t>
      </w:r>
      <w:r>
        <w:rPr>
          <w:rFonts w:hint="eastAsia" w:ascii="宋体" w:hAnsi="宋体" w:cs="宋体"/>
          <w:color w:val="auto"/>
          <w:sz w:val="22"/>
          <w:highlight w:val="none"/>
          <w:u w:val="single"/>
        </w:rPr>
        <w:t>按相关规定</w:t>
      </w:r>
      <w:r>
        <w:rPr>
          <w:rFonts w:hint="eastAsia" w:ascii="宋体" w:hAnsi="宋体" w:cs="宋体"/>
          <w:color w:val="auto"/>
          <w:sz w:val="22"/>
          <w:highlight w:val="none"/>
        </w:rPr>
        <w:t>。</w:t>
      </w:r>
    </w:p>
    <w:p w14:paraId="5FC95120">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20.4 第三者责任险</w:t>
      </w:r>
    </w:p>
    <w:p w14:paraId="0380EF12">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20.4.2 第三者责任险保险费率：</w:t>
      </w:r>
      <w:r>
        <w:rPr>
          <w:rFonts w:hint="eastAsia" w:ascii="宋体" w:hAnsi="宋体" w:cs="宋体"/>
          <w:color w:val="auto"/>
          <w:sz w:val="22"/>
          <w:highlight w:val="none"/>
          <w:u w:val="single"/>
        </w:rPr>
        <w:t>按相关规定</w:t>
      </w:r>
      <w:r>
        <w:rPr>
          <w:rFonts w:hint="eastAsia" w:ascii="宋体" w:hAnsi="宋体" w:cs="宋体"/>
          <w:color w:val="auto"/>
          <w:sz w:val="22"/>
          <w:highlight w:val="none"/>
        </w:rPr>
        <w:t>；</w:t>
      </w:r>
    </w:p>
    <w:p w14:paraId="2D856517">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第三者责任险保险金额：</w:t>
      </w:r>
      <w:r>
        <w:rPr>
          <w:rFonts w:hint="eastAsia" w:ascii="宋体" w:hAnsi="宋体" w:cs="宋体"/>
          <w:color w:val="auto"/>
          <w:sz w:val="22"/>
          <w:highlight w:val="none"/>
          <w:u w:val="single"/>
        </w:rPr>
        <w:t>按相关规定</w:t>
      </w:r>
      <w:r>
        <w:rPr>
          <w:rFonts w:hint="eastAsia" w:ascii="宋体" w:hAnsi="宋体" w:cs="宋体"/>
          <w:color w:val="auto"/>
          <w:sz w:val="22"/>
          <w:highlight w:val="none"/>
        </w:rPr>
        <w:t>。</w:t>
      </w:r>
    </w:p>
    <w:p w14:paraId="281EE9BD">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20.5 其他保险</w:t>
      </w:r>
    </w:p>
    <w:p w14:paraId="3FD36B34">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根据《关于要求施工单位购买安全生产责任险的通知》韶水运行监督[2020]5号及《转发关于做好我省铁路、公路、水运、水利、能源、机场工程建设参加工伤保险工作的通知》韶人社[2019]22号等最新（如有）文件精神，承包人必须按文件要求在办理质量与安全监督书前购买安全生产责任险及工伤保险；需要投保的其它内容：承包人根据自身需要购买施工设备险，投保项目及其保险金额由承包人根据其配备的施工设备状况自行确定，但承包人应充分估计主要施工设备可能发生的重大事故或因自然灾害造成施工设备的损失和损坏对工程的影响 ；保险金额、保险费率和保险期限：按与保险公司已签订的协议由承包人支付。</w:t>
      </w:r>
    </w:p>
    <w:p w14:paraId="75328E36">
      <w:pPr>
        <w:tabs>
          <w:tab w:val="left" w:pos="3480"/>
        </w:tabs>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20.6 对各项保险的一般要求</w:t>
      </w:r>
      <w:r>
        <w:rPr>
          <w:rFonts w:hint="eastAsia" w:ascii="宋体" w:hAnsi="宋体" w:cs="宋体"/>
          <w:b/>
          <w:color w:val="auto"/>
          <w:sz w:val="22"/>
          <w:highlight w:val="none"/>
        </w:rPr>
        <w:tab/>
      </w:r>
    </w:p>
    <w:p w14:paraId="27CD5D1D">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20.6.1  保险凭证</w:t>
      </w:r>
    </w:p>
    <w:p w14:paraId="3FD502DA">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承包人提交保险凭证的期限：</w:t>
      </w:r>
      <w:r>
        <w:rPr>
          <w:rFonts w:hint="eastAsia" w:ascii="宋体" w:hAnsi="宋体" w:cs="宋体"/>
          <w:color w:val="auto"/>
          <w:sz w:val="22"/>
          <w:highlight w:val="none"/>
          <w:u w:val="single"/>
        </w:rPr>
        <w:t>按相关规定</w:t>
      </w:r>
      <w:r>
        <w:rPr>
          <w:rFonts w:hint="eastAsia" w:ascii="宋体" w:hAnsi="宋体" w:cs="宋体"/>
          <w:color w:val="auto"/>
          <w:sz w:val="22"/>
          <w:highlight w:val="none"/>
        </w:rPr>
        <w:t>；</w:t>
      </w:r>
    </w:p>
    <w:p w14:paraId="0C9B84C1">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保险条件：</w:t>
      </w:r>
      <w:r>
        <w:rPr>
          <w:rFonts w:hint="eastAsia" w:ascii="宋体" w:hAnsi="宋体" w:cs="宋体"/>
          <w:color w:val="auto"/>
          <w:sz w:val="22"/>
          <w:highlight w:val="none"/>
          <w:u w:val="single"/>
        </w:rPr>
        <w:t>按相关规定</w:t>
      </w:r>
      <w:r>
        <w:rPr>
          <w:rFonts w:hint="eastAsia" w:ascii="宋体" w:hAnsi="宋体" w:cs="宋体"/>
          <w:color w:val="auto"/>
          <w:sz w:val="22"/>
          <w:highlight w:val="none"/>
        </w:rPr>
        <w:t>；</w:t>
      </w:r>
    </w:p>
    <w:p w14:paraId="19A698D2">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20.6.4  保险金不足的补偿</w:t>
      </w:r>
    </w:p>
    <w:p w14:paraId="7218D47B">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承包人负责补偿的范围与金额：</w:t>
      </w:r>
      <w:r>
        <w:rPr>
          <w:rFonts w:hint="eastAsia" w:ascii="宋体" w:hAnsi="宋体" w:cs="宋体"/>
          <w:color w:val="auto"/>
          <w:sz w:val="22"/>
          <w:highlight w:val="none"/>
          <w:u w:val="single"/>
        </w:rPr>
        <w:t>按相关规定</w:t>
      </w:r>
      <w:r>
        <w:rPr>
          <w:rFonts w:hint="eastAsia" w:ascii="宋体" w:hAnsi="宋体" w:cs="宋体"/>
          <w:color w:val="auto"/>
          <w:sz w:val="22"/>
          <w:highlight w:val="none"/>
        </w:rPr>
        <w:t>；</w:t>
      </w:r>
    </w:p>
    <w:p w14:paraId="16D614E3">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发包人负责补偿的范围与金额：</w:t>
      </w:r>
      <w:r>
        <w:rPr>
          <w:rFonts w:hint="eastAsia" w:ascii="宋体" w:hAnsi="宋体" w:cs="宋体"/>
          <w:color w:val="auto"/>
          <w:sz w:val="22"/>
          <w:highlight w:val="none"/>
          <w:u w:val="single"/>
        </w:rPr>
        <w:t>按相关规定</w:t>
      </w:r>
      <w:r>
        <w:rPr>
          <w:rFonts w:hint="eastAsia" w:ascii="宋体" w:hAnsi="宋体" w:cs="宋体"/>
          <w:color w:val="auto"/>
          <w:sz w:val="22"/>
          <w:highlight w:val="none"/>
        </w:rPr>
        <w:t>。</w:t>
      </w:r>
    </w:p>
    <w:p w14:paraId="7E09583E">
      <w:pPr>
        <w:tabs>
          <w:tab w:val="left" w:pos="3480"/>
        </w:tabs>
        <w:adjustRightInd w:val="0"/>
        <w:snapToGrid w:val="0"/>
        <w:spacing w:line="360" w:lineRule="auto"/>
        <w:ind w:firstLine="442" w:firstLineChars="200"/>
        <w:rPr>
          <w:rFonts w:hint="eastAsia" w:ascii="宋体" w:hAnsi="宋体" w:cs="宋体"/>
          <w:b/>
          <w:color w:val="auto"/>
          <w:sz w:val="22"/>
          <w:highlight w:val="none"/>
        </w:rPr>
      </w:pPr>
      <w:bookmarkStart w:id="72" w:name="_Toc23403"/>
      <w:r>
        <w:rPr>
          <w:rFonts w:hint="eastAsia" w:ascii="宋体" w:hAnsi="宋体" w:cs="宋体"/>
          <w:b/>
          <w:color w:val="auto"/>
          <w:sz w:val="22"/>
          <w:highlight w:val="none"/>
        </w:rPr>
        <w:t>22  违约</w:t>
      </w:r>
      <w:bookmarkEnd w:id="72"/>
    </w:p>
    <w:p w14:paraId="27B66D02">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22.1 承包人违约</w:t>
      </w:r>
    </w:p>
    <w:p w14:paraId="345C27F8">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增加条款第22.1.5承包人未如约履行的，应当按日向发包人计付合同总标的千分之三的违约金。</w:t>
      </w:r>
    </w:p>
    <w:p w14:paraId="02721086">
      <w:pPr>
        <w:adjustRightInd w:val="0"/>
        <w:snapToGrid w:val="0"/>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rPr>
        <w:t>增加条款22.1.6</w:t>
      </w:r>
      <w:r>
        <w:rPr>
          <w:rFonts w:hint="eastAsia" w:ascii="宋体" w:hAnsi="宋体" w:cs="宋体"/>
          <w:color w:val="auto"/>
          <w:sz w:val="22"/>
          <w:highlight w:val="none"/>
          <w:lang w:val="zh-CN"/>
        </w:rPr>
        <w:t>未经发包人同意擅自更换项目经理、项目技术负责人，每更换一人次，发包人将对承包人处以人民币</w:t>
      </w:r>
      <w:r>
        <w:rPr>
          <w:rFonts w:hint="eastAsia" w:ascii="宋体" w:hAnsi="宋体" w:cs="宋体"/>
          <w:color w:val="auto"/>
          <w:sz w:val="22"/>
          <w:highlight w:val="none"/>
        </w:rPr>
        <w:t>2</w:t>
      </w:r>
      <w:r>
        <w:rPr>
          <w:rFonts w:hint="eastAsia" w:ascii="宋体" w:hAnsi="宋体" w:cs="宋体"/>
          <w:color w:val="auto"/>
          <w:sz w:val="22"/>
          <w:highlight w:val="none"/>
          <w:lang w:val="zh-CN"/>
        </w:rPr>
        <w:t>万的违约金；承包人多次更换上述人员3次以上的，发包人有权解除合同。</w:t>
      </w:r>
    </w:p>
    <w:p w14:paraId="44448C66">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22.2 发包人违约</w:t>
      </w:r>
    </w:p>
    <w:p w14:paraId="6C099598">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22.2.1（6）</w:t>
      </w:r>
      <w:r>
        <w:rPr>
          <w:rFonts w:hint="eastAsia" w:ascii="宋体" w:hAnsi="宋体" w:cs="宋体"/>
          <w:color w:val="auto"/>
          <w:sz w:val="22"/>
          <w:highlight w:val="none"/>
          <w:lang w:val="zh-CN"/>
        </w:rPr>
        <w:t>发包人未能按合同规定的内容和时间提供测量基准和应由发包人负责的部分准备工程等</w:t>
      </w:r>
      <w:r>
        <w:rPr>
          <w:rFonts w:hint="eastAsia" w:ascii="宋体" w:hAnsi="宋体" w:cs="宋体"/>
          <w:color w:val="auto"/>
          <w:sz w:val="22"/>
          <w:highlight w:val="none"/>
        </w:rPr>
        <w:t>(</w:t>
      </w:r>
      <w:r>
        <w:rPr>
          <w:rFonts w:hint="eastAsia" w:ascii="宋体" w:hAnsi="宋体" w:cs="宋体"/>
          <w:color w:val="auto"/>
          <w:sz w:val="22"/>
          <w:highlight w:val="none"/>
          <w:lang w:val="zh-CN"/>
        </w:rPr>
        <w:t>除征地拆迁和移民安置工作除外</w:t>
      </w:r>
      <w:r>
        <w:rPr>
          <w:rFonts w:hint="eastAsia" w:ascii="宋体" w:hAnsi="宋体" w:cs="宋体"/>
          <w:color w:val="auto"/>
          <w:sz w:val="22"/>
          <w:highlight w:val="none"/>
        </w:rPr>
        <w:t>)</w:t>
      </w:r>
      <w:r>
        <w:rPr>
          <w:rFonts w:hint="eastAsia" w:ascii="宋体" w:hAnsi="宋体" w:cs="宋体"/>
          <w:color w:val="auto"/>
          <w:sz w:val="22"/>
          <w:highlight w:val="none"/>
          <w:lang w:val="zh-CN"/>
        </w:rPr>
        <w:t>承包人施工所需的条件。</w:t>
      </w:r>
    </w:p>
    <w:p w14:paraId="44998798">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 xml:space="preserve">22.2.4  </w:t>
      </w:r>
      <w:r>
        <w:rPr>
          <w:rFonts w:hint="eastAsia" w:ascii="宋体" w:hAnsi="宋体" w:cs="宋体"/>
          <w:color w:val="auto"/>
          <w:sz w:val="22"/>
          <w:highlight w:val="none"/>
          <w:lang w:val="zh-CN"/>
        </w:rPr>
        <w:t>本款第一段末补充：本合同项目执行资金集中支付方式，按集中支付的有关规定办理，发包人不对财政的审核方式和付款时间负任何责任。</w:t>
      </w:r>
    </w:p>
    <w:p w14:paraId="4C42B672">
      <w:pPr>
        <w:adjustRightInd w:val="0"/>
        <w:snapToGrid w:val="0"/>
        <w:spacing w:line="360" w:lineRule="auto"/>
        <w:ind w:firstLine="442" w:firstLineChars="200"/>
        <w:rPr>
          <w:rFonts w:hint="eastAsia" w:ascii="宋体" w:hAnsi="宋体" w:cs="宋体"/>
          <w:b/>
          <w:color w:val="auto"/>
          <w:sz w:val="22"/>
          <w:highlight w:val="none"/>
        </w:rPr>
      </w:pPr>
      <w:bookmarkStart w:id="73" w:name="_Toc24150"/>
      <w:bookmarkStart w:id="74" w:name="_Toc256773217"/>
      <w:r>
        <w:rPr>
          <w:rFonts w:hint="eastAsia" w:ascii="宋体" w:hAnsi="宋体" w:cs="宋体"/>
          <w:b/>
          <w:color w:val="auto"/>
          <w:sz w:val="22"/>
          <w:highlight w:val="none"/>
        </w:rPr>
        <w:t>24  争议的解决</w:t>
      </w:r>
      <w:bookmarkEnd w:id="73"/>
      <w:bookmarkEnd w:id="74"/>
    </w:p>
    <w:p w14:paraId="562EEA86">
      <w:pPr>
        <w:adjustRightInd w:val="0"/>
        <w:snapToGrid w:val="0"/>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24.1  争议的解决方式</w:t>
      </w:r>
    </w:p>
    <w:p w14:paraId="069851CB">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合同当事人友好协商解决不成、不愿提请争议评审或不接受争议评审组意见的，约定的合同争议解决方式：</w:t>
      </w:r>
      <w:bookmarkStart w:id="75" w:name="_Toc236912473"/>
      <w:bookmarkStart w:id="76" w:name="_Toc274217994"/>
      <w:r>
        <w:rPr>
          <w:rFonts w:hint="eastAsia" w:ascii="宋体" w:hAnsi="宋体" w:cs="宋体"/>
          <w:color w:val="auto"/>
          <w:sz w:val="22"/>
          <w:highlight w:val="none"/>
          <w:u w:val="single"/>
        </w:rPr>
        <w:t>项目所在地人民法院提起诉讼</w:t>
      </w:r>
      <w:r>
        <w:rPr>
          <w:rFonts w:hint="eastAsia" w:ascii="宋体" w:hAnsi="宋体" w:cs="宋体"/>
          <w:color w:val="auto"/>
          <w:sz w:val="22"/>
          <w:highlight w:val="none"/>
        </w:rPr>
        <w:t>。</w:t>
      </w:r>
    </w:p>
    <w:bookmarkEnd w:id="75"/>
    <w:bookmarkEnd w:id="76"/>
    <w:p w14:paraId="02B4E718">
      <w:pPr>
        <w:adjustRightInd w:val="0"/>
        <w:snapToGrid w:val="0"/>
        <w:spacing w:line="360" w:lineRule="auto"/>
        <w:ind w:firstLine="442" w:firstLineChars="200"/>
        <w:rPr>
          <w:rFonts w:hint="eastAsia" w:ascii="宋体" w:hAnsi="宋体" w:cs="宋体"/>
          <w:b/>
          <w:color w:val="auto"/>
          <w:sz w:val="22"/>
          <w:highlight w:val="none"/>
        </w:rPr>
      </w:pPr>
      <w:bookmarkStart w:id="77" w:name="_Toc274217995"/>
      <w:bookmarkStart w:id="78" w:name="_Toc236912474"/>
      <w:bookmarkStart w:id="79" w:name="_Toc24583"/>
      <w:r>
        <w:rPr>
          <w:rFonts w:hint="eastAsia" w:ascii="宋体" w:hAnsi="宋体" w:cs="宋体"/>
          <w:b/>
          <w:color w:val="auto"/>
          <w:sz w:val="22"/>
          <w:highlight w:val="none"/>
        </w:rPr>
        <w:t>25  保密</w:t>
      </w:r>
      <w:bookmarkEnd w:id="77"/>
      <w:bookmarkEnd w:id="78"/>
      <w:bookmarkEnd w:id="79"/>
    </w:p>
    <w:p w14:paraId="5920200A">
      <w:pPr>
        <w:adjustRightInd w:val="0"/>
        <w:snapToGrid w:val="0"/>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双方还应对本合同内容及双方相互提供标有密级的文件保密，违者应对泄密造成的后果承担责任。</w:t>
      </w:r>
      <w:bookmarkStart w:id="80" w:name="_Toc274217997"/>
      <w:bookmarkStart w:id="81" w:name="_Toc236912476"/>
    </w:p>
    <w:p w14:paraId="50576018">
      <w:pPr>
        <w:adjustRightInd w:val="0"/>
        <w:snapToGrid w:val="0"/>
        <w:spacing w:line="360" w:lineRule="auto"/>
        <w:ind w:firstLine="442" w:firstLineChars="200"/>
        <w:rPr>
          <w:rFonts w:hint="eastAsia" w:ascii="宋体" w:hAnsi="宋体" w:cs="宋体"/>
          <w:b/>
          <w:color w:val="auto"/>
          <w:sz w:val="22"/>
          <w:highlight w:val="none"/>
        </w:rPr>
      </w:pPr>
      <w:bookmarkStart w:id="82" w:name="_Toc28361"/>
      <w:r>
        <w:rPr>
          <w:rFonts w:hint="eastAsia" w:ascii="宋体" w:hAnsi="宋体" w:cs="宋体"/>
          <w:b/>
          <w:color w:val="auto"/>
          <w:sz w:val="22"/>
          <w:highlight w:val="none"/>
        </w:rPr>
        <w:t>26  其他</w:t>
      </w:r>
      <w:bookmarkEnd w:id="80"/>
      <w:bookmarkEnd w:id="81"/>
      <w:bookmarkEnd w:id="82"/>
    </w:p>
    <w:p w14:paraId="0FF4A941">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26.1</w:t>
      </w:r>
      <w:r>
        <w:rPr>
          <w:rFonts w:hint="eastAsia" w:ascii="宋体" w:hAnsi="宋体" w:cs="宋体"/>
          <w:color w:val="auto"/>
          <w:sz w:val="22"/>
          <w:highlight w:val="none"/>
          <w:lang w:val="zh-CN"/>
        </w:rPr>
        <w:t>承包人应遵守当地政府的法规规定和各项管理制度，根据当地政府的要求办理相关的登记、注册、备案等，并承担相关的费用；</w:t>
      </w:r>
    </w:p>
    <w:p w14:paraId="6E1AF669">
      <w:pPr>
        <w:adjustRightInd w:val="0"/>
        <w:snapToGrid w:val="0"/>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26.2承包人及其人员应尊重工程所在地的民风民俗。</w:t>
      </w:r>
    </w:p>
    <w:p w14:paraId="68A2D7C0">
      <w:pPr>
        <w:adjustRightInd w:val="0"/>
        <w:snapToGrid w:val="0"/>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26.3农民工工资</w:t>
      </w:r>
    </w:p>
    <w:p w14:paraId="17186731">
      <w:pPr>
        <w:adjustRightInd w:val="0"/>
        <w:snapToGrid w:val="0"/>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26.3.1根据转发《韶关市人力资源和社会保障局 韶关市住房和城乡建设管理局 韶关市交通运输局 韶关市水务局 韶关市金融工作局 国家金融监督管理总局韶关监管分局关于印发《韶关市工程建设领域农民工工资保证金管理实施细则》的通知》的通知(韶人社规〔2023〕2号)及《韶关市工程建设领域农民工工资保证金管理实施细则》（韶法审〔2023〕19号）规定</w:t>
      </w:r>
      <w:r>
        <w:rPr>
          <w:rFonts w:hint="eastAsia" w:ascii="宋体" w:hAnsi="宋体" w:cs="宋体"/>
          <w:color w:val="auto"/>
          <w:sz w:val="22"/>
          <w:highlight w:val="none"/>
        </w:rPr>
        <w:t>执行</w:t>
      </w:r>
      <w:r>
        <w:rPr>
          <w:rFonts w:hint="eastAsia" w:ascii="宋体" w:hAnsi="宋体" w:cs="宋体"/>
          <w:color w:val="auto"/>
          <w:sz w:val="22"/>
          <w:highlight w:val="none"/>
          <w:lang w:val="zh-CN"/>
        </w:rPr>
        <w:t>。如果发现拖欠工人工资或其他劳动纠纷行为，有关部门将从保证金专用账户中提取资金用于支付工人工资或出具保函的银行、保险公司按《保函履约协议》约定垫付或经依法裁定应由承包人支付的劳动纠纷款项。承包人在签订工程施工承包合同后一个月内必须办妥该事项，并将回执交发包人。如签订工程施工承包合同后一个月内未办妥的，项目所在地水利行政主管部门将上报上级水利行政主管部门记录承包人水利建设市场主体信用信息情况。</w:t>
      </w:r>
    </w:p>
    <w:p w14:paraId="653C6D50">
      <w:pPr>
        <w:adjustRightInd w:val="0"/>
        <w:snapToGrid w:val="0"/>
        <w:spacing w:line="36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26.3.2</w:t>
      </w:r>
      <w:r>
        <w:rPr>
          <w:rFonts w:hint="eastAsia" w:ascii="宋体" w:hAnsi="宋体" w:cs="宋体"/>
          <w:color w:val="auto"/>
          <w:sz w:val="22"/>
          <w:highlight w:val="none"/>
        </w:rPr>
        <w:t>依据</w:t>
      </w:r>
      <w:r>
        <w:rPr>
          <w:rFonts w:hint="eastAsia" w:ascii="宋体" w:hAnsi="宋体" w:cs="宋体"/>
          <w:color w:val="auto"/>
          <w:sz w:val="22"/>
          <w:highlight w:val="none"/>
          <w:lang w:val="zh-CN"/>
        </w:rPr>
        <w:t>人力资源社会保障部等十部门印发的《工程建设领域农民工工资专用账户管理暂行办法》（人社部发〔2021〕53号）</w:t>
      </w:r>
      <w:r>
        <w:rPr>
          <w:rFonts w:hint="eastAsia" w:ascii="宋体" w:hAnsi="宋体" w:cs="宋体"/>
          <w:color w:val="auto"/>
          <w:sz w:val="22"/>
          <w:highlight w:val="none"/>
        </w:rPr>
        <w:t>，</w:t>
      </w:r>
      <w:r>
        <w:rPr>
          <w:rFonts w:hint="eastAsia" w:ascii="宋体" w:hAnsi="宋体" w:cs="宋体"/>
          <w:color w:val="auto"/>
          <w:sz w:val="22"/>
          <w:highlight w:val="none"/>
          <w:lang w:val="zh-CN"/>
        </w:rPr>
        <w:t>本项目必须执行建设领域工人工资支付分账管理，并于项目开工建设前到项目施工所在地银行设立工人工资支付专用账户，为每个工人办理工资个人账户，并建立劳动用工管理台账备查。根据水利工程人工工资所占比例，于每次拨付工程进度款时，按工程进度款的</w:t>
      </w:r>
      <w:r>
        <w:rPr>
          <w:rFonts w:hint="eastAsia" w:ascii="宋体" w:hAnsi="宋体" w:cs="宋体"/>
          <w:color w:val="auto"/>
          <w:sz w:val="22"/>
          <w:highlight w:val="none"/>
          <w:lang w:val="en-US" w:eastAsia="zh-CN"/>
        </w:rPr>
        <w:t>20</w:t>
      </w:r>
      <w:r>
        <w:rPr>
          <w:rFonts w:hint="eastAsia" w:ascii="宋体" w:hAnsi="宋体" w:cs="宋体"/>
          <w:color w:val="auto"/>
          <w:sz w:val="22"/>
          <w:highlight w:val="none"/>
          <w:lang w:val="zh-CN"/>
        </w:rPr>
        <w:t>％将资金直接拨付到中标单位开设的工人工资专用账户上，确保每月</w:t>
      </w:r>
      <w:r>
        <w:rPr>
          <w:rFonts w:hint="eastAsia" w:ascii="宋体" w:hAnsi="宋体" w:cs="宋体"/>
          <w:color w:val="auto"/>
          <w:sz w:val="22"/>
          <w:highlight w:val="none"/>
        </w:rPr>
        <w:t>25日前</w:t>
      </w:r>
      <w:r>
        <w:rPr>
          <w:rFonts w:hint="eastAsia" w:ascii="宋体" w:hAnsi="宋体" w:cs="宋体"/>
          <w:color w:val="auto"/>
          <w:sz w:val="22"/>
          <w:highlight w:val="none"/>
          <w:lang w:val="zh-CN"/>
        </w:rPr>
        <w:t>足额支付工人工资。</w:t>
      </w:r>
      <w:r>
        <w:rPr>
          <w:rFonts w:hint="eastAsia" w:ascii="宋体" w:hAnsi="宋体" w:cs="宋体"/>
          <w:color w:val="auto"/>
          <w:sz w:val="22"/>
          <w:highlight w:val="none"/>
        </w:rPr>
        <w:t>若未按期执行，将上报省市水利行政主管部门将此行为列入不良信用记录。</w:t>
      </w:r>
    </w:p>
    <w:p w14:paraId="7A1AFD70">
      <w:pPr>
        <w:adjustRightInd w:val="0"/>
        <w:snapToGrid w:val="0"/>
        <w:spacing w:line="360" w:lineRule="auto"/>
        <w:ind w:firstLine="440" w:firstLineChars="200"/>
        <w:rPr>
          <w:rFonts w:hint="eastAsia" w:ascii="宋体" w:hAnsi="宋体" w:cs="宋体"/>
          <w:b/>
          <w:bCs/>
          <w:color w:val="auto"/>
          <w:sz w:val="22"/>
          <w:highlight w:val="none"/>
        </w:rPr>
      </w:pPr>
      <w:r>
        <w:rPr>
          <w:rFonts w:hint="eastAsia" w:ascii="宋体" w:hAnsi="宋体" w:cs="宋体"/>
          <w:color w:val="auto"/>
          <w:sz w:val="22"/>
          <w:highlight w:val="none"/>
          <w:lang w:val="zh-CN"/>
        </w:rPr>
        <w:t>26.3.3中标人须按韶关市关于建筑渣土管理和扬尘治理等有关规定执行。</w:t>
      </w:r>
    </w:p>
    <w:p w14:paraId="1A757254">
      <w:pPr>
        <w:adjustRightInd w:val="0"/>
        <w:snapToGrid w:val="0"/>
        <w:spacing w:line="360" w:lineRule="auto"/>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rPr>
        <w:t>26.4 档案要求</w:t>
      </w:r>
    </w:p>
    <w:p w14:paraId="37122464">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 xml:space="preserve">  26.4.1承包人需设立专门的档案管理机构，明确相关人员的主要职责。</w:t>
      </w:r>
    </w:p>
    <w:p w14:paraId="5ED0E284">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26.4.2承包人需按水务局《水利工程建设档案资料案卷名称表》里所列施工归档文件材料及施工文件材料归档文件组卷排列表；中间产品资料册组卷排列表；工艺、设备材料(含国外引设备材料)文件材料列表等进行档案资料的收集及整理工作。</w:t>
      </w:r>
    </w:p>
    <w:p w14:paraId="5D825788">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26.4.3声像材料需收集包括工程建设原貌、建设过程中重要阶段或事件（如重要隐蔽单元工程验收、检测单位检测工作过程、各阶段验收等）、工程完工现状等材料。</w:t>
      </w:r>
    </w:p>
    <w:p w14:paraId="183048B0">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26.4.4承包人需按工程进度同步收集整理档案资料。</w:t>
      </w:r>
    </w:p>
    <w:p w14:paraId="678105C3">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26.4.5施工计划、技术、工艺、安全措施等施工组织设计报批及审核文件；设计变更文件；竣工图；反映工程建设原貌及建设过程中重要阶段或事件的声像材料必须数字化（不可编辑电子材料）。</w:t>
      </w:r>
    </w:p>
    <w:p w14:paraId="585957BB">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26.4.6承包人于合同工程完工验收后一个月内提交符合归档要求的纸质材料及数字化材料两套，竣工图三套给建设单位。</w:t>
      </w:r>
    </w:p>
    <w:p w14:paraId="495767CA">
      <w:pPr>
        <w:adjustRightInd w:val="0"/>
        <w:snapToGrid w:val="0"/>
        <w:spacing w:line="360" w:lineRule="auto"/>
        <w:ind w:firstLine="440" w:firstLineChars="200"/>
        <w:rPr>
          <w:rFonts w:hint="eastAsia" w:ascii="宋体" w:hAnsi="宋体" w:cs="宋体"/>
          <w:color w:val="auto"/>
          <w:sz w:val="24"/>
          <w:szCs w:val="24"/>
          <w:highlight w:val="none"/>
        </w:rPr>
      </w:pPr>
      <w:r>
        <w:rPr>
          <w:rFonts w:hint="eastAsia" w:ascii="宋体" w:hAnsi="宋体" w:cs="宋体"/>
          <w:color w:val="auto"/>
          <w:sz w:val="22"/>
          <w:highlight w:val="none"/>
        </w:rPr>
        <w:t>26.4.7如承包人未能按期提交符合要求的档案资料，逾期1个月内不予处罚；逾期1～2个月内的将从质量保证金中扣除违约金10000元；逾期2～3个月内的将从质量保证金中扣除违约金20000元；逾期3个月以上的将从质量保证金中扣除违约金50000元。</w:t>
      </w:r>
    </w:p>
    <w:p w14:paraId="2D13D5F7">
      <w:pPr>
        <w:spacing w:line="360" w:lineRule="auto"/>
        <w:ind w:firstLine="465"/>
        <w:rPr>
          <w:rFonts w:hint="eastAsia" w:ascii="宋体" w:hAnsi="宋体" w:cs="宋体"/>
          <w:b/>
          <w:color w:val="auto"/>
          <w:sz w:val="24"/>
          <w:szCs w:val="24"/>
          <w:highlight w:val="none"/>
        </w:rPr>
      </w:pPr>
    </w:p>
    <w:p w14:paraId="261374E9">
      <w:pPr>
        <w:spacing w:line="360" w:lineRule="auto"/>
        <w:ind w:firstLine="465"/>
        <w:rPr>
          <w:rFonts w:hint="eastAsia" w:ascii="宋体" w:hAnsi="宋体" w:cs="宋体"/>
          <w:b/>
          <w:color w:val="auto"/>
          <w:sz w:val="24"/>
          <w:szCs w:val="24"/>
          <w:highlight w:val="none"/>
        </w:rPr>
      </w:pPr>
    </w:p>
    <w:p w14:paraId="46C441C4">
      <w:pPr>
        <w:spacing w:line="360" w:lineRule="auto"/>
        <w:ind w:firstLine="465"/>
        <w:rPr>
          <w:rFonts w:hint="eastAsia" w:ascii="宋体" w:hAnsi="宋体" w:cs="宋体"/>
          <w:b/>
          <w:color w:val="auto"/>
          <w:sz w:val="24"/>
          <w:szCs w:val="24"/>
          <w:highlight w:val="none"/>
        </w:rPr>
      </w:pPr>
    </w:p>
    <w:p w14:paraId="0C18110E">
      <w:pPr>
        <w:spacing w:line="360" w:lineRule="auto"/>
        <w:ind w:firstLine="465"/>
        <w:rPr>
          <w:rFonts w:hint="eastAsia" w:ascii="宋体" w:hAnsi="宋体" w:cs="宋体"/>
          <w:b/>
          <w:color w:val="auto"/>
          <w:sz w:val="24"/>
          <w:szCs w:val="24"/>
          <w:highlight w:val="none"/>
        </w:rPr>
      </w:pPr>
    </w:p>
    <w:p w14:paraId="32E13168">
      <w:pPr>
        <w:pStyle w:val="2"/>
        <w:rPr>
          <w:rFonts w:hint="eastAsia"/>
          <w:color w:val="auto"/>
          <w:highlight w:val="none"/>
        </w:rPr>
      </w:pPr>
    </w:p>
    <w:p w14:paraId="302CCE41">
      <w:pPr>
        <w:spacing w:line="360" w:lineRule="auto"/>
        <w:ind w:firstLine="465"/>
        <w:rPr>
          <w:rFonts w:hint="eastAsia" w:ascii="宋体" w:hAnsi="宋体" w:cs="宋体"/>
          <w:b/>
          <w:color w:val="auto"/>
          <w:sz w:val="24"/>
          <w:szCs w:val="24"/>
          <w:highlight w:val="none"/>
        </w:rPr>
      </w:pPr>
    </w:p>
    <w:p w14:paraId="2B56DB06">
      <w:pPr>
        <w:keepNext/>
        <w:keepLines/>
        <w:spacing w:line="360" w:lineRule="auto"/>
        <w:jc w:val="center"/>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b/>
          <w:color w:val="auto"/>
          <w:sz w:val="32"/>
          <w:highlight w:val="none"/>
        </w:rPr>
        <w:t>第</w:t>
      </w:r>
      <w:r>
        <w:rPr>
          <w:rFonts w:cs="宋体" w:asciiTheme="majorEastAsia" w:hAnsiTheme="majorEastAsia" w:eastAsiaTheme="majorEastAsia"/>
          <w:b/>
          <w:color w:val="auto"/>
          <w:sz w:val="32"/>
          <w:highlight w:val="none"/>
        </w:rPr>
        <w:t>3</w:t>
      </w:r>
      <w:r>
        <w:rPr>
          <w:rFonts w:hint="eastAsia" w:cs="宋体" w:asciiTheme="majorEastAsia" w:hAnsiTheme="majorEastAsia" w:eastAsiaTheme="majorEastAsia"/>
          <w:b/>
          <w:color w:val="auto"/>
          <w:sz w:val="32"/>
          <w:highlight w:val="none"/>
        </w:rPr>
        <w:t>节合同附件格式</w:t>
      </w:r>
    </w:p>
    <w:p w14:paraId="3BEFF7B1">
      <w:pPr>
        <w:tabs>
          <w:tab w:val="left" w:pos="3480"/>
        </w:tabs>
        <w:rPr>
          <w:rFonts w:hint="eastAsia" w:cs="宋体" w:asciiTheme="majorEastAsia" w:hAnsiTheme="majorEastAsia" w:eastAsiaTheme="majorEastAsia"/>
          <w:b/>
          <w:color w:val="auto"/>
          <w:sz w:val="22"/>
          <w:szCs w:val="21"/>
          <w:highlight w:val="none"/>
        </w:rPr>
      </w:pPr>
      <w:r>
        <w:rPr>
          <w:rFonts w:hint="eastAsia" w:cs="宋体" w:asciiTheme="majorEastAsia" w:hAnsiTheme="majorEastAsia" w:eastAsiaTheme="majorEastAsia"/>
          <w:b/>
          <w:color w:val="auto"/>
          <w:sz w:val="22"/>
          <w:szCs w:val="21"/>
          <w:highlight w:val="none"/>
        </w:rPr>
        <w:t>附件一：合同协议书</w:t>
      </w:r>
    </w:p>
    <w:p w14:paraId="6F1BCD2E">
      <w:pPr>
        <w:tabs>
          <w:tab w:val="left" w:pos="3480"/>
        </w:tabs>
        <w:jc w:val="center"/>
        <w:rPr>
          <w:rFonts w:hint="eastAsia" w:cs="宋体" w:asciiTheme="majorEastAsia" w:hAnsiTheme="majorEastAsia" w:eastAsiaTheme="majorEastAsia"/>
          <w:b/>
          <w:color w:val="auto"/>
          <w:sz w:val="22"/>
          <w:szCs w:val="21"/>
          <w:highlight w:val="none"/>
        </w:rPr>
      </w:pPr>
      <w:r>
        <w:rPr>
          <w:rFonts w:hint="eastAsia" w:cs="宋体" w:asciiTheme="majorEastAsia" w:hAnsiTheme="majorEastAsia" w:eastAsiaTheme="majorEastAsia"/>
          <w:b/>
          <w:color w:val="auto"/>
          <w:sz w:val="22"/>
          <w:szCs w:val="21"/>
          <w:highlight w:val="none"/>
        </w:rPr>
        <w:t>合同协议书</w:t>
      </w:r>
    </w:p>
    <w:p w14:paraId="4EE69920">
      <w:pPr>
        <w:ind w:firstLine="480"/>
        <w:rPr>
          <w:rFonts w:hint="eastAsia" w:cs="宋体" w:asciiTheme="majorEastAsia" w:hAnsiTheme="majorEastAsia" w:eastAsiaTheme="majorEastAsia"/>
          <w:color w:val="auto"/>
          <w:sz w:val="22"/>
          <w:szCs w:val="21"/>
          <w:highlight w:val="none"/>
        </w:rPr>
      </w:pPr>
    </w:p>
    <w:p w14:paraId="3005414A">
      <w:pPr>
        <w:spacing w:line="320" w:lineRule="auto"/>
        <w:ind w:firstLine="600"/>
        <w:rPr>
          <w:rFonts w:hint="eastAsia"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（发包人名称，以下简称“发包人”）为实施（工程名称），己接受（承包人名称，以下简称“承包人”）对（工程名称）的投标，并确定其为中标人。发包人和承包人共同达成如下协议。</w:t>
      </w:r>
    </w:p>
    <w:p w14:paraId="434ADD98">
      <w:pPr>
        <w:spacing w:line="320" w:lineRule="auto"/>
        <w:rPr>
          <w:rFonts w:hint="eastAsia"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1</w:t>
      </w:r>
      <w:r>
        <w:rPr>
          <w:rFonts w:hint="eastAsia" w:cs="宋体" w:asciiTheme="majorEastAsia" w:hAnsiTheme="majorEastAsia" w:eastAsiaTheme="majorEastAsia"/>
          <w:color w:val="auto"/>
          <w:sz w:val="22"/>
          <w:szCs w:val="21"/>
          <w:highlight w:val="none"/>
        </w:rPr>
        <w:t>．本协议书与下列文件一起构成合同文件：</w:t>
      </w:r>
    </w:p>
    <w:p w14:paraId="16529B48">
      <w:pPr>
        <w:spacing w:line="320" w:lineRule="auto"/>
        <w:ind w:firstLine="600"/>
        <w:rPr>
          <w:rFonts w:hint="eastAsia"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1</w:t>
      </w:r>
      <w:r>
        <w:rPr>
          <w:rFonts w:hint="eastAsia" w:cs="宋体" w:asciiTheme="majorEastAsia" w:hAnsiTheme="majorEastAsia" w:eastAsiaTheme="majorEastAsia"/>
          <w:color w:val="auto"/>
          <w:sz w:val="22"/>
          <w:szCs w:val="21"/>
          <w:highlight w:val="none"/>
        </w:rPr>
        <w:t>）中标通知书；</w:t>
      </w:r>
    </w:p>
    <w:p w14:paraId="234F7242">
      <w:pPr>
        <w:spacing w:line="320" w:lineRule="auto"/>
        <w:ind w:firstLine="600"/>
        <w:rPr>
          <w:rFonts w:hint="eastAsia"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2</w:t>
      </w:r>
      <w:r>
        <w:rPr>
          <w:rFonts w:hint="eastAsia" w:cs="宋体" w:asciiTheme="majorEastAsia" w:hAnsiTheme="majorEastAsia" w:eastAsiaTheme="majorEastAsia"/>
          <w:color w:val="auto"/>
          <w:sz w:val="22"/>
          <w:szCs w:val="21"/>
          <w:highlight w:val="none"/>
        </w:rPr>
        <w:t>）投标函；</w:t>
      </w:r>
    </w:p>
    <w:p w14:paraId="47B950A8">
      <w:pPr>
        <w:spacing w:line="320" w:lineRule="auto"/>
        <w:ind w:firstLine="600"/>
        <w:rPr>
          <w:rFonts w:hint="eastAsia"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3</w:t>
      </w:r>
      <w:r>
        <w:rPr>
          <w:rFonts w:hint="eastAsia" w:cs="宋体" w:asciiTheme="majorEastAsia" w:hAnsiTheme="majorEastAsia" w:eastAsiaTheme="majorEastAsia"/>
          <w:color w:val="auto"/>
          <w:sz w:val="22"/>
          <w:szCs w:val="21"/>
          <w:highlight w:val="none"/>
        </w:rPr>
        <w:t>）专用合同条款；</w:t>
      </w:r>
    </w:p>
    <w:p w14:paraId="71B99F65">
      <w:pPr>
        <w:spacing w:line="320" w:lineRule="auto"/>
        <w:ind w:firstLine="600"/>
        <w:rPr>
          <w:rFonts w:hint="eastAsia"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4</w:t>
      </w:r>
      <w:r>
        <w:rPr>
          <w:rFonts w:hint="eastAsia" w:cs="宋体" w:asciiTheme="majorEastAsia" w:hAnsiTheme="majorEastAsia" w:eastAsiaTheme="majorEastAsia"/>
          <w:color w:val="auto"/>
          <w:sz w:val="22"/>
          <w:szCs w:val="21"/>
          <w:highlight w:val="none"/>
        </w:rPr>
        <w:t>）通用合同条款；</w:t>
      </w:r>
    </w:p>
    <w:p w14:paraId="0DDA1CA3">
      <w:pPr>
        <w:spacing w:line="320" w:lineRule="auto"/>
        <w:ind w:firstLine="600"/>
        <w:rPr>
          <w:rFonts w:hint="eastAsia"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5</w:t>
      </w:r>
      <w:r>
        <w:rPr>
          <w:rFonts w:hint="eastAsia" w:cs="宋体" w:asciiTheme="majorEastAsia" w:hAnsiTheme="majorEastAsia" w:eastAsiaTheme="majorEastAsia"/>
          <w:color w:val="auto"/>
          <w:sz w:val="22"/>
          <w:szCs w:val="21"/>
          <w:highlight w:val="none"/>
        </w:rPr>
        <w:t>）招标文件；</w:t>
      </w:r>
    </w:p>
    <w:p w14:paraId="05BD46EB">
      <w:pPr>
        <w:spacing w:line="320" w:lineRule="auto"/>
        <w:ind w:firstLine="600"/>
        <w:rPr>
          <w:rFonts w:hint="eastAsia"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6</w:t>
      </w:r>
      <w:r>
        <w:rPr>
          <w:rFonts w:hint="eastAsia" w:cs="宋体" w:asciiTheme="majorEastAsia" w:hAnsiTheme="majorEastAsia" w:eastAsiaTheme="majorEastAsia"/>
          <w:color w:val="auto"/>
          <w:sz w:val="22"/>
          <w:szCs w:val="21"/>
          <w:highlight w:val="none"/>
        </w:rPr>
        <w:t>）投标文件；</w:t>
      </w:r>
    </w:p>
    <w:p w14:paraId="1753D0F0">
      <w:pPr>
        <w:spacing w:line="320" w:lineRule="auto"/>
        <w:ind w:firstLine="600"/>
        <w:rPr>
          <w:rFonts w:hint="eastAsia"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7</w:t>
      </w:r>
      <w:r>
        <w:rPr>
          <w:rFonts w:hint="eastAsia" w:cs="宋体" w:asciiTheme="majorEastAsia" w:hAnsiTheme="majorEastAsia" w:eastAsiaTheme="majorEastAsia"/>
          <w:color w:val="auto"/>
          <w:sz w:val="22"/>
          <w:szCs w:val="21"/>
          <w:highlight w:val="none"/>
        </w:rPr>
        <w:t>）技术标准和要求（合同技术条款）；</w:t>
      </w:r>
    </w:p>
    <w:p w14:paraId="6BF3ADCD">
      <w:pPr>
        <w:spacing w:line="320" w:lineRule="auto"/>
        <w:ind w:firstLine="600"/>
        <w:rPr>
          <w:rFonts w:hint="eastAsia"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8</w:t>
      </w:r>
      <w:r>
        <w:rPr>
          <w:rFonts w:hint="eastAsia" w:cs="宋体" w:asciiTheme="majorEastAsia" w:hAnsiTheme="majorEastAsia" w:eastAsiaTheme="majorEastAsia"/>
          <w:color w:val="auto"/>
          <w:sz w:val="22"/>
          <w:szCs w:val="21"/>
          <w:highlight w:val="none"/>
        </w:rPr>
        <w:t>）图纸；</w:t>
      </w:r>
    </w:p>
    <w:p w14:paraId="56CB5D7E">
      <w:pPr>
        <w:spacing w:line="320" w:lineRule="auto"/>
        <w:ind w:firstLine="600"/>
        <w:rPr>
          <w:rFonts w:hint="eastAsia"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9</w:t>
      </w:r>
      <w:r>
        <w:rPr>
          <w:rFonts w:hint="eastAsia" w:cs="宋体" w:asciiTheme="majorEastAsia" w:hAnsiTheme="majorEastAsia" w:eastAsiaTheme="majorEastAsia"/>
          <w:color w:val="auto"/>
          <w:sz w:val="22"/>
          <w:szCs w:val="21"/>
          <w:highlight w:val="none"/>
        </w:rPr>
        <w:t>）已标价工程量清单；</w:t>
      </w:r>
    </w:p>
    <w:p w14:paraId="318EAEF5">
      <w:pPr>
        <w:spacing w:line="320" w:lineRule="auto"/>
        <w:ind w:firstLine="600"/>
        <w:rPr>
          <w:rFonts w:hint="eastAsia"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10</w:t>
      </w:r>
      <w:r>
        <w:rPr>
          <w:rFonts w:hint="eastAsia" w:cs="宋体" w:asciiTheme="majorEastAsia" w:hAnsiTheme="majorEastAsia" w:eastAsiaTheme="majorEastAsia"/>
          <w:color w:val="auto"/>
          <w:sz w:val="22"/>
          <w:szCs w:val="21"/>
          <w:highlight w:val="none"/>
        </w:rPr>
        <w:t>）其它合同文件。</w:t>
      </w:r>
    </w:p>
    <w:p w14:paraId="417BCC20">
      <w:pPr>
        <w:spacing w:line="320" w:lineRule="auto"/>
        <w:rPr>
          <w:rFonts w:hint="eastAsia"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2. </w:t>
      </w:r>
      <w:r>
        <w:rPr>
          <w:rFonts w:hint="eastAsia" w:cs="宋体" w:asciiTheme="majorEastAsia" w:hAnsiTheme="majorEastAsia" w:eastAsiaTheme="majorEastAsia"/>
          <w:color w:val="auto"/>
          <w:sz w:val="22"/>
          <w:szCs w:val="21"/>
          <w:highlight w:val="none"/>
        </w:rPr>
        <w:t>上述文件互相补充和解释，如有不明确或不一致之处，以合同约定次序在先者为准。</w:t>
      </w:r>
    </w:p>
    <w:p w14:paraId="607E6C42">
      <w:pPr>
        <w:spacing w:line="320" w:lineRule="auto"/>
        <w:rPr>
          <w:rFonts w:hint="eastAsia"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3. </w:t>
      </w:r>
      <w:r>
        <w:rPr>
          <w:rFonts w:hint="eastAsia" w:cs="宋体" w:asciiTheme="majorEastAsia" w:hAnsiTheme="majorEastAsia" w:eastAsiaTheme="majorEastAsia"/>
          <w:color w:val="auto"/>
          <w:sz w:val="22"/>
          <w:szCs w:val="21"/>
          <w:highlight w:val="none"/>
        </w:rPr>
        <w:t>签约合同价：人民币（大写） 元（￥ 元）。</w:t>
      </w:r>
    </w:p>
    <w:p w14:paraId="0FBF3D3B">
      <w:pPr>
        <w:spacing w:line="320" w:lineRule="auto"/>
        <w:rPr>
          <w:rFonts w:hint="eastAsia"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4. </w:t>
      </w:r>
      <w:r>
        <w:rPr>
          <w:rFonts w:hint="eastAsia" w:cs="宋体" w:asciiTheme="majorEastAsia" w:hAnsiTheme="majorEastAsia" w:eastAsiaTheme="majorEastAsia"/>
          <w:color w:val="auto"/>
          <w:sz w:val="22"/>
          <w:szCs w:val="21"/>
          <w:highlight w:val="none"/>
        </w:rPr>
        <w:t>承包人项目经理： 。</w:t>
      </w:r>
    </w:p>
    <w:p w14:paraId="271E80FA">
      <w:pPr>
        <w:spacing w:line="320" w:lineRule="auto"/>
        <w:rPr>
          <w:rFonts w:hint="eastAsia"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5. </w:t>
      </w:r>
      <w:r>
        <w:rPr>
          <w:rFonts w:hint="eastAsia" w:cs="宋体" w:asciiTheme="majorEastAsia" w:hAnsiTheme="majorEastAsia" w:eastAsiaTheme="majorEastAsia"/>
          <w:color w:val="auto"/>
          <w:sz w:val="22"/>
          <w:szCs w:val="21"/>
          <w:highlight w:val="none"/>
        </w:rPr>
        <w:t>工程质量符合   标准。</w:t>
      </w:r>
    </w:p>
    <w:p w14:paraId="3771FE0B">
      <w:pPr>
        <w:spacing w:line="320" w:lineRule="auto"/>
        <w:rPr>
          <w:rFonts w:hint="eastAsia"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6. </w:t>
      </w:r>
      <w:r>
        <w:rPr>
          <w:rFonts w:hint="eastAsia" w:cs="宋体" w:asciiTheme="majorEastAsia" w:hAnsiTheme="majorEastAsia" w:eastAsiaTheme="majorEastAsia"/>
          <w:color w:val="auto"/>
          <w:sz w:val="22"/>
          <w:szCs w:val="21"/>
          <w:highlight w:val="none"/>
        </w:rPr>
        <w:t>承包人承诺按合同约定承担工程的实施、完成及缺陷修复。</w:t>
      </w:r>
    </w:p>
    <w:p w14:paraId="7EC42A89">
      <w:pPr>
        <w:spacing w:line="320" w:lineRule="auto"/>
        <w:rPr>
          <w:rFonts w:hint="eastAsia"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7. </w:t>
      </w:r>
      <w:r>
        <w:rPr>
          <w:rFonts w:hint="eastAsia" w:cs="宋体" w:asciiTheme="majorEastAsia" w:hAnsiTheme="majorEastAsia" w:eastAsiaTheme="majorEastAsia"/>
          <w:color w:val="auto"/>
          <w:sz w:val="22"/>
          <w:szCs w:val="21"/>
          <w:highlight w:val="none"/>
        </w:rPr>
        <w:t>发包人承诺按合同约定的条件、时间和方式向承包人支付合同价款。</w:t>
      </w:r>
    </w:p>
    <w:p w14:paraId="4DEB96EB">
      <w:pPr>
        <w:spacing w:line="320" w:lineRule="auto"/>
        <w:rPr>
          <w:rFonts w:hint="eastAsia"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8. </w:t>
      </w:r>
      <w:r>
        <w:rPr>
          <w:rFonts w:hint="eastAsia" w:cs="宋体" w:asciiTheme="majorEastAsia" w:hAnsiTheme="majorEastAsia" w:eastAsiaTheme="majorEastAsia"/>
          <w:color w:val="auto"/>
          <w:sz w:val="22"/>
          <w:szCs w:val="21"/>
          <w:highlight w:val="none"/>
        </w:rPr>
        <w:t>承包人承诺执行监理人开工通知，计划工期为  日历天。</w:t>
      </w:r>
    </w:p>
    <w:p w14:paraId="249CE7FF">
      <w:pPr>
        <w:spacing w:line="320" w:lineRule="auto"/>
        <w:rPr>
          <w:rFonts w:hint="eastAsia"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9. </w:t>
      </w:r>
      <w:r>
        <w:rPr>
          <w:rFonts w:hint="eastAsia" w:cs="宋体" w:asciiTheme="majorEastAsia" w:hAnsiTheme="majorEastAsia" w:eastAsiaTheme="majorEastAsia"/>
          <w:color w:val="auto"/>
          <w:sz w:val="22"/>
          <w:szCs w:val="21"/>
          <w:highlight w:val="none"/>
        </w:rPr>
        <w:t>本协议书正本一式两份，具有同等法律效力，由双方各执一份；副本六份，各执三份。</w:t>
      </w:r>
    </w:p>
    <w:p w14:paraId="753AC551">
      <w:pPr>
        <w:spacing w:line="320" w:lineRule="auto"/>
        <w:rPr>
          <w:rFonts w:hint="eastAsia"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10. </w:t>
      </w:r>
      <w:r>
        <w:rPr>
          <w:rFonts w:hint="eastAsia" w:cs="宋体" w:asciiTheme="majorEastAsia" w:hAnsiTheme="majorEastAsia" w:eastAsiaTheme="majorEastAsia"/>
          <w:color w:val="auto"/>
          <w:sz w:val="22"/>
          <w:szCs w:val="21"/>
          <w:highlight w:val="none"/>
        </w:rPr>
        <w:t>结算以财政投资评审中心的审核为准。</w:t>
      </w:r>
    </w:p>
    <w:p w14:paraId="5E735BD2">
      <w:pPr>
        <w:spacing w:line="320" w:lineRule="auto"/>
        <w:rPr>
          <w:rFonts w:hint="eastAsia"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11.</w:t>
      </w:r>
      <w:r>
        <w:rPr>
          <w:rFonts w:hint="eastAsia" w:cs="宋体" w:asciiTheme="majorEastAsia" w:hAnsiTheme="majorEastAsia" w:eastAsiaTheme="majorEastAsia"/>
          <w:color w:val="auto"/>
          <w:sz w:val="22"/>
          <w:szCs w:val="21"/>
          <w:highlight w:val="none"/>
        </w:rPr>
        <w:t>缺陷责任期（工程质量保修期）为2年，保修期自工程移交证书中写明的全部工程完工日开始算起。</w:t>
      </w:r>
    </w:p>
    <w:p w14:paraId="3D006A40">
      <w:pPr>
        <w:spacing w:line="320" w:lineRule="auto"/>
        <w:rPr>
          <w:rFonts w:hint="eastAsia"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12.</w:t>
      </w:r>
      <w:r>
        <w:rPr>
          <w:rFonts w:hint="eastAsia" w:cs="宋体" w:asciiTheme="majorEastAsia" w:hAnsiTheme="majorEastAsia" w:eastAsiaTheme="majorEastAsia"/>
          <w:color w:val="auto"/>
          <w:sz w:val="22"/>
          <w:szCs w:val="21"/>
          <w:highlight w:val="none"/>
        </w:rPr>
        <w:t>合同未尽事宜，双方另行签订补充协议。补充协议是合同的组成部分。</w:t>
      </w:r>
    </w:p>
    <w:p w14:paraId="77486714">
      <w:pPr>
        <w:spacing w:line="360" w:lineRule="auto"/>
        <w:ind w:firstLine="480"/>
        <w:rPr>
          <w:rFonts w:hint="eastAsia"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发包人：（盖单位章）                     承包人：（盖单位章）</w:t>
      </w:r>
    </w:p>
    <w:p w14:paraId="756B4FEE">
      <w:pPr>
        <w:spacing w:line="360" w:lineRule="auto"/>
        <w:ind w:firstLine="240"/>
        <w:rPr>
          <w:rFonts w:hint="eastAsia" w:cs="宋体" w:asciiTheme="majorEastAsia" w:hAnsiTheme="majorEastAsia" w:eastAsiaTheme="majorEastAsia"/>
          <w:color w:val="auto"/>
          <w:sz w:val="22"/>
          <w:szCs w:val="21"/>
          <w:highlight w:val="none"/>
          <w:u w:val="single"/>
        </w:rPr>
      </w:pPr>
      <w:r>
        <w:rPr>
          <w:rFonts w:hint="eastAsia" w:cs="宋体" w:asciiTheme="majorEastAsia" w:hAnsiTheme="majorEastAsia" w:eastAsiaTheme="majorEastAsia"/>
          <w:color w:val="auto"/>
          <w:sz w:val="22"/>
          <w:szCs w:val="21"/>
          <w:highlight w:val="none"/>
        </w:rPr>
        <w:t>法定代表人（或授权委托人）：（签字）       法定代表人（或授权委托人）：（签字）</w:t>
      </w:r>
    </w:p>
    <w:p w14:paraId="7311653D">
      <w:pPr>
        <w:spacing w:line="360" w:lineRule="auto"/>
        <w:ind w:firstLine="108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2"/>
          <w:szCs w:val="21"/>
          <w:highlight w:val="none"/>
        </w:rPr>
        <w:t>年月日年月日</w:t>
      </w:r>
      <w:r>
        <w:rPr>
          <w:rFonts w:cs="宋体" w:asciiTheme="majorEastAsia" w:hAnsiTheme="majorEastAsia" w:eastAsiaTheme="majorEastAsia"/>
          <w:color w:val="auto"/>
          <w:sz w:val="24"/>
          <w:highlight w:val="none"/>
        </w:rPr>
        <w:br w:type="page"/>
      </w:r>
    </w:p>
    <w:p w14:paraId="29C3C40D">
      <w:pPr>
        <w:tabs>
          <w:tab w:val="left" w:pos="3480"/>
        </w:tabs>
        <w:rPr>
          <w:rFonts w:hint="eastAsia"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附件二：履约担保格式（如需）</w:t>
      </w:r>
    </w:p>
    <w:p w14:paraId="534D51FA">
      <w:pPr>
        <w:spacing w:line="360" w:lineRule="auto"/>
        <w:rPr>
          <w:rFonts w:hint="eastAsia" w:ascii="宋体" w:hAnsi="宋体"/>
          <w:bCs/>
          <w:iCs/>
          <w:color w:val="auto"/>
          <w:sz w:val="22"/>
          <w:highlight w:val="none"/>
        </w:rPr>
      </w:pPr>
      <w:r>
        <w:rPr>
          <w:rFonts w:hint="eastAsia" w:ascii="宋体" w:hAnsi="宋体"/>
          <w:bCs/>
          <w:iCs/>
          <w:color w:val="auto"/>
          <w:sz w:val="22"/>
          <w:highlight w:val="none"/>
        </w:rPr>
        <w:t>注：履约保函（或按担保单位的给定格式）</w:t>
      </w:r>
    </w:p>
    <w:p w14:paraId="18855700">
      <w:pPr>
        <w:spacing w:line="360" w:lineRule="auto"/>
        <w:jc w:val="center"/>
        <w:rPr>
          <w:rFonts w:hint="eastAsia" w:ascii="宋体" w:hAnsi="宋体"/>
          <w:b/>
          <w:color w:val="auto"/>
          <w:sz w:val="22"/>
          <w:highlight w:val="none"/>
        </w:rPr>
      </w:pPr>
      <w:r>
        <w:rPr>
          <w:rFonts w:ascii="宋体" w:hAnsi="宋体"/>
          <w:b/>
          <w:color w:val="auto"/>
          <w:sz w:val="22"/>
          <w:highlight w:val="none"/>
        </w:rPr>
        <w:t>履约担保</w:t>
      </w:r>
    </w:p>
    <w:p w14:paraId="6D5F1BF0">
      <w:pPr>
        <w:spacing w:line="360" w:lineRule="auto"/>
        <w:rPr>
          <w:rFonts w:hint="eastAsia" w:ascii="宋体" w:hAnsi="宋体"/>
          <w:color w:val="auto"/>
          <w:sz w:val="22"/>
          <w:highlight w:val="none"/>
        </w:rPr>
      </w:pPr>
    </w:p>
    <w:p w14:paraId="6F409F9E">
      <w:pPr>
        <w:spacing w:line="360" w:lineRule="auto"/>
        <w:rPr>
          <w:rFonts w:hint="eastAsia" w:ascii="宋体" w:hAnsi="宋体"/>
          <w:color w:val="auto"/>
          <w:sz w:val="22"/>
          <w:highlight w:val="none"/>
          <w:u w:val="single"/>
        </w:rPr>
      </w:pPr>
      <w:r>
        <w:rPr>
          <w:rFonts w:ascii="宋体" w:hAnsi="宋体"/>
          <w:color w:val="auto"/>
          <w:sz w:val="22"/>
          <w:highlight w:val="none"/>
        </w:rPr>
        <w:t>(发包人名称)：</w:t>
      </w:r>
    </w:p>
    <w:p w14:paraId="6AD832F5">
      <w:pPr>
        <w:spacing w:line="360" w:lineRule="auto"/>
        <w:rPr>
          <w:rFonts w:hint="eastAsia" w:ascii="宋体" w:hAnsi="宋体"/>
          <w:color w:val="auto"/>
          <w:sz w:val="22"/>
          <w:highlight w:val="none"/>
        </w:rPr>
      </w:pPr>
    </w:p>
    <w:p w14:paraId="7BFE740E">
      <w:pPr>
        <w:spacing w:line="360" w:lineRule="auto"/>
        <w:ind w:firstLine="440" w:firstLineChars="200"/>
        <w:contextualSpacing/>
        <w:rPr>
          <w:rFonts w:hint="eastAsia" w:ascii="宋体" w:hAnsi="宋体"/>
          <w:snapToGrid w:val="0"/>
          <w:color w:val="auto"/>
          <w:sz w:val="22"/>
          <w:highlight w:val="none"/>
          <w:u w:val="single"/>
        </w:rPr>
      </w:pPr>
      <w:r>
        <w:rPr>
          <w:rFonts w:ascii="宋体" w:hAnsi="宋体"/>
          <w:snapToGrid w:val="0"/>
          <w:color w:val="auto"/>
          <w:sz w:val="22"/>
          <w:highlight w:val="none"/>
        </w:rPr>
        <w:t>鉴于(下称承包人)与(下称发包人)签订协议书，我行保证承包人按合同规定承担该合同工程的实施、完工和缺陷修补，并履行合同规定的一切义务和责任，为此，我行愿意出具保函为承包人进行履约担保，担保金额为人民币(大写)，(小写)¥。</w:t>
      </w:r>
    </w:p>
    <w:p w14:paraId="6F2D05FA">
      <w:pPr>
        <w:spacing w:line="360" w:lineRule="auto"/>
        <w:ind w:firstLine="440" w:firstLineChars="200"/>
        <w:contextualSpacing/>
        <w:rPr>
          <w:rFonts w:hint="eastAsia" w:ascii="宋体" w:hAnsi="宋体"/>
          <w:snapToGrid w:val="0"/>
          <w:color w:val="auto"/>
          <w:sz w:val="22"/>
          <w:highlight w:val="none"/>
        </w:rPr>
      </w:pPr>
      <w:r>
        <w:rPr>
          <w:rFonts w:ascii="宋体" w:hAnsi="宋体"/>
          <w:snapToGrid w:val="0"/>
          <w:color w:val="auto"/>
          <w:sz w:val="22"/>
          <w:highlight w:val="none"/>
        </w:rPr>
        <w:t>本保函的义务是：如果承包人在履行合同过程中违约，发包人要求赔偿损失时，我行将在收到发包人的书面提款通知后7天内，凭本保函向你方支付本保函担保范围内你方要求提款的金额。发包人的提款通知应附有说明承包人违约造成发包人损失情况的材料。</w:t>
      </w:r>
    </w:p>
    <w:p w14:paraId="16B57B57">
      <w:pPr>
        <w:spacing w:line="360" w:lineRule="auto"/>
        <w:ind w:firstLine="440" w:firstLineChars="200"/>
        <w:contextualSpacing/>
        <w:rPr>
          <w:rFonts w:hint="eastAsia" w:ascii="宋体" w:hAnsi="宋体"/>
          <w:snapToGrid w:val="0"/>
          <w:color w:val="auto"/>
          <w:sz w:val="22"/>
          <w:highlight w:val="none"/>
        </w:rPr>
      </w:pPr>
      <w:r>
        <w:rPr>
          <w:rFonts w:ascii="宋体" w:hAnsi="宋体"/>
          <w:snapToGrid w:val="0"/>
          <w:color w:val="auto"/>
          <w:sz w:val="22"/>
          <w:highlight w:val="none"/>
        </w:rPr>
        <w:t>在向我行提出要求前，我行将放弃要求发包人应首先向承包人索要上述款项，然后再向本行提出提款要求的权力。我行同意，任何对合同文件所作的修改和补充都不能免除我行按本保函所应承担的义务，并且上述文件的变化无须通知我行。</w:t>
      </w:r>
    </w:p>
    <w:p w14:paraId="1B6E3111">
      <w:pPr>
        <w:spacing w:line="360" w:lineRule="auto"/>
        <w:ind w:firstLine="440" w:firstLineChars="200"/>
        <w:contextualSpacing/>
        <w:rPr>
          <w:rFonts w:hint="eastAsia" w:ascii="宋体" w:hAnsi="宋体"/>
          <w:snapToGrid w:val="0"/>
          <w:color w:val="auto"/>
          <w:sz w:val="22"/>
          <w:highlight w:val="none"/>
        </w:rPr>
      </w:pPr>
      <w:r>
        <w:rPr>
          <w:rFonts w:ascii="宋体" w:hAnsi="宋体"/>
          <w:snapToGrid w:val="0"/>
          <w:color w:val="auto"/>
          <w:sz w:val="22"/>
          <w:highlight w:val="none"/>
        </w:rPr>
        <w:t>本保函在担保金额支付完毕，或上述全部工程保修责任终止证书颁发后失效</w:t>
      </w:r>
      <w:r>
        <w:rPr>
          <w:rFonts w:ascii="宋体" w:hAnsi="宋体"/>
          <w:color w:val="auto"/>
          <w:sz w:val="22"/>
          <w:highlight w:val="none"/>
        </w:rPr>
        <w:t>。</w:t>
      </w:r>
    </w:p>
    <w:p w14:paraId="34436859">
      <w:pPr>
        <w:spacing w:line="360" w:lineRule="auto"/>
        <w:rPr>
          <w:rFonts w:hint="eastAsia" w:ascii="宋体" w:hAnsi="宋体"/>
          <w:color w:val="auto"/>
          <w:sz w:val="22"/>
          <w:highlight w:val="none"/>
        </w:rPr>
      </w:pPr>
    </w:p>
    <w:p w14:paraId="5868C075">
      <w:pPr>
        <w:spacing w:line="360" w:lineRule="auto"/>
        <w:ind w:firstLine="2970" w:firstLineChars="1350"/>
        <w:rPr>
          <w:rFonts w:hint="eastAsia" w:ascii="宋体" w:hAnsi="宋体"/>
          <w:color w:val="auto"/>
          <w:sz w:val="22"/>
          <w:highlight w:val="none"/>
        </w:rPr>
      </w:pPr>
      <w:r>
        <w:rPr>
          <w:rFonts w:ascii="宋体" w:hAnsi="宋体"/>
          <w:color w:val="auto"/>
          <w:sz w:val="22"/>
          <w:highlight w:val="none"/>
        </w:rPr>
        <w:t>担 保 人：(盖单位章)</w:t>
      </w:r>
    </w:p>
    <w:p w14:paraId="543716E1">
      <w:pPr>
        <w:spacing w:line="360" w:lineRule="auto"/>
        <w:ind w:firstLine="2970" w:firstLineChars="1350"/>
        <w:rPr>
          <w:rFonts w:hint="eastAsia" w:ascii="宋体" w:hAnsi="宋体"/>
          <w:color w:val="auto"/>
          <w:sz w:val="22"/>
          <w:highlight w:val="none"/>
        </w:rPr>
      </w:pPr>
      <w:r>
        <w:rPr>
          <w:rFonts w:ascii="宋体" w:hAnsi="宋体"/>
          <w:color w:val="auto"/>
          <w:sz w:val="22"/>
          <w:highlight w:val="none"/>
        </w:rPr>
        <w:t>法定代表人或其委托代理人：(签字)</w:t>
      </w:r>
    </w:p>
    <w:p w14:paraId="0120C2F2">
      <w:pPr>
        <w:spacing w:line="360" w:lineRule="auto"/>
        <w:ind w:firstLine="2970" w:firstLineChars="1350"/>
        <w:rPr>
          <w:rFonts w:hint="eastAsia" w:ascii="宋体" w:hAnsi="宋体"/>
          <w:color w:val="auto"/>
          <w:sz w:val="22"/>
          <w:highlight w:val="none"/>
        </w:rPr>
      </w:pPr>
      <w:r>
        <w:rPr>
          <w:rFonts w:ascii="宋体" w:hAnsi="宋体"/>
          <w:color w:val="auto"/>
          <w:sz w:val="22"/>
          <w:highlight w:val="none"/>
        </w:rPr>
        <w:t>地    址：</w:t>
      </w:r>
    </w:p>
    <w:p w14:paraId="0DEF38B2">
      <w:pPr>
        <w:spacing w:line="360" w:lineRule="auto"/>
        <w:ind w:firstLine="2970" w:firstLineChars="1350"/>
        <w:rPr>
          <w:rFonts w:hint="eastAsia" w:ascii="宋体" w:hAnsi="宋体"/>
          <w:color w:val="auto"/>
          <w:sz w:val="22"/>
          <w:highlight w:val="none"/>
        </w:rPr>
      </w:pPr>
      <w:r>
        <w:rPr>
          <w:rFonts w:ascii="宋体" w:hAnsi="宋体"/>
          <w:color w:val="auto"/>
          <w:sz w:val="22"/>
          <w:highlight w:val="none"/>
        </w:rPr>
        <w:t>邮政编码：</w:t>
      </w:r>
      <w:r>
        <w:rPr>
          <w:rFonts w:ascii="宋体" w:hAnsi="宋体"/>
          <w:color w:val="auto"/>
          <w:sz w:val="22"/>
          <w:highlight w:val="none"/>
          <w:u w:val="single"/>
        </w:rPr>
        <w:tab/>
      </w:r>
      <w:r>
        <w:rPr>
          <w:rFonts w:ascii="宋体" w:hAnsi="宋体"/>
          <w:color w:val="auto"/>
          <w:sz w:val="22"/>
          <w:highlight w:val="none"/>
          <w:u w:val="single"/>
        </w:rPr>
        <w:tab/>
      </w:r>
      <w:r>
        <w:rPr>
          <w:rFonts w:ascii="宋体" w:hAnsi="宋体"/>
          <w:color w:val="auto"/>
          <w:sz w:val="22"/>
          <w:highlight w:val="none"/>
          <w:u w:val="single"/>
        </w:rPr>
        <w:tab/>
      </w:r>
      <w:r>
        <w:rPr>
          <w:rFonts w:ascii="宋体" w:hAnsi="宋体"/>
          <w:color w:val="auto"/>
          <w:sz w:val="22"/>
          <w:highlight w:val="none"/>
          <w:u w:val="single"/>
        </w:rPr>
        <w:tab/>
      </w:r>
      <w:r>
        <w:rPr>
          <w:rFonts w:ascii="宋体" w:hAnsi="宋体"/>
          <w:color w:val="auto"/>
          <w:sz w:val="22"/>
          <w:highlight w:val="none"/>
          <w:u w:val="single"/>
        </w:rPr>
        <w:tab/>
      </w:r>
      <w:r>
        <w:rPr>
          <w:rFonts w:ascii="宋体" w:hAnsi="宋体"/>
          <w:color w:val="auto"/>
          <w:sz w:val="22"/>
          <w:highlight w:val="none"/>
          <w:u w:val="single"/>
        </w:rPr>
        <w:tab/>
      </w:r>
      <w:r>
        <w:rPr>
          <w:rFonts w:ascii="宋体" w:hAnsi="宋体"/>
          <w:color w:val="auto"/>
          <w:sz w:val="22"/>
          <w:highlight w:val="none"/>
          <w:u w:val="single"/>
        </w:rPr>
        <w:tab/>
      </w:r>
    </w:p>
    <w:p w14:paraId="21AF57C9">
      <w:pPr>
        <w:spacing w:line="360" w:lineRule="auto"/>
        <w:ind w:firstLine="2970" w:firstLineChars="1350"/>
        <w:rPr>
          <w:rFonts w:hint="eastAsia" w:ascii="宋体" w:hAnsi="宋体"/>
          <w:color w:val="auto"/>
          <w:sz w:val="22"/>
          <w:highlight w:val="none"/>
        </w:rPr>
      </w:pPr>
      <w:r>
        <w:rPr>
          <w:rFonts w:ascii="宋体" w:hAnsi="宋体"/>
          <w:color w:val="auto"/>
          <w:sz w:val="22"/>
          <w:highlight w:val="none"/>
        </w:rPr>
        <w:t>电    话：</w:t>
      </w:r>
    </w:p>
    <w:p w14:paraId="646AE670">
      <w:pPr>
        <w:spacing w:line="360" w:lineRule="auto"/>
        <w:ind w:right="480" w:firstLine="5830" w:firstLineChars="2650"/>
        <w:rPr>
          <w:rFonts w:hint="eastAsia" w:ascii="宋体" w:hAnsi="宋体"/>
          <w:color w:val="auto"/>
          <w:sz w:val="24"/>
          <w:highlight w:val="none"/>
        </w:rPr>
      </w:pPr>
      <w:r>
        <w:rPr>
          <w:rFonts w:ascii="宋体" w:hAnsi="宋体"/>
          <w:color w:val="auto"/>
          <w:sz w:val="22"/>
          <w:highlight w:val="none"/>
        </w:rPr>
        <w:t>年月日</w:t>
      </w:r>
    </w:p>
    <w:p w14:paraId="345662CD">
      <w:pPr>
        <w:spacing w:line="360" w:lineRule="auto"/>
        <w:rPr>
          <w:rFonts w:hint="eastAsia" w:ascii="宋体" w:hAnsi="宋体"/>
          <w:b/>
          <w:bCs/>
          <w:iCs/>
          <w:color w:val="auto"/>
          <w:szCs w:val="21"/>
          <w:highlight w:val="none"/>
        </w:rPr>
      </w:pPr>
    </w:p>
    <w:p w14:paraId="33078ED4">
      <w:pPr>
        <w:pStyle w:val="6"/>
        <w:rPr>
          <w:color w:val="auto"/>
          <w:highlight w:val="none"/>
        </w:rPr>
      </w:pPr>
    </w:p>
    <w:p w14:paraId="2D83C798">
      <w:pPr>
        <w:pStyle w:val="6"/>
        <w:rPr>
          <w:color w:val="auto"/>
          <w:highlight w:val="none"/>
        </w:rPr>
      </w:pPr>
    </w:p>
    <w:p w14:paraId="36481AFB">
      <w:pPr>
        <w:pStyle w:val="6"/>
        <w:rPr>
          <w:color w:val="auto"/>
          <w:highlight w:val="none"/>
        </w:rPr>
      </w:pPr>
    </w:p>
    <w:p w14:paraId="7DD41D23">
      <w:pPr>
        <w:pStyle w:val="6"/>
        <w:rPr>
          <w:color w:val="auto"/>
          <w:highlight w:val="none"/>
        </w:rPr>
      </w:pPr>
    </w:p>
    <w:p w14:paraId="756EE218">
      <w:pPr>
        <w:pStyle w:val="6"/>
        <w:rPr>
          <w:color w:val="auto"/>
          <w:highlight w:val="none"/>
        </w:rPr>
      </w:pPr>
    </w:p>
    <w:p w14:paraId="3F42C5DE">
      <w:pPr>
        <w:pStyle w:val="6"/>
        <w:rPr>
          <w:color w:val="auto"/>
          <w:highlight w:val="none"/>
        </w:rPr>
      </w:pPr>
    </w:p>
    <w:p w14:paraId="6179178E">
      <w:pPr>
        <w:pStyle w:val="6"/>
        <w:rPr>
          <w:color w:val="auto"/>
          <w:highlight w:val="none"/>
        </w:rPr>
      </w:pPr>
    </w:p>
    <w:p w14:paraId="7D0BBE81">
      <w:pPr>
        <w:pStyle w:val="6"/>
        <w:rPr>
          <w:color w:val="auto"/>
          <w:highlight w:val="none"/>
        </w:rPr>
      </w:pPr>
    </w:p>
    <w:p w14:paraId="31C35820">
      <w:pPr>
        <w:tabs>
          <w:tab w:val="left" w:pos="3480"/>
        </w:tabs>
        <w:rPr>
          <w:rFonts w:hint="eastAsia" w:cs="宋体" w:asciiTheme="majorEastAsia" w:hAnsiTheme="majorEastAsia" w:eastAsiaTheme="majorEastAsia"/>
          <w:b/>
          <w:color w:val="auto"/>
          <w:sz w:val="24"/>
          <w:highlight w:val="none"/>
        </w:rPr>
        <w:sectPr>
          <w:pgSz w:w="11906" w:h="16838"/>
          <w:pgMar w:top="1134" w:right="1134" w:bottom="1134" w:left="1134" w:header="567" w:footer="567" w:gutter="0"/>
          <w:pgNumType w:fmt="numberInDash"/>
          <w:cols w:space="425" w:num="1"/>
          <w:docGrid w:type="lines" w:linePitch="312" w:charSpace="0"/>
        </w:sectPr>
      </w:pPr>
    </w:p>
    <w:p w14:paraId="5FD7782A">
      <w:pPr>
        <w:tabs>
          <w:tab w:val="left" w:pos="3480"/>
        </w:tabs>
        <w:rPr>
          <w:rFonts w:hint="eastAsia"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附件三：工程质量保修书格式</w:t>
      </w:r>
    </w:p>
    <w:p w14:paraId="04BF197B">
      <w:pPr>
        <w:adjustRightInd w:val="0"/>
        <w:spacing w:line="360" w:lineRule="auto"/>
        <w:jc w:val="center"/>
        <w:rPr>
          <w:rFonts w:hint="eastAsia" w:ascii="宋体" w:hAnsi="宋体"/>
          <w:color w:val="auto"/>
          <w:sz w:val="24"/>
          <w:highlight w:val="none"/>
        </w:rPr>
      </w:pPr>
      <w:r>
        <w:rPr>
          <w:rFonts w:hint="eastAsia" w:ascii="宋体" w:hAnsi="宋体"/>
          <w:b/>
          <w:color w:val="auto"/>
          <w:sz w:val="24"/>
          <w:highlight w:val="none"/>
        </w:rPr>
        <w:t>工程质量保修书</w:t>
      </w:r>
    </w:p>
    <w:p w14:paraId="28E94A09">
      <w:pPr>
        <w:adjustRightInd w:val="0"/>
        <w:spacing w:line="480" w:lineRule="auto"/>
        <w:rPr>
          <w:rFonts w:hint="eastAsia" w:ascii="宋体" w:hAnsi="宋体"/>
          <w:color w:val="auto"/>
          <w:sz w:val="22"/>
          <w:szCs w:val="21"/>
          <w:highlight w:val="none"/>
        </w:rPr>
      </w:pPr>
      <w:r>
        <w:rPr>
          <w:rFonts w:hint="eastAsia" w:ascii="宋体" w:hAnsi="宋体"/>
          <w:color w:val="auto"/>
          <w:sz w:val="22"/>
          <w:szCs w:val="21"/>
          <w:highlight w:val="none"/>
        </w:rPr>
        <w:t>发包人：(全称)</w:t>
      </w:r>
    </w:p>
    <w:p w14:paraId="71F019B4">
      <w:pPr>
        <w:adjustRightInd w:val="0"/>
        <w:spacing w:line="480" w:lineRule="auto"/>
        <w:rPr>
          <w:rFonts w:hint="eastAsia" w:ascii="宋体" w:hAnsi="宋体"/>
          <w:color w:val="auto"/>
          <w:sz w:val="22"/>
          <w:szCs w:val="21"/>
          <w:highlight w:val="none"/>
        </w:rPr>
      </w:pPr>
      <w:r>
        <w:rPr>
          <w:rFonts w:hint="eastAsia" w:ascii="宋体" w:hAnsi="宋体"/>
          <w:color w:val="auto"/>
          <w:sz w:val="22"/>
          <w:szCs w:val="21"/>
          <w:highlight w:val="none"/>
        </w:rPr>
        <w:t>承包人（或联合体成员）：</w:t>
      </w:r>
      <w:r>
        <w:rPr>
          <w:rFonts w:hint="eastAsia" w:ascii="宋体" w:hAnsi="宋体"/>
          <w:color w:val="auto"/>
          <w:sz w:val="22"/>
          <w:szCs w:val="21"/>
          <w:highlight w:val="none"/>
          <w:u w:val="single"/>
        </w:rPr>
        <w:t xml:space="preserve">                </w:t>
      </w:r>
      <w:r>
        <w:rPr>
          <w:rFonts w:hint="eastAsia" w:ascii="宋体" w:hAnsi="宋体"/>
          <w:color w:val="auto"/>
          <w:sz w:val="22"/>
          <w:szCs w:val="21"/>
          <w:highlight w:val="none"/>
        </w:rPr>
        <w:t>(全称)</w:t>
      </w:r>
    </w:p>
    <w:p w14:paraId="1989241E">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为保证项目在合理使用期限内正常使用，合同双方当事人根据《中华人民共和国建筑法》、《建设工程质量管理条例》，经协商一致，订立本质量保修书。</w:t>
      </w:r>
    </w:p>
    <w:p w14:paraId="3B24957A">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1．质量保修范围</w:t>
      </w:r>
    </w:p>
    <w:p w14:paraId="0277AC1A">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质量保修范围：永久工程。</w:t>
      </w:r>
    </w:p>
    <w:p w14:paraId="25F1A3FD">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2．质量保修期</w:t>
      </w:r>
    </w:p>
    <w:p w14:paraId="55064F3B">
      <w:pPr>
        <w:spacing w:line="480" w:lineRule="auto"/>
        <w:ind w:firstLine="495" w:firstLineChars="225"/>
        <w:rPr>
          <w:rFonts w:hint="eastAsia" w:ascii="宋体" w:hAnsi="宋体"/>
          <w:color w:val="auto"/>
          <w:sz w:val="22"/>
          <w:szCs w:val="21"/>
          <w:highlight w:val="none"/>
        </w:rPr>
      </w:pPr>
      <w:r>
        <w:rPr>
          <w:rFonts w:hint="eastAsia" w:ascii="宋体" w:hAnsi="宋体"/>
          <w:color w:val="auto"/>
          <w:sz w:val="22"/>
          <w:szCs w:val="21"/>
          <w:highlight w:val="none"/>
        </w:rPr>
        <w:t>保修期</w:t>
      </w:r>
      <w:r>
        <w:rPr>
          <w:rFonts w:hint="eastAsia" w:ascii="宋体" w:hAnsi="宋体"/>
          <w:color w:val="auto"/>
          <w:sz w:val="22"/>
          <w:szCs w:val="21"/>
          <w:highlight w:val="none"/>
          <w:u w:val="single"/>
        </w:rPr>
        <w:t xml:space="preserve">  贰  </w:t>
      </w:r>
      <w:r>
        <w:rPr>
          <w:rFonts w:hint="eastAsia" w:ascii="宋体" w:hAnsi="宋体"/>
          <w:color w:val="auto"/>
          <w:sz w:val="22"/>
          <w:szCs w:val="21"/>
          <w:highlight w:val="none"/>
        </w:rPr>
        <w:t>年，保修期自通过单位工程验收之日起计算。</w:t>
      </w:r>
    </w:p>
    <w:p w14:paraId="6B701F78">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3．质量保修责任</w:t>
      </w:r>
    </w:p>
    <w:p w14:paraId="1E2844EC">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3.1 属于保修范围的项目，承包人应在接到通知后的7天内派人保修。承包人不在约定期限内派人保修，发包人可自行或指派第三方保修，所需费用由承包人负责。</w:t>
      </w:r>
    </w:p>
    <w:p w14:paraId="4FD80111">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3.2 发生紧急抢修事故的，承包人在接到通知后，应立即到达事故现场抢修。</w:t>
      </w:r>
    </w:p>
    <w:p w14:paraId="6DCCF301">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3.3 在国家规定的工程合理使用期限内，承包人应确保地基基础工程和主体结构的安全和质量。凡出现其质量问题，应立即报告当地建设行政主管部门，由设计单位提出保修方案，承包人应立即实施保修。</w:t>
      </w:r>
    </w:p>
    <w:p w14:paraId="70EC1150">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3.4 质量保修完成后，由发包人组织验收。</w:t>
      </w:r>
    </w:p>
    <w:p w14:paraId="28976EC1">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4．质量保修费用</w:t>
      </w:r>
    </w:p>
    <w:p w14:paraId="67DFFE9C">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质量保修费用及相关的损害赔偿费，由造成质量缺陷的责任方承担。</w:t>
      </w:r>
    </w:p>
    <w:p w14:paraId="34D00EE8">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5．质量保证金</w:t>
      </w:r>
    </w:p>
    <w:p w14:paraId="43EBC836">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本工程保留完工结算价的3%工程尾款作为质量保证金，质保金在保修期满后1个月内办理支付手续；但承包人必须按本保修书履行保修期未完的责任，否则，发包人将以法律方式对承包人提出赔偿。</w:t>
      </w:r>
    </w:p>
    <w:p w14:paraId="4487C730">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6．其他</w:t>
      </w:r>
    </w:p>
    <w:p w14:paraId="629FA9ED">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6.1 合同双方当事人约定的其他质量保修事项：</w:t>
      </w:r>
    </w:p>
    <w:p w14:paraId="75BE9E99">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6.2 本质量保修书，由合同双方当事人在承包人向发包人提交竣工验收申请报告时签署，作为本合同的附件。</w:t>
      </w:r>
    </w:p>
    <w:p w14:paraId="334D30D5">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6.3 本质量保修书，自双方当事人签署之日起生效，至质量保修期满后失效。</w:t>
      </w:r>
    </w:p>
    <w:p w14:paraId="13011D78">
      <w:pPr>
        <w:adjustRightInd w:val="0"/>
        <w:spacing w:line="480" w:lineRule="auto"/>
        <w:ind w:firstLine="440" w:firstLineChars="200"/>
        <w:rPr>
          <w:rFonts w:hint="eastAsia" w:ascii="宋体" w:hAnsi="宋体"/>
          <w:color w:val="auto"/>
          <w:sz w:val="22"/>
          <w:szCs w:val="21"/>
          <w:highlight w:val="none"/>
        </w:rPr>
      </w:pPr>
    </w:p>
    <w:p w14:paraId="6E07C86B">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发 包 人：(公章)                  承 包 人：(公章)</w:t>
      </w:r>
    </w:p>
    <w:p w14:paraId="60C9CBC4">
      <w:pPr>
        <w:adjustRightInd w:val="0"/>
        <w:spacing w:line="480" w:lineRule="auto"/>
        <w:ind w:firstLine="440" w:firstLineChars="200"/>
        <w:rPr>
          <w:rFonts w:hint="eastAsia" w:ascii="宋体" w:hAnsi="宋体"/>
          <w:color w:val="auto"/>
          <w:sz w:val="22"/>
          <w:szCs w:val="21"/>
          <w:highlight w:val="none"/>
        </w:rPr>
      </w:pPr>
      <w:r>
        <w:rPr>
          <w:rFonts w:hint="eastAsia" w:ascii="宋体" w:hAnsi="宋体"/>
          <w:color w:val="auto"/>
          <w:sz w:val="22"/>
          <w:szCs w:val="21"/>
          <w:highlight w:val="none"/>
        </w:rPr>
        <w:t>法定代表人：(签字)                法定代表人：(签字)</w:t>
      </w:r>
    </w:p>
    <w:p w14:paraId="07C9D769">
      <w:pPr>
        <w:adjustRightInd w:val="0"/>
        <w:spacing w:line="480" w:lineRule="auto"/>
        <w:ind w:firstLine="440" w:firstLineChars="200"/>
        <w:jc w:val="left"/>
        <w:rPr>
          <w:rFonts w:hint="eastAsia" w:ascii="宋体" w:hAnsi="宋体"/>
          <w:color w:val="auto"/>
          <w:sz w:val="22"/>
          <w:szCs w:val="21"/>
          <w:highlight w:val="none"/>
        </w:rPr>
      </w:pPr>
      <w:r>
        <w:rPr>
          <w:rFonts w:hint="eastAsia" w:ascii="宋体" w:hAnsi="宋体"/>
          <w:color w:val="auto"/>
          <w:sz w:val="22"/>
          <w:szCs w:val="21"/>
          <w:highlight w:val="none"/>
        </w:rPr>
        <w:t>经办人：（签字）                   经办人：（签字）</w:t>
      </w:r>
    </w:p>
    <w:p w14:paraId="305C39F0">
      <w:pPr>
        <w:adjustRightInd w:val="0"/>
        <w:spacing w:line="480" w:lineRule="auto"/>
        <w:ind w:firstLine="440" w:firstLineChars="200"/>
        <w:jc w:val="left"/>
        <w:rPr>
          <w:rFonts w:hint="eastAsia" w:ascii="宋体" w:hAnsi="宋体"/>
          <w:color w:val="auto"/>
          <w:sz w:val="22"/>
          <w:szCs w:val="21"/>
          <w:highlight w:val="none"/>
        </w:rPr>
      </w:pPr>
    </w:p>
    <w:p w14:paraId="547B93A3">
      <w:pPr>
        <w:adjustRightInd w:val="0"/>
        <w:spacing w:line="480" w:lineRule="auto"/>
        <w:ind w:firstLine="1100" w:firstLineChars="500"/>
        <w:rPr>
          <w:rFonts w:hint="eastAsia" w:ascii="宋体" w:hAnsi="宋体"/>
          <w:color w:val="auto"/>
          <w:sz w:val="24"/>
          <w:highlight w:val="none"/>
        </w:rPr>
      </w:pPr>
      <w:r>
        <w:rPr>
          <w:rFonts w:hint="eastAsia" w:ascii="宋体" w:hAnsi="宋体"/>
          <w:color w:val="auto"/>
          <w:sz w:val="22"/>
          <w:szCs w:val="21"/>
          <w:highlight w:val="none"/>
        </w:rPr>
        <w:t xml:space="preserve"> 年  月  日                   年  月  日</w:t>
      </w:r>
    </w:p>
    <w:p w14:paraId="61073020">
      <w:pPr>
        <w:spacing w:line="360" w:lineRule="auto"/>
        <w:rPr>
          <w:rFonts w:hint="eastAsia" w:hAnsi="宋体"/>
          <w:color w:val="auto"/>
          <w:szCs w:val="24"/>
          <w:highlight w:val="none"/>
        </w:rPr>
      </w:pPr>
      <w:r>
        <w:rPr>
          <w:rFonts w:hAnsi="宋体"/>
          <w:color w:val="auto"/>
          <w:highlight w:val="none"/>
        </w:rPr>
        <w:br w:type="page"/>
      </w:r>
      <w:r>
        <w:rPr>
          <w:rFonts w:hint="eastAsia" w:cs="宋体" w:asciiTheme="majorEastAsia" w:hAnsiTheme="majorEastAsia" w:eastAsiaTheme="majorEastAsia"/>
          <w:b/>
          <w:color w:val="auto"/>
          <w:sz w:val="24"/>
          <w:highlight w:val="none"/>
        </w:rPr>
        <w:t>附件四：工程建设项目廉政责任书</w:t>
      </w:r>
    </w:p>
    <w:p w14:paraId="1894F776">
      <w:pPr>
        <w:spacing w:line="360" w:lineRule="auto"/>
        <w:ind w:firstLine="422" w:firstLineChars="200"/>
        <w:jc w:val="center"/>
        <w:rPr>
          <w:rFonts w:hint="eastAsia" w:ascii="宋体" w:hAnsi="宋体" w:cs="宋体"/>
          <w:color w:val="auto"/>
          <w:szCs w:val="21"/>
          <w:highlight w:val="none"/>
        </w:rPr>
      </w:pPr>
      <w:r>
        <w:rPr>
          <w:rFonts w:hint="eastAsia" w:ascii="宋体" w:hAnsi="宋体" w:cs="宋体"/>
          <w:b/>
          <w:color w:val="auto"/>
          <w:szCs w:val="21"/>
          <w:highlight w:val="none"/>
        </w:rPr>
        <w:t>翁源县水利工程建设廉政责任书</w:t>
      </w:r>
    </w:p>
    <w:p w14:paraId="1A509634">
      <w:pPr>
        <w:spacing w:line="360" w:lineRule="auto"/>
        <w:ind w:firstLine="422" w:firstLineChars="200"/>
        <w:rPr>
          <w:rFonts w:hint="eastAsia" w:ascii="宋体" w:hAnsi="宋体" w:cs="宋体"/>
          <w:b/>
          <w:color w:val="auto"/>
          <w:szCs w:val="21"/>
          <w:highlight w:val="none"/>
        </w:rPr>
      </w:pPr>
    </w:p>
    <w:p w14:paraId="19503F8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工程项目名称：</w:t>
      </w:r>
    </w:p>
    <w:p w14:paraId="623AB7A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工程项目地址：</w:t>
      </w:r>
    </w:p>
    <w:p w14:paraId="1D4A392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建设单位（甲方）：</w:t>
      </w:r>
    </w:p>
    <w:p w14:paraId="5C7C88D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承包单位（乙方）：</w:t>
      </w:r>
    </w:p>
    <w:p w14:paraId="6E9D108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监督单位：</w:t>
      </w:r>
    </w:p>
    <w:p w14:paraId="4C9395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r>
        <w:rPr>
          <w:rFonts w:hint="eastAsia" w:ascii="宋体" w:hAnsi="宋体" w:cs="宋体"/>
          <w:color w:val="auto"/>
          <w:szCs w:val="21"/>
          <w:highlight w:val="none"/>
        </w:rPr>
        <w:br w:type="textWrapping"/>
      </w:r>
      <w:r>
        <w:rPr>
          <w:rFonts w:hint="eastAsia" w:ascii="宋体" w:hAnsi="宋体" w:cs="宋体"/>
          <w:color w:val="auto"/>
          <w:szCs w:val="21"/>
          <w:highlight w:val="none"/>
        </w:rPr>
        <w:t>第一条　甲乙双方的责任</w:t>
      </w:r>
      <w:r>
        <w:rPr>
          <w:rFonts w:hint="eastAsia" w:ascii="宋体" w:hAnsi="宋体" w:cs="宋体"/>
          <w:color w:val="auto"/>
          <w:szCs w:val="21"/>
          <w:highlight w:val="none"/>
        </w:rPr>
        <w:br w:type="textWrapping"/>
      </w:r>
      <w:r>
        <w:rPr>
          <w:rFonts w:hint="eastAsia" w:ascii="宋体" w:hAnsi="宋体" w:cs="宋体"/>
          <w:color w:val="auto"/>
          <w:szCs w:val="21"/>
          <w:highlight w:val="none"/>
        </w:rPr>
        <w:t>　　(一)、应严格遵守国家关于市场准入、项目招标投标、工程建设、施工安装和市场活动等有关法律、法规、相关政策，以及廉政建设的各项规定。</w:t>
      </w:r>
      <w:r>
        <w:rPr>
          <w:rFonts w:hint="eastAsia" w:ascii="宋体" w:hAnsi="宋体" w:cs="宋体"/>
          <w:color w:val="auto"/>
          <w:szCs w:val="21"/>
          <w:highlight w:val="none"/>
        </w:rPr>
        <w:br w:type="textWrapping"/>
      </w:r>
      <w:r>
        <w:rPr>
          <w:rFonts w:hint="eastAsia" w:ascii="宋体" w:hAnsi="宋体" w:cs="宋体"/>
          <w:color w:val="auto"/>
          <w:szCs w:val="21"/>
          <w:highlight w:val="none"/>
        </w:rPr>
        <w:t>　　(二)、严格执行建设工程项目承发包合同文件，自觉按合同办事。</w:t>
      </w:r>
      <w:r>
        <w:rPr>
          <w:rFonts w:hint="eastAsia" w:ascii="宋体" w:hAnsi="宋体" w:cs="宋体"/>
          <w:color w:val="auto"/>
          <w:szCs w:val="21"/>
          <w:highlight w:val="none"/>
        </w:rPr>
        <w:br w:type="textWrapping"/>
      </w:r>
      <w:r>
        <w:rPr>
          <w:rFonts w:hint="eastAsia" w:ascii="宋体" w:hAnsi="宋体" w:cs="宋体"/>
          <w:color w:val="auto"/>
          <w:szCs w:val="21"/>
          <w:highlight w:val="none"/>
        </w:rPr>
        <w:t>　　(三)、业务活动必须坚持公开、公平、公正、诚信、透明的原则(除法律法规另有规定者外，不得为获取不正当的利益，损害国家、集体和对方利益，不得违反工程建设管理、施工安装的规章制度。</w:t>
      </w:r>
      <w:r>
        <w:rPr>
          <w:rFonts w:hint="eastAsia" w:ascii="宋体" w:hAnsi="宋体" w:cs="宋体"/>
          <w:color w:val="auto"/>
          <w:szCs w:val="21"/>
          <w:highlight w:val="none"/>
        </w:rPr>
        <w:br w:type="textWrapping"/>
      </w:r>
      <w:r>
        <w:rPr>
          <w:rFonts w:hint="eastAsia" w:ascii="宋体" w:hAnsi="宋体" w:cs="宋体"/>
          <w:color w:val="auto"/>
          <w:szCs w:val="21"/>
          <w:highlight w:val="none"/>
        </w:rPr>
        <w:t>　　(四)、发现对方在业务活动中有违规、违纪，违法行为的，应及时提醒对方，情节严重的，应向其上级主管部门或纪检监察，司法等有关机关举报。</w:t>
      </w:r>
      <w:r>
        <w:rPr>
          <w:rFonts w:hint="eastAsia" w:ascii="宋体" w:hAnsi="宋体" w:cs="宋体"/>
          <w:color w:val="auto"/>
          <w:szCs w:val="21"/>
          <w:highlight w:val="none"/>
        </w:rPr>
        <w:br w:type="textWrapping"/>
      </w:r>
      <w:r>
        <w:rPr>
          <w:rFonts w:hint="eastAsia" w:ascii="宋体" w:hAnsi="宋体" w:cs="宋体"/>
          <w:color w:val="auto"/>
          <w:szCs w:val="21"/>
          <w:highlight w:val="none"/>
        </w:rPr>
        <w:t>　　第二条　甲方的责任</w:t>
      </w:r>
      <w:r>
        <w:rPr>
          <w:rFonts w:hint="eastAsia" w:ascii="宋体" w:hAnsi="宋体" w:cs="宋体"/>
          <w:color w:val="auto"/>
          <w:szCs w:val="21"/>
          <w:highlight w:val="none"/>
        </w:rPr>
        <w:br w:type="textWrapping"/>
      </w:r>
      <w:r>
        <w:rPr>
          <w:rFonts w:hint="eastAsia" w:ascii="宋体" w:hAnsi="宋体" w:cs="宋体"/>
          <w:color w:val="auto"/>
          <w:szCs w:val="21"/>
          <w:highlight w:val="none"/>
        </w:rPr>
        <w:t>　　甲方的领导和从事该建设工程项目的工作人员，在工程建设的事前，事中，事后应遵守以下规定:</w:t>
      </w:r>
      <w:r>
        <w:rPr>
          <w:rFonts w:hint="eastAsia" w:ascii="宋体" w:hAnsi="宋体" w:cs="宋体"/>
          <w:color w:val="auto"/>
          <w:szCs w:val="21"/>
          <w:highlight w:val="none"/>
        </w:rPr>
        <w:br w:type="textWrapping"/>
      </w:r>
      <w:r>
        <w:rPr>
          <w:rFonts w:hint="eastAsia" w:ascii="宋体" w:hAnsi="宋体" w:cs="宋体"/>
          <w:color w:val="auto"/>
          <w:szCs w:val="21"/>
          <w:highlight w:val="none"/>
        </w:rPr>
        <w:t>　　(一)、不准向乙方和相关单位索要或接受回扣、礼金、有价证券、贵重物品和好处费、感谢费等。</w:t>
      </w:r>
      <w:r>
        <w:rPr>
          <w:rFonts w:hint="eastAsia" w:ascii="宋体" w:hAnsi="宋体" w:cs="宋体"/>
          <w:color w:val="auto"/>
          <w:szCs w:val="21"/>
          <w:highlight w:val="none"/>
        </w:rPr>
        <w:br w:type="textWrapping"/>
      </w:r>
      <w:r>
        <w:rPr>
          <w:rFonts w:hint="eastAsia" w:ascii="宋体" w:hAnsi="宋体" w:cs="宋体"/>
          <w:color w:val="auto"/>
          <w:szCs w:val="21"/>
          <w:highlight w:val="none"/>
        </w:rPr>
        <w:t>　　(二)、不准在乙方和相关单位报销任何应由甲方或个人支付的费用。</w:t>
      </w:r>
      <w:r>
        <w:rPr>
          <w:rFonts w:hint="eastAsia" w:ascii="宋体" w:hAnsi="宋体" w:cs="宋体"/>
          <w:color w:val="auto"/>
          <w:szCs w:val="21"/>
          <w:highlight w:val="none"/>
        </w:rPr>
        <w:br w:type="textWrapping"/>
      </w:r>
      <w:r>
        <w:rPr>
          <w:rFonts w:hint="eastAsia" w:ascii="宋体" w:hAnsi="宋体" w:cs="宋体"/>
          <w:color w:val="auto"/>
          <w:szCs w:val="21"/>
          <w:highlight w:val="none"/>
        </w:rPr>
        <w:t>　　(三)、不准要求、暗示和接受乙方和相关单位为个人装修住房、婚丧嫁娶、配偶子女的工作安排以及出国(境)、旅游等提供方便。</w:t>
      </w:r>
      <w:r>
        <w:rPr>
          <w:rFonts w:hint="eastAsia" w:ascii="宋体" w:hAnsi="宋体" w:cs="宋体"/>
          <w:color w:val="auto"/>
          <w:szCs w:val="21"/>
          <w:highlight w:val="none"/>
        </w:rPr>
        <w:br w:type="textWrapping"/>
      </w:r>
      <w:r>
        <w:rPr>
          <w:rFonts w:hint="eastAsia" w:ascii="宋体" w:hAnsi="宋体" w:cs="宋体"/>
          <w:color w:val="auto"/>
          <w:szCs w:val="21"/>
          <w:highlight w:val="none"/>
        </w:rPr>
        <w:t>　　(四)、不准参加有可能影响公正执行公务的乙方和相关单位的宴请和健身、娱乐等活动。</w:t>
      </w:r>
      <w:r>
        <w:rPr>
          <w:rFonts w:hint="eastAsia" w:ascii="宋体" w:hAnsi="宋体" w:cs="宋体"/>
          <w:color w:val="auto"/>
          <w:szCs w:val="21"/>
          <w:highlight w:val="none"/>
        </w:rPr>
        <w:br w:type="textWrapping"/>
      </w:r>
      <w:r>
        <w:rPr>
          <w:rFonts w:hint="eastAsia" w:ascii="宋体" w:hAnsi="宋体" w:cs="宋体"/>
          <w:color w:val="auto"/>
          <w:szCs w:val="21"/>
          <w:highlight w:val="none"/>
        </w:rPr>
        <w:t>　　(五)、不准向乙方介绍或为配偶、子女、亲属参与同甲方项目工程施工合同有关的设备、材料、工程分包、劳务等经济活动。不得以任何理由向乙方和相关单位推荐分包单位和要求乙方购买项目工程合同规定以外的材料，设备等。</w:t>
      </w:r>
      <w:r>
        <w:rPr>
          <w:rFonts w:hint="eastAsia" w:ascii="宋体" w:hAnsi="宋体" w:cs="宋体"/>
          <w:color w:val="auto"/>
          <w:szCs w:val="21"/>
          <w:highlight w:val="none"/>
        </w:rPr>
        <w:br w:type="textWrapping"/>
      </w:r>
      <w:r>
        <w:rPr>
          <w:rFonts w:hint="eastAsia" w:ascii="宋体" w:hAnsi="宋体" w:cs="宋体"/>
          <w:color w:val="auto"/>
          <w:szCs w:val="21"/>
          <w:highlight w:val="none"/>
        </w:rPr>
        <w:t>　　第三条　乙方的责任</w:t>
      </w:r>
      <w:r>
        <w:rPr>
          <w:rFonts w:hint="eastAsia" w:ascii="宋体" w:hAnsi="宋体" w:cs="宋体"/>
          <w:color w:val="auto"/>
          <w:szCs w:val="21"/>
          <w:highlight w:val="none"/>
        </w:rPr>
        <w:br w:type="textWrapping"/>
      </w:r>
      <w:r>
        <w:rPr>
          <w:rFonts w:hint="eastAsia" w:ascii="宋体" w:hAnsi="宋体" w:cs="宋体"/>
          <w:color w:val="auto"/>
          <w:szCs w:val="21"/>
          <w:highlight w:val="none"/>
        </w:rPr>
        <w:t>　　应与甲方保持正常的业务交往，按照有关法律法规和程序开展业务工作，严格执行工程建设的有关方针、政策，尤其是有关建筑施工安装的强制性标准和规范，并遵守以下规定:</w:t>
      </w:r>
      <w:r>
        <w:rPr>
          <w:rFonts w:hint="eastAsia" w:ascii="宋体" w:hAnsi="宋体" w:cs="宋体"/>
          <w:color w:val="auto"/>
          <w:szCs w:val="21"/>
          <w:highlight w:val="none"/>
        </w:rPr>
        <w:br w:type="textWrapping"/>
      </w:r>
      <w:r>
        <w:rPr>
          <w:rFonts w:hint="eastAsia" w:ascii="宋体" w:hAnsi="宋体" w:cs="宋体"/>
          <w:color w:val="auto"/>
          <w:szCs w:val="21"/>
          <w:highlight w:val="none"/>
        </w:rPr>
        <w:t>　　(一)、不准以任何理由向甲方、相关单位及其工作人员索要、接受或赠送礼金、有价证券、贵重物品和回扣、好处费、感谢费等。</w:t>
      </w:r>
      <w:r>
        <w:rPr>
          <w:rFonts w:hint="eastAsia" w:ascii="宋体" w:hAnsi="宋体" w:cs="宋体"/>
          <w:color w:val="auto"/>
          <w:szCs w:val="21"/>
          <w:highlight w:val="none"/>
        </w:rPr>
        <w:br w:type="textWrapping"/>
      </w:r>
      <w:r>
        <w:rPr>
          <w:rFonts w:hint="eastAsia" w:ascii="宋体" w:hAnsi="宋体" w:cs="宋体"/>
          <w:color w:val="auto"/>
          <w:szCs w:val="21"/>
          <w:highlight w:val="none"/>
        </w:rPr>
        <w:t>　　(二)、不准以任何理由为甲方和相关单位报销应由对方或个人支付的费用。</w:t>
      </w:r>
      <w:r>
        <w:rPr>
          <w:rFonts w:hint="eastAsia" w:ascii="宋体" w:hAnsi="宋体" w:cs="宋体"/>
          <w:color w:val="auto"/>
          <w:szCs w:val="21"/>
          <w:highlight w:val="none"/>
        </w:rPr>
        <w:br w:type="textWrapping"/>
      </w:r>
      <w:r>
        <w:rPr>
          <w:rFonts w:hint="eastAsia" w:ascii="宋体" w:hAnsi="宋体" w:cs="宋体"/>
          <w:color w:val="auto"/>
          <w:szCs w:val="21"/>
          <w:highlight w:val="none"/>
        </w:rPr>
        <w:t>　　(三)、不准接受或暗示为甲方、相关单位或个人装修住房、婚丧嫁娶、配偶子女的工作安排以及出国(境)、旅游等提供方便。</w:t>
      </w:r>
    </w:p>
    <w:p w14:paraId="0B557627">
      <w:pPr>
        <w:spacing w:line="360" w:lineRule="auto"/>
        <w:ind w:firstLine="372" w:firstLineChars="200"/>
        <w:rPr>
          <w:rFonts w:hint="eastAsia" w:ascii="宋体" w:hAnsi="宋体" w:cs="宋体"/>
          <w:color w:val="auto"/>
          <w:spacing w:val="-12"/>
          <w:szCs w:val="21"/>
          <w:highlight w:val="none"/>
        </w:rPr>
      </w:pPr>
      <w:r>
        <w:rPr>
          <w:rFonts w:hint="eastAsia" w:ascii="宋体" w:hAnsi="宋体" w:cs="宋体"/>
          <w:color w:val="auto"/>
          <w:spacing w:val="-12"/>
          <w:szCs w:val="21"/>
          <w:highlight w:val="none"/>
        </w:rPr>
        <w:t>(四)</w:t>
      </w:r>
      <w:r>
        <w:rPr>
          <w:rFonts w:hint="eastAsia" w:ascii="宋体" w:hAnsi="宋体" w:cs="宋体"/>
          <w:color w:val="auto"/>
          <w:szCs w:val="21"/>
          <w:highlight w:val="none"/>
        </w:rPr>
        <w:t>、不准以任何理由为甲方、相关单位或个人组织有可能影响公正执行公务的宴请、健身、娱乐等活动。</w:t>
      </w:r>
      <w:r>
        <w:rPr>
          <w:rFonts w:hint="eastAsia" w:ascii="宋体" w:hAnsi="宋体" w:cs="宋体"/>
          <w:color w:val="auto"/>
          <w:szCs w:val="21"/>
          <w:highlight w:val="none"/>
        </w:rPr>
        <w:br w:type="textWrapping"/>
      </w:r>
      <w:r>
        <w:rPr>
          <w:rFonts w:hint="eastAsia" w:ascii="宋体" w:hAnsi="宋体" w:cs="宋体"/>
          <w:color w:val="auto"/>
          <w:szCs w:val="21"/>
          <w:highlight w:val="none"/>
        </w:rPr>
        <w:t>　　第四条　违约责任</w:t>
      </w:r>
      <w:r>
        <w:rPr>
          <w:rFonts w:hint="eastAsia" w:ascii="宋体" w:hAnsi="宋体" w:cs="宋体"/>
          <w:color w:val="auto"/>
          <w:szCs w:val="21"/>
          <w:highlight w:val="none"/>
        </w:rPr>
        <w:br w:type="textWrapping"/>
      </w:r>
      <w:r>
        <w:rPr>
          <w:rFonts w:hint="eastAsia" w:ascii="宋体" w:hAnsi="宋体" w:cs="宋体"/>
          <w:color w:val="auto"/>
          <w:szCs w:val="21"/>
          <w:highlight w:val="none"/>
        </w:rPr>
        <w:t>　　(一)、甲方工作人员有违反本责任书第一、二条责任行为的，按照管理权限，依据有关法律法规和规定给予党纪、政纪处分或组织处理；涉嫌犯罪的，移交司法机关追究刑事责任；给乙方单位造成经济损失的，应予以赔偿。</w:t>
      </w:r>
      <w:r>
        <w:rPr>
          <w:rFonts w:hint="eastAsia" w:ascii="宋体" w:hAnsi="宋体" w:cs="宋体"/>
          <w:color w:val="auto"/>
          <w:szCs w:val="21"/>
          <w:highlight w:val="none"/>
        </w:rPr>
        <w:br w:type="textWrapping"/>
      </w:r>
      <w:r>
        <w:rPr>
          <w:rFonts w:hint="eastAsia" w:ascii="宋体" w:hAnsi="宋体" w:cs="宋体"/>
          <w:color w:val="auto"/>
          <w:szCs w:val="21"/>
          <w:highlight w:val="none"/>
        </w:rPr>
        <w:t>　　(二)、乙方工作人员有违反本责任书第一、三条责任行为的，按照管理权限，依据有关法律法规和规定给予党纪、政纪处分或组织处理；涉嫌犯罪的，移交司法机关追究刑事责任；给甲方单位造成经济损失的，应予以赔偿。</w:t>
      </w:r>
      <w:r>
        <w:rPr>
          <w:rFonts w:hint="eastAsia" w:ascii="宋体" w:hAnsi="宋体" w:cs="宋体"/>
          <w:color w:val="auto"/>
          <w:szCs w:val="21"/>
          <w:highlight w:val="none"/>
        </w:rPr>
        <w:br w:type="textWrapping"/>
      </w:r>
      <w:r>
        <w:rPr>
          <w:rFonts w:hint="eastAsia" w:ascii="宋体" w:hAnsi="宋体" w:cs="宋体"/>
          <w:color w:val="auto"/>
          <w:szCs w:val="21"/>
          <w:highlight w:val="none"/>
        </w:rPr>
        <w:t>　　第五条　本责任书作为工程合同的附件，与工程合同具有同等法律效力。经双方签署后立即生效。</w:t>
      </w:r>
      <w:r>
        <w:rPr>
          <w:rFonts w:hint="eastAsia" w:ascii="宋体" w:hAnsi="宋体" w:cs="宋体"/>
          <w:color w:val="auto"/>
          <w:szCs w:val="21"/>
          <w:highlight w:val="none"/>
        </w:rPr>
        <w:br w:type="textWrapping"/>
      </w:r>
      <w:r>
        <w:rPr>
          <w:rFonts w:hint="eastAsia" w:ascii="宋体" w:hAnsi="宋体" w:cs="宋体"/>
          <w:color w:val="auto"/>
          <w:szCs w:val="21"/>
          <w:highlight w:val="none"/>
        </w:rPr>
        <w:t>　　第六条　本责任书的有效期为双方签署之日起至该工程项目竣工验收合格时止。</w:t>
      </w:r>
      <w:r>
        <w:rPr>
          <w:rFonts w:hint="eastAsia" w:ascii="宋体" w:hAnsi="宋体" w:cs="宋体"/>
          <w:color w:val="auto"/>
          <w:szCs w:val="21"/>
          <w:highlight w:val="none"/>
        </w:rPr>
        <w:br w:type="textWrapping"/>
      </w:r>
      <w:r>
        <w:rPr>
          <w:rFonts w:hint="eastAsia" w:ascii="宋体" w:hAnsi="宋体" w:cs="宋体"/>
          <w:color w:val="auto"/>
          <w:szCs w:val="21"/>
          <w:highlight w:val="none"/>
        </w:rPr>
        <w:t>　　</w:t>
      </w:r>
      <w:r>
        <w:rPr>
          <w:rFonts w:hint="eastAsia" w:ascii="宋体" w:hAnsi="宋体" w:cs="宋体"/>
          <w:color w:val="auto"/>
          <w:spacing w:val="-12"/>
          <w:szCs w:val="21"/>
          <w:highlight w:val="none"/>
        </w:rPr>
        <w:t>第七条　本责任书一式四份，由甲乙双方各执一份，送交甲乙双方的监督单位各一份。</w:t>
      </w:r>
    </w:p>
    <w:p w14:paraId="1ACA3ED9">
      <w:pPr>
        <w:pStyle w:val="6"/>
        <w:spacing w:line="360" w:lineRule="auto"/>
        <w:rPr>
          <w:rFonts w:hint="eastAsia" w:hAnsi="宋体" w:cs="宋体"/>
          <w:color w:val="auto"/>
          <w:sz w:val="21"/>
          <w:szCs w:val="21"/>
          <w:highlight w:val="none"/>
        </w:rPr>
      </w:pPr>
    </w:p>
    <w:p w14:paraId="022DED16">
      <w:pPr>
        <w:autoSpaceDE w:val="0"/>
        <w:autoSpaceDN w:val="0"/>
        <w:spacing w:line="360" w:lineRule="auto"/>
        <w:ind w:firstLine="420" w:firstLineChars="200"/>
        <w:rPr>
          <w:rFonts w:hint="eastAsia" w:ascii="宋体" w:hAnsi="宋体" w:cs="宋体"/>
          <w:color w:val="auto"/>
          <w:spacing w:val="-20"/>
          <w:szCs w:val="21"/>
          <w:highlight w:val="none"/>
          <w:u w:val="single"/>
        </w:rPr>
      </w:pPr>
      <w:r>
        <w:rPr>
          <w:rFonts w:hint="eastAsia" w:ascii="宋体" w:hAnsi="宋体" w:cs="宋体"/>
          <w:color w:val="auto"/>
          <w:szCs w:val="21"/>
          <w:highlight w:val="none"/>
        </w:rPr>
        <w:t>甲方单位(盖章):                               乙方单位(盖章):</w:t>
      </w:r>
    </w:p>
    <w:p w14:paraId="7D88D5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br w:type="textWrapping"/>
      </w:r>
      <w:r>
        <w:rPr>
          <w:rFonts w:hint="eastAsia" w:ascii="宋体" w:hAnsi="宋体" w:cs="宋体"/>
          <w:color w:val="auto"/>
          <w:szCs w:val="21"/>
          <w:highlight w:val="none"/>
        </w:rPr>
        <w:t>法定代表人:                     　　　        法定代表人:</w:t>
      </w:r>
    </w:p>
    <w:p w14:paraId="4C9996BF">
      <w:pPr>
        <w:spacing w:line="360" w:lineRule="auto"/>
        <w:ind w:firstLine="420" w:firstLineChars="200"/>
        <w:rPr>
          <w:rFonts w:hint="eastAsia" w:ascii="宋体" w:hAnsi="宋体" w:cs="宋体"/>
          <w:color w:val="auto"/>
          <w:szCs w:val="21"/>
          <w:highlight w:val="none"/>
        </w:rPr>
      </w:pPr>
    </w:p>
    <w:p w14:paraId="6247D7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                           　       电　　话:</w:t>
      </w:r>
    </w:p>
    <w:p w14:paraId="19A87CC8">
      <w:pPr>
        <w:pStyle w:val="6"/>
        <w:spacing w:line="360" w:lineRule="auto"/>
        <w:ind w:firstLine="420" w:firstLineChars="200"/>
        <w:rPr>
          <w:rFonts w:hint="eastAsia" w:hAnsi="宋体" w:cs="宋体"/>
          <w:color w:val="auto"/>
          <w:sz w:val="21"/>
          <w:szCs w:val="21"/>
          <w:highlight w:val="none"/>
        </w:rPr>
      </w:pPr>
    </w:p>
    <w:p w14:paraId="303D39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监督单位（盖章）：</w:t>
      </w:r>
    </w:p>
    <w:p w14:paraId="42B7B56A">
      <w:pPr>
        <w:spacing w:line="360" w:lineRule="auto"/>
        <w:ind w:firstLine="420" w:firstLineChars="200"/>
        <w:rPr>
          <w:rFonts w:hint="eastAsia" w:ascii="宋体" w:hAnsi="宋体" w:cs="宋体"/>
          <w:color w:val="auto"/>
          <w:szCs w:val="21"/>
          <w:highlight w:val="none"/>
        </w:rPr>
      </w:pPr>
    </w:p>
    <w:p w14:paraId="5439B0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监督单位纪检部门负责人：</w:t>
      </w:r>
    </w:p>
    <w:p w14:paraId="1CBCF3DA">
      <w:pPr>
        <w:spacing w:line="360" w:lineRule="auto"/>
        <w:rPr>
          <w:rFonts w:hint="eastAsia" w:ascii="宋体" w:hAnsi="宋体" w:cs="宋体"/>
          <w:color w:val="auto"/>
          <w:szCs w:val="21"/>
          <w:highlight w:val="none"/>
        </w:rPr>
      </w:pPr>
    </w:p>
    <w:p w14:paraId="1085CF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8E36CA7">
      <w:pPr>
        <w:spacing w:line="480" w:lineRule="auto"/>
        <w:ind w:firstLine="420"/>
        <w:rPr>
          <w:rFonts w:hint="eastAsia" w:ascii="宋体" w:hAnsi="宋体" w:cs="宋体"/>
          <w:color w:val="auto"/>
          <w:sz w:val="24"/>
          <w:szCs w:val="24"/>
          <w:highlight w:val="none"/>
        </w:rPr>
        <w:sectPr>
          <w:pgSz w:w="11906" w:h="16838"/>
          <w:pgMar w:top="1134" w:right="1134" w:bottom="1134" w:left="1134" w:header="567" w:footer="567" w:gutter="0"/>
          <w:pgNumType w:fmt="numberInDash"/>
          <w:cols w:space="425" w:num="1"/>
          <w:docGrid w:type="lines" w:linePitch="312" w:charSpace="0"/>
        </w:sectPr>
      </w:pPr>
    </w:p>
    <w:p w14:paraId="2FE01965">
      <w:pPr>
        <w:spacing w:line="360" w:lineRule="auto"/>
        <w:rPr>
          <w:rFonts w:hint="eastAsia"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附件五</w:t>
      </w:r>
    </w:p>
    <w:p w14:paraId="6A6A48E8">
      <w:pPr>
        <w:jc w:val="center"/>
        <w:rPr>
          <w:rFonts w:ascii="公文小标宋简" w:eastAsia="公文小标宋简"/>
          <w:b/>
          <w:color w:val="auto"/>
          <w:sz w:val="44"/>
          <w:szCs w:val="44"/>
          <w:highlight w:val="none"/>
        </w:rPr>
      </w:pPr>
      <w:r>
        <w:rPr>
          <w:rFonts w:hint="eastAsia" w:ascii="公文小标宋简" w:eastAsia="公文小标宋简"/>
          <w:b/>
          <w:color w:val="auto"/>
          <w:sz w:val="44"/>
          <w:szCs w:val="44"/>
          <w:highlight w:val="none"/>
        </w:rPr>
        <w:t>建筑工程安全生产责任书</w:t>
      </w:r>
    </w:p>
    <w:p w14:paraId="33A4988C">
      <w:pPr>
        <w:adjustRightInd w:val="0"/>
        <w:snapToGrid w:val="0"/>
        <w:spacing w:line="360" w:lineRule="exact"/>
        <w:rPr>
          <w:rFonts w:ascii="公文小标宋简" w:eastAsia="公文小标宋简"/>
          <w:color w:val="auto"/>
          <w:sz w:val="44"/>
          <w:szCs w:val="44"/>
          <w:highlight w:val="none"/>
        </w:rPr>
      </w:pPr>
    </w:p>
    <w:p w14:paraId="46DA75D4">
      <w:pPr>
        <w:adjustRightInd w:val="0"/>
        <w:snapToGrid w:val="0"/>
        <w:spacing w:line="360" w:lineRule="exact"/>
        <w:rPr>
          <w:rFonts w:ascii="公文小标宋简" w:eastAsia="公文小标宋简"/>
          <w:color w:val="auto"/>
          <w:sz w:val="44"/>
          <w:szCs w:val="44"/>
          <w:highlight w:val="none"/>
        </w:rPr>
      </w:pPr>
    </w:p>
    <w:p w14:paraId="47B800EC">
      <w:pPr>
        <w:adjustRightInd w:val="0"/>
        <w:snapToGrid w:val="0"/>
        <w:spacing w:line="500" w:lineRule="exact"/>
        <w:rPr>
          <w:rFonts w:ascii="公文小标宋简" w:eastAsia="公文小标宋简"/>
          <w:color w:val="auto"/>
          <w:sz w:val="28"/>
          <w:szCs w:val="28"/>
          <w:highlight w:val="none"/>
        </w:rPr>
      </w:pPr>
    </w:p>
    <w:p w14:paraId="47672BE9">
      <w:pPr>
        <w:adjustRightInd w:val="0"/>
        <w:snapToGrid w:val="0"/>
        <w:spacing w:line="360" w:lineRule="auto"/>
        <w:rPr>
          <w:rFonts w:hint="eastAsia" w:ascii="宋体" w:hAnsi="宋体" w:cs="宋体"/>
          <w:color w:val="auto"/>
          <w:sz w:val="22"/>
          <w:highlight w:val="none"/>
          <w:u w:val="single"/>
        </w:rPr>
      </w:pPr>
      <w:r>
        <w:rPr>
          <w:rFonts w:hint="eastAsia" w:ascii="宋体" w:hAnsi="宋体" w:cs="宋体"/>
          <w:color w:val="auto"/>
          <w:sz w:val="22"/>
          <w:highlight w:val="none"/>
        </w:rPr>
        <w:t>（发包人）：</w:t>
      </w:r>
    </w:p>
    <w:p w14:paraId="39F4675A">
      <w:pPr>
        <w:adjustRightInd w:val="0"/>
        <w:snapToGrid w:val="0"/>
        <w:spacing w:line="360" w:lineRule="auto"/>
        <w:ind w:firstLine="440" w:firstLineChars="200"/>
        <w:rPr>
          <w:rFonts w:hint="eastAsia" w:ascii="宋体" w:hAnsi="宋体" w:cs="宋体"/>
          <w:color w:val="auto"/>
          <w:sz w:val="22"/>
          <w:highlight w:val="none"/>
        </w:rPr>
      </w:pPr>
    </w:p>
    <w:p w14:paraId="0AB5614D">
      <w:pPr>
        <w:adjustRightInd w:val="0"/>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我单位是的承包方。我方承诺在的施工过程中，在施工现场设置醒目的安全警示标识提醒过往行人，在每一个施工现场配备一名专职安全员全天候现场负责安全工作，所有施工人员都必须佩戴安全帽，确保施工过程人员和设备的安全，同时严格执行《中华人民共和国安全生产法》和《建设工程安全生产管理条例》等有关安全生产管理法规的规定，确保不发生任何安全事故，若有发生，由本单位承担一切责任。</w:t>
      </w:r>
    </w:p>
    <w:p w14:paraId="2EFB79F3">
      <w:pPr>
        <w:adjustRightInd w:val="0"/>
        <w:snapToGrid w:val="0"/>
        <w:spacing w:line="360" w:lineRule="auto"/>
        <w:ind w:firstLine="440" w:firstLineChars="200"/>
        <w:rPr>
          <w:rFonts w:hint="eastAsia" w:ascii="宋体" w:hAnsi="宋体" w:cs="宋体"/>
          <w:color w:val="auto"/>
          <w:sz w:val="22"/>
          <w:highlight w:val="none"/>
        </w:rPr>
      </w:pPr>
    </w:p>
    <w:p w14:paraId="1591459D">
      <w:pPr>
        <w:adjustRightInd w:val="0"/>
        <w:snapToGrid w:val="0"/>
        <w:spacing w:line="360" w:lineRule="auto"/>
        <w:ind w:firstLine="480" w:firstLineChars="200"/>
        <w:rPr>
          <w:rFonts w:hint="eastAsia" w:ascii="宋体" w:hAnsi="宋体" w:cs="宋体"/>
          <w:color w:val="auto"/>
          <w:sz w:val="24"/>
          <w:szCs w:val="24"/>
          <w:highlight w:val="none"/>
        </w:rPr>
      </w:pPr>
    </w:p>
    <w:p w14:paraId="02FA35A4">
      <w:pPr>
        <w:adjustRightInd w:val="0"/>
        <w:snapToGrid w:val="0"/>
        <w:spacing w:line="360" w:lineRule="auto"/>
        <w:rPr>
          <w:rFonts w:hint="eastAsia" w:ascii="宋体" w:hAnsi="宋体" w:cs="宋体"/>
          <w:color w:val="auto"/>
          <w:sz w:val="24"/>
          <w:szCs w:val="24"/>
          <w:highlight w:val="none"/>
        </w:rPr>
      </w:pPr>
    </w:p>
    <w:p w14:paraId="62154BCC">
      <w:pPr>
        <w:adjustRightInd w:val="0"/>
        <w:snapToGrid w:val="0"/>
        <w:spacing w:line="360" w:lineRule="auto"/>
        <w:ind w:firstLine="480" w:firstLineChars="200"/>
        <w:rPr>
          <w:rFonts w:hint="eastAsia" w:ascii="宋体" w:hAnsi="宋体" w:cs="宋体"/>
          <w:color w:val="auto"/>
          <w:sz w:val="24"/>
          <w:szCs w:val="24"/>
          <w:highlight w:val="none"/>
        </w:rPr>
      </w:pPr>
    </w:p>
    <w:p w14:paraId="111357A0">
      <w:pPr>
        <w:adjustRightInd w:val="0"/>
        <w:snapToGrid w:val="0"/>
        <w:spacing w:line="360" w:lineRule="auto"/>
        <w:ind w:firstLine="2640" w:firstLineChars="1200"/>
        <w:rPr>
          <w:rFonts w:hint="eastAsia" w:ascii="宋体" w:hAnsi="宋体" w:cs="宋体"/>
          <w:color w:val="auto"/>
          <w:sz w:val="22"/>
          <w:highlight w:val="none"/>
        </w:rPr>
      </w:pPr>
      <w:r>
        <w:rPr>
          <w:rFonts w:hint="eastAsia" w:ascii="宋体" w:hAnsi="宋体" w:cs="宋体"/>
          <w:color w:val="auto"/>
          <w:sz w:val="22"/>
          <w:highlight w:val="none"/>
        </w:rPr>
        <w:t xml:space="preserve">承包单位（公章）： </w:t>
      </w:r>
    </w:p>
    <w:p w14:paraId="7B51CDCD">
      <w:pPr>
        <w:adjustRightInd w:val="0"/>
        <w:snapToGrid w:val="0"/>
        <w:spacing w:line="360" w:lineRule="auto"/>
        <w:ind w:firstLine="2420" w:firstLineChars="1100"/>
        <w:rPr>
          <w:rFonts w:hint="eastAsia" w:ascii="宋体" w:hAnsi="宋体" w:cs="宋体"/>
          <w:color w:val="auto"/>
          <w:sz w:val="22"/>
          <w:highlight w:val="none"/>
        </w:rPr>
      </w:pPr>
      <w:r>
        <w:rPr>
          <w:rFonts w:hint="eastAsia" w:ascii="宋体" w:hAnsi="宋体" w:cs="宋体"/>
          <w:color w:val="auto"/>
          <w:sz w:val="22"/>
          <w:highlight w:val="none"/>
        </w:rPr>
        <w:t>法定代表人（签名）：</w:t>
      </w:r>
    </w:p>
    <w:p w14:paraId="7B6CA7F3">
      <w:pPr>
        <w:adjustRightInd w:val="0"/>
        <w:snapToGrid w:val="0"/>
        <w:spacing w:line="360" w:lineRule="auto"/>
        <w:ind w:firstLine="2420" w:firstLineChars="1100"/>
        <w:rPr>
          <w:rFonts w:hint="eastAsia" w:ascii="宋体" w:hAnsi="宋体" w:cs="宋体"/>
          <w:color w:val="auto"/>
          <w:sz w:val="22"/>
          <w:highlight w:val="none"/>
        </w:rPr>
      </w:pPr>
      <w:r>
        <w:rPr>
          <w:rFonts w:hint="eastAsia" w:ascii="宋体" w:hAnsi="宋体" w:cs="宋体"/>
          <w:color w:val="auto"/>
          <w:sz w:val="22"/>
          <w:highlight w:val="none"/>
        </w:rPr>
        <w:t xml:space="preserve">                          年    月   日</w:t>
      </w:r>
    </w:p>
    <w:p w14:paraId="233D027F">
      <w:pPr>
        <w:spacing w:line="360" w:lineRule="auto"/>
        <w:jc w:val="center"/>
        <w:outlineLvl w:val="0"/>
        <w:rPr>
          <w:rFonts w:hint="eastAsia" w:ascii="宋体" w:hAnsi="宋体" w:cs="宋体"/>
          <w:color w:val="auto"/>
          <w:sz w:val="24"/>
          <w:szCs w:val="24"/>
          <w:highlight w:val="none"/>
        </w:rPr>
      </w:pPr>
    </w:p>
    <w:p w14:paraId="5359AA48">
      <w:pPr>
        <w:rPr>
          <w:rFonts w:hint="eastAsia" w:cs="宋体" w:asciiTheme="majorEastAsia" w:hAnsiTheme="majorEastAsia" w:eastAsiaTheme="majorEastAsia"/>
          <w:color w:val="auto"/>
          <w:sz w:val="32"/>
          <w:highlight w:val="none"/>
        </w:rPr>
      </w:pPr>
      <w:r>
        <w:rPr>
          <w:rFonts w:hint="eastAsia" w:cs="宋体" w:asciiTheme="majorEastAsia" w:hAnsiTheme="majorEastAsia" w:eastAsiaTheme="majorEastAsia"/>
          <w:color w:val="auto"/>
          <w:sz w:val="32"/>
          <w:highlight w:val="none"/>
        </w:rPr>
        <w:br w:type="page"/>
      </w:r>
    </w:p>
    <w:p w14:paraId="63FE7792">
      <w:pPr>
        <w:pStyle w:val="3"/>
        <w:spacing w:before="0" w:after="0" w:line="360" w:lineRule="auto"/>
        <w:jc w:val="center"/>
        <w:rPr>
          <w:rFonts w:hint="eastAsia" w:cs="宋体" w:asciiTheme="majorEastAsia" w:hAnsiTheme="majorEastAsia" w:eastAsiaTheme="majorEastAsia"/>
          <w:color w:val="auto"/>
          <w:sz w:val="32"/>
          <w:highlight w:val="none"/>
        </w:rPr>
      </w:pPr>
      <w:bookmarkStart w:id="83" w:name="_Toc42"/>
      <w:r>
        <w:rPr>
          <w:rFonts w:hint="eastAsia" w:cs="宋体" w:asciiTheme="majorEastAsia" w:hAnsiTheme="majorEastAsia" w:eastAsiaTheme="majorEastAsia"/>
          <w:color w:val="auto"/>
          <w:sz w:val="32"/>
          <w:highlight w:val="none"/>
        </w:rPr>
        <w:t>第五章 工程量清单</w:t>
      </w:r>
      <w:bookmarkEnd w:id="83"/>
    </w:p>
    <w:p w14:paraId="0BF98DB4">
      <w:pPr>
        <w:pStyle w:val="6"/>
        <w:ind w:firstLine="480" w:firstLineChars="200"/>
        <w:rPr>
          <w:rFonts w:hint="eastAsia" w:hAnsi="宋体" w:cs="宋体"/>
          <w:color w:val="auto"/>
          <w:kern w:val="2"/>
          <w:highlight w:val="none"/>
        </w:rPr>
      </w:pPr>
    </w:p>
    <w:p w14:paraId="14EB54D0">
      <w:pPr>
        <w:rPr>
          <w:b/>
          <w:bCs/>
          <w:color w:val="auto"/>
          <w:sz w:val="22"/>
          <w:szCs w:val="24"/>
          <w:highlight w:val="none"/>
        </w:rPr>
      </w:pPr>
      <w:bookmarkStart w:id="84" w:name="_Toc27912"/>
      <w:bookmarkStart w:id="85" w:name="_Toc465864840"/>
      <w:bookmarkStart w:id="86" w:name="_Toc22764"/>
      <w:bookmarkStart w:id="87" w:name="_Toc256773226"/>
      <w:bookmarkStart w:id="88" w:name="_Toc263413224"/>
      <w:r>
        <w:rPr>
          <w:rFonts w:hint="eastAsia"/>
          <w:b/>
          <w:bCs/>
          <w:color w:val="auto"/>
          <w:sz w:val="22"/>
          <w:szCs w:val="24"/>
          <w:highlight w:val="none"/>
        </w:rPr>
        <w:t>1  说明</w:t>
      </w:r>
      <w:bookmarkEnd w:id="84"/>
      <w:bookmarkEnd w:id="85"/>
      <w:bookmarkEnd w:id="86"/>
      <w:bookmarkEnd w:id="87"/>
      <w:bookmarkEnd w:id="88"/>
    </w:p>
    <w:p w14:paraId="521E1813">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1.1 本工程主体部分采用单价承包方式，临时工程费跟标下浮后总价承包。</w:t>
      </w:r>
    </w:p>
    <w:p w14:paraId="22F86A24">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1.2 工程量清单（招标控制价）应与招标文件中的投标人须知、通用合同条款、专用合同条款、技术标准和要求（合同技术条款）、图纸等一起参照阅读和理解。</w:t>
      </w:r>
    </w:p>
    <w:p w14:paraId="5C3542A0">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1.3 符合合同规定的全部工程量应包括在工程量清单所列的各项目中，如投标人认为存在合同规定应由其承担而在工程量清单中未详细列出的项目（不是漏项的工程量），则应提出书面异议。</w:t>
      </w:r>
    </w:p>
    <w:p w14:paraId="0DE2588C">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1.4 工程量清单不作为最终结算工程量，用于结算的工程量是承包人实际完成并符合技术标准和要求（合同技术条款）规定，按施工图纸计算的有效工程量。完成某一项目所需完成的工序，但工程量清单中并未标列的，则视作漏项，而完成所需工序的相关费用被视为已包含在完成该项目的价格内。</w:t>
      </w:r>
    </w:p>
    <w:p w14:paraId="48C56751">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1.5 招标工程量清单（招标控制价）中的工程量仅为提供给投标人投标时的参考工程量。</w:t>
      </w:r>
    </w:p>
    <w:p w14:paraId="43499B50">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 工程量清单（招标控制价）中各项目的工作内容和要求应符合相关技术标准和要求（合同技术条款）的规定。</w:t>
      </w:r>
    </w:p>
    <w:p w14:paraId="3C8F116A">
      <w:pPr>
        <w:rPr>
          <w:b/>
          <w:bCs/>
          <w:color w:val="auto"/>
          <w:sz w:val="22"/>
          <w:szCs w:val="24"/>
          <w:highlight w:val="none"/>
        </w:rPr>
      </w:pPr>
      <w:bookmarkStart w:id="89" w:name="_Toc465864841"/>
      <w:bookmarkStart w:id="90" w:name="_Toc31035"/>
      <w:bookmarkStart w:id="91" w:name="_Toc263413225"/>
      <w:bookmarkStart w:id="92" w:name="_Toc256773227"/>
      <w:bookmarkStart w:id="93" w:name="_Toc18106"/>
      <w:r>
        <w:rPr>
          <w:rFonts w:hint="eastAsia"/>
          <w:b/>
          <w:bCs/>
          <w:color w:val="auto"/>
          <w:sz w:val="22"/>
          <w:szCs w:val="24"/>
          <w:highlight w:val="none"/>
        </w:rPr>
        <w:t>2  投标报价说明</w:t>
      </w:r>
      <w:bookmarkEnd w:id="89"/>
      <w:bookmarkEnd w:id="90"/>
      <w:bookmarkEnd w:id="91"/>
      <w:bookmarkEnd w:id="92"/>
      <w:bookmarkEnd w:id="93"/>
    </w:p>
    <w:p w14:paraId="1D332B35">
      <w:pPr>
        <w:snapToGrid w:val="0"/>
        <w:spacing w:line="360" w:lineRule="auto"/>
        <w:ind w:firstLine="440" w:firstLineChars="200"/>
        <w:rPr>
          <w:rFonts w:hint="eastAsia" w:ascii="宋体" w:hAnsi="宋体" w:cs="宋体"/>
          <w:strike/>
          <w:color w:val="auto"/>
          <w:sz w:val="22"/>
          <w:highlight w:val="none"/>
        </w:rPr>
      </w:pPr>
      <w:r>
        <w:rPr>
          <w:rFonts w:hint="eastAsia" w:ascii="宋体" w:hAnsi="宋体" w:cs="宋体"/>
          <w:color w:val="auto"/>
          <w:sz w:val="22"/>
          <w:highlight w:val="none"/>
        </w:rPr>
        <w:t>投标人仅需填报投标报价下浮率（有效投标报价下浮率为≥</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.000%，保留至小数点后叁位），不在此范围内的投标报价均为无效投标报价。</w:t>
      </w:r>
    </w:p>
    <w:p w14:paraId="71CFE379">
      <w:pPr>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本项目主体工程采用综合单价承包（综合单价为财政审核控制单价×（1-中标下浮率）为中标的综合单价，合同总价为（招标控制价-安全生产措施费、其他临时工程费-预留金）×（1-中标下浮率）+安全生产措施费、其他临时工程费（安全生产措施费、其他临时工程费控制价不下浮）+预留金（预留金控制价不下浮）；临时工程费采用总价承包（临时工程费用控制价的临时工程费×（1-中标下浮率））。</w:t>
      </w:r>
    </w:p>
    <w:p w14:paraId="5786A04E">
      <w:pPr>
        <w:snapToGri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投标下浮率大于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0BAE2324">
      <w:pPr>
        <w:spacing w:line="360" w:lineRule="auto"/>
        <w:rPr>
          <w:rFonts w:hint="eastAsia" w:ascii="宋体" w:hAnsi="宋体"/>
          <w:b/>
          <w:bCs/>
          <w:iCs/>
          <w:color w:val="auto"/>
          <w:szCs w:val="21"/>
          <w:highlight w:val="none"/>
        </w:rPr>
      </w:pPr>
      <w:bookmarkStart w:id="94" w:name="_Toc300835202"/>
      <w:bookmarkStart w:id="95" w:name="_Toc152042553"/>
      <w:bookmarkStart w:id="96" w:name="_Toc144974833"/>
      <w:bookmarkStart w:id="97" w:name="_Toc247514201"/>
      <w:bookmarkStart w:id="98" w:name="_Toc247514200"/>
      <w:bookmarkStart w:id="99" w:name="_Toc152045771"/>
      <w:bookmarkStart w:id="100" w:name="_Toc152042551"/>
      <w:bookmarkStart w:id="101" w:name="_Toc300835203"/>
      <w:bookmarkStart w:id="102" w:name="_Toc152045769"/>
      <w:bookmarkStart w:id="103" w:name="_Toc247527801"/>
      <w:bookmarkStart w:id="104" w:name="_Toc247527802"/>
    </w:p>
    <w:bookmarkEnd w:id="94"/>
    <w:bookmarkEnd w:id="95"/>
    <w:bookmarkEnd w:id="96"/>
    <w:bookmarkEnd w:id="97"/>
    <w:bookmarkEnd w:id="98"/>
    <w:bookmarkEnd w:id="99"/>
    <w:bookmarkEnd w:id="100"/>
    <w:bookmarkEnd w:id="101"/>
    <w:bookmarkEnd w:id="102"/>
    <w:bookmarkEnd w:id="103"/>
    <w:bookmarkEnd w:id="104"/>
    <w:p w14:paraId="2D8E1761">
      <w:pPr>
        <w:spacing w:line="360" w:lineRule="auto"/>
        <w:jc w:val="center"/>
        <w:outlineLvl w:val="0"/>
        <w:rPr>
          <w:rFonts w:hint="eastAsia" w:cs="宋体" w:asciiTheme="majorEastAsia" w:hAnsiTheme="majorEastAsia" w:eastAsiaTheme="majorEastAsia"/>
          <w:color w:val="auto"/>
          <w:sz w:val="84"/>
          <w:szCs w:val="84"/>
          <w:highlight w:val="none"/>
        </w:rPr>
      </w:pPr>
    </w:p>
    <w:p w14:paraId="0CA4D744">
      <w:pPr>
        <w:pStyle w:val="39"/>
        <w:rPr>
          <w:rFonts w:hint="eastAsia" w:cs="宋体" w:asciiTheme="majorEastAsia" w:hAnsiTheme="majorEastAsia" w:eastAsiaTheme="majorEastAsia"/>
          <w:b/>
          <w:color w:val="auto"/>
          <w:sz w:val="84"/>
          <w:highlight w:val="none"/>
        </w:rPr>
      </w:pPr>
    </w:p>
    <w:p w14:paraId="1715B12D">
      <w:pPr>
        <w:pStyle w:val="39"/>
        <w:rPr>
          <w:rFonts w:hint="eastAsia" w:cs="宋体" w:asciiTheme="majorEastAsia" w:hAnsiTheme="majorEastAsia" w:eastAsiaTheme="majorEastAsia"/>
          <w:b/>
          <w:color w:val="auto"/>
          <w:sz w:val="84"/>
          <w:highlight w:val="none"/>
        </w:rPr>
      </w:pPr>
    </w:p>
    <w:p w14:paraId="4BE03173">
      <w:pPr>
        <w:pStyle w:val="39"/>
        <w:rPr>
          <w:rFonts w:hint="eastAsia" w:cs="宋体" w:asciiTheme="majorEastAsia" w:hAnsiTheme="majorEastAsia" w:eastAsiaTheme="majorEastAsia"/>
          <w:b/>
          <w:color w:val="auto"/>
          <w:sz w:val="84"/>
          <w:highlight w:val="none"/>
        </w:rPr>
      </w:pPr>
    </w:p>
    <w:p w14:paraId="1218D3A3">
      <w:pPr>
        <w:pStyle w:val="39"/>
        <w:rPr>
          <w:rFonts w:hint="eastAsia" w:cs="宋体" w:asciiTheme="majorEastAsia" w:hAnsiTheme="majorEastAsia" w:eastAsiaTheme="majorEastAsia"/>
          <w:b/>
          <w:color w:val="auto"/>
          <w:sz w:val="84"/>
          <w:highlight w:val="none"/>
        </w:rPr>
      </w:pPr>
    </w:p>
    <w:p w14:paraId="22EF2FC7">
      <w:pPr>
        <w:pStyle w:val="39"/>
        <w:rPr>
          <w:rFonts w:hint="eastAsia" w:cs="宋体" w:asciiTheme="majorEastAsia" w:hAnsiTheme="majorEastAsia" w:eastAsiaTheme="majorEastAsia"/>
          <w:b/>
          <w:color w:val="auto"/>
          <w:sz w:val="84"/>
          <w:highlight w:val="none"/>
        </w:rPr>
      </w:pPr>
    </w:p>
    <w:p w14:paraId="5962652C">
      <w:pPr>
        <w:spacing w:line="360" w:lineRule="auto"/>
        <w:jc w:val="center"/>
        <w:outlineLvl w:val="0"/>
        <w:rPr>
          <w:rFonts w:hint="eastAsia" w:cs="宋体" w:asciiTheme="majorEastAsia" w:hAnsiTheme="majorEastAsia" w:eastAsiaTheme="majorEastAsia"/>
          <w:color w:val="auto"/>
          <w:sz w:val="84"/>
          <w:szCs w:val="84"/>
          <w:highlight w:val="none"/>
        </w:rPr>
      </w:pPr>
      <w:bookmarkStart w:id="105" w:name="_Toc21218"/>
      <w:r>
        <w:rPr>
          <w:rFonts w:hint="eastAsia" w:cs="宋体" w:asciiTheme="majorEastAsia" w:hAnsiTheme="majorEastAsia" w:eastAsiaTheme="majorEastAsia"/>
          <w:color w:val="auto"/>
          <w:sz w:val="84"/>
          <w:szCs w:val="84"/>
          <w:highlight w:val="none"/>
        </w:rPr>
        <w:t>第二卷</w:t>
      </w:r>
      <w:bookmarkEnd w:id="105"/>
    </w:p>
    <w:p w14:paraId="4DF9AE94">
      <w:pPr>
        <w:rPr>
          <w:rFonts w:hint="eastAsia" w:cs="宋体" w:asciiTheme="majorEastAsia" w:hAnsiTheme="majorEastAsia" w:eastAsiaTheme="majorEastAsia"/>
          <w:color w:val="auto"/>
          <w:highlight w:val="none"/>
        </w:rPr>
      </w:pPr>
    </w:p>
    <w:p w14:paraId="03523046">
      <w:pPr>
        <w:rPr>
          <w:rFonts w:hint="eastAsia" w:cs="宋体" w:asciiTheme="majorEastAsia" w:hAnsiTheme="majorEastAsia" w:eastAsiaTheme="majorEastAsia"/>
          <w:color w:val="auto"/>
          <w:highlight w:val="none"/>
        </w:rPr>
      </w:pPr>
    </w:p>
    <w:p w14:paraId="12F833CA">
      <w:pPr>
        <w:rPr>
          <w:rFonts w:hint="eastAsia" w:cs="宋体" w:asciiTheme="majorEastAsia" w:hAnsiTheme="majorEastAsia" w:eastAsiaTheme="majorEastAsia"/>
          <w:color w:val="auto"/>
          <w:highlight w:val="none"/>
        </w:rPr>
      </w:pPr>
    </w:p>
    <w:p w14:paraId="45F0841C">
      <w:pPr>
        <w:rPr>
          <w:rFonts w:hint="eastAsia" w:cs="宋体" w:asciiTheme="majorEastAsia" w:hAnsiTheme="majorEastAsia" w:eastAsiaTheme="majorEastAsia"/>
          <w:color w:val="auto"/>
          <w:highlight w:val="none"/>
        </w:rPr>
      </w:pPr>
    </w:p>
    <w:p w14:paraId="323F6AFE">
      <w:pPr>
        <w:rPr>
          <w:rFonts w:hint="eastAsia" w:cs="宋体" w:asciiTheme="majorEastAsia" w:hAnsiTheme="majorEastAsia" w:eastAsiaTheme="majorEastAsia"/>
          <w:color w:val="auto"/>
          <w:highlight w:val="none"/>
        </w:rPr>
      </w:pPr>
    </w:p>
    <w:p w14:paraId="1C076CA6">
      <w:pPr>
        <w:rPr>
          <w:rFonts w:hint="eastAsia" w:cs="宋体" w:asciiTheme="majorEastAsia" w:hAnsiTheme="majorEastAsia" w:eastAsiaTheme="majorEastAsia"/>
          <w:color w:val="auto"/>
          <w:highlight w:val="none"/>
        </w:rPr>
      </w:pPr>
    </w:p>
    <w:p w14:paraId="25F79D88">
      <w:pPr>
        <w:rPr>
          <w:rFonts w:hint="eastAsia" w:cs="宋体" w:asciiTheme="majorEastAsia" w:hAnsiTheme="majorEastAsia" w:eastAsiaTheme="majorEastAsia"/>
          <w:b/>
          <w:color w:val="auto"/>
          <w:sz w:val="32"/>
          <w:highlight w:val="none"/>
        </w:rPr>
      </w:pPr>
    </w:p>
    <w:p w14:paraId="7E4206A1">
      <w:pPr>
        <w:spacing w:before="240" w:after="60"/>
        <w:jc w:val="center"/>
        <w:rPr>
          <w:rFonts w:hint="eastAsia" w:cs="宋体" w:asciiTheme="majorEastAsia" w:hAnsiTheme="majorEastAsia" w:eastAsiaTheme="majorEastAsia"/>
          <w:b/>
          <w:color w:val="auto"/>
          <w:sz w:val="32"/>
          <w:highlight w:val="none"/>
        </w:rPr>
      </w:pPr>
    </w:p>
    <w:p w14:paraId="3BEEC5A2">
      <w:pPr>
        <w:spacing w:before="240" w:after="60"/>
        <w:jc w:val="center"/>
        <w:rPr>
          <w:rFonts w:hint="eastAsia" w:cs="宋体" w:asciiTheme="majorEastAsia" w:hAnsiTheme="majorEastAsia" w:eastAsiaTheme="majorEastAsia"/>
          <w:b/>
          <w:color w:val="auto"/>
          <w:sz w:val="32"/>
          <w:highlight w:val="none"/>
        </w:rPr>
      </w:pPr>
    </w:p>
    <w:p w14:paraId="560EAA20">
      <w:pPr>
        <w:spacing w:before="240" w:after="60"/>
        <w:jc w:val="center"/>
        <w:rPr>
          <w:rFonts w:hint="eastAsia" w:cs="宋体" w:asciiTheme="majorEastAsia" w:hAnsiTheme="majorEastAsia" w:eastAsiaTheme="majorEastAsia"/>
          <w:b/>
          <w:color w:val="auto"/>
          <w:sz w:val="32"/>
          <w:highlight w:val="none"/>
        </w:rPr>
      </w:pPr>
    </w:p>
    <w:p w14:paraId="0DE5215D">
      <w:pPr>
        <w:spacing w:before="240" w:after="60"/>
        <w:jc w:val="center"/>
        <w:rPr>
          <w:rFonts w:hint="eastAsia" w:cs="宋体" w:asciiTheme="majorEastAsia" w:hAnsiTheme="majorEastAsia" w:eastAsiaTheme="majorEastAsia"/>
          <w:b/>
          <w:color w:val="auto"/>
          <w:sz w:val="32"/>
          <w:highlight w:val="none"/>
        </w:rPr>
      </w:pPr>
    </w:p>
    <w:p w14:paraId="21AAA590">
      <w:pPr>
        <w:rPr>
          <w:rFonts w:hint="eastAsia" w:cs="宋体" w:asciiTheme="majorEastAsia" w:hAnsiTheme="majorEastAsia" w:eastAsiaTheme="majorEastAsia"/>
          <w:b/>
          <w:color w:val="auto"/>
          <w:sz w:val="32"/>
          <w:highlight w:val="none"/>
        </w:rPr>
      </w:pPr>
      <w:r>
        <w:rPr>
          <w:rFonts w:cs="宋体" w:asciiTheme="majorEastAsia" w:hAnsiTheme="majorEastAsia" w:eastAsiaTheme="majorEastAsia"/>
          <w:b/>
          <w:color w:val="auto"/>
          <w:sz w:val="32"/>
          <w:highlight w:val="none"/>
        </w:rPr>
        <w:br w:type="page"/>
      </w:r>
    </w:p>
    <w:p w14:paraId="3279112F">
      <w:pPr>
        <w:pStyle w:val="18"/>
        <w:rPr>
          <w:rFonts w:hint="eastAsia" w:cs="宋体" w:asciiTheme="majorEastAsia" w:hAnsiTheme="majorEastAsia" w:eastAsiaTheme="majorEastAsia"/>
          <w:color w:val="auto"/>
          <w:highlight w:val="none"/>
        </w:rPr>
      </w:pPr>
      <w:bookmarkStart w:id="106" w:name="_Toc10548"/>
      <w:r>
        <w:rPr>
          <w:rFonts w:hint="eastAsia" w:cs="宋体" w:asciiTheme="majorEastAsia" w:hAnsiTheme="majorEastAsia" w:eastAsiaTheme="majorEastAsia"/>
          <w:color w:val="auto"/>
          <w:highlight w:val="none"/>
        </w:rPr>
        <w:t>第六章 图纸（招标图纸）</w:t>
      </w:r>
      <w:bookmarkEnd w:id="106"/>
    </w:p>
    <w:p w14:paraId="746DD4A7">
      <w:pPr>
        <w:spacing w:line="480" w:lineRule="auto"/>
        <w:jc w:val="center"/>
        <w:rPr>
          <w:rFonts w:hint="eastAsia"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w:t>
      </w:r>
      <w:r>
        <w:rPr>
          <w:rFonts w:hint="eastAsia" w:cs="宋体" w:asciiTheme="majorEastAsia" w:hAnsiTheme="majorEastAsia" w:eastAsiaTheme="majorEastAsia"/>
          <w:color w:val="auto"/>
          <w:sz w:val="24"/>
          <w:highlight w:val="none"/>
        </w:rPr>
        <w:t>另附</w:t>
      </w:r>
      <w:r>
        <w:rPr>
          <w:rFonts w:cs="宋体" w:asciiTheme="majorEastAsia" w:hAnsiTheme="majorEastAsia" w:eastAsiaTheme="majorEastAsia"/>
          <w:color w:val="auto"/>
          <w:sz w:val="24"/>
          <w:highlight w:val="none"/>
        </w:rPr>
        <w:t>)</w:t>
      </w:r>
    </w:p>
    <w:p w14:paraId="204186D8">
      <w:pPr>
        <w:spacing w:line="480" w:lineRule="auto"/>
        <w:jc w:val="center"/>
        <w:rPr>
          <w:rFonts w:hint="eastAsia" w:cs="宋体" w:asciiTheme="majorEastAsia" w:hAnsiTheme="majorEastAsia" w:eastAsiaTheme="majorEastAsia"/>
          <w:color w:val="auto"/>
          <w:highlight w:val="none"/>
        </w:rPr>
      </w:pPr>
    </w:p>
    <w:p w14:paraId="636BB07B">
      <w:pPr>
        <w:spacing w:line="480" w:lineRule="auto"/>
        <w:rPr>
          <w:rFonts w:hint="eastAsia" w:cs="宋体" w:asciiTheme="majorEastAsia" w:hAnsiTheme="majorEastAsia" w:eastAsiaTheme="majorEastAsia"/>
          <w:color w:val="auto"/>
          <w:highlight w:val="none"/>
        </w:rPr>
      </w:pPr>
    </w:p>
    <w:p w14:paraId="442DDC88">
      <w:pPr>
        <w:rPr>
          <w:rFonts w:hint="eastAsia" w:cs="宋体" w:asciiTheme="majorEastAsia" w:hAnsiTheme="majorEastAsia" w:eastAsiaTheme="majorEastAsia"/>
          <w:color w:val="auto"/>
          <w:highlight w:val="none"/>
        </w:rPr>
      </w:pPr>
    </w:p>
    <w:p w14:paraId="100A9FB0">
      <w:pPr>
        <w:jc w:val="center"/>
        <w:rPr>
          <w:rFonts w:hint="eastAsia" w:cs="宋体" w:asciiTheme="majorEastAsia" w:hAnsiTheme="majorEastAsia" w:eastAsiaTheme="majorEastAsia"/>
          <w:b/>
          <w:color w:val="auto"/>
          <w:highlight w:val="none"/>
        </w:rPr>
      </w:pPr>
    </w:p>
    <w:p w14:paraId="5926CB2E">
      <w:pPr>
        <w:jc w:val="center"/>
        <w:rPr>
          <w:rFonts w:hint="eastAsia" w:cs="宋体" w:asciiTheme="majorEastAsia" w:hAnsiTheme="majorEastAsia" w:eastAsiaTheme="majorEastAsia"/>
          <w:b/>
          <w:color w:val="auto"/>
          <w:highlight w:val="none"/>
        </w:rPr>
      </w:pPr>
    </w:p>
    <w:p w14:paraId="34D84DDE">
      <w:pPr>
        <w:jc w:val="center"/>
        <w:rPr>
          <w:rFonts w:hint="eastAsia" w:cs="宋体" w:asciiTheme="majorEastAsia" w:hAnsiTheme="majorEastAsia" w:eastAsiaTheme="majorEastAsia"/>
          <w:b/>
          <w:color w:val="auto"/>
          <w:highlight w:val="none"/>
        </w:rPr>
      </w:pPr>
    </w:p>
    <w:p w14:paraId="0726AF24">
      <w:pPr>
        <w:jc w:val="center"/>
        <w:rPr>
          <w:rFonts w:hint="eastAsia" w:cs="宋体" w:asciiTheme="majorEastAsia" w:hAnsiTheme="majorEastAsia" w:eastAsiaTheme="majorEastAsia"/>
          <w:b/>
          <w:color w:val="auto"/>
          <w:highlight w:val="none"/>
        </w:rPr>
      </w:pPr>
    </w:p>
    <w:p w14:paraId="16C26BFD">
      <w:pPr>
        <w:jc w:val="center"/>
        <w:rPr>
          <w:rFonts w:hint="eastAsia" w:cs="宋体" w:asciiTheme="majorEastAsia" w:hAnsiTheme="majorEastAsia" w:eastAsiaTheme="majorEastAsia"/>
          <w:b/>
          <w:color w:val="auto"/>
          <w:highlight w:val="none"/>
        </w:rPr>
      </w:pPr>
    </w:p>
    <w:p w14:paraId="581EC197">
      <w:pPr>
        <w:jc w:val="center"/>
        <w:rPr>
          <w:rFonts w:hint="eastAsia" w:cs="宋体" w:asciiTheme="majorEastAsia" w:hAnsiTheme="majorEastAsia" w:eastAsiaTheme="majorEastAsia"/>
          <w:b/>
          <w:color w:val="auto"/>
          <w:highlight w:val="none"/>
        </w:rPr>
      </w:pPr>
    </w:p>
    <w:p w14:paraId="568677B3">
      <w:pPr>
        <w:jc w:val="center"/>
        <w:rPr>
          <w:rFonts w:hint="eastAsia" w:cs="宋体" w:asciiTheme="majorEastAsia" w:hAnsiTheme="majorEastAsia" w:eastAsiaTheme="majorEastAsia"/>
          <w:b/>
          <w:color w:val="auto"/>
          <w:highlight w:val="none"/>
        </w:rPr>
      </w:pPr>
    </w:p>
    <w:p w14:paraId="53718777">
      <w:pPr>
        <w:jc w:val="center"/>
        <w:rPr>
          <w:rFonts w:hint="eastAsia" w:cs="宋体" w:asciiTheme="majorEastAsia" w:hAnsiTheme="majorEastAsia" w:eastAsiaTheme="majorEastAsia"/>
          <w:b/>
          <w:color w:val="auto"/>
          <w:highlight w:val="none"/>
        </w:rPr>
      </w:pPr>
    </w:p>
    <w:p w14:paraId="0CADC66D">
      <w:pPr>
        <w:jc w:val="center"/>
        <w:rPr>
          <w:rFonts w:hint="eastAsia" w:cs="宋体" w:asciiTheme="majorEastAsia" w:hAnsiTheme="majorEastAsia" w:eastAsiaTheme="majorEastAsia"/>
          <w:b/>
          <w:color w:val="auto"/>
          <w:highlight w:val="none"/>
        </w:rPr>
      </w:pPr>
    </w:p>
    <w:p w14:paraId="1D7006F8">
      <w:pPr>
        <w:jc w:val="center"/>
        <w:rPr>
          <w:rFonts w:hint="eastAsia" w:cs="宋体" w:asciiTheme="majorEastAsia" w:hAnsiTheme="majorEastAsia" w:eastAsiaTheme="majorEastAsia"/>
          <w:b/>
          <w:color w:val="auto"/>
          <w:highlight w:val="none"/>
        </w:rPr>
      </w:pPr>
    </w:p>
    <w:p w14:paraId="7D8D59D8">
      <w:pPr>
        <w:jc w:val="center"/>
        <w:rPr>
          <w:rFonts w:hint="eastAsia" w:cs="宋体" w:asciiTheme="majorEastAsia" w:hAnsiTheme="majorEastAsia" w:eastAsiaTheme="majorEastAsia"/>
          <w:b/>
          <w:color w:val="auto"/>
          <w:highlight w:val="none"/>
        </w:rPr>
      </w:pPr>
    </w:p>
    <w:p w14:paraId="02384AA7">
      <w:pPr>
        <w:jc w:val="center"/>
        <w:rPr>
          <w:rFonts w:hint="eastAsia" w:cs="宋体" w:asciiTheme="majorEastAsia" w:hAnsiTheme="majorEastAsia" w:eastAsiaTheme="majorEastAsia"/>
          <w:b/>
          <w:color w:val="auto"/>
          <w:highlight w:val="none"/>
        </w:rPr>
      </w:pPr>
    </w:p>
    <w:p w14:paraId="19F5FC84">
      <w:pPr>
        <w:jc w:val="center"/>
        <w:rPr>
          <w:rFonts w:hint="eastAsia" w:cs="宋体" w:asciiTheme="majorEastAsia" w:hAnsiTheme="majorEastAsia" w:eastAsiaTheme="majorEastAsia"/>
          <w:b/>
          <w:color w:val="auto"/>
          <w:highlight w:val="none"/>
        </w:rPr>
      </w:pPr>
    </w:p>
    <w:p w14:paraId="24679D7F">
      <w:pPr>
        <w:jc w:val="center"/>
        <w:rPr>
          <w:rFonts w:hint="eastAsia" w:cs="宋体" w:asciiTheme="majorEastAsia" w:hAnsiTheme="majorEastAsia" w:eastAsiaTheme="majorEastAsia"/>
          <w:b/>
          <w:color w:val="auto"/>
          <w:highlight w:val="none"/>
        </w:rPr>
      </w:pPr>
    </w:p>
    <w:p w14:paraId="39C729C5">
      <w:pPr>
        <w:jc w:val="center"/>
        <w:rPr>
          <w:rFonts w:hint="eastAsia" w:cs="宋体" w:asciiTheme="majorEastAsia" w:hAnsiTheme="majorEastAsia" w:eastAsiaTheme="majorEastAsia"/>
          <w:b/>
          <w:color w:val="auto"/>
          <w:highlight w:val="none"/>
        </w:rPr>
      </w:pPr>
    </w:p>
    <w:p w14:paraId="6550F66C">
      <w:pPr>
        <w:jc w:val="center"/>
        <w:rPr>
          <w:rFonts w:hint="eastAsia" w:cs="宋体" w:asciiTheme="majorEastAsia" w:hAnsiTheme="majorEastAsia" w:eastAsiaTheme="majorEastAsia"/>
          <w:b/>
          <w:color w:val="auto"/>
          <w:highlight w:val="none"/>
        </w:rPr>
      </w:pPr>
    </w:p>
    <w:p w14:paraId="4A99750C">
      <w:pPr>
        <w:jc w:val="center"/>
        <w:rPr>
          <w:rFonts w:hint="eastAsia" w:cs="宋体" w:asciiTheme="majorEastAsia" w:hAnsiTheme="majorEastAsia" w:eastAsiaTheme="majorEastAsia"/>
          <w:b/>
          <w:color w:val="auto"/>
          <w:highlight w:val="none"/>
        </w:rPr>
      </w:pPr>
    </w:p>
    <w:p w14:paraId="7C8FC3B3">
      <w:pPr>
        <w:jc w:val="center"/>
        <w:rPr>
          <w:rFonts w:hint="eastAsia" w:cs="宋体" w:asciiTheme="majorEastAsia" w:hAnsiTheme="majorEastAsia" w:eastAsiaTheme="majorEastAsia"/>
          <w:b/>
          <w:color w:val="auto"/>
          <w:highlight w:val="none"/>
        </w:rPr>
      </w:pPr>
    </w:p>
    <w:p w14:paraId="517B09FD">
      <w:pPr>
        <w:jc w:val="center"/>
        <w:rPr>
          <w:rFonts w:hint="eastAsia" w:cs="宋体" w:asciiTheme="majorEastAsia" w:hAnsiTheme="majorEastAsia" w:eastAsiaTheme="majorEastAsia"/>
          <w:b/>
          <w:color w:val="auto"/>
          <w:highlight w:val="none"/>
        </w:rPr>
      </w:pPr>
    </w:p>
    <w:p w14:paraId="26D5F916">
      <w:pPr>
        <w:jc w:val="center"/>
        <w:rPr>
          <w:rFonts w:hint="eastAsia" w:cs="宋体" w:asciiTheme="majorEastAsia" w:hAnsiTheme="majorEastAsia" w:eastAsiaTheme="majorEastAsia"/>
          <w:b/>
          <w:color w:val="auto"/>
          <w:highlight w:val="none"/>
        </w:rPr>
      </w:pPr>
    </w:p>
    <w:p w14:paraId="75241AB6">
      <w:pPr>
        <w:jc w:val="center"/>
        <w:rPr>
          <w:rFonts w:hint="eastAsia" w:cs="宋体" w:asciiTheme="majorEastAsia" w:hAnsiTheme="majorEastAsia" w:eastAsiaTheme="majorEastAsia"/>
          <w:b/>
          <w:color w:val="auto"/>
          <w:highlight w:val="none"/>
        </w:rPr>
      </w:pPr>
    </w:p>
    <w:p w14:paraId="19147579">
      <w:pPr>
        <w:jc w:val="center"/>
        <w:rPr>
          <w:rFonts w:hint="eastAsia" w:cs="宋体" w:asciiTheme="majorEastAsia" w:hAnsiTheme="majorEastAsia" w:eastAsiaTheme="majorEastAsia"/>
          <w:b/>
          <w:color w:val="auto"/>
          <w:highlight w:val="none"/>
        </w:rPr>
      </w:pPr>
    </w:p>
    <w:p w14:paraId="3F97A775">
      <w:pPr>
        <w:jc w:val="center"/>
        <w:rPr>
          <w:rFonts w:hint="eastAsia" w:cs="宋体" w:asciiTheme="majorEastAsia" w:hAnsiTheme="majorEastAsia" w:eastAsiaTheme="majorEastAsia"/>
          <w:b/>
          <w:color w:val="auto"/>
          <w:highlight w:val="none"/>
        </w:rPr>
      </w:pPr>
    </w:p>
    <w:p w14:paraId="2E3967AF">
      <w:pPr>
        <w:jc w:val="center"/>
        <w:rPr>
          <w:rFonts w:hint="eastAsia" w:cs="宋体" w:asciiTheme="majorEastAsia" w:hAnsiTheme="majorEastAsia" w:eastAsiaTheme="majorEastAsia"/>
          <w:b/>
          <w:color w:val="auto"/>
          <w:highlight w:val="none"/>
        </w:rPr>
      </w:pPr>
    </w:p>
    <w:p w14:paraId="2242DF41">
      <w:pPr>
        <w:spacing w:line="360" w:lineRule="auto"/>
        <w:jc w:val="center"/>
        <w:rPr>
          <w:rFonts w:hint="eastAsia" w:cs="宋体" w:asciiTheme="majorEastAsia" w:hAnsiTheme="majorEastAsia" w:eastAsiaTheme="majorEastAsia"/>
          <w:color w:val="auto"/>
          <w:sz w:val="84"/>
          <w:highlight w:val="none"/>
        </w:rPr>
      </w:pPr>
    </w:p>
    <w:p w14:paraId="1EA3FC0E">
      <w:pPr>
        <w:pStyle w:val="38"/>
        <w:rPr>
          <w:rFonts w:hint="eastAsia" w:cs="宋体" w:asciiTheme="majorEastAsia" w:hAnsiTheme="majorEastAsia" w:eastAsiaTheme="majorEastAsia"/>
          <w:color w:val="auto"/>
          <w:sz w:val="84"/>
          <w:highlight w:val="none"/>
        </w:rPr>
      </w:pPr>
    </w:p>
    <w:p w14:paraId="57ADA87E">
      <w:pPr>
        <w:pStyle w:val="38"/>
        <w:jc w:val="both"/>
        <w:rPr>
          <w:color w:val="auto"/>
          <w:highlight w:val="none"/>
        </w:rPr>
      </w:pPr>
    </w:p>
    <w:p w14:paraId="0E9EBE11">
      <w:pPr>
        <w:spacing w:line="360" w:lineRule="auto"/>
        <w:jc w:val="center"/>
        <w:rPr>
          <w:rFonts w:hint="eastAsia" w:cs="宋体" w:asciiTheme="majorEastAsia" w:hAnsiTheme="majorEastAsia" w:eastAsiaTheme="majorEastAsia"/>
          <w:color w:val="auto"/>
          <w:sz w:val="84"/>
          <w:highlight w:val="none"/>
        </w:rPr>
      </w:pPr>
    </w:p>
    <w:p w14:paraId="4A63E961">
      <w:pPr>
        <w:pStyle w:val="39"/>
        <w:rPr>
          <w:rFonts w:hint="eastAsia" w:cs="宋体" w:asciiTheme="majorEastAsia" w:hAnsiTheme="majorEastAsia" w:eastAsiaTheme="majorEastAsia"/>
          <w:b/>
          <w:color w:val="auto"/>
          <w:sz w:val="84"/>
          <w:highlight w:val="none"/>
        </w:rPr>
      </w:pPr>
    </w:p>
    <w:p w14:paraId="777F45AF">
      <w:pPr>
        <w:pStyle w:val="39"/>
        <w:rPr>
          <w:rFonts w:hint="eastAsia" w:cs="宋体" w:asciiTheme="majorEastAsia" w:hAnsiTheme="majorEastAsia" w:eastAsiaTheme="majorEastAsia"/>
          <w:b/>
          <w:color w:val="auto"/>
          <w:sz w:val="84"/>
          <w:highlight w:val="none"/>
        </w:rPr>
      </w:pPr>
    </w:p>
    <w:p w14:paraId="09A65078">
      <w:pPr>
        <w:pStyle w:val="39"/>
        <w:rPr>
          <w:rFonts w:hint="eastAsia" w:cs="宋体" w:asciiTheme="majorEastAsia" w:hAnsiTheme="majorEastAsia" w:eastAsiaTheme="majorEastAsia"/>
          <w:b/>
          <w:color w:val="auto"/>
          <w:sz w:val="84"/>
          <w:highlight w:val="none"/>
        </w:rPr>
      </w:pPr>
    </w:p>
    <w:p w14:paraId="2CD4129B">
      <w:pPr>
        <w:pStyle w:val="39"/>
        <w:rPr>
          <w:rFonts w:hint="eastAsia" w:cs="宋体" w:asciiTheme="majorEastAsia" w:hAnsiTheme="majorEastAsia" w:eastAsiaTheme="majorEastAsia"/>
          <w:b/>
          <w:color w:val="auto"/>
          <w:sz w:val="84"/>
          <w:highlight w:val="none"/>
        </w:rPr>
      </w:pPr>
    </w:p>
    <w:p w14:paraId="0FFC6A46">
      <w:pPr>
        <w:pStyle w:val="39"/>
        <w:rPr>
          <w:rFonts w:hint="eastAsia" w:cs="宋体" w:asciiTheme="majorEastAsia" w:hAnsiTheme="majorEastAsia" w:eastAsiaTheme="majorEastAsia"/>
          <w:b/>
          <w:color w:val="auto"/>
          <w:sz w:val="84"/>
          <w:highlight w:val="none"/>
        </w:rPr>
      </w:pPr>
    </w:p>
    <w:p w14:paraId="1B2C0D08">
      <w:pPr>
        <w:spacing w:line="360" w:lineRule="auto"/>
        <w:jc w:val="center"/>
        <w:outlineLvl w:val="0"/>
        <w:rPr>
          <w:rFonts w:hint="eastAsia" w:cs="宋体" w:asciiTheme="majorEastAsia" w:hAnsiTheme="majorEastAsia" w:eastAsiaTheme="majorEastAsia"/>
          <w:color w:val="auto"/>
          <w:sz w:val="84"/>
          <w:szCs w:val="84"/>
          <w:highlight w:val="none"/>
        </w:rPr>
      </w:pPr>
      <w:bookmarkStart w:id="107" w:name="_Toc28989"/>
      <w:r>
        <w:rPr>
          <w:rFonts w:hint="eastAsia" w:cs="宋体" w:asciiTheme="majorEastAsia" w:hAnsiTheme="majorEastAsia" w:eastAsiaTheme="majorEastAsia"/>
          <w:color w:val="auto"/>
          <w:sz w:val="84"/>
          <w:szCs w:val="84"/>
          <w:highlight w:val="none"/>
        </w:rPr>
        <w:t>第三卷</w:t>
      </w:r>
      <w:bookmarkEnd w:id="107"/>
    </w:p>
    <w:p w14:paraId="20B1F6FE">
      <w:pPr>
        <w:spacing w:line="520" w:lineRule="auto"/>
        <w:rPr>
          <w:rFonts w:hint="eastAsia" w:cs="宋体" w:asciiTheme="majorEastAsia" w:hAnsiTheme="majorEastAsia" w:eastAsiaTheme="majorEastAsia"/>
          <w:color w:val="auto"/>
          <w:highlight w:val="none"/>
        </w:rPr>
      </w:pPr>
    </w:p>
    <w:p w14:paraId="1A5C39A2">
      <w:pPr>
        <w:rPr>
          <w:rFonts w:hint="eastAsia" w:cs="宋体" w:asciiTheme="majorEastAsia" w:hAnsiTheme="majorEastAsia" w:eastAsiaTheme="majorEastAsia"/>
          <w:color w:val="auto"/>
          <w:highlight w:val="none"/>
        </w:rPr>
      </w:pPr>
    </w:p>
    <w:p w14:paraId="23B9F9C3">
      <w:pPr>
        <w:rPr>
          <w:rFonts w:hint="eastAsia" w:cs="宋体" w:asciiTheme="majorEastAsia" w:hAnsiTheme="majorEastAsia" w:eastAsiaTheme="majorEastAsia"/>
          <w:color w:val="auto"/>
          <w:highlight w:val="none"/>
        </w:rPr>
      </w:pPr>
    </w:p>
    <w:p w14:paraId="134D4D6C">
      <w:pPr>
        <w:rPr>
          <w:rFonts w:hint="eastAsia" w:cs="宋体" w:asciiTheme="majorEastAsia" w:hAnsiTheme="majorEastAsia" w:eastAsiaTheme="majorEastAsia"/>
          <w:color w:val="auto"/>
          <w:highlight w:val="none"/>
        </w:rPr>
      </w:pPr>
    </w:p>
    <w:p w14:paraId="0A972F8F">
      <w:pPr>
        <w:rPr>
          <w:rFonts w:hint="eastAsia" w:cs="宋体" w:asciiTheme="majorEastAsia" w:hAnsiTheme="majorEastAsia" w:eastAsiaTheme="majorEastAsia"/>
          <w:color w:val="auto"/>
          <w:highlight w:val="none"/>
        </w:rPr>
      </w:pPr>
    </w:p>
    <w:p w14:paraId="22FBABD6">
      <w:pPr>
        <w:pStyle w:val="18"/>
        <w:rPr>
          <w:rFonts w:hint="eastAsia" w:cs="宋体" w:asciiTheme="majorEastAsia" w:hAnsiTheme="majorEastAsia" w:eastAsiaTheme="majorEastAsia"/>
          <w:color w:val="auto"/>
          <w:highlight w:val="none"/>
        </w:rPr>
      </w:pPr>
      <w:r>
        <w:rPr>
          <w:rFonts w:cs="宋体" w:asciiTheme="majorEastAsia" w:hAnsiTheme="majorEastAsia" w:eastAsiaTheme="majorEastAsia"/>
          <w:b w:val="0"/>
          <w:color w:val="auto"/>
          <w:highlight w:val="none"/>
        </w:rPr>
        <w:br w:type="page"/>
      </w:r>
      <w:bookmarkStart w:id="108" w:name="_Toc28149"/>
      <w:bookmarkStart w:id="109" w:name="_Toc21715"/>
      <w:r>
        <w:rPr>
          <w:rFonts w:hint="eastAsia" w:cs="宋体" w:asciiTheme="majorEastAsia" w:hAnsiTheme="majorEastAsia" w:eastAsiaTheme="majorEastAsia"/>
          <w:color w:val="auto"/>
          <w:highlight w:val="none"/>
        </w:rPr>
        <w:t>第七章 技术标准和要求（合同技术条款）</w:t>
      </w:r>
      <w:bookmarkEnd w:id="108"/>
      <w:bookmarkEnd w:id="109"/>
    </w:p>
    <w:p w14:paraId="0607DBB6">
      <w:pPr>
        <w:jc w:val="left"/>
        <w:rPr>
          <w:rFonts w:hint="eastAsia" w:cs="宋体" w:asciiTheme="majorEastAsia" w:hAnsiTheme="majorEastAsia" w:eastAsiaTheme="majorEastAsia"/>
          <w:color w:val="auto"/>
          <w:sz w:val="36"/>
          <w:szCs w:val="36"/>
          <w:highlight w:val="none"/>
        </w:rPr>
      </w:pPr>
    </w:p>
    <w:p w14:paraId="26B32F6F">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按照国家、省及水利行业相关标准及招标文件技术条款执行。</w:t>
      </w:r>
    </w:p>
    <w:p w14:paraId="29F39BAA">
      <w:pPr>
        <w:spacing w:line="360" w:lineRule="auto"/>
        <w:ind w:firstLine="241" w:firstLineChars="100"/>
        <w:jc w:val="left"/>
        <w:rPr>
          <w:rFonts w:hint="eastAsia" w:cs="宋体" w:asciiTheme="majorEastAsia" w:hAnsiTheme="majorEastAsia" w:eastAsiaTheme="majorEastAsia"/>
          <w:color w:val="auto"/>
          <w:sz w:val="24"/>
          <w:szCs w:val="24"/>
          <w:highlight w:val="none"/>
        </w:rPr>
      </w:pPr>
      <w:r>
        <w:rPr>
          <w:rFonts w:cs="宋体" w:asciiTheme="majorEastAsia" w:hAnsiTheme="majorEastAsia" w:eastAsiaTheme="majorEastAsia"/>
          <w:b/>
          <w:color w:val="auto"/>
          <w:sz w:val="24"/>
          <w:szCs w:val="24"/>
          <w:highlight w:val="none"/>
        </w:rPr>
        <w:br w:type="page"/>
      </w:r>
    </w:p>
    <w:p w14:paraId="090DA59D">
      <w:pPr>
        <w:pStyle w:val="39"/>
        <w:rPr>
          <w:rFonts w:hint="eastAsia" w:cs="宋体" w:asciiTheme="majorEastAsia" w:hAnsiTheme="majorEastAsia" w:eastAsiaTheme="majorEastAsia"/>
          <w:b/>
          <w:color w:val="auto"/>
          <w:sz w:val="84"/>
          <w:highlight w:val="none"/>
        </w:rPr>
      </w:pPr>
      <w:bookmarkStart w:id="110" w:name="_Toc22799"/>
    </w:p>
    <w:p w14:paraId="76020BDB">
      <w:pPr>
        <w:pStyle w:val="39"/>
        <w:rPr>
          <w:rFonts w:hint="eastAsia" w:cs="宋体" w:asciiTheme="majorEastAsia" w:hAnsiTheme="majorEastAsia" w:eastAsiaTheme="majorEastAsia"/>
          <w:b/>
          <w:color w:val="auto"/>
          <w:sz w:val="84"/>
          <w:highlight w:val="none"/>
        </w:rPr>
      </w:pPr>
    </w:p>
    <w:p w14:paraId="2FB1FB92">
      <w:pPr>
        <w:pStyle w:val="39"/>
        <w:rPr>
          <w:rFonts w:hint="eastAsia" w:cs="宋体" w:asciiTheme="majorEastAsia" w:hAnsiTheme="majorEastAsia" w:eastAsiaTheme="majorEastAsia"/>
          <w:b/>
          <w:color w:val="auto"/>
          <w:sz w:val="84"/>
          <w:highlight w:val="none"/>
        </w:rPr>
      </w:pPr>
    </w:p>
    <w:p w14:paraId="4F471D1F">
      <w:pPr>
        <w:pStyle w:val="39"/>
        <w:rPr>
          <w:rFonts w:hint="eastAsia" w:cs="宋体" w:asciiTheme="majorEastAsia" w:hAnsiTheme="majorEastAsia" w:eastAsiaTheme="majorEastAsia"/>
          <w:b/>
          <w:color w:val="auto"/>
          <w:sz w:val="84"/>
          <w:highlight w:val="none"/>
        </w:rPr>
      </w:pPr>
    </w:p>
    <w:p w14:paraId="59E47F0F">
      <w:pPr>
        <w:pStyle w:val="39"/>
        <w:rPr>
          <w:rFonts w:hint="eastAsia" w:cs="宋体" w:asciiTheme="majorEastAsia" w:hAnsiTheme="majorEastAsia" w:eastAsiaTheme="majorEastAsia"/>
          <w:b/>
          <w:color w:val="auto"/>
          <w:sz w:val="84"/>
          <w:highlight w:val="none"/>
        </w:rPr>
      </w:pPr>
    </w:p>
    <w:p w14:paraId="25BB0C99">
      <w:pPr>
        <w:spacing w:line="360" w:lineRule="auto"/>
        <w:jc w:val="center"/>
        <w:outlineLvl w:val="0"/>
        <w:rPr>
          <w:rFonts w:hint="eastAsia" w:cs="宋体" w:asciiTheme="majorEastAsia" w:hAnsiTheme="majorEastAsia" w:eastAsiaTheme="majorEastAsia"/>
          <w:color w:val="auto"/>
          <w:sz w:val="84"/>
          <w:szCs w:val="84"/>
          <w:highlight w:val="none"/>
        </w:rPr>
      </w:pPr>
      <w:bookmarkStart w:id="111" w:name="_Toc24813"/>
      <w:r>
        <w:rPr>
          <w:rFonts w:hint="eastAsia" w:cs="宋体" w:asciiTheme="majorEastAsia" w:hAnsiTheme="majorEastAsia" w:eastAsiaTheme="majorEastAsia"/>
          <w:color w:val="auto"/>
          <w:sz w:val="84"/>
          <w:szCs w:val="84"/>
          <w:highlight w:val="none"/>
        </w:rPr>
        <w:t>第 四 卷</w:t>
      </w:r>
      <w:bookmarkEnd w:id="110"/>
      <w:bookmarkEnd w:id="111"/>
    </w:p>
    <w:p w14:paraId="2F06ACFC">
      <w:pPr>
        <w:spacing w:line="520" w:lineRule="exact"/>
        <w:rPr>
          <w:rFonts w:hint="eastAsia" w:cs="宋体" w:asciiTheme="majorEastAsia" w:hAnsiTheme="majorEastAsia" w:eastAsiaTheme="majorEastAsia"/>
          <w:color w:val="auto"/>
          <w:szCs w:val="21"/>
          <w:highlight w:val="none"/>
        </w:rPr>
      </w:pPr>
    </w:p>
    <w:p w14:paraId="7FE7E7EB">
      <w:pPr>
        <w:rPr>
          <w:rFonts w:hint="eastAsia" w:cs="宋体" w:asciiTheme="majorEastAsia" w:hAnsiTheme="majorEastAsia" w:eastAsiaTheme="majorEastAsia"/>
          <w:color w:val="auto"/>
          <w:szCs w:val="21"/>
          <w:highlight w:val="none"/>
        </w:rPr>
      </w:pPr>
    </w:p>
    <w:p w14:paraId="5601BEC3">
      <w:pPr>
        <w:rPr>
          <w:rFonts w:hint="eastAsia" w:cs="宋体" w:asciiTheme="majorEastAsia" w:hAnsiTheme="majorEastAsia" w:eastAsiaTheme="majorEastAsia"/>
          <w:color w:val="auto"/>
          <w:szCs w:val="21"/>
          <w:highlight w:val="none"/>
        </w:rPr>
      </w:pPr>
    </w:p>
    <w:p w14:paraId="11C9433C">
      <w:pPr>
        <w:rPr>
          <w:rFonts w:hint="eastAsia" w:cs="宋体" w:asciiTheme="majorEastAsia" w:hAnsiTheme="majorEastAsia" w:eastAsiaTheme="majorEastAsia"/>
          <w:color w:val="auto"/>
          <w:szCs w:val="21"/>
          <w:highlight w:val="none"/>
        </w:rPr>
      </w:pPr>
    </w:p>
    <w:p w14:paraId="0AFCF93E">
      <w:pPr>
        <w:rPr>
          <w:rFonts w:hint="eastAsia" w:cs="宋体" w:asciiTheme="majorEastAsia" w:hAnsiTheme="majorEastAsia" w:eastAsiaTheme="majorEastAsia"/>
          <w:color w:val="auto"/>
          <w:szCs w:val="21"/>
          <w:highlight w:val="none"/>
        </w:rPr>
      </w:pPr>
    </w:p>
    <w:p w14:paraId="527DA7F9">
      <w:pPr>
        <w:rPr>
          <w:rFonts w:hint="eastAsia" w:cs="宋体" w:asciiTheme="majorEastAsia" w:hAnsiTheme="majorEastAsia" w:eastAsiaTheme="majorEastAsia"/>
          <w:color w:val="auto"/>
          <w:szCs w:val="21"/>
          <w:highlight w:val="none"/>
        </w:rPr>
      </w:pPr>
    </w:p>
    <w:p w14:paraId="3B1D625F">
      <w:pPr>
        <w:rPr>
          <w:rFonts w:hint="eastAsia" w:cs="宋体" w:asciiTheme="majorEastAsia" w:hAnsiTheme="majorEastAsia" w:eastAsiaTheme="majorEastAsia"/>
          <w:color w:val="auto"/>
          <w:szCs w:val="21"/>
          <w:highlight w:val="none"/>
        </w:rPr>
      </w:pPr>
    </w:p>
    <w:p w14:paraId="2774896E">
      <w:pPr>
        <w:rPr>
          <w:rFonts w:hint="eastAsia" w:cs="宋体" w:asciiTheme="majorEastAsia" w:hAnsiTheme="majorEastAsia" w:eastAsiaTheme="majorEastAsia"/>
          <w:color w:val="auto"/>
          <w:szCs w:val="21"/>
          <w:highlight w:val="none"/>
        </w:rPr>
      </w:pPr>
    </w:p>
    <w:p w14:paraId="0003DD1B">
      <w:pPr>
        <w:rPr>
          <w:rFonts w:hint="eastAsia" w:cs="宋体" w:asciiTheme="majorEastAsia" w:hAnsiTheme="majorEastAsia" w:eastAsiaTheme="majorEastAsia"/>
          <w:color w:val="auto"/>
          <w:szCs w:val="21"/>
          <w:highlight w:val="none"/>
        </w:rPr>
      </w:pPr>
    </w:p>
    <w:p w14:paraId="6C6E902D">
      <w:pPr>
        <w:rPr>
          <w:rFonts w:hint="eastAsia" w:cs="宋体" w:asciiTheme="majorEastAsia" w:hAnsiTheme="majorEastAsia" w:eastAsiaTheme="majorEastAsia"/>
          <w:color w:val="auto"/>
          <w:szCs w:val="21"/>
          <w:highlight w:val="none"/>
        </w:rPr>
      </w:pPr>
    </w:p>
    <w:p w14:paraId="6AB8468F">
      <w:pPr>
        <w:rPr>
          <w:rFonts w:hint="eastAsia" w:cs="宋体" w:asciiTheme="majorEastAsia" w:hAnsiTheme="majorEastAsia" w:eastAsiaTheme="majorEastAsia"/>
          <w:color w:val="auto"/>
          <w:szCs w:val="21"/>
          <w:highlight w:val="none"/>
        </w:rPr>
      </w:pPr>
    </w:p>
    <w:p w14:paraId="6DDF3351">
      <w:pPr>
        <w:rPr>
          <w:rFonts w:hint="eastAsia" w:cs="宋体" w:asciiTheme="majorEastAsia" w:hAnsiTheme="majorEastAsia" w:eastAsiaTheme="majorEastAsia"/>
          <w:color w:val="auto"/>
          <w:szCs w:val="21"/>
          <w:highlight w:val="none"/>
        </w:rPr>
      </w:pPr>
    </w:p>
    <w:p w14:paraId="7F918D7F">
      <w:pPr>
        <w:rPr>
          <w:rFonts w:hint="eastAsia" w:cs="宋体" w:asciiTheme="majorEastAsia" w:hAnsiTheme="majorEastAsia" w:eastAsiaTheme="majorEastAsia"/>
          <w:color w:val="auto"/>
          <w:szCs w:val="21"/>
          <w:highlight w:val="none"/>
        </w:rPr>
      </w:pPr>
    </w:p>
    <w:p w14:paraId="53AE87A9">
      <w:pPr>
        <w:rPr>
          <w:rFonts w:hint="eastAsia" w:cs="宋体" w:asciiTheme="majorEastAsia" w:hAnsiTheme="majorEastAsia" w:eastAsiaTheme="majorEastAsia"/>
          <w:color w:val="auto"/>
          <w:szCs w:val="21"/>
          <w:highlight w:val="none"/>
        </w:rPr>
      </w:pPr>
    </w:p>
    <w:p w14:paraId="3F0D880A">
      <w:pPr>
        <w:rPr>
          <w:rFonts w:hint="eastAsia" w:cs="宋体" w:asciiTheme="majorEastAsia" w:hAnsiTheme="majorEastAsia" w:eastAsiaTheme="majorEastAsia"/>
          <w:color w:val="auto"/>
          <w:szCs w:val="21"/>
          <w:highlight w:val="none"/>
        </w:rPr>
      </w:pPr>
    </w:p>
    <w:p w14:paraId="779B1208">
      <w:pPr>
        <w:spacing w:line="360" w:lineRule="auto"/>
        <w:rPr>
          <w:rFonts w:hint="eastAsia" w:cs="宋体" w:asciiTheme="majorEastAsia" w:hAnsiTheme="majorEastAsia" w:eastAsiaTheme="majorEastAsia"/>
          <w:b/>
          <w:color w:val="auto"/>
          <w:sz w:val="84"/>
          <w:highlight w:val="none"/>
        </w:rPr>
      </w:pPr>
      <w:bookmarkStart w:id="112" w:name="_Toc263675435"/>
      <w:bookmarkStart w:id="113" w:name="_Toc256773233"/>
      <w:bookmarkStart w:id="114" w:name="_Toc263674963"/>
      <w:bookmarkStart w:id="115" w:name="_Toc263413232"/>
      <w:bookmarkStart w:id="116" w:name="_Toc263675354"/>
      <w:r>
        <w:rPr>
          <w:rFonts w:hint="eastAsia" w:cs="宋体" w:asciiTheme="majorEastAsia" w:hAnsiTheme="majorEastAsia" w:eastAsiaTheme="majorEastAsia"/>
          <w:color w:val="auto"/>
          <w:szCs w:val="21"/>
          <w:highlight w:val="none"/>
        </w:rPr>
        <w:br w:type="page"/>
      </w:r>
      <w:bookmarkEnd w:id="112"/>
      <w:bookmarkEnd w:id="113"/>
      <w:bookmarkEnd w:id="114"/>
      <w:bookmarkEnd w:id="115"/>
      <w:bookmarkEnd w:id="116"/>
    </w:p>
    <w:p w14:paraId="6B4478F7">
      <w:pPr>
        <w:pStyle w:val="18"/>
        <w:rPr>
          <w:rFonts w:hint="eastAsia" w:cs="宋体" w:asciiTheme="majorEastAsia" w:hAnsiTheme="majorEastAsia" w:eastAsiaTheme="majorEastAsia"/>
          <w:color w:val="auto"/>
          <w:highlight w:val="none"/>
        </w:rPr>
      </w:pPr>
      <w:bookmarkStart w:id="117" w:name="_Toc6718"/>
      <w:r>
        <w:rPr>
          <w:rFonts w:hint="eastAsia" w:cs="宋体" w:asciiTheme="majorEastAsia" w:hAnsiTheme="majorEastAsia" w:eastAsiaTheme="majorEastAsia"/>
          <w:color w:val="auto"/>
          <w:highlight w:val="none"/>
        </w:rPr>
        <w:t>第八章 投标文件格式</w:t>
      </w:r>
      <w:bookmarkEnd w:id="117"/>
    </w:p>
    <w:p w14:paraId="1AFA4C56">
      <w:pPr>
        <w:spacing w:line="360" w:lineRule="auto"/>
        <w:rPr>
          <w:rFonts w:hint="eastAsia" w:cs="宋体" w:asciiTheme="majorEastAsia" w:hAnsiTheme="majorEastAsia" w:eastAsiaTheme="majorEastAsia"/>
          <w:b/>
          <w:color w:val="auto"/>
          <w:sz w:val="32"/>
          <w:highlight w:val="none"/>
        </w:rPr>
      </w:pPr>
      <w:r>
        <w:rPr>
          <w:rFonts w:cs="宋体" w:asciiTheme="majorEastAsia" w:hAnsiTheme="majorEastAsia" w:eastAsiaTheme="majorEastAsia"/>
          <w:b/>
          <w:color w:val="auto"/>
          <w:sz w:val="32"/>
          <w:highlight w:val="none"/>
        </w:rPr>
        <w:br w:type="page"/>
      </w:r>
    </w:p>
    <w:p w14:paraId="0C75927B">
      <w:pPr>
        <w:spacing w:line="360" w:lineRule="auto"/>
        <w:jc w:val="left"/>
        <w:rPr>
          <w:rFonts w:hint="eastAsia" w:cs="宋体" w:asciiTheme="majorEastAsia" w:hAnsiTheme="majorEastAsia" w:eastAsiaTheme="majorEastAsia"/>
          <w:color w:val="auto"/>
          <w:sz w:val="36"/>
          <w:highlight w:val="none"/>
        </w:rPr>
      </w:pPr>
      <w:r>
        <w:rPr>
          <w:rFonts w:hint="eastAsia" w:cs="宋体" w:asciiTheme="majorEastAsia" w:hAnsiTheme="majorEastAsia" w:eastAsiaTheme="majorEastAsia"/>
          <w:color w:val="auto"/>
          <w:sz w:val="36"/>
          <w:highlight w:val="none"/>
        </w:rPr>
        <w:t>格式1：</w:t>
      </w:r>
    </w:p>
    <w:p w14:paraId="7940B644">
      <w:pPr>
        <w:spacing w:line="360" w:lineRule="auto"/>
        <w:jc w:val="center"/>
        <w:rPr>
          <w:rFonts w:hint="eastAsia" w:cs="宋体" w:asciiTheme="majorEastAsia" w:hAnsiTheme="majorEastAsia" w:eastAsiaTheme="majorEastAsia"/>
          <w:color w:val="auto"/>
          <w:sz w:val="36"/>
          <w:highlight w:val="none"/>
        </w:rPr>
      </w:pPr>
    </w:p>
    <w:p w14:paraId="71D09A2A">
      <w:pPr>
        <w:pStyle w:val="2"/>
        <w:rPr>
          <w:color w:val="auto"/>
          <w:highlight w:val="none"/>
        </w:rPr>
      </w:pPr>
    </w:p>
    <w:p w14:paraId="472C9C2F">
      <w:pPr>
        <w:spacing w:line="360" w:lineRule="auto"/>
        <w:jc w:val="center"/>
        <w:rPr>
          <w:rFonts w:hint="eastAsia" w:cs="宋体" w:asciiTheme="majorEastAsia" w:hAnsiTheme="majorEastAsia" w:eastAsiaTheme="majorEastAsia"/>
          <w:color w:val="auto"/>
          <w:highlight w:val="none"/>
          <w:u w:val="single"/>
        </w:rPr>
      </w:pPr>
      <w:r>
        <w:rPr>
          <w:rFonts w:hint="eastAsia" w:cs="宋体" w:asciiTheme="majorEastAsia" w:hAnsiTheme="majorEastAsia" w:eastAsiaTheme="majorEastAsia"/>
          <w:b/>
          <w:color w:val="auto"/>
          <w:sz w:val="48"/>
          <w:highlight w:val="none"/>
          <w:u w:val="single"/>
        </w:rPr>
        <w:t>（项目名称）</w:t>
      </w:r>
      <w:r>
        <w:rPr>
          <w:rFonts w:hint="eastAsia" w:cs="宋体" w:asciiTheme="majorEastAsia" w:hAnsiTheme="majorEastAsia" w:eastAsiaTheme="majorEastAsia"/>
          <w:b/>
          <w:color w:val="auto"/>
          <w:sz w:val="48"/>
          <w:highlight w:val="none"/>
        </w:rPr>
        <w:t>招标</w:t>
      </w:r>
    </w:p>
    <w:p w14:paraId="0A0858D0">
      <w:pPr>
        <w:spacing w:line="360" w:lineRule="auto"/>
        <w:rPr>
          <w:rFonts w:hint="eastAsia" w:cs="宋体" w:asciiTheme="majorEastAsia" w:hAnsiTheme="majorEastAsia" w:eastAsiaTheme="majorEastAsia"/>
          <w:b/>
          <w:color w:val="auto"/>
          <w:sz w:val="32"/>
          <w:highlight w:val="none"/>
        </w:rPr>
      </w:pPr>
    </w:p>
    <w:p w14:paraId="1E5B6268">
      <w:pPr>
        <w:spacing w:line="360" w:lineRule="auto"/>
        <w:rPr>
          <w:rFonts w:hint="eastAsia" w:cs="宋体" w:asciiTheme="majorEastAsia" w:hAnsiTheme="majorEastAsia" w:eastAsiaTheme="majorEastAsia"/>
          <w:color w:val="auto"/>
          <w:highlight w:val="none"/>
        </w:rPr>
      </w:pPr>
    </w:p>
    <w:p w14:paraId="3BE0C60F">
      <w:pPr>
        <w:jc w:val="center"/>
        <w:rPr>
          <w:rFonts w:hint="eastAsia" w:asciiTheme="majorEastAsia" w:hAnsiTheme="majorEastAsia" w:eastAsiaTheme="majorEastAsia"/>
          <w:b/>
          <w:color w:val="auto"/>
          <w:highlight w:val="none"/>
        </w:rPr>
      </w:pPr>
    </w:p>
    <w:p w14:paraId="0E8E718C">
      <w:pPr>
        <w:jc w:val="center"/>
        <w:rPr>
          <w:rFonts w:hint="eastAsia" w:cs="宋体" w:asciiTheme="majorEastAsia" w:hAnsiTheme="majorEastAsia" w:eastAsiaTheme="majorEastAsia"/>
          <w:b/>
          <w:color w:val="auto"/>
          <w:highlight w:val="none"/>
        </w:rPr>
      </w:pPr>
    </w:p>
    <w:p w14:paraId="299DF135">
      <w:pPr>
        <w:jc w:val="center"/>
        <w:rPr>
          <w:rFonts w:hint="eastAsia" w:cs="宋体" w:asciiTheme="majorEastAsia" w:hAnsiTheme="majorEastAsia" w:eastAsiaTheme="majorEastAsia"/>
          <w:b/>
          <w:color w:val="auto"/>
          <w:highlight w:val="none"/>
        </w:rPr>
      </w:pPr>
    </w:p>
    <w:p w14:paraId="1726FD3E">
      <w:pPr>
        <w:jc w:val="center"/>
        <w:rPr>
          <w:rFonts w:hint="eastAsia" w:cs="宋体" w:asciiTheme="majorEastAsia" w:hAnsiTheme="majorEastAsia" w:eastAsiaTheme="majorEastAsia"/>
          <w:b/>
          <w:color w:val="auto"/>
          <w:highlight w:val="none"/>
        </w:rPr>
      </w:pPr>
    </w:p>
    <w:p w14:paraId="268D285C">
      <w:pPr>
        <w:spacing w:line="360" w:lineRule="auto"/>
        <w:jc w:val="center"/>
        <w:rPr>
          <w:rFonts w:hint="eastAsia" w:cs="宋体" w:asciiTheme="majorEastAsia" w:hAnsiTheme="majorEastAsia" w:eastAsiaTheme="majorEastAsia"/>
          <w:color w:val="auto"/>
          <w:sz w:val="72"/>
          <w:highlight w:val="none"/>
        </w:rPr>
      </w:pPr>
    </w:p>
    <w:p w14:paraId="098DF49E">
      <w:pPr>
        <w:spacing w:line="360" w:lineRule="auto"/>
        <w:jc w:val="center"/>
        <w:rPr>
          <w:rFonts w:hint="eastAsia" w:cs="宋体" w:asciiTheme="majorEastAsia" w:hAnsiTheme="majorEastAsia" w:eastAsiaTheme="majorEastAsia"/>
          <w:color w:val="auto"/>
          <w:sz w:val="72"/>
          <w:highlight w:val="none"/>
        </w:rPr>
      </w:pPr>
      <w:r>
        <w:rPr>
          <w:rFonts w:hint="eastAsia" w:cs="宋体" w:asciiTheme="majorEastAsia" w:hAnsiTheme="majorEastAsia" w:eastAsiaTheme="majorEastAsia"/>
          <w:color w:val="auto"/>
          <w:sz w:val="72"/>
          <w:highlight w:val="none"/>
        </w:rPr>
        <w:t>投标文件</w:t>
      </w:r>
    </w:p>
    <w:p w14:paraId="4134B21D">
      <w:pPr>
        <w:spacing w:line="360" w:lineRule="auto"/>
        <w:jc w:val="center"/>
        <w:rPr>
          <w:rFonts w:hint="eastAsia" w:cs="宋体" w:asciiTheme="majorEastAsia" w:hAnsiTheme="majorEastAsia" w:eastAsiaTheme="majorEastAsia"/>
          <w:color w:val="auto"/>
          <w:sz w:val="52"/>
          <w:highlight w:val="none"/>
        </w:rPr>
      </w:pPr>
    </w:p>
    <w:p w14:paraId="3A4E3B74">
      <w:pPr>
        <w:spacing w:line="360" w:lineRule="auto"/>
        <w:jc w:val="center"/>
        <w:rPr>
          <w:rFonts w:hint="eastAsia" w:ascii="宋体" w:hAnsi="宋体"/>
          <w:b/>
          <w:bCs/>
          <w:color w:val="auto"/>
          <w:sz w:val="44"/>
          <w:szCs w:val="44"/>
          <w:highlight w:val="none"/>
        </w:rPr>
      </w:pPr>
      <w:r>
        <w:rPr>
          <w:rFonts w:hint="eastAsia" w:ascii="宋体" w:hAnsi="宋体"/>
          <w:b/>
          <w:bCs/>
          <w:color w:val="auto"/>
          <w:sz w:val="44"/>
          <w:szCs w:val="44"/>
          <w:highlight w:val="none"/>
        </w:rPr>
        <w:t>（第一册：商务标书）</w:t>
      </w:r>
    </w:p>
    <w:p w14:paraId="115ECFC7">
      <w:pPr>
        <w:spacing w:line="360" w:lineRule="auto"/>
        <w:rPr>
          <w:rFonts w:hint="eastAsia" w:cs="宋体" w:asciiTheme="majorEastAsia" w:hAnsiTheme="majorEastAsia" w:eastAsiaTheme="majorEastAsia"/>
          <w:color w:val="auto"/>
          <w:highlight w:val="none"/>
        </w:rPr>
      </w:pPr>
    </w:p>
    <w:p w14:paraId="0E1FB4B3">
      <w:pPr>
        <w:spacing w:line="360" w:lineRule="auto"/>
        <w:ind w:firstLine="420"/>
        <w:rPr>
          <w:rFonts w:hint="eastAsia" w:cs="宋体" w:asciiTheme="majorEastAsia" w:hAnsiTheme="majorEastAsia" w:eastAsiaTheme="majorEastAsia"/>
          <w:color w:val="auto"/>
          <w:highlight w:val="none"/>
        </w:rPr>
      </w:pPr>
    </w:p>
    <w:p w14:paraId="659BC31D">
      <w:pPr>
        <w:spacing w:line="360" w:lineRule="auto"/>
        <w:rPr>
          <w:rFonts w:hint="eastAsia" w:cs="宋体" w:asciiTheme="majorEastAsia" w:hAnsiTheme="majorEastAsia" w:eastAsiaTheme="majorEastAsia"/>
          <w:color w:val="auto"/>
          <w:highlight w:val="none"/>
        </w:rPr>
      </w:pPr>
    </w:p>
    <w:p w14:paraId="0156F330">
      <w:pPr>
        <w:spacing w:line="360" w:lineRule="auto"/>
        <w:ind w:firstLine="420"/>
        <w:rPr>
          <w:rFonts w:hint="eastAsia" w:cs="宋体" w:asciiTheme="majorEastAsia" w:hAnsiTheme="majorEastAsia" w:eastAsiaTheme="majorEastAsia"/>
          <w:color w:val="auto"/>
          <w:highlight w:val="none"/>
        </w:rPr>
      </w:pPr>
    </w:p>
    <w:p w14:paraId="6ECB7D69">
      <w:pPr>
        <w:spacing w:line="360" w:lineRule="auto"/>
        <w:ind w:firstLine="560" w:firstLineChars="200"/>
        <w:rPr>
          <w:rFonts w:hint="eastAsia" w:cs="宋体" w:asciiTheme="majorEastAsia" w:hAnsiTheme="majorEastAsia" w:eastAsiaTheme="majorEastAsia"/>
          <w:color w:val="auto"/>
          <w:sz w:val="28"/>
          <w:highlight w:val="none"/>
        </w:rPr>
      </w:pPr>
      <w:r>
        <w:rPr>
          <w:rFonts w:hint="eastAsia" w:cs="宋体" w:asciiTheme="majorEastAsia" w:hAnsiTheme="majorEastAsia" w:eastAsiaTheme="majorEastAsia"/>
          <w:color w:val="auto"/>
          <w:sz w:val="28"/>
          <w:highlight w:val="none"/>
        </w:rPr>
        <w:t>投标人：</w:t>
      </w:r>
      <w:r>
        <w:rPr>
          <w:rFonts w:hint="eastAsia" w:ascii="宋体" w:hAnsi="宋体" w:cs="宋体"/>
          <w:color w:val="auto"/>
          <w:sz w:val="28"/>
          <w:szCs w:val="28"/>
          <w:highlight w:val="none"/>
          <w:u w:val="single"/>
        </w:rPr>
        <w:t xml:space="preserve">      （投标人名称）     </w:t>
      </w:r>
      <w:r>
        <w:rPr>
          <w:rFonts w:hint="eastAsia" w:cs="宋体" w:asciiTheme="majorEastAsia" w:hAnsiTheme="majorEastAsia" w:eastAsiaTheme="majorEastAsia"/>
          <w:color w:val="auto"/>
          <w:sz w:val="28"/>
          <w:highlight w:val="none"/>
        </w:rPr>
        <w:t>（盖单位章）</w:t>
      </w:r>
    </w:p>
    <w:p w14:paraId="2EC9F97F">
      <w:pPr>
        <w:spacing w:line="360" w:lineRule="auto"/>
        <w:ind w:firstLine="560"/>
        <w:rPr>
          <w:rFonts w:hint="eastAsia" w:cs="宋体" w:asciiTheme="majorEastAsia" w:hAnsiTheme="majorEastAsia" w:eastAsiaTheme="majorEastAsia"/>
          <w:color w:val="auto"/>
          <w:sz w:val="28"/>
          <w:highlight w:val="none"/>
        </w:rPr>
      </w:pPr>
      <w:r>
        <w:rPr>
          <w:rFonts w:hint="eastAsia" w:cs="宋体" w:asciiTheme="majorEastAsia" w:hAnsiTheme="majorEastAsia" w:eastAsiaTheme="majorEastAsia"/>
          <w:color w:val="auto"/>
          <w:sz w:val="28"/>
          <w:highlight w:val="none"/>
        </w:rPr>
        <w:t>法定代表人或其授权委托人：</w:t>
      </w:r>
      <w:r>
        <w:rPr>
          <w:rFonts w:hint="eastAsia" w:ascii="宋体" w:hAnsi="宋体" w:cs="宋体"/>
          <w:color w:val="auto"/>
          <w:sz w:val="28"/>
          <w:szCs w:val="28"/>
          <w:highlight w:val="none"/>
          <w:u w:val="single"/>
        </w:rPr>
        <w:t xml:space="preserve">            </w:t>
      </w:r>
      <w:r>
        <w:rPr>
          <w:rFonts w:hint="eastAsia" w:cs="宋体" w:asciiTheme="majorEastAsia" w:hAnsiTheme="majorEastAsia" w:eastAsiaTheme="majorEastAsia"/>
          <w:color w:val="auto"/>
          <w:sz w:val="28"/>
          <w:highlight w:val="none"/>
        </w:rPr>
        <w:t>（签字）</w:t>
      </w:r>
    </w:p>
    <w:p w14:paraId="358733A3">
      <w:pPr>
        <w:pStyle w:val="40"/>
        <w:rPr>
          <w:rFonts w:eastAsiaTheme="majorEastAsia"/>
          <w:color w:val="auto"/>
          <w:highlight w:val="none"/>
        </w:rPr>
      </w:pPr>
    </w:p>
    <w:p w14:paraId="2474B775">
      <w:pPr>
        <w:spacing w:line="360" w:lineRule="auto"/>
        <w:ind w:firstLine="420"/>
        <w:jc w:val="center"/>
        <w:rPr>
          <w:rFonts w:hint="eastAsia" w:cs="宋体" w:asciiTheme="majorEastAsia" w:hAnsiTheme="majorEastAsia" w:eastAsiaTheme="majorEastAsia"/>
          <w:color w:val="auto"/>
          <w:highlight w:val="none"/>
          <w:u w:val="single"/>
        </w:rPr>
      </w:pPr>
    </w:p>
    <w:p w14:paraId="7154FF55">
      <w:pPr>
        <w:spacing w:line="360" w:lineRule="auto"/>
        <w:ind w:firstLine="560"/>
        <w:jc w:val="center"/>
        <w:rPr>
          <w:rFonts w:hint="eastAsia" w:cs="宋体" w:asciiTheme="majorEastAsia" w:hAnsiTheme="majorEastAsia" w:eastAsiaTheme="majorEastAsia"/>
          <w:color w:val="auto"/>
          <w:sz w:val="28"/>
          <w:highlight w:val="none"/>
        </w:rPr>
      </w:pPr>
      <w:r>
        <w:rPr>
          <w:rFonts w:hint="eastAsia" w:cs="宋体" w:asciiTheme="majorEastAsia" w:hAnsiTheme="majorEastAsia" w:eastAsiaTheme="majorEastAsia"/>
          <w:color w:val="auto"/>
          <w:sz w:val="28"/>
          <w:highlight w:val="none"/>
        </w:rPr>
        <w:t>年   月   日</w:t>
      </w:r>
    </w:p>
    <w:p w14:paraId="0CC4D3F1">
      <w:pPr>
        <w:tabs>
          <w:tab w:val="left" w:pos="7425"/>
        </w:tabs>
        <w:ind w:firstLine="420"/>
        <w:rPr>
          <w:rFonts w:hint="eastAsia"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ab/>
      </w:r>
    </w:p>
    <w:p w14:paraId="608E1284">
      <w:pPr>
        <w:tabs>
          <w:tab w:val="left" w:pos="7425"/>
        </w:tabs>
        <w:ind w:firstLine="420"/>
        <w:rPr>
          <w:rFonts w:hint="eastAsia" w:cs="宋体" w:asciiTheme="majorEastAsia" w:hAnsiTheme="majorEastAsia" w:eastAsiaTheme="majorEastAsia"/>
          <w:b/>
          <w:color w:val="auto"/>
          <w:sz w:val="24"/>
          <w:highlight w:val="none"/>
        </w:rPr>
      </w:pPr>
    </w:p>
    <w:p w14:paraId="53074766">
      <w:pPr>
        <w:spacing w:line="360" w:lineRule="auto"/>
        <w:jc w:val="center"/>
        <w:rPr>
          <w:rFonts w:hint="eastAsia" w:cs="宋体" w:asciiTheme="majorEastAsia" w:hAnsiTheme="majorEastAsia" w:eastAsiaTheme="majorEastAsia"/>
          <w:b/>
          <w:color w:val="auto"/>
          <w:sz w:val="24"/>
          <w:highlight w:val="none"/>
        </w:rPr>
      </w:pPr>
      <w:r>
        <w:rPr>
          <w:rFonts w:cs="宋体" w:asciiTheme="majorEastAsia" w:hAnsiTheme="majorEastAsia" w:eastAsiaTheme="majorEastAsia"/>
          <w:b/>
          <w:color w:val="auto"/>
          <w:sz w:val="24"/>
          <w:highlight w:val="none"/>
        </w:rPr>
        <w:br w:type="page"/>
      </w:r>
      <w:r>
        <w:rPr>
          <w:rFonts w:hint="eastAsia" w:cs="宋体" w:asciiTheme="majorEastAsia" w:hAnsiTheme="majorEastAsia" w:eastAsiaTheme="majorEastAsia"/>
          <w:b/>
          <w:color w:val="auto"/>
          <w:sz w:val="24"/>
          <w:highlight w:val="none"/>
        </w:rPr>
        <w:t>评审因素索引表</w:t>
      </w:r>
    </w:p>
    <w:tbl>
      <w:tblPr>
        <w:tblStyle w:val="20"/>
        <w:tblW w:w="0" w:type="auto"/>
        <w:tblInd w:w="288" w:type="dxa"/>
        <w:tblLayout w:type="autofit"/>
        <w:tblCellMar>
          <w:top w:w="0" w:type="dxa"/>
          <w:left w:w="10" w:type="dxa"/>
          <w:bottom w:w="0" w:type="dxa"/>
          <w:right w:w="10" w:type="dxa"/>
        </w:tblCellMar>
      </w:tblPr>
      <w:tblGrid>
        <w:gridCol w:w="914"/>
        <w:gridCol w:w="6367"/>
        <w:gridCol w:w="2137"/>
      </w:tblGrid>
      <w:tr w14:paraId="6C34F44D">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648325">
            <w:pP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b/>
                <w:color w:val="auto"/>
                <w:highlight w:val="none"/>
              </w:rPr>
              <w:t>序号</w:t>
            </w: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9ABD1F">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b/>
                <w:color w:val="auto"/>
                <w:highlight w:val="none"/>
              </w:rPr>
              <w:t>评审因素</w:t>
            </w: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20D2D9">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b/>
                <w:color w:val="auto"/>
                <w:highlight w:val="none"/>
              </w:rPr>
              <w:t>投标文件页码范围</w:t>
            </w:r>
          </w:p>
        </w:tc>
      </w:tr>
      <w:tr w14:paraId="73497918">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2FE3F7">
            <w:pPr>
              <w:jc w:val="center"/>
              <w:rPr>
                <w:rFonts w:hint="eastAsia"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90C08B">
            <w:pPr>
              <w:jc w:val="center"/>
              <w:rPr>
                <w:rFonts w:hint="eastAsia"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C54B">
            <w:pPr>
              <w:rPr>
                <w:rFonts w:hint="eastAsia"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6D680877">
        <w:tblPrEx>
          <w:tblCellMar>
            <w:top w:w="0" w:type="dxa"/>
            <w:left w:w="10" w:type="dxa"/>
            <w:bottom w:w="0" w:type="dxa"/>
            <w:right w:w="10" w:type="dxa"/>
          </w:tblCellMar>
        </w:tblPrEx>
        <w:trPr>
          <w:trHeight w:val="100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F4B335">
            <w:pPr>
              <w:jc w:val="center"/>
              <w:rPr>
                <w:rFonts w:hint="eastAsia"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31ACBE">
            <w:pPr>
              <w:jc w:val="center"/>
              <w:rPr>
                <w:rFonts w:hint="eastAsia"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78782">
            <w:pPr>
              <w:rPr>
                <w:rFonts w:hint="eastAsia"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50B09C2F">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33F7D1">
            <w:pPr>
              <w:jc w:val="center"/>
              <w:rPr>
                <w:rFonts w:hint="eastAsia"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C633D5">
            <w:pPr>
              <w:jc w:val="center"/>
              <w:rPr>
                <w:rFonts w:hint="eastAsia"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FE0792">
            <w:pPr>
              <w:rPr>
                <w:rFonts w:hint="eastAsia"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6621CB9E">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DD49CF">
            <w:pPr>
              <w:jc w:val="center"/>
              <w:rPr>
                <w:rFonts w:hint="eastAsia"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DAF6B0">
            <w:pPr>
              <w:jc w:val="center"/>
              <w:rPr>
                <w:rFonts w:hint="eastAsia"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8C7748">
            <w:pPr>
              <w:rPr>
                <w:rFonts w:hint="eastAsia"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5B7891F2">
        <w:tblPrEx>
          <w:tblCellMar>
            <w:top w:w="0" w:type="dxa"/>
            <w:left w:w="10" w:type="dxa"/>
            <w:bottom w:w="0" w:type="dxa"/>
            <w:right w:w="10" w:type="dxa"/>
          </w:tblCellMar>
        </w:tblPrEx>
        <w:trPr>
          <w:trHeight w:val="100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2EAB10">
            <w:pPr>
              <w:jc w:val="center"/>
              <w:rPr>
                <w:rFonts w:hint="eastAsia"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499DF8">
            <w:pPr>
              <w:jc w:val="center"/>
              <w:rPr>
                <w:rFonts w:hint="eastAsia"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DC78AB">
            <w:pPr>
              <w:rPr>
                <w:rFonts w:hint="eastAsia"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58153AD8">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899C17">
            <w:pPr>
              <w:jc w:val="center"/>
              <w:rPr>
                <w:rFonts w:hint="eastAsia"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2AD10A">
            <w:pPr>
              <w:jc w:val="center"/>
              <w:rPr>
                <w:rFonts w:hint="eastAsia"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5AF445">
            <w:pPr>
              <w:rPr>
                <w:rFonts w:hint="eastAsia"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11F205B0">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8550B6">
            <w:pPr>
              <w:jc w:val="center"/>
              <w:rPr>
                <w:rFonts w:hint="eastAsia"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2F7955">
            <w:pPr>
              <w:jc w:val="center"/>
              <w:rPr>
                <w:rFonts w:hint="eastAsia"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BD6B8B">
            <w:pPr>
              <w:rPr>
                <w:rFonts w:hint="eastAsia"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4F40E5D7">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E8C1D3">
            <w:pPr>
              <w:jc w:val="center"/>
              <w:rPr>
                <w:rFonts w:hint="eastAsia"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8E1297">
            <w:pPr>
              <w:jc w:val="center"/>
              <w:rPr>
                <w:rFonts w:hint="eastAsia"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0C0BC5">
            <w:pPr>
              <w:rPr>
                <w:rFonts w:hint="eastAsia"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7A6BCC0C">
        <w:tblPrEx>
          <w:tblCellMar>
            <w:top w:w="0" w:type="dxa"/>
            <w:left w:w="10" w:type="dxa"/>
            <w:bottom w:w="0" w:type="dxa"/>
            <w:right w:w="10" w:type="dxa"/>
          </w:tblCellMar>
        </w:tblPrEx>
        <w:trPr>
          <w:trHeight w:val="100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E7DC96">
            <w:pPr>
              <w:jc w:val="center"/>
              <w:rPr>
                <w:rFonts w:hint="eastAsia"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AF6ED3">
            <w:pPr>
              <w:jc w:val="center"/>
              <w:rPr>
                <w:rFonts w:hint="eastAsia"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8F98F5">
            <w:pPr>
              <w:rPr>
                <w:rFonts w:hint="eastAsia"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2CBB08A3">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3F99B8">
            <w:pPr>
              <w:jc w:val="center"/>
              <w:rPr>
                <w:rFonts w:hint="eastAsia"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BF5DFF">
            <w:pPr>
              <w:jc w:val="center"/>
              <w:rPr>
                <w:rFonts w:hint="eastAsia"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59652C">
            <w:pPr>
              <w:rPr>
                <w:rFonts w:hint="eastAsia"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1B922EF3">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9070AC">
            <w:pPr>
              <w:jc w:val="center"/>
              <w:rPr>
                <w:rFonts w:hint="eastAsia"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AC5ABE">
            <w:pPr>
              <w:jc w:val="center"/>
              <w:rPr>
                <w:rFonts w:hint="eastAsia"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903B33">
            <w:pPr>
              <w:rPr>
                <w:rFonts w:hint="eastAsia"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bl>
    <w:p w14:paraId="58D7D78B">
      <w:pPr>
        <w:spacing w:line="360" w:lineRule="auto"/>
        <w:rPr>
          <w:rFonts w:hint="eastAsia" w:cs="宋体" w:asciiTheme="majorEastAsia" w:hAnsiTheme="majorEastAsia" w:eastAsiaTheme="majorEastAsia"/>
          <w:color w:val="auto"/>
          <w:sz w:val="28"/>
          <w:highlight w:val="none"/>
        </w:rPr>
      </w:pPr>
    </w:p>
    <w:p w14:paraId="6EF9B09D">
      <w:pP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br w:type="page"/>
      </w:r>
    </w:p>
    <w:p w14:paraId="77EEF98D">
      <w:pPr>
        <w:jc w:val="cente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目录</w:t>
      </w:r>
    </w:p>
    <w:p w14:paraId="303ED3E3">
      <w:pPr>
        <w:spacing w:line="480" w:lineRule="auto"/>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一、投标报价书</w:t>
      </w:r>
    </w:p>
    <w:p w14:paraId="1645759A">
      <w:pPr>
        <w:spacing w:line="480" w:lineRule="auto"/>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二、投标函及投标函附录</w:t>
      </w:r>
    </w:p>
    <w:p w14:paraId="405CEAAF">
      <w:pPr>
        <w:spacing w:line="480" w:lineRule="auto"/>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三、法定代表人身份证明或附有法定代表人身份证明的授权委托书</w:t>
      </w:r>
    </w:p>
    <w:p w14:paraId="7807C8F8">
      <w:pPr>
        <w:spacing w:line="480" w:lineRule="auto"/>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四、投标保证缴纳证明</w:t>
      </w:r>
    </w:p>
    <w:p w14:paraId="61385C35">
      <w:pPr>
        <w:spacing w:line="480" w:lineRule="auto"/>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五、项目管理机构表</w:t>
      </w:r>
    </w:p>
    <w:p w14:paraId="11BDC94D">
      <w:pPr>
        <w:spacing w:line="480" w:lineRule="auto"/>
        <w:rPr>
          <w:rFonts w:hint="eastAsia"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六、资格审查资料</w:t>
      </w:r>
    </w:p>
    <w:p w14:paraId="516E1A51">
      <w:pPr>
        <w:spacing w:line="480" w:lineRule="auto"/>
        <w:rPr>
          <w:rFonts w:hint="eastAsia"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七、投标承诺书</w:t>
      </w:r>
    </w:p>
    <w:p w14:paraId="7362533E">
      <w:pPr>
        <w:spacing w:line="480" w:lineRule="auto"/>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八、其他材料（若有）</w:t>
      </w:r>
    </w:p>
    <w:p w14:paraId="61B98B70">
      <w:pPr>
        <w:spacing w:line="480" w:lineRule="auto"/>
        <w:rPr>
          <w:rFonts w:hint="eastAsia" w:cs="宋体" w:asciiTheme="majorEastAsia" w:hAnsiTheme="majorEastAsia" w:eastAsiaTheme="majorEastAsia"/>
          <w:color w:val="auto"/>
          <w:sz w:val="24"/>
          <w:highlight w:val="none"/>
        </w:rPr>
      </w:pPr>
    </w:p>
    <w:p w14:paraId="58AB7120">
      <w:pPr>
        <w:spacing w:line="360" w:lineRule="auto"/>
        <w:ind w:firstLine="411"/>
        <w:rPr>
          <w:rFonts w:hint="eastAsia"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注：本目录不作为格式目录，投标人可相应修改或补充，为便于评标委员会评审，投标人可自行编制目录并编制页码。</w:t>
      </w:r>
    </w:p>
    <w:p w14:paraId="444790E9">
      <w:pPr>
        <w:spacing w:line="360" w:lineRule="auto"/>
        <w:ind w:firstLine="560"/>
        <w:jc w:val="center"/>
        <w:rPr>
          <w:rFonts w:hint="eastAsia" w:cs="宋体" w:asciiTheme="majorEastAsia" w:hAnsiTheme="majorEastAsia" w:eastAsiaTheme="majorEastAsia"/>
          <w:color w:val="auto"/>
          <w:sz w:val="28"/>
          <w:highlight w:val="none"/>
        </w:rPr>
      </w:pPr>
    </w:p>
    <w:p w14:paraId="78319A0E">
      <w:pPr>
        <w:rPr>
          <w:rFonts w:hint="eastAsia" w:cs="宋体" w:asciiTheme="majorEastAsia" w:hAnsiTheme="majorEastAsia" w:eastAsiaTheme="majorEastAsia"/>
          <w:color w:val="auto"/>
          <w:highlight w:val="none"/>
        </w:rPr>
      </w:pPr>
    </w:p>
    <w:p w14:paraId="0B716CD2">
      <w:pPr>
        <w:rPr>
          <w:rFonts w:hint="eastAsia" w:cs="宋体" w:asciiTheme="majorEastAsia" w:hAnsiTheme="majorEastAsia" w:eastAsiaTheme="majorEastAsia"/>
          <w:color w:val="auto"/>
          <w:highlight w:val="none"/>
        </w:rPr>
      </w:pPr>
    </w:p>
    <w:p w14:paraId="57C1B436">
      <w:pPr>
        <w:rPr>
          <w:rFonts w:hint="eastAsia" w:cs="宋体" w:asciiTheme="majorEastAsia" w:hAnsiTheme="majorEastAsia" w:eastAsiaTheme="majorEastAsia"/>
          <w:color w:val="auto"/>
          <w:highlight w:val="none"/>
        </w:rPr>
      </w:pPr>
    </w:p>
    <w:p w14:paraId="3CD12F4C">
      <w:pPr>
        <w:rPr>
          <w:rFonts w:hint="eastAsia" w:cs="宋体" w:asciiTheme="majorEastAsia" w:hAnsiTheme="majorEastAsia" w:eastAsiaTheme="majorEastAsia"/>
          <w:color w:val="auto"/>
          <w:highlight w:val="none"/>
        </w:rPr>
      </w:pPr>
    </w:p>
    <w:p w14:paraId="44DF6B9B">
      <w:pPr>
        <w:rPr>
          <w:rFonts w:hint="eastAsia" w:cs="宋体" w:asciiTheme="majorEastAsia" w:hAnsiTheme="majorEastAsia" w:eastAsiaTheme="majorEastAsia"/>
          <w:color w:val="auto"/>
          <w:highlight w:val="none"/>
        </w:rPr>
      </w:pPr>
    </w:p>
    <w:p w14:paraId="29E19E5E">
      <w:pPr>
        <w:rPr>
          <w:rFonts w:hint="eastAsia" w:cs="宋体" w:asciiTheme="majorEastAsia" w:hAnsiTheme="majorEastAsia" w:eastAsiaTheme="majorEastAsia"/>
          <w:color w:val="auto"/>
          <w:highlight w:val="none"/>
        </w:rPr>
      </w:pPr>
    </w:p>
    <w:p w14:paraId="16414CE4">
      <w:pPr>
        <w:rPr>
          <w:rFonts w:hint="eastAsia" w:cs="宋体" w:asciiTheme="majorEastAsia" w:hAnsiTheme="majorEastAsia" w:eastAsiaTheme="majorEastAsia"/>
          <w:color w:val="auto"/>
          <w:highlight w:val="none"/>
        </w:rPr>
      </w:pPr>
    </w:p>
    <w:p w14:paraId="35571DB0">
      <w:pPr>
        <w:rPr>
          <w:rFonts w:hint="eastAsia" w:cs="宋体" w:asciiTheme="majorEastAsia" w:hAnsiTheme="majorEastAsia" w:eastAsiaTheme="majorEastAsia"/>
          <w:color w:val="auto"/>
          <w:highlight w:val="none"/>
        </w:rPr>
      </w:pPr>
    </w:p>
    <w:p w14:paraId="126920B2">
      <w:pPr>
        <w:rPr>
          <w:rFonts w:hint="eastAsia" w:cs="宋体" w:asciiTheme="majorEastAsia" w:hAnsiTheme="majorEastAsia" w:eastAsiaTheme="majorEastAsia"/>
          <w:color w:val="auto"/>
          <w:highlight w:val="none"/>
        </w:rPr>
      </w:pPr>
    </w:p>
    <w:p w14:paraId="51491797">
      <w:pPr>
        <w:rPr>
          <w:rFonts w:hint="eastAsia" w:cs="宋体" w:asciiTheme="majorEastAsia" w:hAnsiTheme="majorEastAsia" w:eastAsiaTheme="majorEastAsia"/>
          <w:color w:val="auto"/>
          <w:highlight w:val="none"/>
        </w:rPr>
      </w:pPr>
    </w:p>
    <w:p w14:paraId="373CE679">
      <w:pPr>
        <w:rPr>
          <w:rFonts w:hint="eastAsia" w:cs="宋体" w:asciiTheme="majorEastAsia" w:hAnsiTheme="majorEastAsia" w:eastAsiaTheme="majorEastAsia"/>
          <w:color w:val="auto"/>
          <w:highlight w:val="none"/>
        </w:rPr>
      </w:pPr>
    </w:p>
    <w:p w14:paraId="0668FAD3">
      <w:pPr>
        <w:rPr>
          <w:rFonts w:hint="eastAsia" w:cs="宋体" w:asciiTheme="majorEastAsia" w:hAnsiTheme="majorEastAsia" w:eastAsiaTheme="majorEastAsia"/>
          <w:color w:val="auto"/>
          <w:highlight w:val="none"/>
        </w:rPr>
      </w:pPr>
    </w:p>
    <w:p w14:paraId="7D20CA6E">
      <w:pPr>
        <w:rPr>
          <w:rFonts w:hint="eastAsia" w:cs="宋体" w:asciiTheme="majorEastAsia" w:hAnsiTheme="majorEastAsia" w:eastAsiaTheme="majorEastAsia"/>
          <w:color w:val="auto"/>
          <w:highlight w:val="none"/>
        </w:rPr>
      </w:pPr>
    </w:p>
    <w:p w14:paraId="672D22E7">
      <w:pPr>
        <w:rPr>
          <w:rFonts w:hint="eastAsia" w:cs="宋体" w:asciiTheme="majorEastAsia" w:hAnsiTheme="majorEastAsia" w:eastAsiaTheme="majorEastAsia"/>
          <w:color w:val="auto"/>
          <w:highlight w:val="none"/>
        </w:rPr>
      </w:pPr>
    </w:p>
    <w:p w14:paraId="110BEA0A">
      <w:pPr>
        <w:rPr>
          <w:rFonts w:hint="eastAsia" w:cs="宋体" w:asciiTheme="majorEastAsia" w:hAnsiTheme="majorEastAsia" w:eastAsiaTheme="majorEastAsia"/>
          <w:color w:val="auto"/>
          <w:highlight w:val="none"/>
        </w:rPr>
      </w:pPr>
    </w:p>
    <w:p w14:paraId="377CB9A4">
      <w:pPr>
        <w:rPr>
          <w:rFonts w:hint="eastAsia" w:cs="宋体" w:asciiTheme="majorEastAsia" w:hAnsiTheme="majorEastAsia" w:eastAsiaTheme="majorEastAsia"/>
          <w:color w:val="auto"/>
          <w:highlight w:val="none"/>
        </w:rPr>
      </w:pPr>
    </w:p>
    <w:p w14:paraId="21AB2ED6">
      <w:pPr>
        <w:rPr>
          <w:rFonts w:hint="eastAsia" w:cs="宋体" w:asciiTheme="majorEastAsia" w:hAnsiTheme="majorEastAsia" w:eastAsiaTheme="majorEastAsia"/>
          <w:color w:val="auto"/>
          <w:highlight w:val="none"/>
        </w:rPr>
      </w:pPr>
    </w:p>
    <w:p w14:paraId="7C73B5CB">
      <w:pPr>
        <w:pStyle w:val="2"/>
        <w:rPr>
          <w:color w:val="auto"/>
          <w:highlight w:val="none"/>
        </w:rPr>
      </w:pPr>
    </w:p>
    <w:p w14:paraId="056A1A7E">
      <w:pPr>
        <w:rPr>
          <w:color w:val="auto"/>
          <w:highlight w:val="none"/>
        </w:rPr>
      </w:pPr>
    </w:p>
    <w:p w14:paraId="289AB77C">
      <w:pPr>
        <w:pStyle w:val="41"/>
        <w:rPr>
          <w:color w:val="auto"/>
          <w:highlight w:val="none"/>
        </w:rPr>
      </w:pPr>
    </w:p>
    <w:p w14:paraId="0A852D5B">
      <w:pPr>
        <w:spacing w:line="480" w:lineRule="auto"/>
        <w:jc w:val="center"/>
        <w:rPr>
          <w:rFonts w:hint="eastAsia" w:cs="宋体" w:asciiTheme="majorEastAsia" w:hAnsiTheme="majorEastAsia" w:eastAsiaTheme="majorEastAsia"/>
          <w:b/>
          <w:color w:val="auto"/>
          <w:sz w:val="32"/>
          <w:highlight w:val="none"/>
        </w:rPr>
        <w:sectPr>
          <w:pgSz w:w="11906" w:h="16838"/>
          <w:pgMar w:top="1134" w:right="1134" w:bottom="1134" w:left="1134" w:header="567" w:footer="567" w:gutter="0"/>
          <w:pgNumType w:fmt="numberInDash"/>
          <w:cols w:space="425" w:num="1"/>
          <w:docGrid w:type="lines" w:linePitch="312" w:charSpace="0"/>
        </w:sectPr>
      </w:pPr>
    </w:p>
    <w:p w14:paraId="412234D3">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一、投 标 报 价 书</w:t>
      </w:r>
    </w:p>
    <w:p w14:paraId="47F4EDD2">
      <w:pPr>
        <w:spacing w:line="360" w:lineRule="auto"/>
        <w:jc w:val="center"/>
        <w:rPr>
          <w:rFonts w:hint="eastAsia" w:ascii="宋体" w:hAnsi="宋体" w:cs="宋体"/>
          <w:b/>
          <w:color w:val="auto"/>
          <w:sz w:val="28"/>
          <w:szCs w:val="28"/>
          <w:highlight w:val="none"/>
        </w:rPr>
      </w:pPr>
    </w:p>
    <w:p w14:paraId="2FB413A0">
      <w:pPr>
        <w:adjustRightInd w:val="0"/>
        <w:snapToGrid w:val="0"/>
        <w:spacing w:line="360" w:lineRule="auto"/>
        <w:rPr>
          <w:rFonts w:hint="eastAsia" w:ascii="宋体" w:hAnsi="宋体" w:cs="宋体"/>
          <w:color w:val="auto"/>
          <w:sz w:val="22"/>
          <w:highlight w:val="none"/>
        </w:rPr>
      </w:pPr>
      <w:r>
        <w:rPr>
          <w:rFonts w:hint="eastAsia" w:ascii="宋体" w:hAnsi="宋体" w:cs="宋体"/>
          <w:snapToGrid w:val="0"/>
          <w:color w:val="auto"/>
          <w:kern w:val="0"/>
          <w:sz w:val="24"/>
          <w:highlight w:val="none"/>
          <w:u w:val="single"/>
        </w:rPr>
        <w:t xml:space="preserve">                  </w:t>
      </w:r>
      <w:r>
        <w:rPr>
          <w:rFonts w:hint="eastAsia" w:ascii="宋体" w:hAnsi="宋体" w:cs="宋体"/>
          <w:color w:val="auto"/>
          <w:sz w:val="24"/>
          <w:highlight w:val="none"/>
        </w:rPr>
        <w:t>（招标人名称）</w:t>
      </w:r>
      <w:r>
        <w:rPr>
          <w:rFonts w:hint="eastAsia" w:ascii="宋体" w:hAnsi="宋体" w:cs="宋体"/>
          <w:color w:val="auto"/>
          <w:sz w:val="22"/>
          <w:highlight w:val="none"/>
        </w:rPr>
        <w:t xml:space="preserve">: </w:t>
      </w:r>
    </w:p>
    <w:p w14:paraId="41AB6492">
      <w:pPr>
        <w:spacing w:line="360" w:lineRule="auto"/>
        <w:ind w:firstLine="480" w:firstLineChars="200"/>
        <w:jc w:val="left"/>
        <w:rPr>
          <w:rFonts w:hint="eastAsia" w:ascii="宋体" w:hAnsi="宋体" w:cs="宋体"/>
          <w:color w:val="auto"/>
          <w:sz w:val="24"/>
          <w:highlight w:val="none"/>
        </w:rPr>
      </w:pPr>
    </w:p>
    <w:p w14:paraId="3E18D70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我方已仔细研究了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（项目名称）招标文件的全部内容，愿意以</w:t>
      </w:r>
      <w:r>
        <w:rPr>
          <w:rFonts w:hint="eastAsia" w:ascii="宋体" w:hAnsi="宋体" w:cs="宋体"/>
          <w:color w:val="auto"/>
          <w:sz w:val="24"/>
          <w:highlight w:val="none"/>
          <w:u w:val="single"/>
        </w:rPr>
        <w:t xml:space="preserve">     %（大写：百分之    ）</w:t>
      </w:r>
      <w:r>
        <w:rPr>
          <w:rFonts w:hint="eastAsia" w:ascii="宋体" w:hAnsi="宋体" w:cs="宋体"/>
          <w:color w:val="auto"/>
          <w:sz w:val="24"/>
          <w:highlight w:val="none"/>
        </w:rPr>
        <w:t>的投标报价下浮率投标。</w:t>
      </w:r>
    </w:p>
    <w:p w14:paraId="7E5D3D13">
      <w:pPr>
        <w:adjustRightInd w:val="0"/>
        <w:snapToGrid w:val="0"/>
        <w:ind w:firstLine="480" w:firstLineChars="200"/>
        <w:rPr>
          <w:rFonts w:hint="eastAsia" w:ascii="宋体" w:hAnsi="宋体" w:cs="宋体"/>
          <w:color w:val="auto"/>
          <w:sz w:val="24"/>
          <w:highlight w:val="none"/>
        </w:rPr>
      </w:pPr>
    </w:p>
    <w:p w14:paraId="5E16198B">
      <w:pPr>
        <w:adjustRightInd w:val="0"/>
        <w:snapToGrid w:val="0"/>
        <w:ind w:firstLine="480" w:firstLineChars="200"/>
        <w:rPr>
          <w:rFonts w:hint="eastAsia" w:ascii="宋体" w:hAnsi="宋体" w:cs="宋体"/>
          <w:color w:val="auto"/>
          <w:sz w:val="24"/>
          <w:highlight w:val="none"/>
        </w:rPr>
      </w:pPr>
    </w:p>
    <w:p w14:paraId="4941D560">
      <w:pPr>
        <w:adjustRightInd w:val="0"/>
        <w:snapToGrid w:val="0"/>
        <w:ind w:firstLine="480" w:firstLineChars="200"/>
        <w:rPr>
          <w:rFonts w:hint="eastAsia" w:ascii="宋体" w:hAnsi="宋体" w:cs="宋体"/>
          <w:color w:val="auto"/>
          <w:sz w:val="24"/>
          <w:highlight w:val="none"/>
        </w:rPr>
      </w:pPr>
    </w:p>
    <w:p w14:paraId="00CBF598">
      <w:pPr>
        <w:adjustRightInd w:val="0"/>
        <w:snapToGrid w:val="0"/>
        <w:ind w:firstLine="480" w:firstLineChars="200"/>
        <w:rPr>
          <w:rFonts w:hint="eastAsia" w:ascii="宋体" w:hAnsi="宋体" w:cs="宋体"/>
          <w:color w:val="auto"/>
          <w:sz w:val="24"/>
          <w:highlight w:val="none"/>
        </w:rPr>
      </w:pPr>
    </w:p>
    <w:p w14:paraId="46522DD5">
      <w:pPr>
        <w:adjustRightInd w:val="0"/>
        <w:snapToGrid w:val="0"/>
        <w:ind w:firstLine="480" w:firstLineChars="200"/>
        <w:rPr>
          <w:rFonts w:hint="eastAsia" w:ascii="宋体" w:hAnsi="宋体" w:cs="宋体"/>
          <w:color w:val="auto"/>
          <w:sz w:val="24"/>
          <w:highlight w:val="none"/>
        </w:rPr>
      </w:pPr>
    </w:p>
    <w:p w14:paraId="7240951A">
      <w:pPr>
        <w:adjustRightInd w:val="0"/>
        <w:snapToGrid w:val="0"/>
        <w:ind w:firstLine="480" w:firstLineChars="200"/>
        <w:rPr>
          <w:rFonts w:hint="eastAsia" w:ascii="宋体" w:hAnsi="宋体" w:cs="宋体"/>
          <w:color w:val="auto"/>
          <w:sz w:val="24"/>
          <w:highlight w:val="none"/>
        </w:rPr>
      </w:pPr>
    </w:p>
    <w:p w14:paraId="709B12FA">
      <w:pPr>
        <w:adjustRightInd w:val="0"/>
        <w:snapToGrid w:val="0"/>
        <w:ind w:firstLine="480" w:firstLineChars="200"/>
        <w:rPr>
          <w:rFonts w:hint="eastAsia" w:ascii="宋体" w:hAnsi="宋体" w:cs="宋体"/>
          <w:color w:val="auto"/>
          <w:sz w:val="24"/>
          <w:highlight w:val="none"/>
        </w:rPr>
      </w:pPr>
    </w:p>
    <w:p w14:paraId="392F6F31">
      <w:pPr>
        <w:adjustRightInd w:val="0"/>
        <w:snapToGrid w:val="0"/>
        <w:ind w:firstLine="480" w:firstLineChars="200"/>
        <w:rPr>
          <w:rFonts w:hint="eastAsia" w:ascii="宋体" w:hAnsi="宋体" w:cs="宋体"/>
          <w:color w:val="auto"/>
          <w:sz w:val="24"/>
          <w:highlight w:val="none"/>
        </w:rPr>
      </w:pPr>
    </w:p>
    <w:p w14:paraId="0DC01826">
      <w:pPr>
        <w:adjustRightInd w:val="0"/>
        <w:snapToGrid w:val="0"/>
        <w:ind w:firstLine="480" w:firstLineChars="200"/>
        <w:rPr>
          <w:rFonts w:hint="eastAsia" w:ascii="宋体" w:hAnsi="宋体" w:cs="宋体"/>
          <w:color w:val="auto"/>
          <w:sz w:val="24"/>
          <w:highlight w:val="none"/>
        </w:rPr>
      </w:pPr>
    </w:p>
    <w:p w14:paraId="2FBB883F">
      <w:pPr>
        <w:tabs>
          <w:tab w:val="left" w:pos="5970"/>
        </w:tabs>
        <w:adjustRightInd w:val="0"/>
        <w:snapToGrid w:val="0"/>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b/>
      </w:r>
    </w:p>
    <w:p w14:paraId="4C3BE7D8">
      <w:pPr>
        <w:adjustRightInd w:val="0"/>
        <w:snapToGrid w:val="0"/>
        <w:spacing w:line="480" w:lineRule="auto"/>
        <w:ind w:firstLine="3000" w:firstLineChars="125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B5DD67A">
      <w:pPr>
        <w:adjustRightInd w:val="0"/>
        <w:snapToGrid w:val="0"/>
        <w:spacing w:line="480" w:lineRule="auto"/>
        <w:ind w:firstLine="3000" w:firstLineChars="1250"/>
        <w:rPr>
          <w:rFonts w:hint="eastAsia" w:ascii="宋体" w:hAnsi="宋体" w:cs="宋体"/>
          <w:color w:val="auto"/>
          <w:sz w:val="24"/>
          <w:highlight w:val="none"/>
        </w:rPr>
      </w:pPr>
      <w:r>
        <w:rPr>
          <w:rFonts w:hint="eastAsia" w:ascii="宋体" w:hAnsi="宋体" w:cs="宋体"/>
          <w:color w:val="auto"/>
          <w:sz w:val="24"/>
          <w:highlight w:val="none"/>
        </w:rPr>
        <w:t>法定代表人（或授权委托人）：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60963462">
      <w:pPr>
        <w:spacing w:line="480" w:lineRule="auto"/>
        <w:jc w:val="center"/>
        <w:rPr>
          <w:rFonts w:hint="eastAsia" w:cs="宋体" w:asciiTheme="majorEastAsia" w:hAnsiTheme="majorEastAsia" w:eastAsiaTheme="majorEastAsia"/>
          <w:b/>
          <w:color w:val="auto"/>
          <w:sz w:val="32"/>
          <w:highlight w:val="none"/>
        </w:rPr>
        <w:sectPr>
          <w:pgSz w:w="11906" w:h="16838"/>
          <w:pgMar w:top="1134" w:right="1134" w:bottom="1134" w:left="1134" w:header="567" w:footer="567" w:gutter="0"/>
          <w:pgNumType w:fmt="numberInDash"/>
          <w:cols w:space="425" w:num="1"/>
          <w:docGrid w:type="lines" w:linePitch="312" w:charSpace="0"/>
        </w:sect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7AC943E">
      <w:pPr>
        <w:spacing w:line="480" w:lineRule="auto"/>
        <w:jc w:val="cente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二、投标函及投标函附录</w:t>
      </w:r>
    </w:p>
    <w:p w14:paraId="09C53FC4">
      <w:pPr>
        <w:spacing w:line="480" w:lineRule="auto"/>
        <w:jc w:val="cente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（一）投标函</w:t>
      </w:r>
    </w:p>
    <w:p w14:paraId="03F930C5">
      <w:pPr>
        <w:spacing w:line="480" w:lineRule="auto"/>
        <w:rPr>
          <w:rFonts w:hint="eastAsia" w:cs="宋体" w:asciiTheme="majorEastAsia" w:hAnsiTheme="majorEastAsia" w:eastAsiaTheme="majorEastAsia"/>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14:paraId="7B4450A7">
      <w:pPr>
        <w:spacing w:line="480" w:lineRule="auto"/>
        <w:ind w:firstLine="480" w:firstLineChars="200"/>
        <w:rPr>
          <w:rFonts w:hint="eastAsia"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1.</w:t>
      </w:r>
      <w:r>
        <w:rPr>
          <w:rFonts w:hint="eastAsia" w:cs="宋体" w:asciiTheme="majorEastAsia" w:hAnsiTheme="majorEastAsia" w:eastAsiaTheme="majorEastAsia"/>
          <w:color w:val="auto"/>
          <w:sz w:val="24"/>
          <w:highlight w:val="none"/>
        </w:rPr>
        <w:t>我方已仔细研究了</w:t>
      </w:r>
      <w:r>
        <w:rPr>
          <w:rFonts w:hint="eastAsia" w:cs="宋体" w:asciiTheme="majorEastAsia" w:hAnsiTheme="majorEastAsia" w:eastAsiaTheme="majorEastAsia"/>
          <w:color w:val="auto"/>
          <w:sz w:val="24"/>
          <w:highlight w:val="none"/>
          <w:u w:val="single"/>
        </w:rPr>
        <w:t xml:space="preserve">         （项目名称）</w:t>
      </w:r>
      <w:r>
        <w:rPr>
          <w:rFonts w:hint="eastAsia" w:cs="宋体" w:asciiTheme="majorEastAsia" w:hAnsiTheme="majorEastAsia" w:eastAsiaTheme="majorEastAsia"/>
          <w:color w:val="auto"/>
          <w:sz w:val="24"/>
          <w:highlight w:val="none"/>
        </w:rPr>
        <w:t>招标文件的全部内容，工期</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日历天，按合同约定实施和完成承包工程，修补工程中的任何缺陷，工程质量达到</w:t>
      </w:r>
      <w:r>
        <w:rPr>
          <w:rFonts w:hint="eastAsia" w:cs="宋体" w:asciiTheme="majorEastAsia" w:hAnsiTheme="majorEastAsia" w:eastAsiaTheme="majorEastAsia"/>
          <w:b/>
          <w:bCs/>
          <w:color w:val="auto"/>
          <w:sz w:val="24"/>
          <w:highlight w:val="none"/>
          <w:u w:val="single"/>
        </w:rPr>
        <w:t>合格</w:t>
      </w:r>
      <w:r>
        <w:rPr>
          <w:rFonts w:hint="eastAsia" w:cs="宋体" w:asciiTheme="majorEastAsia" w:hAnsiTheme="majorEastAsia" w:eastAsiaTheme="majorEastAsia"/>
          <w:color w:val="auto"/>
          <w:sz w:val="24"/>
          <w:highlight w:val="none"/>
        </w:rPr>
        <w:t>标准。</w:t>
      </w:r>
    </w:p>
    <w:p w14:paraId="16385F21">
      <w:pPr>
        <w:spacing w:line="480" w:lineRule="auto"/>
        <w:ind w:firstLine="480" w:firstLineChars="200"/>
        <w:rPr>
          <w:rFonts w:hint="eastAsia"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2.</w:t>
      </w:r>
      <w:r>
        <w:rPr>
          <w:rFonts w:hint="eastAsia" w:cs="宋体" w:asciiTheme="majorEastAsia" w:hAnsiTheme="majorEastAsia" w:eastAsiaTheme="majorEastAsia"/>
          <w:color w:val="auto"/>
          <w:sz w:val="24"/>
          <w:highlight w:val="none"/>
        </w:rPr>
        <w:t>我方承诺在投标有效期</w:t>
      </w:r>
      <w:r>
        <w:rPr>
          <w:rFonts w:hint="eastAsia" w:cs="宋体" w:asciiTheme="majorEastAsia" w:hAnsiTheme="majorEastAsia" w:eastAsiaTheme="majorEastAsia"/>
          <w:color w:val="auto"/>
          <w:sz w:val="24"/>
          <w:highlight w:val="none"/>
          <w:u w:val="single"/>
        </w:rPr>
        <w:t>9</w:t>
      </w:r>
      <w:r>
        <w:rPr>
          <w:rFonts w:cs="宋体" w:asciiTheme="majorEastAsia" w:hAnsiTheme="majorEastAsia" w:eastAsiaTheme="majorEastAsia"/>
          <w:color w:val="auto"/>
          <w:sz w:val="24"/>
          <w:highlight w:val="none"/>
          <w:u w:val="single"/>
        </w:rPr>
        <w:t>0</w:t>
      </w:r>
      <w:r>
        <w:rPr>
          <w:rFonts w:hint="eastAsia" w:cs="宋体" w:asciiTheme="majorEastAsia" w:hAnsiTheme="majorEastAsia" w:eastAsiaTheme="majorEastAsia"/>
          <w:color w:val="auto"/>
          <w:sz w:val="24"/>
          <w:highlight w:val="none"/>
          <w:u w:val="single"/>
        </w:rPr>
        <w:t>天</w:t>
      </w:r>
      <w:r>
        <w:rPr>
          <w:rFonts w:hint="eastAsia" w:cs="宋体" w:asciiTheme="majorEastAsia" w:hAnsiTheme="majorEastAsia" w:eastAsiaTheme="majorEastAsia"/>
          <w:color w:val="auto"/>
          <w:sz w:val="24"/>
          <w:highlight w:val="none"/>
        </w:rPr>
        <w:t>内不补充、修改、替代或者撤回本投标文件。</w:t>
      </w:r>
    </w:p>
    <w:p w14:paraId="790F02E9">
      <w:pPr>
        <w:spacing w:line="480" w:lineRule="auto"/>
        <w:ind w:firstLine="480" w:firstLineChars="200"/>
        <w:rPr>
          <w:rFonts w:hint="eastAsia"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3.</w:t>
      </w:r>
      <w:r>
        <w:rPr>
          <w:rFonts w:hint="eastAsia" w:cs="宋体" w:asciiTheme="majorEastAsia" w:hAnsiTheme="majorEastAsia" w:eastAsiaTheme="majorEastAsia"/>
          <w:color w:val="auto"/>
          <w:sz w:val="24"/>
          <w:highlight w:val="none"/>
        </w:rPr>
        <w:t>随同本投标函递交投标保证金一份，金额为人民币（大写</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w:t>
      </w:r>
      <w:r>
        <w:rPr>
          <w:rFonts w:cs="宋体" w:asciiTheme="majorEastAsia" w:hAnsiTheme="majorEastAsia" w:eastAsiaTheme="majorEastAsia"/>
          <w:color w:val="auto"/>
          <w:sz w:val="24"/>
          <w:highlight w:val="none"/>
        </w:rPr>
        <w:t>¥</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元）。</w:t>
      </w:r>
    </w:p>
    <w:p w14:paraId="234EBD62">
      <w:pPr>
        <w:spacing w:line="480" w:lineRule="auto"/>
        <w:ind w:firstLine="480" w:firstLineChars="200"/>
        <w:rPr>
          <w:rFonts w:hint="eastAsia"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4.</w:t>
      </w:r>
      <w:r>
        <w:rPr>
          <w:rFonts w:hint="eastAsia" w:cs="宋体" w:asciiTheme="majorEastAsia" w:hAnsiTheme="majorEastAsia" w:eastAsiaTheme="majorEastAsia"/>
          <w:color w:val="auto"/>
          <w:sz w:val="24"/>
          <w:highlight w:val="none"/>
        </w:rPr>
        <w:t>如我方中标：</w:t>
      </w:r>
    </w:p>
    <w:p w14:paraId="6F5B2133">
      <w:pPr>
        <w:spacing w:line="48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w:t>
      </w:r>
      <w:r>
        <w:rPr>
          <w:rFonts w:cs="宋体" w:asciiTheme="majorEastAsia" w:hAnsiTheme="majorEastAsia" w:eastAsiaTheme="majorEastAsia"/>
          <w:color w:val="auto"/>
          <w:sz w:val="24"/>
          <w:highlight w:val="none"/>
        </w:rPr>
        <w:t>1</w:t>
      </w:r>
      <w:r>
        <w:rPr>
          <w:rFonts w:hint="eastAsia" w:cs="宋体" w:asciiTheme="majorEastAsia" w:hAnsiTheme="majorEastAsia" w:eastAsiaTheme="majorEastAsia"/>
          <w:color w:val="auto"/>
          <w:sz w:val="24"/>
          <w:highlight w:val="none"/>
        </w:rPr>
        <w:t>）我方承诺在收到中标通知书后，在中标通知书规定的期限内与你方签订合同；</w:t>
      </w:r>
    </w:p>
    <w:p w14:paraId="339D9F33">
      <w:pPr>
        <w:spacing w:line="48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w:t>
      </w:r>
      <w:r>
        <w:rPr>
          <w:rFonts w:cs="宋体" w:asciiTheme="majorEastAsia" w:hAnsiTheme="majorEastAsia" w:eastAsiaTheme="majorEastAsia"/>
          <w:color w:val="auto"/>
          <w:sz w:val="24"/>
          <w:highlight w:val="none"/>
        </w:rPr>
        <w:t>2</w:t>
      </w:r>
      <w:r>
        <w:rPr>
          <w:rFonts w:hint="eastAsia" w:cs="宋体" w:asciiTheme="majorEastAsia" w:hAnsiTheme="majorEastAsia" w:eastAsiaTheme="majorEastAsia"/>
          <w:color w:val="auto"/>
          <w:sz w:val="24"/>
          <w:highlight w:val="none"/>
        </w:rPr>
        <w:t>）随同本投标函递交的投标函附录属于合同文件的组成部分；</w:t>
      </w:r>
    </w:p>
    <w:p w14:paraId="44FA6D2C">
      <w:pPr>
        <w:spacing w:line="48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w:t>
      </w:r>
      <w:r>
        <w:rPr>
          <w:rFonts w:cs="宋体" w:asciiTheme="majorEastAsia" w:hAnsiTheme="majorEastAsia" w:eastAsiaTheme="majorEastAsia"/>
          <w:color w:val="auto"/>
          <w:sz w:val="24"/>
          <w:highlight w:val="none"/>
        </w:rPr>
        <w:t>3</w:t>
      </w:r>
      <w:r>
        <w:rPr>
          <w:rFonts w:hint="eastAsia" w:cs="宋体" w:asciiTheme="majorEastAsia" w:hAnsiTheme="majorEastAsia" w:eastAsiaTheme="majorEastAsia"/>
          <w:color w:val="auto"/>
          <w:sz w:val="24"/>
          <w:highlight w:val="none"/>
        </w:rPr>
        <w:t>）我方承诺在合同约定的期限内完成并移交全部合同工程。</w:t>
      </w:r>
    </w:p>
    <w:p w14:paraId="1ECB0419">
      <w:pPr>
        <w:spacing w:line="480" w:lineRule="auto"/>
        <w:ind w:firstLine="480" w:firstLineChars="200"/>
        <w:rPr>
          <w:rFonts w:hint="eastAsia"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5.</w:t>
      </w:r>
      <w:r>
        <w:rPr>
          <w:rFonts w:hint="eastAsia" w:cs="宋体" w:asciiTheme="majorEastAsia" w:hAnsiTheme="majorEastAsia" w:eastAsiaTheme="majorEastAsia"/>
          <w:color w:val="auto"/>
          <w:sz w:val="24"/>
          <w:highlight w:val="none"/>
        </w:rPr>
        <w:t>我方在此声明，所递交的投标文件及有关资料内容完整、真实和准确，且不存在第</w:t>
      </w:r>
      <w:r>
        <w:rPr>
          <w:rFonts w:cs="宋体" w:asciiTheme="majorEastAsia" w:hAnsiTheme="majorEastAsia" w:eastAsiaTheme="majorEastAsia"/>
          <w:color w:val="auto"/>
          <w:sz w:val="24"/>
          <w:highlight w:val="none"/>
        </w:rPr>
        <w:t xml:space="preserve">2 </w:t>
      </w:r>
      <w:r>
        <w:rPr>
          <w:rFonts w:hint="eastAsia" w:cs="宋体" w:asciiTheme="majorEastAsia" w:hAnsiTheme="majorEastAsia" w:eastAsiaTheme="majorEastAsia"/>
          <w:color w:val="auto"/>
          <w:sz w:val="24"/>
          <w:highlight w:val="none"/>
        </w:rPr>
        <w:t>章投标人须知第</w:t>
      </w:r>
      <w:r>
        <w:rPr>
          <w:rFonts w:cs="宋体" w:asciiTheme="majorEastAsia" w:hAnsiTheme="majorEastAsia" w:eastAsiaTheme="majorEastAsia"/>
          <w:color w:val="auto"/>
          <w:sz w:val="24"/>
          <w:highlight w:val="none"/>
        </w:rPr>
        <w:t>1.4.</w:t>
      </w:r>
      <w:r>
        <w:rPr>
          <w:rFonts w:hint="eastAsia" w:cs="宋体" w:asciiTheme="majorEastAsia" w:hAnsiTheme="majorEastAsia" w:eastAsiaTheme="majorEastAsia"/>
          <w:color w:val="auto"/>
          <w:sz w:val="24"/>
          <w:highlight w:val="none"/>
        </w:rPr>
        <w:t>3</w:t>
      </w:r>
      <w:r>
        <w:rPr>
          <w:rFonts w:hint="eastAsia" w:ascii="宋体" w:hAnsi="宋体" w:cs="宋体"/>
          <w:color w:val="auto"/>
          <w:sz w:val="24"/>
          <w:highlight w:val="none"/>
        </w:rPr>
        <w:t>及1.4.4款</w:t>
      </w:r>
      <w:r>
        <w:rPr>
          <w:rFonts w:hint="eastAsia" w:cs="宋体" w:asciiTheme="majorEastAsia" w:hAnsiTheme="majorEastAsia" w:eastAsiaTheme="majorEastAsia"/>
          <w:color w:val="auto"/>
          <w:sz w:val="24"/>
          <w:highlight w:val="none"/>
        </w:rPr>
        <w:t>规定的任何一种情形。</w:t>
      </w:r>
    </w:p>
    <w:p w14:paraId="2C56FB1F">
      <w:pPr>
        <w:spacing w:line="480" w:lineRule="auto"/>
        <w:ind w:firstLine="480" w:firstLineChars="200"/>
        <w:rPr>
          <w:rFonts w:hint="eastAsia"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6.</w:t>
      </w:r>
      <w:r>
        <w:rPr>
          <w:rFonts w:hint="eastAsia" w:cs="宋体" w:asciiTheme="majorEastAsia" w:hAnsiTheme="majorEastAsia" w:eastAsiaTheme="majorEastAsia"/>
          <w:color w:val="auto"/>
          <w:sz w:val="24"/>
          <w:highlight w:val="none"/>
        </w:rPr>
        <w:t>（其它补充说明）。</w:t>
      </w:r>
    </w:p>
    <w:p w14:paraId="455616C4">
      <w:pPr>
        <w:pStyle w:val="2"/>
        <w:rPr>
          <w:color w:val="auto"/>
          <w:highlight w:val="none"/>
        </w:rPr>
      </w:pPr>
    </w:p>
    <w:p w14:paraId="5DB41E84">
      <w:pPr>
        <w:spacing w:line="480" w:lineRule="exact"/>
        <w:ind w:firstLine="3600" w:firstLineChars="1500"/>
        <w:rPr>
          <w:rFonts w:ascii="宋体" w:cs="宋体"/>
          <w:color w:val="auto"/>
          <w:sz w:val="24"/>
          <w:highlight w:val="none"/>
        </w:rPr>
      </w:pPr>
      <w:bookmarkStart w:id="118" w:name="_Toc48667493"/>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bookmarkEnd w:id="118"/>
      <w:r>
        <w:rPr>
          <w:rFonts w:ascii="宋体" w:hAnsi="宋体" w:cs="宋体"/>
          <w:color w:val="auto"/>
          <w:sz w:val="24"/>
          <w:highlight w:val="none"/>
        </w:rPr>
        <w:t xml:space="preserve"> </w:t>
      </w:r>
    </w:p>
    <w:p w14:paraId="3C1D7FC8">
      <w:pPr>
        <w:spacing w:line="480" w:lineRule="exact"/>
        <w:jc w:val="center"/>
        <w:rPr>
          <w:rFonts w:ascii="宋体" w:cs="宋体"/>
          <w:color w:val="auto"/>
          <w:sz w:val="24"/>
          <w:highlight w:val="none"/>
        </w:rPr>
      </w:pPr>
      <w:r>
        <w:rPr>
          <w:rFonts w:hint="eastAsia" w:ascii="宋体" w:hAnsi="宋体" w:cs="宋体"/>
          <w:color w:val="auto"/>
          <w:sz w:val="24"/>
          <w:highlight w:val="none"/>
        </w:rPr>
        <w:t xml:space="preserve">                       </w:t>
      </w:r>
      <w:bookmarkStart w:id="119" w:name="_Toc48667494"/>
      <w:r>
        <w:rPr>
          <w:rFonts w:hint="eastAsia" w:ascii="宋体" w:hAnsi="宋体" w:cs="宋体"/>
          <w:color w:val="auto"/>
          <w:sz w:val="24"/>
          <w:highlight w:val="none"/>
        </w:rPr>
        <w:t>法定代表人或其授权委托人：</w:t>
      </w:r>
      <w:r>
        <w:rPr>
          <w:rFonts w:hint="eastAsia" w:ascii="宋体" w:hAnsi="宋体" w:cs="宋体"/>
          <w:color w:val="auto"/>
          <w:sz w:val="24"/>
          <w:highlight w:val="none"/>
          <w:u w:val="single"/>
        </w:rPr>
        <w:t xml:space="preserve">         </w:t>
      </w:r>
      <w:bookmarkEnd w:id="119"/>
      <w:r>
        <w:rPr>
          <w:rFonts w:hint="eastAsia" w:ascii="宋体" w:hAnsi="宋体" w:cs="宋体"/>
          <w:color w:val="auto"/>
          <w:sz w:val="24"/>
          <w:highlight w:val="none"/>
        </w:rPr>
        <w:t>（签字）</w:t>
      </w:r>
      <w:r>
        <w:rPr>
          <w:rFonts w:ascii="宋体" w:hAnsi="宋体" w:cs="宋体"/>
          <w:color w:val="auto"/>
          <w:sz w:val="24"/>
          <w:highlight w:val="none"/>
        </w:rPr>
        <w:t xml:space="preserve"> </w:t>
      </w:r>
    </w:p>
    <w:p w14:paraId="18F5BA3D">
      <w:pPr>
        <w:spacing w:line="480" w:lineRule="exact"/>
        <w:ind w:firstLine="820" w:firstLineChars="342"/>
        <w:rPr>
          <w:rFonts w:ascii="宋体" w:cs="宋体"/>
          <w:color w:val="auto"/>
          <w:sz w:val="24"/>
          <w:highlight w:val="none"/>
          <w:u w:val="single"/>
        </w:rPr>
      </w:pPr>
      <w:r>
        <w:rPr>
          <w:rFonts w:ascii="宋体" w:hAnsi="宋体" w:cs="宋体"/>
          <w:color w:val="auto"/>
          <w:sz w:val="24"/>
          <w:highlight w:val="none"/>
        </w:rPr>
        <w:t xml:space="preserve">                       </w:t>
      </w:r>
      <w:bookmarkStart w:id="120" w:name="_Toc48667495"/>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bookmarkEnd w:id="120"/>
      <w:r>
        <w:rPr>
          <w:rFonts w:hint="eastAsia" w:ascii="宋体" w:hAnsi="宋体" w:cs="宋体"/>
          <w:color w:val="auto"/>
          <w:sz w:val="24"/>
          <w:highlight w:val="none"/>
          <w:u w:val="single"/>
        </w:rPr>
        <w:t xml:space="preserve">                      </w:t>
      </w:r>
    </w:p>
    <w:p w14:paraId="60712923">
      <w:pPr>
        <w:spacing w:line="480" w:lineRule="exact"/>
        <w:ind w:firstLine="820" w:firstLineChars="342"/>
        <w:rPr>
          <w:rFonts w:ascii="宋体" w:cs="宋体"/>
          <w:color w:val="auto"/>
          <w:sz w:val="24"/>
          <w:highlight w:val="none"/>
          <w:u w:val="single"/>
        </w:rPr>
      </w:pPr>
      <w:r>
        <w:rPr>
          <w:rFonts w:ascii="宋体" w:hAnsi="宋体" w:cs="宋体"/>
          <w:color w:val="auto"/>
          <w:sz w:val="24"/>
          <w:highlight w:val="none"/>
        </w:rPr>
        <w:t xml:space="preserve">                       </w:t>
      </w:r>
      <w:bookmarkStart w:id="121" w:name="_Toc48667497"/>
      <w:r>
        <w:rPr>
          <w:rFonts w:hint="eastAsia" w:ascii="宋体" w:hAnsi="宋体" w:cs="宋体"/>
          <w:color w:val="auto"/>
          <w:sz w:val="24"/>
          <w:highlight w:val="none"/>
        </w:rPr>
        <w:t>电</w:t>
      </w:r>
      <w:r>
        <w:rPr>
          <w:rFonts w:ascii="宋体" w:hAnsi="宋体" w:cs="宋体"/>
          <w:color w:val="auto"/>
          <w:sz w:val="24"/>
          <w:highlight w:val="none"/>
        </w:rPr>
        <w:t xml:space="preserve">       </w:t>
      </w:r>
      <w:r>
        <w:rPr>
          <w:rFonts w:hint="eastAsia" w:ascii="宋体" w:hAnsi="宋体" w:cs="宋体"/>
          <w:color w:val="auto"/>
          <w:sz w:val="24"/>
          <w:highlight w:val="none"/>
        </w:rPr>
        <w:t>话：</w:t>
      </w:r>
      <w:bookmarkEnd w:id="121"/>
      <w:r>
        <w:rPr>
          <w:rFonts w:hint="eastAsia" w:ascii="宋体" w:hAnsi="宋体" w:cs="宋体"/>
          <w:color w:val="auto"/>
          <w:sz w:val="24"/>
          <w:highlight w:val="none"/>
          <w:u w:val="single"/>
        </w:rPr>
        <w:t xml:space="preserve">                      </w:t>
      </w:r>
    </w:p>
    <w:p w14:paraId="52007967">
      <w:pPr>
        <w:spacing w:line="480" w:lineRule="exact"/>
        <w:ind w:firstLine="820" w:firstLineChars="342"/>
        <w:rPr>
          <w:rFonts w:ascii="宋体" w:cs="宋体"/>
          <w:color w:val="auto"/>
          <w:sz w:val="24"/>
          <w:highlight w:val="none"/>
          <w:u w:val="single"/>
        </w:rPr>
      </w:pPr>
      <w:r>
        <w:rPr>
          <w:rFonts w:ascii="宋体" w:hAnsi="宋体" w:cs="宋体"/>
          <w:color w:val="auto"/>
          <w:sz w:val="24"/>
          <w:highlight w:val="none"/>
        </w:rPr>
        <w:t xml:space="preserve">                       </w:t>
      </w:r>
      <w:bookmarkStart w:id="122" w:name="_Toc48667498"/>
      <w:r>
        <w:rPr>
          <w:rFonts w:hint="eastAsia" w:ascii="宋体" w:hAnsi="宋体" w:cs="宋体"/>
          <w:color w:val="auto"/>
          <w:sz w:val="24"/>
          <w:highlight w:val="none"/>
        </w:rPr>
        <w:t>传</w:t>
      </w:r>
      <w:r>
        <w:rPr>
          <w:rFonts w:ascii="宋体" w:hAnsi="宋体" w:cs="宋体"/>
          <w:color w:val="auto"/>
          <w:sz w:val="24"/>
          <w:highlight w:val="none"/>
        </w:rPr>
        <w:t xml:space="preserve">       </w:t>
      </w:r>
      <w:r>
        <w:rPr>
          <w:rFonts w:hint="eastAsia" w:ascii="宋体" w:hAnsi="宋体" w:cs="宋体"/>
          <w:color w:val="auto"/>
          <w:sz w:val="24"/>
          <w:highlight w:val="none"/>
        </w:rPr>
        <w:t>真：</w:t>
      </w:r>
      <w:bookmarkEnd w:id="122"/>
      <w:r>
        <w:rPr>
          <w:rFonts w:hint="eastAsia" w:ascii="宋体" w:hAnsi="宋体" w:cs="宋体"/>
          <w:color w:val="auto"/>
          <w:sz w:val="24"/>
          <w:highlight w:val="none"/>
          <w:u w:val="single"/>
        </w:rPr>
        <w:t xml:space="preserve">                      </w:t>
      </w:r>
    </w:p>
    <w:p w14:paraId="68926E46">
      <w:pPr>
        <w:spacing w:line="480" w:lineRule="exact"/>
        <w:ind w:firstLine="820" w:firstLineChars="342"/>
        <w:rPr>
          <w:rFonts w:ascii="宋体" w:cs="宋体"/>
          <w:color w:val="auto"/>
          <w:sz w:val="24"/>
          <w:highlight w:val="none"/>
          <w:u w:val="single"/>
        </w:rPr>
      </w:pPr>
      <w:r>
        <w:rPr>
          <w:rFonts w:ascii="宋体" w:hAnsi="宋体" w:cs="宋体"/>
          <w:color w:val="auto"/>
          <w:sz w:val="24"/>
          <w:highlight w:val="none"/>
        </w:rPr>
        <w:t xml:space="preserve">                       </w:t>
      </w:r>
      <w:bookmarkStart w:id="123" w:name="_Toc48667499"/>
      <w:r>
        <w:rPr>
          <w:rFonts w:hint="eastAsia" w:ascii="宋体" w:hAnsi="宋体" w:cs="宋体"/>
          <w:color w:val="auto"/>
          <w:sz w:val="24"/>
          <w:highlight w:val="none"/>
        </w:rPr>
        <w:t>邮</w:t>
      </w:r>
      <w:r>
        <w:rPr>
          <w:rFonts w:ascii="宋体" w:hAnsi="宋体" w:cs="宋体"/>
          <w:color w:val="auto"/>
          <w:sz w:val="24"/>
          <w:highlight w:val="none"/>
        </w:rPr>
        <w:t xml:space="preserve"> </w:t>
      </w:r>
      <w:r>
        <w:rPr>
          <w:rFonts w:hint="eastAsia" w:ascii="宋体" w:hAnsi="宋体" w:cs="宋体"/>
          <w:color w:val="auto"/>
          <w:sz w:val="24"/>
          <w:highlight w:val="none"/>
        </w:rPr>
        <w:t>政</w:t>
      </w:r>
      <w:r>
        <w:rPr>
          <w:rFonts w:ascii="宋体" w:hAnsi="宋体" w:cs="宋体"/>
          <w:color w:val="auto"/>
          <w:sz w:val="24"/>
          <w:highlight w:val="none"/>
        </w:rPr>
        <w:t xml:space="preserve"> </w:t>
      </w:r>
      <w:r>
        <w:rPr>
          <w:rFonts w:hint="eastAsia" w:ascii="宋体" w:hAnsi="宋体" w:cs="宋体"/>
          <w:color w:val="auto"/>
          <w:sz w:val="24"/>
          <w:highlight w:val="none"/>
        </w:rPr>
        <w:t>编</w:t>
      </w:r>
      <w:r>
        <w:rPr>
          <w:rFonts w:ascii="宋体" w:hAnsi="宋体" w:cs="宋体"/>
          <w:color w:val="auto"/>
          <w:sz w:val="24"/>
          <w:highlight w:val="none"/>
        </w:rPr>
        <w:t xml:space="preserve"> </w:t>
      </w:r>
      <w:r>
        <w:rPr>
          <w:rFonts w:hint="eastAsia" w:ascii="宋体" w:hAnsi="宋体" w:cs="宋体"/>
          <w:color w:val="auto"/>
          <w:sz w:val="24"/>
          <w:highlight w:val="none"/>
        </w:rPr>
        <w:t>码：</w:t>
      </w:r>
      <w:bookmarkEnd w:id="123"/>
      <w:r>
        <w:rPr>
          <w:rFonts w:hint="eastAsia" w:ascii="宋体" w:hAnsi="宋体" w:cs="宋体"/>
          <w:color w:val="auto"/>
          <w:sz w:val="24"/>
          <w:highlight w:val="none"/>
          <w:u w:val="single"/>
        </w:rPr>
        <w:t xml:space="preserve">                      </w:t>
      </w:r>
    </w:p>
    <w:p w14:paraId="05FC4B8E">
      <w:pPr>
        <w:spacing w:line="480" w:lineRule="exact"/>
        <w:jc w:val="center"/>
        <w:rPr>
          <w:rFonts w:ascii="宋体" w:cs="宋体"/>
          <w:color w:val="auto"/>
          <w:sz w:val="24"/>
          <w:highlight w:val="none"/>
        </w:rPr>
      </w:pPr>
      <w:bookmarkStart w:id="124" w:name="_Toc4866750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bookmarkEnd w:id="124"/>
    </w:p>
    <w:p w14:paraId="010EB706">
      <w:pPr>
        <w:spacing w:line="360" w:lineRule="auto"/>
        <w:ind w:firstLine="820"/>
        <w:rPr>
          <w:rFonts w:hint="eastAsia" w:cs="宋体" w:asciiTheme="majorEastAsia" w:hAnsiTheme="majorEastAsia" w:eastAsiaTheme="majorEastAsia"/>
          <w:b/>
          <w:color w:val="auto"/>
          <w:highlight w:val="none"/>
        </w:rPr>
      </w:pPr>
    </w:p>
    <w:p w14:paraId="77B52523">
      <w:pP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br w:type="page"/>
      </w:r>
    </w:p>
    <w:p w14:paraId="12E9C757">
      <w:pPr>
        <w:spacing w:line="480" w:lineRule="auto"/>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（二）投标函附录一</w:t>
      </w:r>
    </w:p>
    <w:tbl>
      <w:tblPr>
        <w:tblStyle w:val="20"/>
        <w:tblW w:w="0" w:type="auto"/>
        <w:tblInd w:w="-8" w:type="dxa"/>
        <w:tblLayout w:type="autofit"/>
        <w:tblCellMar>
          <w:top w:w="0" w:type="dxa"/>
          <w:left w:w="10" w:type="dxa"/>
          <w:bottom w:w="0" w:type="dxa"/>
          <w:right w:w="10" w:type="dxa"/>
        </w:tblCellMar>
      </w:tblPr>
      <w:tblGrid>
        <w:gridCol w:w="1450"/>
        <w:gridCol w:w="2864"/>
        <w:gridCol w:w="5008"/>
      </w:tblGrid>
      <w:tr w14:paraId="51F7B1C7">
        <w:tblPrEx>
          <w:tblCellMar>
            <w:top w:w="0" w:type="dxa"/>
            <w:left w:w="10" w:type="dxa"/>
            <w:bottom w:w="0" w:type="dxa"/>
            <w:right w:w="10" w:type="dxa"/>
          </w:tblCellMar>
        </w:tblPrEx>
        <w:trPr>
          <w:trHeight w:val="567" w:hRule="atLeast"/>
        </w:trPr>
        <w:tc>
          <w:tcPr>
            <w:tcW w:w="14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10AEA9">
            <w:pPr>
              <w:spacing w:line="480" w:lineRule="auto"/>
              <w:ind w:left="-90"/>
              <w:jc w:val="center"/>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序号</w:t>
            </w:r>
          </w:p>
        </w:tc>
        <w:tc>
          <w:tcPr>
            <w:tcW w:w="7872"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60AE1B">
            <w:pPr>
              <w:spacing w:line="480" w:lineRule="auto"/>
              <w:ind w:left="-90"/>
              <w:jc w:val="center"/>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内容</w:t>
            </w:r>
          </w:p>
        </w:tc>
      </w:tr>
      <w:tr w14:paraId="64FA9214">
        <w:tblPrEx>
          <w:tblCellMar>
            <w:top w:w="0" w:type="dxa"/>
            <w:left w:w="10" w:type="dxa"/>
            <w:bottom w:w="0" w:type="dxa"/>
            <w:right w:w="10" w:type="dxa"/>
          </w:tblCellMar>
        </w:tblPrEx>
        <w:trPr>
          <w:trHeight w:val="567" w:hRule="atLeast"/>
        </w:trPr>
        <w:tc>
          <w:tcPr>
            <w:tcW w:w="14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E87851">
            <w:pPr>
              <w:spacing w:line="480" w:lineRule="auto"/>
              <w:ind w:left="-90"/>
              <w:jc w:val="center"/>
              <w:rPr>
                <w:rFonts w:hint="eastAsia"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pacing w:val="2"/>
                <w:sz w:val="24"/>
                <w:szCs w:val="24"/>
                <w:highlight w:val="none"/>
              </w:rPr>
              <w:t>1</w:t>
            </w:r>
          </w:p>
        </w:tc>
        <w:tc>
          <w:tcPr>
            <w:tcW w:w="28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4540EA">
            <w:pPr>
              <w:spacing w:line="480" w:lineRule="auto"/>
              <w:ind w:left="-90"/>
              <w:jc w:val="center"/>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施工企业资质等级</w:t>
            </w: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8514CC">
            <w:pPr>
              <w:spacing w:line="480" w:lineRule="auto"/>
              <w:ind w:left="-90"/>
              <w:jc w:val="center"/>
              <w:rPr>
                <w:rFonts w:hint="eastAsia" w:cs="宋体" w:asciiTheme="majorEastAsia" w:hAnsiTheme="majorEastAsia" w:eastAsiaTheme="majorEastAsia"/>
                <w:color w:val="auto"/>
                <w:sz w:val="24"/>
                <w:szCs w:val="24"/>
                <w:highlight w:val="none"/>
              </w:rPr>
            </w:pPr>
          </w:p>
        </w:tc>
      </w:tr>
      <w:tr w14:paraId="538490DB">
        <w:tblPrEx>
          <w:tblCellMar>
            <w:top w:w="0" w:type="dxa"/>
            <w:left w:w="10" w:type="dxa"/>
            <w:bottom w:w="0" w:type="dxa"/>
            <w:right w:w="10" w:type="dxa"/>
          </w:tblCellMar>
        </w:tblPrEx>
        <w:trPr>
          <w:trHeight w:val="441" w:hRule="atLeast"/>
        </w:trPr>
        <w:tc>
          <w:tcPr>
            <w:tcW w:w="14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D31418">
            <w:pPr>
              <w:spacing w:line="480" w:lineRule="auto"/>
              <w:ind w:left="-90"/>
              <w:jc w:val="center"/>
              <w:rPr>
                <w:rFonts w:hint="eastAsia"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pacing w:val="2"/>
                <w:sz w:val="24"/>
                <w:szCs w:val="24"/>
                <w:highlight w:val="none"/>
              </w:rPr>
              <w:t>2</w:t>
            </w:r>
          </w:p>
        </w:tc>
        <w:tc>
          <w:tcPr>
            <w:tcW w:w="286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395A86">
            <w:pPr>
              <w:spacing w:line="480" w:lineRule="auto"/>
              <w:ind w:left="-90"/>
              <w:jc w:val="center"/>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项目经理</w:t>
            </w: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D48159">
            <w:pPr>
              <w:spacing w:line="480" w:lineRule="auto"/>
              <w:ind w:left="-90" w:firstLine="244"/>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姓名：</w:t>
            </w:r>
          </w:p>
        </w:tc>
      </w:tr>
      <w:tr w14:paraId="69E10F1A">
        <w:tblPrEx>
          <w:tblCellMar>
            <w:top w:w="0" w:type="dxa"/>
            <w:left w:w="10" w:type="dxa"/>
            <w:bottom w:w="0" w:type="dxa"/>
            <w:right w:w="10" w:type="dxa"/>
          </w:tblCellMar>
        </w:tblPrEx>
        <w:trPr>
          <w:trHeight w:val="461" w:hRule="atLeast"/>
        </w:trPr>
        <w:tc>
          <w:tcPr>
            <w:tcW w:w="14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06018C">
            <w:pPr>
              <w:spacing w:line="360" w:lineRule="auto"/>
              <w:jc w:val="center"/>
              <w:rPr>
                <w:rFonts w:hint="eastAsia" w:cs="宋体" w:asciiTheme="majorEastAsia" w:hAnsiTheme="majorEastAsia" w:eastAsiaTheme="majorEastAsia"/>
                <w:color w:val="auto"/>
                <w:sz w:val="24"/>
                <w:szCs w:val="24"/>
                <w:highlight w:val="none"/>
              </w:rPr>
            </w:pPr>
          </w:p>
        </w:tc>
        <w:tc>
          <w:tcPr>
            <w:tcW w:w="286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ECCE3A">
            <w:pPr>
              <w:spacing w:line="360" w:lineRule="auto"/>
              <w:jc w:val="center"/>
              <w:rPr>
                <w:rFonts w:hint="eastAsia" w:cs="宋体" w:asciiTheme="majorEastAsia" w:hAnsiTheme="majorEastAsia" w:eastAsiaTheme="majorEastAsia"/>
                <w:color w:val="auto"/>
                <w:sz w:val="24"/>
                <w:szCs w:val="24"/>
                <w:highlight w:val="none"/>
              </w:rPr>
            </w:pP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D77B94">
            <w:pPr>
              <w:spacing w:line="480" w:lineRule="auto"/>
              <w:ind w:left="-90" w:firstLine="244"/>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专业：</w:t>
            </w:r>
          </w:p>
        </w:tc>
      </w:tr>
      <w:tr w14:paraId="75C9C376">
        <w:tblPrEx>
          <w:tblCellMar>
            <w:top w:w="0" w:type="dxa"/>
            <w:left w:w="10" w:type="dxa"/>
            <w:bottom w:w="0" w:type="dxa"/>
            <w:right w:w="10" w:type="dxa"/>
          </w:tblCellMar>
        </w:tblPrEx>
        <w:trPr>
          <w:trHeight w:val="438" w:hRule="atLeast"/>
        </w:trPr>
        <w:tc>
          <w:tcPr>
            <w:tcW w:w="14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99C1F8">
            <w:pPr>
              <w:spacing w:line="360" w:lineRule="auto"/>
              <w:jc w:val="center"/>
              <w:rPr>
                <w:rFonts w:hint="eastAsia" w:cs="宋体" w:asciiTheme="majorEastAsia" w:hAnsiTheme="majorEastAsia" w:eastAsiaTheme="majorEastAsia"/>
                <w:color w:val="auto"/>
                <w:sz w:val="24"/>
                <w:szCs w:val="24"/>
                <w:highlight w:val="none"/>
              </w:rPr>
            </w:pPr>
          </w:p>
        </w:tc>
        <w:tc>
          <w:tcPr>
            <w:tcW w:w="286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D88D14">
            <w:pPr>
              <w:spacing w:line="360" w:lineRule="auto"/>
              <w:jc w:val="center"/>
              <w:rPr>
                <w:rFonts w:hint="eastAsia" w:cs="宋体" w:asciiTheme="majorEastAsia" w:hAnsiTheme="majorEastAsia" w:eastAsiaTheme="majorEastAsia"/>
                <w:color w:val="auto"/>
                <w:sz w:val="24"/>
                <w:szCs w:val="24"/>
                <w:highlight w:val="none"/>
              </w:rPr>
            </w:pP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C17F6A">
            <w:pPr>
              <w:spacing w:line="480" w:lineRule="auto"/>
              <w:ind w:left="-90" w:firstLine="244"/>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注册建造师等级：</w:t>
            </w:r>
          </w:p>
        </w:tc>
      </w:tr>
      <w:tr w14:paraId="06EA358B">
        <w:tblPrEx>
          <w:tblCellMar>
            <w:top w:w="0" w:type="dxa"/>
            <w:left w:w="10" w:type="dxa"/>
            <w:bottom w:w="0" w:type="dxa"/>
            <w:right w:w="10" w:type="dxa"/>
          </w:tblCellMar>
        </w:tblPrEx>
        <w:trPr>
          <w:trHeight w:val="432" w:hRule="atLeast"/>
        </w:trPr>
        <w:tc>
          <w:tcPr>
            <w:tcW w:w="14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97E9B8">
            <w:pPr>
              <w:spacing w:line="480" w:lineRule="auto"/>
              <w:ind w:left="-90"/>
              <w:jc w:val="center"/>
              <w:rPr>
                <w:rFonts w:hint="eastAsia"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pacing w:val="2"/>
                <w:sz w:val="24"/>
                <w:szCs w:val="24"/>
                <w:highlight w:val="none"/>
              </w:rPr>
              <w:t>3</w:t>
            </w:r>
          </w:p>
        </w:tc>
        <w:tc>
          <w:tcPr>
            <w:tcW w:w="28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1EF736">
            <w:pPr>
              <w:spacing w:line="480" w:lineRule="auto"/>
              <w:jc w:val="center"/>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对招标文件有关投标有效期、合同条款及招标范围等实质性内容是否响应（是或否）</w:t>
            </w: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AFAF8C">
            <w:pPr>
              <w:spacing w:line="480" w:lineRule="auto"/>
              <w:ind w:left="-90"/>
              <w:jc w:val="center"/>
              <w:rPr>
                <w:rFonts w:hint="eastAsia" w:cs="宋体" w:asciiTheme="majorEastAsia" w:hAnsiTheme="majorEastAsia" w:eastAsiaTheme="majorEastAsia"/>
                <w:color w:val="auto"/>
                <w:sz w:val="24"/>
                <w:szCs w:val="24"/>
                <w:highlight w:val="none"/>
              </w:rPr>
            </w:pPr>
          </w:p>
        </w:tc>
      </w:tr>
      <w:tr w14:paraId="4E56250A">
        <w:tblPrEx>
          <w:tblCellMar>
            <w:top w:w="0" w:type="dxa"/>
            <w:left w:w="10" w:type="dxa"/>
            <w:bottom w:w="0" w:type="dxa"/>
            <w:right w:w="10" w:type="dxa"/>
          </w:tblCellMar>
        </w:tblPrEx>
        <w:trPr>
          <w:trHeight w:val="218" w:hRule="atLeast"/>
        </w:trPr>
        <w:tc>
          <w:tcPr>
            <w:tcW w:w="14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9F8C66">
            <w:pPr>
              <w:spacing w:line="480" w:lineRule="auto"/>
              <w:ind w:left="-90"/>
              <w:jc w:val="center"/>
              <w:rPr>
                <w:rFonts w:hint="eastAsia"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4</w:t>
            </w:r>
          </w:p>
        </w:tc>
        <w:tc>
          <w:tcPr>
            <w:tcW w:w="286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D0A5AF">
            <w:pPr>
              <w:spacing w:line="480" w:lineRule="auto"/>
              <w:ind w:left="-90"/>
              <w:jc w:val="center"/>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投标保证（人民币）</w:t>
            </w: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A9FF18">
            <w:pPr>
              <w:spacing w:line="480" w:lineRule="auto"/>
              <w:ind w:left="-90"/>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　金额：　　　　万元</w:t>
            </w:r>
          </w:p>
        </w:tc>
      </w:tr>
      <w:tr w14:paraId="70C349EF">
        <w:tblPrEx>
          <w:tblCellMar>
            <w:top w:w="0" w:type="dxa"/>
            <w:left w:w="10" w:type="dxa"/>
            <w:bottom w:w="0" w:type="dxa"/>
            <w:right w:w="10" w:type="dxa"/>
          </w:tblCellMar>
        </w:tblPrEx>
        <w:trPr>
          <w:trHeight w:val="217" w:hRule="atLeast"/>
        </w:trPr>
        <w:tc>
          <w:tcPr>
            <w:tcW w:w="14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1E1B04">
            <w:pPr>
              <w:spacing w:line="360" w:lineRule="auto"/>
              <w:jc w:val="center"/>
              <w:rPr>
                <w:rFonts w:hint="eastAsia" w:cs="宋体" w:asciiTheme="majorEastAsia" w:hAnsiTheme="majorEastAsia" w:eastAsiaTheme="majorEastAsia"/>
                <w:color w:val="auto"/>
                <w:sz w:val="24"/>
                <w:szCs w:val="24"/>
                <w:highlight w:val="none"/>
              </w:rPr>
            </w:pPr>
          </w:p>
        </w:tc>
        <w:tc>
          <w:tcPr>
            <w:tcW w:w="286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583076">
            <w:pPr>
              <w:spacing w:line="360" w:lineRule="auto"/>
              <w:jc w:val="center"/>
              <w:rPr>
                <w:rFonts w:hint="eastAsia" w:cs="宋体" w:asciiTheme="majorEastAsia" w:hAnsiTheme="majorEastAsia" w:eastAsiaTheme="majorEastAsia"/>
                <w:color w:val="auto"/>
                <w:sz w:val="24"/>
                <w:szCs w:val="24"/>
                <w:highlight w:val="none"/>
              </w:rPr>
            </w:pP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3F771E">
            <w:pPr>
              <w:spacing w:line="480" w:lineRule="auto"/>
              <w:ind w:left="-90" w:firstLine="240"/>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方式：</w:t>
            </w:r>
          </w:p>
        </w:tc>
      </w:tr>
      <w:tr w14:paraId="437B89EB">
        <w:tblPrEx>
          <w:tblCellMar>
            <w:top w:w="0" w:type="dxa"/>
            <w:left w:w="10" w:type="dxa"/>
            <w:bottom w:w="0" w:type="dxa"/>
            <w:right w:w="10" w:type="dxa"/>
          </w:tblCellMar>
        </w:tblPrEx>
        <w:trPr>
          <w:trHeight w:val="567" w:hRule="atLeast"/>
        </w:trPr>
        <w:tc>
          <w:tcPr>
            <w:tcW w:w="14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AA47E0">
            <w:pPr>
              <w:spacing w:line="480" w:lineRule="auto"/>
              <w:ind w:left="-90"/>
              <w:jc w:val="center"/>
              <w:rPr>
                <w:rFonts w:hint="eastAsia"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w:t>
            </w:r>
          </w:p>
        </w:tc>
        <w:tc>
          <w:tcPr>
            <w:tcW w:w="28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6D09F6">
            <w:pPr>
              <w:spacing w:line="480" w:lineRule="auto"/>
              <w:jc w:val="center"/>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工期（日历天）</w:t>
            </w: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BF8537">
            <w:pPr>
              <w:spacing w:line="480" w:lineRule="auto"/>
              <w:jc w:val="center"/>
              <w:rPr>
                <w:rFonts w:hint="eastAsia" w:cs="宋体" w:asciiTheme="majorEastAsia" w:hAnsiTheme="majorEastAsia" w:eastAsiaTheme="majorEastAsia"/>
                <w:color w:val="auto"/>
                <w:sz w:val="24"/>
                <w:szCs w:val="24"/>
                <w:highlight w:val="none"/>
              </w:rPr>
            </w:pPr>
          </w:p>
        </w:tc>
      </w:tr>
      <w:tr w14:paraId="0D0F4719">
        <w:tblPrEx>
          <w:tblCellMar>
            <w:top w:w="0" w:type="dxa"/>
            <w:left w:w="10" w:type="dxa"/>
            <w:bottom w:w="0" w:type="dxa"/>
            <w:right w:w="10" w:type="dxa"/>
          </w:tblCellMar>
        </w:tblPrEx>
        <w:trPr>
          <w:trHeight w:val="567" w:hRule="atLeast"/>
        </w:trPr>
        <w:tc>
          <w:tcPr>
            <w:tcW w:w="14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EB295E">
            <w:pPr>
              <w:spacing w:line="480" w:lineRule="auto"/>
              <w:jc w:val="center"/>
              <w:rPr>
                <w:rFonts w:hint="eastAsia"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6</w:t>
            </w:r>
          </w:p>
        </w:tc>
        <w:tc>
          <w:tcPr>
            <w:tcW w:w="28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5ACAEA">
            <w:pPr>
              <w:spacing w:line="480" w:lineRule="auto"/>
              <w:jc w:val="center"/>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质量等级</w:t>
            </w: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8F6A6B">
            <w:pPr>
              <w:spacing w:line="480" w:lineRule="auto"/>
              <w:jc w:val="center"/>
              <w:rPr>
                <w:rFonts w:hint="eastAsia" w:cs="宋体" w:asciiTheme="majorEastAsia" w:hAnsiTheme="majorEastAsia" w:eastAsiaTheme="majorEastAsia"/>
                <w:color w:val="auto"/>
                <w:sz w:val="24"/>
                <w:szCs w:val="24"/>
                <w:highlight w:val="none"/>
              </w:rPr>
            </w:pPr>
          </w:p>
        </w:tc>
      </w:tr>
    </w:tbl>
    <w:p w14:paraId="70C1F9AC">
      <w:pPr>
        <w:spacing w:line="480" w:lineRule="auto"/>
        <w:rPr>
          <w:rFonts w:hint="eastAsia" w:cs="宋体" w:asciiTheme="majorEastAsia" w:hAnsiTheme="majorEastAsia" w:eastAsiaTheme="majorEastAsia"/>
          <w:color w:val="auto"/>
          <w:highlight w:val="none"/>
        </w:rPr>
      </w:pPr>
    </w:p>
    <w:p w14:paraId="358F1564">
      <w:pPr>
        <w:spacing w:line="480" w:lineRule="auto"/>
        <w:jc w:val="center"/>
        <w:rPr>
          <w:rFonts w:hint="eastAsia" w:cs="宋体" w:asciiTheme="majorEastAsia" w:hAnsiTheme="majorEastAsia" w:eastAsiaTheme="majorEastAsia"/>
          <w:b/>
          <w:color w:val="auto"/>
          <w:sz w:val="32"/>
          <w:highlight w:val="none"/>
        </w:rPr>
      </w:pPr>
    </w:p>
    <w:p w14:paraId="03415017">
      <w:pPr>
        <w:spacing w:line="480" w:lineRule="auto"/>
        <w:jc w:val="center"/>
        <w:rPr>
          <w:rFonts w:hint="eastAsia" w:cs="宋体" w:asciiTheme="majorEastAsia" w:hAnsiTheme="majorEastAsia" w:eastAsiaTheme="majorEastAsia"/>
          <w:b/>
          <w:color w:val="auto"/>
          <w:sz w:val="32"/>
          <w:highlight w:val="none"/>
        </w:rPr>
      </w:pPr>
    </w:p>
    <w:p w14:paraId="4ACC49CB">
      <w:pPr>
        <w:spacing w:line="480" w:lineRule="auto"/>
        <w:jc w:val="center"/>
        <w:rPr>
          <w:rFonts w:hint="eastAsia" w:cs="宋体" w:asciiTheme="majorEastAsia" w:hAnsiTheme="majorEastAsia" w:eastAsiaTheme="majorEastAsia"/>
          <w:b/>
          <w:color w:val="auto"/>
          <w:sz w:val="32"/>
          <w:highlight w:val="none"/>
        </w:rPr>
      </w:pPr>
    </w:p>
    <w:p w14:paraId="67D8D580">
      <w:pPr>
        <w:spacing w:line="480" w:lineRule="auto"/>
        <w:jc w:val="center"/>
        <w:rPr>
          <w:rFonts w:hint="eastAsia" w:cs="宋体" w:asciiTheme="majorEastAsia" w:hAnsiTheme="majorEastAsia" w:eastAsiaTheme="majorEastAsia"/>
          <w:b/>
          <w:color w:val="auto"/>
          <w:sz w:val="32"/>
          <w:highlight w:val="none"/>
        </w:rPr>
      </w:pPr>
    </w:p>
    <w:p w14:paraId="47195CF4">
      <w:pPr>
        <w:spacing w:line="480" w:lineRule="auto"/>
        <w:jc w:val="center"/>
        <w:rPr>
          <w:rFonts w:hint="eastAsia" w:cs="宋体" w:asciiTheme="majorEastAsia" w:hAnsiTheme="majorEastAsia" w:eastAsiaTheme="majorEastAsia"/>
          <w:b/>
          <w:color w:val="auto"/>
          <w:sz w:val="32"/>
          <w:highlight w:val="none"/>
        </w:rPr>
      </w:pPr>
    </w:p>
    <w:p w14:paraId="20A4B9A1">
      <w:pPr>
        <w:spacing w:line="480" w:lineRule="auto"/>
        <w:jc w:val="center"/>
        <w:rPr>
          <w:rFonts w:hint="eastAsia" w:cs="宋体" w:asciiTheme="majorEastAsia" w:hAnsiTheme="majorEastAsia" w:eastAsiaTheme="majorEastAsia"/>
          <w:b/>
          <w:color w:val="auto"/>
          <w:sz w:val="32"/>
          <w:highlight w:val="none"/>
        </w:rPr>
      </w:pPr>
    </w:p>
    <w:p w14:paraId="6C076DB8">
      <w:pPr>
        <w:spacing w:line="480" w:lineRule="exact"/>
        <w:rPr>
          <w:rFonts w:hint="eastAsia" w:cs="宋体" w:asciiTheme="majorEastAsia" w:hAnsiTheme="majorEastAsia" w:eastAsiaTheme="majorEastAsia"/>
          <w:b/>
          <w:color w:val="auto"/>
          <w:sz w:val="32"/>
          <w:szCs w:val="32"/>
          <w:highlight w:val="none"/>
        </w:rPr>
      </w:pPr>
      <w:r>
        <w:rPr>
          <w:rFonts w:cs="宋体" w:asciiTheme="majorEastAsia" w:hAnsiTheme="majorEastAsia" w:eastAsiaTheme="majorEastAsia"/>
          <w:b/>
          <w:color w:val="auto"/>
          <w:sz w:val="32"/>
          <w:highlight w:val="none"/>
        </w:rPr>
        <w:br w:type="page"/>
      </w:r>
      <w:r>
        <w:rPr>
          <w:rFonts w:hint="eastAsia" w:cs="宋体" w:asciiTheme="majorEastAsia" w:hAnsiTheme="majorEastAsia" w:eastAsiaTheme="majorEastAsia"/>
          <w:b/>
          <w:color w:val="auto"/>
          <w:sz w:val="32"/>
          <w:szCs w:val="32"/>
          <w:highlight w:val="none"/>
        </w:rPr>
        <w:t>（三）投标函附录二</w:t>
      </w:r>
    </w:p>
    <w:p w14:paraId="2DFAA724">
      <w:pPr>
        <w:spacing w:line="480" w:lineRule="exact"/>
        <w:rPr>
          <w:rFonts w:hint="eastAsia" w:cs="宋体" w:asciiTheme="majorEastAsia" w:hAnsiTheme="majorEastAsia" w:eastAsiaTheme="majorEastAsia"/>
          <w:color w:val="auto"/>
          <w:sz w:val="24"/>
          <w:highlight w:val="none"/>
        </w:rPr>
      </w:pPr>
    </w:p>
    <w:p w14:paraId="6C54A46C">
      <w:pPr>
        <w:jc w:val="center"/>
        <w:rPr>
          <w:rFonts w:hint="eastAsia" w:cs="宋体" w:asciiTheme="majorEastAsia" w:hAnsiTheme="majorEastAsia" w:eastAsiaTheme="majorEastAsia"/>
          <w:b/>
          <w:color w:val="auto"/>
          <w:szCs w:val="21"/>
          <w:highlight w:val="none"/>
          <w:bdr w:val="single" w:color="auto" w:sz="4" w:space="0"/>
        </w:rPr>
      </w:pPr>
      <w:r>
        <w:rPr>
          <w:rFonts w:hint="eastAsia" w:cs="宋体" w:asciiTheme="majorEastAsia" w:hAnsiTheme="majorEastAsia" w:eastAsiaTheme="majorEastAsia"/>
          <w:b/>
          <w:color w:val="auto"/>
          <w:sz w:val="36"/>
          <w:szCs w:val="36"/>
          <w:highlight w:val="none"/>
          <w:u w:val="single"/>
        </w:rPr>
        <w:t xml:space="preserve">      （项目名称）</w:t>
      </w:r>
      <w:r>
        <w:rPr>
          <w:rFonts w:hint="eastAsia" w:cs="宋体" w:asciiTheme="majorEastAsia" w:hAnsiTheme="majorEastAsia" w:eastAsiaTheme="majorEastAsia"/>
          <w:b/>
          <w:color w:val="auto"/>
          <w:sz w:val="36"/>
          <w:szCs w:val="36"/>
          <w:highlight w:val="none"/>
        </w:rPr>
        <w:t>农民工工资支付承诺书</w:t>
      </w:r>
    </w:p>
    <w:p w14:paraId="51E00A9E">
      <w:pPr>
        <w:jc w:val="center"/>
        <w:rPr>
          <w:rFonts w:hint="eastAsia" w:cs="宋体" w:asciiTheme="majorEastAsia" w:hAnsiTheme="majorEastAsia" w:eastAsiaTheme="majorEastAsia"/>
          <w:b/>
          <w:color w:val="auto"/>
          <w:szCs w:val="21"/>
          <w:highlight w:val="none"/>
          <w:bdr w:val="single" w:color="auto" w:sz="4" w:space="0"/>
        </w:rPr>
      </w:pPr>
    </w:p>
    <w:p w14:paraId="3B339DE6">
      <w:pPr>
        <w:spacing w:line="440" w:lineRule="exact"/>
        <w:ind w:firstLine="480" w:firstLineChars="200"/>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为进一步贯彻落实《国务院办公厅关于切实解决企业拖欠农民工工资问题的紧急通知》之有关精神，为防范建设工程项目发生拖欠工资问题，落实好国家和省、市关于工资支付的有关规定，依法保障劳动者合法权益，特作如下承诺并保证履行：</w:t>
      </w:r>
    </w:p>
    <w:p w14:paraId="14C6D87E">
      <w:pPr>
        <w:spacing w:line="440" w:lineRule="exact"/>
        <w:ind w:firstLine="480" w:firstLineChars="200"/>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1、本公司保证自觉遵守劳动保障法规和建设市场管理规定，自觉服从人力资源和社会保障部门和水利行政主管部门的监督管理，自觉接受建设单位和监理单位对工程项目工资支付情况的监督。</w:t>
      </w:r>
    </w:p>
    <w:p w14:paraId="6CD37373">
      <w:pPr>
        <w:spacing w:line="440" w:lineRule="exact"/>
        <w:ind w:firstLine="480" w:firstLineChars="200"/>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2、本公司保证依法招用工，依法签订劳动合同，依法规范用工管理与工资支付行为，我公司将在工程所在地银行开设农民工工资专用账户，建立健全施工现场人员名册备查制度、农民工记工考勤卡制度和工资发放监督公示牌制度。</w:t>
      </w:r>
    </w:p>
    <w:p w14:paraId="48D9465F">
      <w:pPr>
        <w:spacing w:line="440" w:lineRule="exact"/>
        <w:ind w:firstLine="480" w:firstLineChars="200"/>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3、本公司确保所承建项目的所有劳动者都能依法按时足额领取工资。若出现拖欠劳动者工资情况，由水利行政主管部门从本企业的履约保证金、质量保留金中划拨资金（提款）用于支付欠薪。</w:t>
      </w:r>
    </w:p>
    <w:p w14:paraId="16772038">
      <w:pPr>
        <w:spacing w:line="440" w:lineRule="exact"/>
        <w:ind w:firstLine="480" w:firstLineChars="200"/>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4、如因农民工工资发放不到位或处置不力，导致农民工有不同形式的上访、闹访、集访等恶性事件的发生，我公司愿意承担由此造成的一切不良后果，并根据《广东省水利厅关于水利建设市场信用的管理办法》的通知（粤水规范字[2019]1号），记入本企业不良记录档案。</w:t>
      </w:r>
    </w:p>
    <w:p w14:paraId="155E8DAD">
      <w:pPr>
        <w:spacing w:line="440" w:lineRule="exact"/>
        <w:ind w:firstLine="480" w:firstLineChars="200"/>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5、我公司承诺不因任何原因以拖欠农民工工资为由，唆使或促成农民工罢工、上访和恶意讨薪事件的发生。如有发生所产生的一切不良后果由我公司承担。</w:t>
      </w:r>
    </w:p>
    <w:p w14:paraId="637DBFC6">
      <w:pPr>
        <w:spacing w:line="440" w:lineRule="exact"/>
        <w:ind w:firstLine="480" w:firstLineChars="200"/>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6、我公司承诺不因任何原因特别是不以拖欠农民工工资为由，要求提前退还履约保证金或质量保留金。</w:t>
      </w:r>
    </w:p>
    <w:p w14:paraId="4FBBFABC">
      <w:pPr>
        <w:spacing w:line="360" w:lineRule="auto"/>
        <w:ind w:firstLine="435"/>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7、按施工承包合同工程造价3%（不超过300万元）的比例一次性将资金存入工资保证金专用账户。</w:t>
      </w:r>
    </w:p>
    <w:p w14:paraId="2D75583E">
      <w:pPr>
        <w:spacing w:line="360" w:lineRule="auto"/>
        <w:ind w:firstLine="435"/>
        <w:rPr>
          <w:rFonts w:hint="eastAsia" w:cs="宋体" w:asciiTheme="majorEastAsia" w:hAnsiTheme="majorEastAsia" w:eastAsiaTheme="majorEastAsia"/>
          <w:color w:val="auto"/>
          <w:sz w:val="24"/>
          <w:szCs w:val="24"/>
          <w:highlight w:val="none"/>
        </w:rPr>
      </w:pPr>
    </w:p>
    <w:p w14:paraId="6252EB1F">
      <w:pPr>
        <w:shd w:val="clear" w:color="auto" w:fill="FAFAFA"/>
        <w:spacing w:line="360" w:lineRule="auto"/>
        <w:textAlignment w:val="baseline"/>
        <w:rPr>
          <w:rFonts w:hint="eastAsia" w:cs="宋体" w:asciiTheme="majorEastAsia" w:hAnsiTheme="majorEastAsia" w:eastAsiaTheme="majorEastAsia"/>
          <w:color w:val="auto"/>
          <w:sz w:val="24"/>
          <w:szCs w:val="24"/>
          <w:highlight w:val="none"/>
        </w:rPr>
      </w:pPr>
    </w:p>
    <w:p w14:paraId="40E3C047">
      <w:pPr>
        <w:shd w:val="clear" w:color="auto" w:fill="FAFAFA"/>
        <w:spacing w:line="360" w:lineRule="auto"/>
        <w:textAlignment w:val="baseline"/>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投标人：</w:t>
      </w:r>
      <w:r>
        <w:rPr>
          <w:rFonts w:hint="eastAsia" w:cs="宋体" w:asciiTheme="majorEastAsia" w:hAnsiTheme="majorEastAsia" w:eastAsiaTheme="majorEastAsia"/>
          <w:color w:val="auto"/>
          <w:sz w:val="24"/>
          <w:szCs w:val="24"/>
          <w:highlight w:val="none"/>
          <w:u w:val="single"/>
        </w:rPr>
        <w:t xml:space="preserve">     </w:t>
      </w:r>
      <w:r>
        <w:rPr>
          <w:rFonts w:hint="eastAsia" w:cs="宋体" w:asciiTheme="majorEastAsia" w:hAnsiTheme="majorEastAsia" w:eastAsiaTheme="majorEastAsia"/>
          <w:color w:val="auto"/>
          <w:sz w:val="24"/>
          <w:szCs w:val="24"/>
          <w:highlight w:val="none"/>
        </w:rPr>
        <w:t>(盖章)         法定代表人或其授权代理人：</w:t>
      </w:r>
      <w:r>
        <w:rPr>
          <w:rFonts w:hint="eastAsia" w:cs="宋体" w:asciiTheme="majorEastAsia" w:hAnsiTheme="majorEastAsia" w:eastAsiaTheme="majorEastAsia"/>
          <w:color w:val="auto"/>
          <w:sz w:val="24"/>
          <w:szCs w:val="24"/>
          <w:highlight w:val="none"/>
          <w:u w:val="single"/>
        </w:rPr>
        <w:t xml:space="preserve">     </w:t>
      </w:r>
      <w:r>
        <w:rPr>
          <w:rFonts w:hint="eastAsia" w:cs="宋体" w:asciiTheme="majorEastAsia" w:hAnsiTheme="majorEastAsia" w:eastAsiaTheme="majorEastAsia"/>
          <w:color w:val="auto"/>
          <w:sz w:val="24"/>
          <w:szCs w:val="24"/>
          <w:highlight w:val="none"/>
        </w:rPr>
        <w:t xml:space="preserve"> (签字)</w:t>
      </w:r>
    </w:p>
    <w:p w14:paraId="4A1EB5C3">
      <w:pPr>
        <w:shd w:val="clear" w:color="auto" w:fill="FAFAFA"/>
        <w:spacing w:line="360" w:lineRule="auto"/>
        <w:textAlignment w:val="baseline"/>
        <w:rPr>
          <w:rFonts w:hint="eastAsia" w:cs="宋体" w:asciiTheme="majorEastAsia" w:hAnsiTheme="majorEastAsia" w:eastAsiaTheme="majorEastAsia"/>
          <w:color w:val="auto"/>
          <w:sz w:val="24"/>
          <w:szCs w:val="24"/>
          <w:highlight w:val="none"/>
        </w:rPr>
      </w:pPr>
    </w:p>
    <w:p w14:paraId="7D32318E">
      <w:pPr>
        <w:shd w:val="clear" w:color="auto" w:fill="FAFAFA"/>
        <w:spacing w:line="360" w:lineRule="auto"/>
        <w:textAlignment w:val="baseline"/>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日期：    年    月    日</w:t>
      </w:r>
    </w:p>
    <w:p w14:paraId="76EECAC0">
      <w:pPr>
        <w:spacing w:line="480" w:lineRule="auto"/>
        <w:jc w:val="center"/>
        <w:rPr>
          <w:rFonts w:hint="eastAsia" w:cs="宋体" w:asciiTheme="majorEastAsia" w:hAnsiTheme="majorEastAsia" w:eastAsiaTheme="majorEastAsia"/>
          <w:color w:val="auto"/>
          <w:highlight w:val="none"/>
        </w:rPr>
      </w:pPr>
      <w:r>
        <w:rPr>
          <w:rFonts w:cs="宋体" w:asciiTheme="majorEastAsia" w:hAnsiTheme="majorEastAsia" w:eastAsiaTheme="majorEastAsia"/>
          <w:b/>
          <w:color w:val="auto"/>
          <w:sz w:val="32"/>
          <w:highlight w:val="none"/>
        </w:rPr>
        <w:br w:type="page"/>
      </w:r>
      <w:r>
        <w:rPr>
          <w:rFonts w:hint="eastAsia" w:cs="宋体" w:asciiTheme="majorEastAsia" w:hAnsiTheme="majorEastAsia" w:eastAsiaTheme="majorEastAsia"/>
          <w:b/>
          <w:color w:val="auto"/>
          <w:sz w:val="32"/>
          <w:highlight w:val="none"/>
        </w:rPr>
        <w:t>三、法定代表人身份证明或附有法定代表人身份证明的授权委托书</w:t>
      </w:r>
    </w:p>
    <w:p w14:paraId="78C3A85A">
      <w:pPr>
        <w:spacing w:line="480" w:lineRule="auto"/>
        <w:jc w:val="center"/>
        <w:rPr>
          <w:rFonts w:hint="eastAsia" w:cs="宋体" w:asciiTheme="majorEastAsia" w:hAnsiTheme="majorEastAsia" w:eastAsiaTheme="majorEastAsia"/>
          <w:b/>
          <w:bCs/>
          <w:color w:val="auto"/>
          <w:highlight w:val="none"/>
        </w:rPr>
      </w:pPr>
      <w:r>
        <w:rPr>
          <w:rFonts w:hint="eastAsia" w:cs="宋体" w:asciiTheme="majorEastAsia" w:hAnsiTheme="majorEastAsia" w:eastAsiaTheme="majorEastAsia"/>
          <w:b/>
          <w:bCs/>
          <w:color w:val="auto"/>
          <w:sz w:val="24"/>
          <w:szCs w:val="24"/>
          <w:highlight w:val="none"/>
        </w:rPr>
        <w:t>（一）法定代表人证明书</w:t>
      </w:r>
    </w:p>
    <w:p w14:paraId="75CE61F7">
      <w:pPr>
        <w:spacing w:line="480" w:lineRule="exact"/>
        <w:rPr>
          <w:rFonts w:hint="eastAsia"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4D7E1037">
      <w:pPr>
        <w:spacing w:line="480" w:lineRule="exact"/>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A970067">
      <w:pPr>
        <w:spacing w:line="480" w:lineRule="exact"/>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p>
    <w:p w14:paraId="1085F4E5">
      <w:pPr>
        <w:spacing w:line="480" w:lineRule="exact"/>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552531C2">
      <w:pPr>
        <w:spacing w:line="480" w:lineRule="exact"/>
        <w:rPr>
          <w:rFonts w:hint="eastAsia"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14:paraId="5387D0D0">
      <w:pPr>
        <w:spacing w:line="480" w:lineRule="exact"/>
        <w:rPr>
          <w:rFonts w:hint="eastAsia"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1B309EC">
      <w:pPr>
        <w:spacing w:line="480" w:lineRule="auto"/>
        <w:rPr>
          <w:rFonts w:hint="eastAsia" w:cs="宋体" w:asciiTheme="majorEastAsia" w:hAnsiTheme="majorEastAsia" w:eastAsiaTheme="majorEastAsia"/>
          <w:color w:val="auto"/>
          <w:sz w:val="24"/>
          <w:highlight w:val="none"/>
        </w:rPr>
      </w:pP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14:paraId="6F604DAD">
      <w:pPr>
        <w:spacing w:line="480" w:lineRule="auto"/>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特此证明。</w:t>
      </w:r>
    </w:p>
    <w:p w14:paraId="6D8560F1">
      <w:pPr>
        <w:spacing w:line="480" w:lineRule="auto"/>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附：法定代表人身份证</w:t>
      </w:r>
      <w:r>
        <w:rPr>
          <w:rFonts w:hint="eastAsia" w:cs="宋体" w:asciiTheme="majorEastAsia" w:hAnsiTheme="majorEastAsia" w:eastAsiaTheme="majorEastAsia"/>
          <w:color w:val="auto"/>
          <w:sz w:val="24"/>
          <w:szCs w:val="24"/>
          <w:highlight w:val="none"/>
        </w:rPr>
        <w:t>扫描件</w:t>
      </w:r>
    </w:p>
    <w:tbl>
      <w:tblPr>
        <w:tblStyle w:val="20"/>
        <w:tblW w:w="0" w:type="auto"/>
        <w:jc w:val="center"/>
        <w:tblLayout w:type="autofit"/>
        <w:tblCellMar>
          <w:top w:w="0" w:type="dxa"/>
          <w:left w:w="10" w:type="dxa"/>
          <w:bottom w:w="0" w:type="dxa"/>
          <w:right w:w="10" w:type="dxa"/>
        </w:tblCellMar>
      </w:tblPr>
      <w:tblGrid>
        <w:gridCol w:w="5862"/>
      </w:tblGrid>
      <w:tr w14:paraId="75B4E88B">
        <w:trPr>
          <w:trHeight w:val="3272" w:hRule="atLeast"/>
          <w:jc w:val="center"/>
        </w:trPr>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4DD7E9">
            <w:pPr>
              <w:ind w:firstLine="502"/>
              <w:rPr>
                <w:rFonts w:hint="eastAsia" w:cs="宋体" w:asciiTheme="majorEastAsia" w:hAnsiTheme="majorEastAsia" w:eastAsiaTheme="majorEastAsia"/>
                <w:color w:val="auto"/>
                <w:highlight w:val="none"/>
              </w:rPr>
            </w:pPr>
          </w:p>
          <w:p w14:paraId="69B26CB2">
            <w:pPr>
              <w:ind w:firstLine="502"/>
              <w:rPr>
                <w:rFonts w:hint="eastAsia" w:cs="宋体" w:asciiTheme="majorEastAsia" w:hAnsiTheme="majorEastAsia" w:eastAsiaTheme="majorEastAsia"/>
                <w:color w:val="auto"/>
                <w:highlight w:val="none"/>
              </w:rPr>
            </w:pPr>
          </w:p>
          <w:p w14:paraId="6040C71C">
            <w:pPr>
              <w:ind w:firstLine="502"/>
              <w:rPr>
                <w:rFonts w:hint="eastAsia" w:cs="宋体" w:asciiTheme="majorEastAsia" w:hAnsiTheme="majorEastAsia" w:eastAsiaTheme="majorEastAsia"/>
                <w:color w:val="auto"/>
                <w:highlight w:val="none"/>
              </w:rPr>
            </w:pPr>
          </w:p>
          <w:p w14:paraId="1DD98EC3">
            <w:pPr>
              <w:ind w:firstLine="502"/>
              <w:rPr>
                <w:rFonts w:hint="eastAsia" w:cs="宋体" w:asciiTheme="majorEastAsia" w:hAnsiTheme="majorEastAsia" w:eastAsiaTheme="majorEastAsia"/>
                <w:color w:val="auto"/>
                <w:highlight w:val="none"/>
              </w:rPr>
            </w:pPr>
          </w:p>
          <w:p w14:paraId="2AC72757">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szCs w:val="24"/>
                <w:highlight w:val="none"/>
              </w:rPr>
              <w:t>附法定代表人身份证正面及背面扫描件</w:t>
            </w:r>
          </w:p>
        </w:tc>
      </w:tr>
    </w:tbl>
    <w:p w14:paraId="62FE32A6">
      <w:pPr>
        <w:spacing w:line="480" w:lineRule="auto"/>
        <w:rPr>
          <w:rFonts w:hint="eastAsia" w:cs="宋体" w:asciiTheme="majorEastAsia" w:hAnsiTheme="majorEastAsia" w:eastAsiaTheme="majorEastAsia"/>
          <w:color w:val="auto"/>
          <w:sz w:val="24"/>
          <w:highlight w:val="none"/>
        </w:rPr>
      </w:pPr>
    </w:p>
    <w:p w14:paraId="3BA30A7A">
      <w:pPr>
        <w:spacing w:line="480" w:lineRule="exact"/>
        <w:jc w:val="right"/>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（盖单位章） </w:t>
      </w:r>
    </w:p>
    <w:p w14:paraId="3E826279">
      <w:pPr>
        <w:spacing w:line="480" w:lineRule="exact"/>
        <w:jc w:val="right"/>
        <w:rPr>
          <w:rFonts w:hint="eastAsia" w:ascii="宋体" w:hAnsi="宋体" w:cs="宋体"/>
          <w:color w:val="auto"/>
          <w:sz w:val="24"/>
          <w:highlight w:val="none"/>
        </w:rPr>
      </w:pPr>
    </w:p>
    <w:p w14:paraId="21FC8C6F">
      <w:pPr>
        <w:spacing w:line="480" w:lineRule="exact"/>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AFCED47">
      <w:pPr>
        <w:spacing w:line="480" w:lineRule="auto"/>
        <w:jc w:val="center"/>
        <w:rPr>
          <w:rFonts w:hint="eastAsia" w:cs="宋体" w:asciiTheme="majorEastAsia" w:hAnsiTheme="majorEastAsia" w:eastAsiaTheme="majorEastAsia"/>
          <w:color w:val="auto"/>
          <w:sz w:val="24"/>
          <w:highlight w:val="none"/>
        </w:rPr>
      </w:pPr>
    </w:p>
    <w:p w14:paraId="385C5034">
      <w:pPr>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br w:type="page"/>
      </w:r>
    </w:p>
    <w:p w14:paraId="3E7988BB">
      <w:pPr>
        <w:spacing w:line="480" w:lineRule="auto"/>
        <w:jc w:val="center"/>
        <w:rPr>
          <w:rFonts w:hint="eastAsia" w:cs="宋体" w:asciiTheme="majorEastAsia" w:hAnsiTheme="majorEastAsia" w:eastAsiaTheme="majorEastAsia"/>
          <w:b/>
          <w:bCs/>
          <w:color w:val="auto"/>
          <w:sz w:val="24"/>
          <w:highlight w:val="none"/>
        </w:rPr>
      </w:pPr>
      <w:r>
        <w:rPr>
          <w:rFonts w:hint="eastAsia" w:cs="宋体" w:asciiTheme="majorEastAsia" w:hAnsiTheme="majorEastAsia" w:eastAsiaTheme="majorEastAsia"/>
          <w:b/>
          <w:bCs/>
          <w:color w:val="auto"/>
          <w:sz w:val="24"/>
          <w:highlight w:val="none"/>
        </w:rPr>
        <w:t>（二）授权委托书</w:t>
      </w:r>
    </w:p>
    <w:p w14:paraId="5221BAC0">
      <w:pPr>
        <w:spacing w:line="480" w:lineRule="auto"/>
        <w:rPr>
          <w:rFonts w:hint="eastAsia" w:cs="宋体" w:asciiTheme="majorEastAsia" w:hAnsiTheme="majorEastAsia" w:eastAsiaTheme="majorEastAsia"/>
          <w:color w:val="auto"/>
          <w:highlight w:val="none"/>
        </w:rPr>
      </w:pPr>
    </w:p>
    <w:p w14:paraId="1C8CAE5A">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本人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 正、递交、撤回、修改</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投标文件、签订合同和处理有关事宜，其法律后果由我方承担。 </w:t>
      </w:r>
    </w:p>
    <w:p w14:paraId="49F7EFE0">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委托期限：</w:t>
      </w:r>
      <w:r>
        <w:rPr>
          <w:rFonts w:hint="eastAsia" w:ascii="宋体" w:hAnsi="宋体" w:cs="宋体"/>
          <w:color w:val="auto"/>
          <w:sz w:val="24"/>
          <w:highlight w:val="none"/>
          <w:u w:val="single"/>
        </w:rPr>
        <w:t xml:space="preserve"> 至投标有效期的期满之日止 </w:t>
      </w:r>
      <w:r>
        <w:rPr>
          <w:rFonts w:hint="eastAsia" w:ascii="宋体" w:hAnsi="宋体" w:cs="宋体"/>
          <w:color w:val="auto"/>
          <w:sz w:val="24"/>
          <w:highlight w:val="none"/>
        </w:rPr>
        <w:t xml:space="preserve">。 </w:t>
      </w:r>
    </w:p>
    <w:p w14:paraId="15D95658">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代理人无转委托权。 </w:t>
      </w:r>
    </w:p>
    <w:p w14:paraId="4D98FCEF">
      <w:pPr>
        <w:spacing w:line="48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附：授权委托人身份证</w:t>
      </w:r>
      <w:r>
        <w:rPr>
          <w:rFonts w:hint="eastAsia" w:cs="宋体" w:asciiTheme="majorEastAsia" w:hAnsiTheme="majorEastAsia" w:eastAsiaTheme="majorEastAsia"/>
          <w:color w:val="auto"/>
          <w:sz w:val="24"/>
          <w:szCs w:val="24"/>
          <w:highlight w:val="none"/>
        </w:rPr>
        <w:t>扫描件</w:t>
      </w:r>
    </w:p>
    <w:tbl>
      <w:tblPr>
        <w:tblStyle w:val="20"/>
        <w:tblW w:w="0" w:type="auto"/>
        <w:jc w:val="center"/>
        <w:tblLayout w:type="autofit"/>
        <w:tblCellMar>
          <w:top w:w="0" w:type="dxa"/>
          <w:left w:w="10" w:type="dxa"/>
          <w:bottom w:w="0" w:type="dxa"/>
          <w:right w:w="10" w:type="dxa"/>
        </w:tblCellMar>
      </w:tblPr>
      <w:tblGrid>
        <w:gridCol w:w="5862"/>
      </w:tblGrid>
      <w:tr w14:paraId="12AED2F6">
        <w:tblPrEx>
          <w:tblCellMar>
            <w:top w:w="0" w:type="dxa"/>
            <w:left w:w="10" w:type="dxa"/>
            <w:bottom w:w="0" w:type="dxa"/>
            <w:right w:w="10" w:type="dxa"/>
          </w:tblCellMar>
        </w:tblPrEx>
        <w:trPr>
          <w:trHeight w:val="2794" w:hRule="atLeast"/>
          <w:jc w:val="center"/>
        </w:trPr>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305157">
            <w:pPr>
              <w:ind w:firstLine="502"/>
              <w:rPr>
                <w:rFonts w:hint="eastAsia" w:cs="宋体" w:asciiTheme="majorEastAsia" w:hAnsiTheme="majorEastAsia" w:eastAsiaTheme="majorEastAsia"/>
                <w:color w:val="auto"/>
                <w:highlight w:val="none"/>
              </w:rPr>
            </w:pPr>
          </w:p>
          <w:p w14:paraId="143FFB1D">
            <w:pPr>
              <w:ind w:firstLine="502"/>
              <w:rPr>
                <w:rFonts w:hint="eastAsia" w:cs="宋体" w:asciiTheme="majorEastAsia" w:hAnsiTheme="majorEastAsia" w:eastAsiaTheme="majorEastAsia"/>
                <w:color w:val="auto"/>
                <w:highlight w:val="none"/>
              </w:rPr>
            </w:pPr>
          </w:p>
          <w:p w14:paraId="5E05C1AA">
            <w:pPr>
              <w:ind w:firstLine="502"/>
              <w:rPr>
                <w:rFonts w:hint="eastAsia" w:cs="宋体" w:asciiTheme="majorEastAsia" w:hAnsiTheme="majorEastAsia" w:eastAsiaTheme="majorEastAsia"/>
                <w:color w:val="auto"/>
                <w:highlight w:val="none"/>
              </w:rPr>
            </w:pPr>
          </w:p>
          <w:p w14:paraId="055ACBE9">
            <w:pPr>
              <w:ind w:firstLine="502"/>
              <w:rPr>
                <w:rFonts w:hint="eastAsia" w:cs="宋体" w:asciiTheme="majorEastAsia" w:hAnsiTheme="majorEastAsia" w:eastAsiaTheme="majorEastAsia"/>
                <w:color w:val="auto"/>
                <w:highlight w:val="none"/>
              </w:rPr>
            </w:pPr>
          </w:p>
          <w:p w14:paraId="55C79089">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szCs w:val="24"/>
                <w:highlight w:val="none"/>
              </w:rPr>
              <w:t>附代理人身份证正面及背面扫描件</w:t>
            </w:r>
          </w:p>
        </w:tc>
      </w:tr>
    </w:tbl>
    <w:p w14:paraId="0F2027B5">
      <w:pPr>
        <w:spacing w:line="480" w:lineRule="auto"/>
        <w:rPr>
          <w:rFonts w:hint="eastAsia" w:cs="宋体" w:asciiTheme="majorEastAsia" w:hAnsiTheme="majorEastAsia" w:eastAsiaTheme="majorEastAsia"/>
          <w:color w:val="auto"/>
          <w:sz w:val="24"/>
          <w:highlight w:val="none"/>
        </w:rPr>
      </w:pPr>
    </w:p>
    <w:p w14:paraId="330AA3A6">
      <w:pPr>
        <w:spacing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（盖单位章） </w:t>
      </w:r>
    </w:p>
    <w:p w14:paraId="16786441">
      <w:pPr>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 </w:t>
      </w:r>
    </w:p>
    <w:p w14:paraId="17085A47">
      <w:pPr>
        <w:spacing w:line="48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身份证号码：</w:t>
      </w:r>
      <w:r>
        <w:rPr>
          <w:rFonts w:hint="eastAsia" w:ascii="宋体" w:hAnsi="宋体" w:cs="宋体"/>
          <w:color w:val="auto"/>
          <w:sz w:val="24"/>
          <w:highlight w:val="none"/>
          <w:u w:val="single"/>
        </w:rPr>
        <w:t xml:space="preserve">                                    </w:t>
      </w:r>
    </w:p>
    <w:p w14:paraId="3A8BBEEC">
      <w:pPr>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                                    授权委托人：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 </w:t>
      </w:r>
    </w:p>
    <w:p w14:paraId="338E34C9">
      <w:pPr>
        <w:spacing w:line="48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身份证号码：</w:t>
      </w:r>
      <w:r>
        <w:rPr>
          <w:rFonts w:hint="eastAsia" w:ascii="宋体" w:hAnsi="宋体" w:cs="宋体"/>
          <w:color w:val="auto"/>
          <w:sz w:val="24"/>
          <w:highlight w:val="none"/>
          <w:u w:val="single"/>
        </w:rPr>
        <w:t xml:space="preserve">                                    </w:t>
      </w:r>
    </w:p>
    <w:p w14:paraId="6F7B8FE9">
      <w:pPr>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915A4CF">
      <w:pPr>
        <w:spacing w:line="440" w:lineRule="auto"/>
        <w:rPr>
          <w:rFonts w:hint="eastAsia" w:cs="宋体" w:asciiTheme="majorEastAsia" w:hAnsiTheme="majorEastAsia" w:eastAsiaTheme="majorEastAsia"/>
          <w:color w:val="auto"/>
          <w:sz w:val="24"/>
          <w:szCs w:val="24"/>
          <w:highlight w:val="none"/>
        </w:rPr>
      </w:pPr>
    </w:p>
    <w:p w14:paraId="68CDCEF3">
      <w:pPr>
        <w:spacing w:line="440" w:lineRule="auto"/>
        <w:rPr>
          <w:rFonts w:hint="eastAsia" w:cs="宋体" w:asciiTheme="majorEastAsia" w:hAnsiTheme="majorEastAsia" w:eastAsiaTheme="majorEastAsia"/>
          <w:color w:val="auto"/>
          <w:sz w:val="24"/>
          <w:szCs w:val="24"/>
          <w:highlight w:val="none"/>
        </w:rPr>
      </w:pPr>
    </w:p>
    <w:p w14:paraId="03F1DF3D">
      <w:pPr>
        <w:spacing w:line="440" w:lineRule="auto"/>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注：如法人负责投标相关事宜，则无需提供授权委托书。</w:t>
      </w:r>
    </w:p>
    <w:p w14:paraId="016CCBDE">
      <w:pPr>
        <w:widowControl/>
        <w:jc w:val="center"/>
        <w:rPr>
          <w:rFonts w:hint="eastAsia" w:cs="宋体" w:asciiTheme="majorEastAsia" w:hAnsiTheme="majorEastAsia" w:eastAsiaTheme="majorEastAsia"/>
          <w:b/>
          <w:color w:val="auto"/>
          <w:sz w:val="32"/>
          <w:highlight w:val="none"/>
        </w:rPr>
      </w:pPr>
      <w:r>
        <w:rPr>
          <w:rFonts w:cs="宋体" w:asciiTheme="majorEastAsia" w:hAnsiTheme="majorEastAsia" w:eastAsiaTheme="majorEastAsia"/>
          <w:color w:val="auto"/>
          <w:highlight w:val="none"/>
        </w:rPr>
        <w:br w:type="page"/>
      </w:r>
      <w:r>
        <w:rPr>
          <w:rFonts w:hint="eastAsia" w:cs="宋体" w:asciiTheme="majorEastAsia" w:hAnsiTheme="majorEastAsia" w:eastAsiaTheme="majorEastAsia"/>
          <w:b/>
          <w:color w:val="auto"/>
          <w:sz w:val="32"/>
          <w:highlight w:val="none"/>
        </w:rPr>
        <w:t>四、投标保证缴纳证明</w:t>
      </w:r>
    </w:p>
    <w:p w14:paraId="7CA3927B">
      <w:pPr>
        <w:spacing w:line="480" w:lineRule="auto"/>
        <w:jc w:val="center"/>
        <w:rPr>
          <w:rFonts w:hint="eastAsia" w:cs="宋体" w:asciiTheme="majorEastAsia" w:hAnsiTheme="majorEastAsia" w:eastAsiaTheme="majorEastAsia"/>
          <w:b/>
          <w:color w:val="auto"/>
          <w:sz w:val="32"/>
          <w:highlight w:val="none"/>
        </w:rPr>
      </w:pPr>
    </w:p>
    <w:p w14:paraId="7721AA5F">
      <w:pPr>
        <w:spacing w:line="480" w:lineRule="auto"/>
        <w:ind w:firstLine="435"/>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color w:val="auto"/>
          <w:sz w:val="24"/>
          <w:highlight w:val="none"/>
        </w:rPr>
        <w:t>附韶关市公共资源交易一体化平台《韶关市公共资源交易一体化平台保证金缴纳信息》页面截图及相关缴纳证明（采用投标保证金的，附银行转账单截图；采用投标保证担保的，附银行保函扫描件；采用投标保证保险的，附电子保单扫描件）。</w:t>
      </w:r>
    </w:p>
    <w:p w14:paraId="5DDA21CC">
      <w:pP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br w:type="page"/>
      </w:r>
    </w:p>
    <w:p w14:paraId="0A77BC8C">
      <w:pPr>
        <w:spacing w:line="480" w:lineRule="auto"/>
        <w:jc w:val="cente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五、项目管理机构表</w:t>
      </w:r>
    </w:p>
    <w:p w14:paraId="647606E0">
      <w:pPr>
        <w:spacing w:line="480" w:lineRule="auto"/>
        <w:rPr>
          <w:rFonts w:hint="eastAsia" w:cs="宋体" w:asciiTheme="majorEastAsia" w:hAnsiTheme="majorEastAsia" w:eastAsiaTheme="majorEastAsia"/>
          <w:color w:val="auto"/>
          <w:sz w:val="24"/>
          <w:highlight w:val="none"/>
        </w:rPr>
      </w:pPr>
    </w:p>
    <w:p w14:paraId="578A6C9C">
      <w:pPr>
        <w:spacing w:line="480" w:lineRule="auto"/>
        <w:rPr>
          <w:rFonts w:hint="eastAsia"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（一）项目管理机构组成表</w:t>
      </w:r>
    </w:p>
    <w:tbl>
      <w:tblPr>
        <w:tblStyle w:val="20"/>
        <w:tblW w:w="0" w:type="auto"/>
        <w:tblInd w:w="-8" w:type="dxa"/>
        <w:tblLayout w:type="autofit"/>
        <w:tblCellMar>
          <w:top w:w="0" w:type="dxa"/>
          <w:left w:w="10" w:type="dxa"/>
          <w:bottom w:w="0" w:type="dxa"/>
          <w:right w:w="10" w:type="dxa"/>
        </w:tblCellMar>
      </w:tblPr>
      <w:tblGrid>
        <w:gridCol w:w="1102"/>
        <w:gridCol w:w="1103"/>
        <w:gridCol w:w="1022"/>
        <w:gridCol w:w="1184"/>
        <w:gridCol w:w="1336"/>
        <w:gridCol w:w="1484"/>
        <w:gridCol w:w="1529"/>
        <w:gridCol w:w="847"/>
      </w:tblGrid>
      <w:tr w14:paraId="5DB5A16D">
        <w:trPr>
          <w:cantSplit/>
          <w:trHeight w:val="435" w:hRule="atLeast"/>
        </w:trPr>
        <w:tc>
          <w:tcPr>
            <w:tcW w:w="110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251F53">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职务</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23A3AD">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名称</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E136FD">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职称</w:t>
            </w:r>
          </w:p>
        </w:tc>
        <w:tc>
          <w:tcPr>
            <w:tcW w:w="553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9633F0">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执业或职业资格证明</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912DE4">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备注</w:t>
            </w:r>
          </w:p>
        </w:tc>
      </w:tr>
      <w:tr w14:paraId="5DB025CD">
        <w:tblPrEx>
          <w:tblCellMar>
            <w:top w:w="0" w:type="dxa"/>
            <w:left w:w="10" w:type="dxa"/>
            <w:bottom w:w="0" w:type="dxa"/>
            <w:right w:w="10" w:type="dxa"/>
          </w:tblCellMar>
        </w:tblPrEx>
        <w:trPr>
          <w:cantSplit/>
          <w:trHeight w:val="424"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D39EFB">
            <w:pPr>
              <w:jc w:val="center"/>
              <w:rPr>
                <w:rFonts w:hint="eastAsia" w:cs="宋体" w:asciiTheme="majorEastAsia" w:hAnsiTheme="majorEastAsia" w:eastAsiaTheme="majorEastAsia"/>
                <w:color w:val="auto"/>
                <w:sz w:val="22"/>
                <w:highlight w:val="none"/>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F26FA5">
            <w:pPr>
              <w:jc w:val="center"/>
              <w:rPr>
                <w:rFonts w:hint="eastAsia" w:cs="宋体" w:asciiTheme="majorEastAsia" w:hAnsiTheme="majorEastAsia" w:eastAsiaTheme="majorEastAsia"/>
                <w:color w:val="auto"/>
                <w:sz w:val="22"/>
                <w:highlight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23062D">
            <w:pPr>
              <w:jc w:val="center"/>
              <w:rPr>
                <w:rFonts w:hint="eastAsia"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69623D">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证书名称</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BF8137">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级别</w:t>
            </w: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3FA6E3">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证号</w:t>
            </w: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EE3F60">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专业</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90A256">
            <w:pPr>
              <w:jc w:val="center"/>
              <w:rPr>
                <w:rFonts w:hint="eastAsia" w:cs="宋体" w:asciiTheme="majorEastAsia" w:hAnsiTheme="majorEastAsia" w:eastAsiaTheme="majorEastAsia"/>
                <w:color w:val="auto"/>
                <w:sz w:val="22"/>
                <w:highlight w:val="none"/>
              </w:rPr>
            </w:pPr>
          </w:p>
        </w:tc>
      </w:tr>
      <w:tr w14:paraId="2B07525C">
        <w:tblPrEx>
          <w:tblCellMar>
            <w:top w:w="0" w:type="dxa"/>
            <w:left w:w="10" w:type="dxa"/>
            <w:bottom w:w="0" w:type="dxa"/>
            <w:right w:w="10" w:type="dxa"/>
          </w:tblCellMar>
        </w:tblPrEx>
        <w:trPr>
          <w:trHeight w:val="520"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DECC4B">
            <w:pPr>
              <w:jc w:val="center"/>
              <w:rPr>
                <w:rFonts w:hint="eastAsia"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26C809">
            <w:pPr>
              <w:jc w:val="center"/>
              <w:rPr>
                <w:rFonts w:hint="eastAsia"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BFF045">
            <w:pPr>
              <w:jc w:val="center"/>
              <w:rPr>
                <w:rFonts w:hint="eastAsia"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AE14ED">
            <w:pPr>
              <w:jc w:val="center"/>
              <w:rPr>
                <w:rFonts w:hint="eastAsia"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366660">
            <w:pPr>
              <w:jc w:val="center"/>
              <w:rPr>
                <w:rFonts w:hint="eastAsia"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FF29B1">
            <w:pPr>
              <w:jc w:val="center"/>
              <w:rPr>
                <w:rFonts w:hint="eastAsia"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F13572">
            <w:pPr>
              <w:jc w:val="center"/>
              <w:rPr>
                <w:rFonts w:hint="eastAsia"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C0A2F4">
            <w:pPr>
              <w:jc w:val="center"/>
              <w:rPr>
                <w:rFonts w:hint="eastAsia" w:cs="宋体" w:asciiTheme="majorEastAsia" w:hAnsiTheme="majorEastAsia" w:eastAsiaTheme="majorEastAsia"/>
                <w:color w:val="auto"/>
                <w:sz w:val="22"/>
                <w:highlight w:val="none"/>
              </w:rPr>
            </w:pPr>
          </w:p>
        </w:tc>
      </w:tr>
      <w:tr w14:paraId="586D8957">
        <w:tblPrEx>
          <w:tblCellMar>
            <w:top w:w="0" w:type="dxa"/>
            <w:left w:w="10" w:type="dxa"/>
            <w:bottom w:w="0" w:type="dxa"/>
            <w:right w:w="10" w:type="dxa"/>
          </w:tblCellMar>
        </w:tblPrEx>
        <w:trPr>
          <w:trHeight w:val="495"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6886F3">
            <w:pPr>
              <w:jc w:val="center"/>
              <w:rPr>
                <w:rFonts w:hint="eastAsia"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9044C8">
            <w:pPr>
              <w:jc w:val="center"/>
              <w:rPr>
                <w:rFonts w:hint="eastAsia"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80A516">
            <w:pPr>
              <w:jc w:val="center"/>
              <w:rPr>
                <w:rFonts w:hint="eastAsia"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33000D">
            <w:pPr>
              <w:jc w:val="center"/>
              <w:rPr>
                <w:rFonts w:hint="eastAsia"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414AB8">
            <w:pPr>
              <w:jc w:val="center"/>
              <w:rPr>
                <w:rFonts w:hint="eastAsia"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EE431B">
            <w:pPr>
              <w:jc w:val="center"/>
              <w:rPr>
                <w:rFonts w:hint="eastAsia"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FE8F63">
            <w:pPr>
              <w:jc w:val="center"/>
              <w:rPr>
                <w:rFonts w:hint="eastAsia"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9883D5">
            <w:pPr>
              <w:jc w:val="center"/>
              <w:rPr>
                <w:rFonts w:hint="eastAsia" w:cs="宋体" w:asciiTheme="majorEastAsia" w:hAnsiTheme="majorEastAsia" w:eastAsiaTheme="majorEastAsia"/>
                <w:color w:val="auto"/>
                <w:sz w:val="22"/>
                <w:highlight w:val="none"/>
              </w:rPr>
            </w:pPr>
          </w:p>
        </w:tc>
      </w:tr>
      <w:tr w14:paraId="07B033DF">
        <w:tblPrEx>
          <w:tblCellMar>
            <w:top w:w="0" w:type="dxa"/>
            <w:left w:w="10" w:type="dxa"/>
            <w:bottom w:w="0" w:type="dxa"/>
            <w:right w:w="10" w:type="dxa"/>
          </w:tblCellMar>
        </w:tblPrEx>
        <w:trPr>
          <w:trHeight w:val="520"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FFD820">
            <w:pPr>
              <w:rPr>
                <w:rFonts w:hint="eastAsia"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D78C72">
            <w:pPr>
              <w:rPr>
                <w:rFonts w:hint="eastAsia"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197147">
            <w:pPr>
              <w:rPr>
                <w:rFonts w:hint="eastAsia"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A063B5">
            <w:pPr>
              <w:rPr>
                <w:rFonts w:hint="eastAsia"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23B97F">
            <w:pPr>
              <w:rPr>
                <w:rFonts w:hint="eastAsia"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2A0F24">
            <w:pPr>
              <w:rPr>
                <w:rFonts w:hint="eastAsia"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459A67">
            <w:pPr>
              <w:jc w:val="center"/>
              <w:rPr>
                <w:rFonts w:hint="eastAsia"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E5D4BA">
            <w:pPr>
              <w:rPr>
                <w:rFonts w:hint="eastAsia" w:cs="宋体" w:asciiTheme="majorEastAsia" w:hAnsiTheme="majorEastAsia" w:eastAsiaTheme="majorEastAsia"/>
                <w:color w:val="auto"/>
                <w:sz w:val="22"/>
                <w:highlight w:val="none"/>
              </w:rPr>
            </w:pPr>
          </w:p>
        </w:tc>
      </w:tr>
      <w:tr w14:paraId="69787CAF">
        <w:tblPrEx>
          <w:tblCellMar>
            <w:top w:w="0" w:type="dxa"/>
            <w:left w:w="10" w:type="dxa"/>
            <w:bottom w:w="0" w:type="dxa"/>
            <w:right w:w="10" w:type="dxa"/>
          </w:tblCellMar>
        </w:tblPrEx>
        <w:trPr>
          <w:trHeight w:val="495"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38CE6A">
            <w:pPr>
              <w:rPr>
                <w:rFonts w:hint="eastAsia"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B11BEC">
            <w:pPr>
              <w:rPr>
                <w:rFonts w:hint="eastAsia"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F3372F">
            <w:pPr>
              <w:rPr>
                <w:rFonts w:hint="eastAsia"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5DD061">
            <w:pPr>
              <w:rPr>
                <w:rFonts w:hint="eastAsia"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BC7C2A">
            <w:pPr>
              <w:rPr>
                <w:rFonts w:hint="eastAsia"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3D0564">
            <w:pPr>
              <w:rPr>
                <w:rFonts w:hint="eastAsia"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2A3683">
            <w:pPr>
              <w:jc w:val="center"/>
              <w:rPr>
                <w:rFonts w:hint="eastAsia"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2C5C6D">
            <w:pPr>
              <w:rPr>
                <w:rFonts w:hint="eastAsia" w:cs="宋体" w:asciiTheme="majorEastAsia" w:hAnsiTheme="majorEastAsia" w:eastAsiaTheme="majorEastAsia"/>
                <w:color w:val="auto"/>
                <w:sz w:val="22"/>
                <w:highlight w:val="none"/>
              </w:rPr>
            </w:pPr>
          </w:p>
        </w:tc>
      </w:tr>
      <w:tr w14:paraId="713361A5">
        <w:tblPrEx>
          <w:tblCellMar>
            <w:top w:w="0" w:type="dxa"/>
            <w:left w:w="10" w:type="dxa"/>
            <w:bottom w:w="0" w:type="dxa"/>
            <w:right w:w="10" w:type="dxa"/>
          </w:tblCellMar>
        </w:tblPrEx>
        <w:trPr>
          <w:trHeight w:val="520"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DFD1B6">
            <w:pPr>
              <w:rPr>
                <w:rFonts w:hint="eastAsia"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0BA607">
            <w:pPr>
              <w:rPr>
                <w:rFonts w:hint="eastAsia"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5A96EB">
            <w:pPr>
              <w:rPr>
                <w:rFonts w:hint="eastAsia"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F75121">
            <w:pPr>
              <w:rPr>
                <w:rFonts w:hint="eastAsia"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8A9BAD">
            <w:pPr>
              <w:rPr>
                <w:rFonts w:hint="eastAsia"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C7B438">
            <w:pPr>
              <w:rPr>
                <w:rFonts w:hint="eastAsia"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46DEBA">
            <w:pPr>
              <w:jc w:val="center"/>
              <w:rPr>
                <w:rFonts w:hint="eastAsia"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0E12ED">
            <w:pPr>
              <w:rPr>
                <w:rFonts w:hint="eastAsia" w:cs="宋体" w:asciiTheme="majorEastAsia" w:hAnsiTheme="majorEastAsia" w:eastAsiaTheme="majorEastAsia"/>
                <w:color w:val="auto"/>
                <w:sz w:val="22"/>
                <w:highlight w:val="none"/>
              </w:rPr>
            </w:pPr>
          </w:p>
        </w:tc>
      </w:tr>
      <w:tr w14:paraId="075A8DA4">
        <w:tblPrEx>
          <w:tblCellMar>
            <w:top w:w="0" w:type="dxa"/>
            <w:left w:w="10" w:type="dxa"/>
            <w:bottom w:w="0" w:type="dxa"/>
            <w:right w:w="10" w:type="dxa"/>
          </w:tblCellMar>
        </w:tblPrEx>
        <w:trPr>
          <w:trHeight w:val="495"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E76733">
            <w:pPr>
              <w:rPr>
                <w:rFonts w:hint="eastAsia"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F20BE8">
            <w:pPr>
              <w:rPr>
                <w:rFonts w:hint="eastAsia"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0C8B5A">
            <w:pPr>
              <w:rPr>
                <w:rFonts w:hint="eastAsia"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FB0366">
            <w:pPr>
              <w:rPr>
                <w:rFonts w:hint="eastAsia"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D243EA">
            <w:pPr>
              <w:rPr>
                <w:rFonts w:hint="eastAsia"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4C6B11">
            <w:pPr>
              <w:rPr>
                <w:rFonts w:hint="eastAsia"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55D293">
            <w:pPr>
              <w:jc w:val="center"/>
              <w:rPr>
                <w:rFonts w:hint="eastAsia"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5795D3">
            <w:pPr>
              <w:rPr>
                <w:rFonts w:hint="eastAsia" w:cs="宋体" w:asciiTheme="majorEastAsia" w:hAnsiTheme="majorEastAsia" w:eastAsiaTheme="majorEastAsia"/>
                <w:color w:val="auto"/>
                <w:sz w:val="22"/>
                <w:highlight w:val="none"/>
              </w:rPr>
            </w:pPr>
          </w:p>
        </w:tc>
      </w:tr>
      <w:tr w14:paraId="0E404F09">
        <w:tblPrEx>
          <w:tblCellMar>
            <w:top w:w="0" w:type="dxa"/>
            <w:left w:w="10" w:type="dxa"/>
            <w:bottom w:w="0" w:type="dxa"/>
            <w:right w:w="10" w:type="dxa"/>
          </w:tblCellMar>
        </w:tblPrEx>
        <w:trPr>
          <w:trHeight w:val="495"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4871CF">
            <w:pPr>
              <w:rPr>
                <w:rFonts w:hint="eastAsia"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B5ACDE">
            <w:pPr>
              <w:rPr>
                <w:rFonts w:hint="eastAsia"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E76EC0">
            <w:pPr>
              <w:rPr>
                <w:rFonts w:hint="eastAsia"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B80F37">
            <w:pPr>
              <w:rPr>
                <w:rFonts w:hint="eastAsia"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B9B7EF">
            <w:pPr>
              <w:rPr>
                <w:rFonts w:hint="eastAsia"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CD53B5">
            <w:pPr>
              <w:rPr>
                <w:rFonts w:hint="eastAsia"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2B88B2">
            <w:pPr>
              <w:jc w:val="center"/>
              <w:rPr>
                <w:rFonts w:hint="eastAsia"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2B4F39">
            <w:pPr>
              <w:rPr>
                <w:rFonts w:hint="eastAsia" w:cs="宋体" w:asciiTheme="majorEastAsia" w:hAnsiTheme="majorEastAsia" w:eastAsiaTheme="majorEastAsia"/>
                <w:color w:val="auto"/>
                <w:sz w:val="22"/>
                <w:highlight w:val="none"/>
              </w:rPr>
            </w:pPr>
          </w:p>
        </w:tc>
      </w:tr>
      <w:tr w14:paraId="5B1068D6">
        <w:tblPrEx>
          <w:tblCellMar>
            <w:top w:w="0" w:type="dxa"/>
            <w:left w:w="10" w:type="dxa"/>
            <w:bottom w:w="0" w:type="dxa"/>
            <w:right w:w="10" w:type="dxa"/>
          </w:tblCellMar>
        </w:tblPrEx>
        <w:trPr>
          <w:trHeight w:val="520"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93A33A">
            <w:pPr>
              <w:rPr>
                <w:rFonts w:hint="eastAsia"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7B725B">
            <w:pPr>
              <w:rPr>
                <w:rFonts w:hint="eastAsia"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D4AA6E">
            <w:pPr>
              <w:rPr>
                <w:rFonts w:hint="eastAsia"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7E281A">
            <w:pPr>
              <w:rPr>
                <w:rFonts w:hint="eastAsia"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D737AE">
            <w:pPr>
              <w:rPr>
                <w:rFonts w:hint="eastAsia"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A8E800">
            <w:pPr>
              <w:rPr>
                <w:rFonts w:hint="eastAsia"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3D553E">
            <w:pPr>
              <w:jc w:val="center"/>
              <w:rPr>
                <w:rFonts w:hint="eastAsia"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480213">
            <w:pPr>
              <w:rPr>
                <w:rFonts w:hint="eastAsia" w:cs="宋体" w:asciiTheme="majorEastAsia" w:hAnsiTheme="majorEastAsia" w:eastAsiaTheme="majorEastAsia"/>
                <w:color w:val="auto"/>
                <w:sz w:val="22"/>
                <w:highlight w:val="none"/>
              </w:rPr>
            </w:pPr>
          </w:p>
        </w:tc>
      </w:tr>
      <w:tr w14:paraId="2A8F6974">
        <w:tblPrEx>
          <w:tblCellMar>
            <w:top w:w="0" w:type="dxa"/>
            <w:left w:w="10" w:type="dxa"/>
            <w:bottom w:w="0" w:type="dxa"/>
            <w:right w:w="10" w:type="dxa"/>
          </w:tblCellMar>
        </w:tblPrEx>
        <w:trPr>
          <w:trHeight w:val="495"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7C29B8">
            <w:pPr>
              <w:rPr>
                <w:rFonts w:hint="eastAsia"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F5127">
            <w:pPr>
              <w:rPr>
                <w:rFonts w:hint="eastAsia"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451F0C">
            <w:pPr>
              <w:rPr>
                <w:rFonts w:hint="eastAsia"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31A69C">
            <w:pPr>
              <w:rPr>
                <w:rFonts w:hint="eastAsia"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8DA4B1">
            <w:pPr>
              <w:rPr>
                <w:rFonts w:hint="eastAsia"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A1A1DB">
            <w:pPr>
              <w:rPr>
                <w:rFonts w:hint="eastAsia"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EB2424">
            <w:pPr>
              <w:jc w:val="center"/>
              <w:rPr>
                <w:rFonts w:hint="eastAsia"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DB4141">
            <w:pPr>
              <w:rPr>
                <w:rFonts w:hint="eastAsia" w:cs="宋体" w:asciiTheme="majorEastAsia" w:hAnsiTheme="majorEastAsia" w:eastAsiaTheme="majorEastAsia"/>
                <w:color w:val="auto"/>
                <w:sz w:val="22"/>
                <w:highlight w:val="none"/>
              </w:rPr>
            </w:pPr>
          </w:p>
        </w:tc>
      </w:tr>
    </w:tbl>
    <w:p w14:paraId="4AEAF01C">
      <w:pPr>
        <w:spacing w:line="480" w:lineRule="auto"/>
        <w:rPr>
          <w:rFonts w:hint="eastAsia" w:cs="宋体" w:asciiTheme="majorEastAsia" w:hAnsiTheme="majorEastAsia" w:eastAsiaTheme="majorEastAsia"/>
          <w:color w:val="auto"/>
          <w:sz w:val="24"/>
          <w:highlight w:val="none"/>
        </w:rPr>
      </w:pPr>
    </w:p>
    <w:p w14:paraId="7DCBC7B7">
      <w:pPr>
        <w:spacing w:line="480" w:lineRule="auto"/>
        <w:rPr>
          <w:rFonts w:hint="eastAsia" w:cs="宋体" w:asciiTheme="majorEastAsia" w:hAnsiTheme="majorEastAsia" w:eastAsiaTheme="majorEastAsia"/>
          <w:color w:val="auto"/>
          <w:sz w:val="24"/>
          <w:highlight w:val="none"/>
        </w:rPr>
      </w:pPr>
    </w:p>
    <w:p w14:paraId="539F5D9C">
      <w:pPr>
        <w:spacing w:line="480" w:lineRule="auto"/>
        <w:rPr>
          <w:rFonts w:hint="eastAsia" w:cs="宋体" w:asciiTheme="majorEastAsia" w:hAnsiTheme="majorEastAsia" w:eastAsiaTheme="majorEastAsia"/>
          <w:color w:val="auto"/>
          <w:sz w:val="24"/>
          <w:highlight w:val="none"/>
        </w:rPr>
      </w:pPr>
    </w:p>
    <w:p w14:paraId="51E3718F">
      <w:pPr>
        <w:spacing w:line="480" w:lineRule="auto"/>
        <w:rPr>
          <w:rFonts w:hint="eastAsia" w:cs="宋体" w:asciiTheme="majorEastAsia" w:hAnsiTheme="majorEastAsia" w:eastAsiaTheme="majorEastAsia"/>
          <w:color w:val="auto"/>
          <w:sz w:val="24"/>
          <w:highlight w:val="none"/>
        </w:rPr>
      </w:pPr>
    </w:p>
    <w:p w14:paraId="4E6521BF">
      <w:pPr>
        <w:spacing w:line="480" w:lineRule="auto"/>
        <w:rPr>
          <w:rFonts w:hint="eastAsia" w:cs="宋体" w:asciiTheme="majorEastAsia" w:hAnsiTheme="majorEastAsia" w:eastAsiaTheme="majorEastAsia"/>
          <w:b/>
          <w:color w:val="auto"/>
          <w:sz w:val="24"/>
          <w:highlight w:val="none"/>
        </w:rPr>
      </w:pPr>
    </w:p>
    <w:p w14:paraId="1AEDC4C0">
      <w:pPr>
        <w:spacing w:line="480" w:lineRule="auto"/>
        <w:rPr>
          <w:rFonts w:hint="eastAsia" w:cs="宋体" w:asciiTheme="majorEastAsia" w:hAnsiTheme="majorEastAsia" w:eastAsiaTheme="majorEastAsia"/>
          <w:b/>
          <w:color w:val="auto"/>
          <w:sz w:val="24"/>
          <w:highlight w:val="none"/>
        </w:rPr>
      </w:pPr>
    </w:p>
    <w:p w14:paraId="0A411592">
      <w:pPr>
        <w:spacing w:line="480" w:lineRule="auto"/>
        <w:rPr>
          <w:rFonts w:hint="eastAsia" w:cs="宋体" w:asciiTheme="majorEastAsia" w:hAnsiTheme="majorEastAsia" w:eastAsiaTheme="majorEastAsia"/>
          <w:b/>
          <w:color w:val="auto"/>
          <w:sz w:val="24"/>
          <w:highlight w:val="none"/>
        </w:rPr>
      </w:pPr>
      <w:r>
        <w:rPr>
          <w:rFonts w:cs="宋体" w:asciiTheme="majorEastAsia" w:hAnsiTheme="majorEastAsia" w:eastAsiaTheme="majorEastAsia"/>
          <w:b/>
          <w:color w:val="auto"/>
          <w:sz w:val="24"/>
          <w:highlight w:val="none"/>
        </w:rPr>
        <w:br w:type="page"/>
      </w:r>
      <w:r>
        <w:rPr>
          <w:rFonts w:hint="eastAsia" w:cs="宋体" w:asciiTheme="majorEastAsia" w:hAnsiTheme="majorEastAsia" w:eastAsiaTheme="majorEastAsia"/>
          <w:b/>
          <w:color w:val="auto"/>
          <w:sz w:val="24"/>
          <w:highlight w:val="none"/>
        </w:rPr>
        <w:t>（二）主要人员简历表　　　　</w:t>
      </w:r>
    </w:p>
    <w:p w14:paraId="6598F894">
      <w:pPr>
        <w:spacing w:line="480" w:lineRule="auto"/>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w:t>
      </w:r>
    </w:p>
    <w:tbl>
      <w:tblPr>
        <w:tblStyle w:val="20"/>
        <w:tblW w:w="0" w:type="auto"/>
        <w:tblInd w:w="-8" w:type="dxa"/>
        <w:tblLayout w:type="autofit"/>
        <w:tblCellMar>
          <w:top w:w="0" w:type="dxa"/>
          <w:left w:w="10" w:type="dxa"/>
          <w:bottom w:w="0" w:type="dxa"/>
          <w:right w:w="10" w:type="dxa"/>
        </w:tblCellMar>
      </w:tblPr>
      <w:tblGrid>
        <w:gridCol w:w="1648"/>
        <w:gridCol w:w="248"/>
        <w:gridCol w:w="1095"/>
        <w:gridCol w:w="1416"/>
        <w:gridCol w:w="1339"/>
        <w:gridCol w:w="496"/>
        <w:gridCol w:w="1704"/>
        <w:gridCol w:w="475"/>
        <w:gridCol w:w="1186"/>
      </w:tblGrid>
      <w:tr w14:paraId="46FBDD1B">
        <w:tblPrEx>
          <w:tblCellMar>
            <w:top w:w="0" w:type="dxa"/>
            <w:left w:w="10" w:type="dxa"/>
            <w:bottom w:w="0" w:type="dxa"/>
            <w:right w:w="10" w:type="dxa"/>
          </w:tblCellMar>
        </w:tblPrEx>
        <w:trPr>
          <w:trHeight w:val="534" w:hRule="atLeast"/>
        </w:trPr>
        <w:tc>
          <w:tcPr>
            <w:tcW w:w="1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446547">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姓名</w:t>
            </w:r>
          </w:p>
        </w:tc>
        <w:tc>
          <w:tcPr>
            <w:tcW w:w="134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52D4BF">
            <w:pPr>
              <w:jc w:val="center"/>
              <w:rPr>
                <w:rFonts w:hint="eastAsia" w:cs="宋体" w:asciiTheme="majorEastAsia" w:hAnsiTheme="majorEastAsia" w:eastAsiaTheme="majorEastAsia"/>
                <w:color w:val="auto"/>
                <w:sz w:val="22"/>
                <w:highlight w:val="none"/>
              </w:rPr>
            </w:pPr>
          </w:p>
        </w:tc>
        <w:tc>
          <w:tcPr>
            <w:tcW w:w="14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1B45D">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年龄</w:t>
            </w:r>
          </w:p>
        </w:tc>
        <w:tc>
          <w:tcPr>
            <w:tcW w:w="1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840DEA">
            <w:pPr>
              <w:jc w:val="center"/>
              <w:rPr>
                <w:rFonts w:hint="eastAsia" w:cs="宋体" w:asciiTheme="majorEastAsia" w:hAnsiTheme="majorEastAsia" w:eastAsiaTheme="majorEastAsia"/>
                <w:color w:val="auto"/>
                <w:sz w:val="22"/>
                <w:highlight w:val="none"/>
              </w:rPr>
            </w:pPr>
          </w:p>
        </w:tc>
        <w:tc>
          <w:tcPr>
            <w:tcW w:w="267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5ACE18">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学历</w:t>
            </w:r>
          </w:p>
        </w:tc>
        <w:tc>
          <w:tcPr>
            <w:tcW w:w="11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24D06D">
            <w:pPr>
              <w:jc w:val="center"/>
              <w:rPr>
                <w:rFonts w:hint="eastAsia" w:cs="宋体" w:asciiTheme="majorEastAsia" w:hAnsiTheme="majorEastAsia" w:eastAsiaTheme="majorEastAsia"/>
                <w:color w:val="auto"/>
                <w:sz w:val="22"/>
                <w:highlight w:val="none"/>
              </w:rPr>
            </w:pPr>
          </w:p>
        </w:tc>
      </w:tr>
      <w:tr w14:paraId="6D70E51F">
        <w:tblPrEx>
          <w:tblCellMar>
            <w:top w:w="0" w:type="dxa"/>
            <w:left w:w="10" w:type="dxa"/>
            <w:bottom w:w="0" w:type="dxa"/>
            <w:right w:w="10" w:type="dxa"/>
          </w:tblCellMar>
        </w:tblPrEx>
        <w:trPr>
          <w:trHeight w:val="508" w:hRule="atLeast"/>
        </w:trPr>
        <w:tc>
          <w:tcPr>
            <w:tcW w:w="1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9D486E">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执业资格</w:t>
            </w:r>
          </w:p>
        </w:tc>
        <w:tc>
          <w:tcPr>
            <w:tcW w:w="4098"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3D449E">
            <w:pPr>
              <w:jc w:val="center"/>
              <w:rPr>
                <w:rFonts w:hint="eastAsia" w:cs="宋体" w:asciiTheme="majorEastAsia" w:hAnsiTheme="majorEastAsia" w:eastAsiaTheme="majorEastAsia"/>
                <w:color w:val="auto"/>
                <w:sz w:val="22"/>
                <w:highlight w:val="none"/>
              </w:rPr>
            </w:pPr>
          </w:p>
        </w:tc>
        <w:tc>
          <w:tcPr>
            <w:tcW w:w="267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5E8FF0">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安全生产考核合格证书</w:t>
            </w:r>
          </w:p>
        </w:tc>
        <w:tc>
          <w:tcPr>
            <w:tcW w:w="11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55454">
            <w:pPr>
              <w:jc w:val="center"/>
              <w:rPr>
                <w:rFonts w:hint="eastAsia" w:cs="宋体" w:asciiTheme="majorEastAsia" w:hAnsiTheme="majorEastAsia" w:eastAsiaTheme="majorEastAsia"/>
                <w:color w:val="auto"/>
                <w:sz w:val="22"/>
                <w:highlight w:val="none"/>
              </w:rPr>
            </w:pPr>
          </w:p>
        </w:tc>
      </w:tr>
      <w:tr w14:paraId="047F8557">
        <w:tblPrEx>
          <w:tblCellMar>
            <w:top w:w="0" w:type="dxa"/>
            <w:left w:w="10" w:type="dxa"/>
            <w:bottom w:w="0" w:type="dxa"/>
            <w:right w:w="10" w:type="dxa"/>
          </w:tblCellMar>
        </w:tblPrEx>
        <w:trPr>
          <w:trHeight w:val="534" w:hRule="atLeast"/>
        </w:trPr>
        <w:tc>
          <w:tcPr>
            <w:tcW w:w="1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B55963">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职称</w:t>
            </w:r>
          </w:p>
        </w:tc>
        <w:tc>
          <w:tcPr>
            <w:tcW w:w="134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F03620">
            <w:pPr>
              <w:jc w:val="center"/>
              <w:rPr>
                <w:rFonts w:hint="eastAsia" w:cs="宋体" w:asciiTheme="majorEastAsia" w:hAnsiTheme="majorEastAsia" w:eastAsiaTheme="majorEastAsia"/>
                <w:color w:val="auto"/>
                <w:sz w:val="22"/>
                <w:highlight w:val="none"/>
              </w:rPr>
            </w:pPr>
          </w:p>
        </w:tc>
        <w:tc>
          <w:tcPr>
            <w:tcW w:w="14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2D9415">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职务</w:t>
            </w:r>
          </w:p>
        </w:tc>
        <w:tc>
          <w:tcPr>
            <w:tcW w:w="1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BE6FFD">
            <w:pPr>
              <w:jc w:val="center"/>
              <w:rPr>
                <w:rFonts w:hint="eastAsia" w:cs="宋体" w:asciiTheme="majorEastAsia" w:hAnsiTheme="majorEastAsia" w:eastAsiaTheme="majorEastAsia"/>
                <w:color w:val="auto"/>
                <w:sz w:val="22"/>
                <w:highlight w:val="none"/>
              </w:rPr>
            </w:pPr>
          </w:p>
        </w:tc>
        <w:tc>
          <w:tcPr>
            <w:tcW w:w="267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64A11D">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拟在本合同任职</w:t>
            </w:r>
          </w:p>
        </w:tc>
        <w:tc>
          <w:tcPr>
            <w:tcW w:w="11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9EEB09">
            <w:pPr>
              <w:jc w:val="center"/>
              <w:rPr>
                <w:rFonts w:hint="eastAsia" w:cs="宋体" w:asciiTheme="majorEastAsia" w:hAnsiTheme="majorEastAsia" w:eastAsiaTheme="majorEastAsia"/>
                <w:color w:val="auto"/>
                <w:sz w:val="22"/>
                <w:highlight w:val="none"/>
              </w:rPr>
            </w:pPr>
          </w:p>
        </w:tc>
      </w:tr>
      <w:tr w14:paraId="124AC950">
        <w:tblPrEx>
          <w:tblCellMar>
            <w:top w:w="0" w:type="dxa"/>
            <w:left w:w="10" w:type="dxa"/>
            <w:bottom w:w="0" w:type="dxa"/>
            <w:right w:w="10" w:type="dxa"/>
          </w:tblCellMar>
        </w:tblPrEx>
        <w:trPr>
          <w:trHeight w:val="534" w:hRule="atLeast"/>
        </w:trPr>
        <w:tc>
          <w:tcPr>
            <w:tcW w:w="1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083BE0">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毕业学校</w:t>
            </w:r>
          </w:p>
        </w:tc>
        <w:tc>
          <w:tcPr>
            <w:tcW w:w="7959"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178AB4">
            <w:pPr>
              <w:ind w:firstLine="1320"/>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年毕业于学校专业</w:t>
            </w:r>
          </w:p>
        </w:tc>
      </w:tr>
      <w:tr w14:paraId="1B4D02DA">
        <w:tblPrEx>
          <w:tblCellMar>
            <w:top w:w="0" w:type="dxa"/>
            <w:left w:w="10" w:type="dxa"/>
            <w:bottom w:w="0" w:type="dxa"/>
            <w:right w:w="10" w:type="dxa"/>
          </w:tblCellMar>
        </w:tblPrEx>
        <w:trPr>
          <w:trHeight w:val="534" w:hRule="atLeast"/>
        </w:trPr>
        <w:tc>
          <w:tcPr>
            <w:tcW w:w="9607" w:type="dxa"/>
            <w:gridSpan w:val="9"/>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8E9D91">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主要施工管理经历</w:t>
            </w:r>
          </w:p>
        </w:tc>
      </w:tr>
      <w:tr w14:paraId="22FC5C05">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DA825C">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时间</w:t>
            </w: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1E1C90">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参加过的类似项目</w:t>
            </w: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17FD98">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担任职务</w:t>
            </w: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E466AB">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发包人及联系电话</w:t>
            </w:r>
          </w:p>
        </w:tc>
      </w:tr>
      <w:tr w14:paraId="70B2474E">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0F4E6E">
            <w:pPr>
              <w:jc w:val="center"/>
              <w:rPr>
                <w:rFonts w:hint="eastAsia"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BEE42C">
            <w:pPr>
              <w:jc w:val="center"/>
              <w:rPr>
                <w:rFonts w:hint="eastAsia"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3F4827">
            <w:pPr>
              <w:jc w:val="center"/>
              <w:rPr>
                <w:rFonts w:hint="eastAsia"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568FC7">
            <w:pPr>
              <w:jc w:val="center"/>
              <w:rPr>
                <w:rFonts w:hint="eastAsia" w:cs="宋体" w:asciiTheme="majorEastAsia" w:hAnsiTheme="majorEastAsia" w:eastAsiaTheme="majorEastAsia"/>
                <w:color w:val="auto"/>
                <w:sz w:val="22"/>
                <w:highlight w:val="none"/>
              </w:rPr>
            </w:pPr>
          </w:p>
        </w:tc>
      </w:tr>
      <w:tr w14:paraId="4EA25447">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C7922B">
            <w:pPr>
              <w:jc w:val="center"/>
              <w:rPr>
                <w:rFonts w:hint="eastAsia"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468107">
            <w:pPr>
              <w:jc w:val="center"/>
              <w:rPr>
                <w:rFonts w:hint="eastAsia"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294902">
            <w:pPr>
              <w:jc w:val="center"/>
              <w:rPr>
                <w:rFonts w:hint="eastAsia"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A6A64C">
            <w:pPr>
              <w:jc w:val="center"/>
              <w:rPr>
                <w:rFonts w:hint="eastAsia" w:cs="宋体" w:asciiTheme="majorEastAsia" w:hAnsiTheme="majorEastAsia" w:eastAsiaTheme="majorEastAsia"/>
                <w:color w:val="auto"/>
                <w:sz w:val="22"/>
                <w:highlight w:val="none"/>
              </w:rPr>
            </w:pPr>
          </w:p>
        </w:tc>
      </w:tr>
      <w:tr w14:paraId="6C8FFF81">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1E0D48">
            <w:pPr>
              <w:jc w:val="center"/>
              <w:rPr>
                <w:rFonts w:hint="eastAsia"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5D4561">
            <w:pPr>
              <w:jc w:val="center"/>
              <w:rPr>
                <w:rFonts w:hint="eastAsia"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F36E4E">
            <w:pPr>
              <w:jc w:val="center"/>
              <w:rPr>
                <w:rFonts w:hint="eastAsia"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6CBE49">
            <w:pPr>
              <w:jc w:val="center"/>
              <w:rPr>
                <w:rFonts w:hint="eastAsia" w:cs="宋体" w:asciiTheme="majorEastAsia" w:hAnsiTheme="majorEastAsia" w:eastAsiaTheme="majorEastAsia"/>
                <w:color w:val="auto"/>
                <w:sz w:val="22"/>
                <w:highlight w:val="none"/>
              </w:rPr>
            </w:pPr>
          </w:p>
        </w:tc>
      </w:tr>
      <w:tr w14:paraId="1E470048">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8B2AA8">
            <w:pPr>
              <w:jc w:val="center"/>
              <w:rPr>
                <w:rFonts w:hint="eastAsia"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B6114D">
            <w:pPr>
              <w:jc w:val="center"/>
              <w:rPr>
                <w:rFonts w:hint="eastAsia"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471E0D">
            <w:pPr>
              <w:jc w:val="center"/>
              <w:rPr>
                <w:rFonts w:hint="eastAsia"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643EB4">
            <w:pPr>
              <w:jc w:val="center"/>
              <w:rPr>
                <w:rFonts w:hint="eastAsia" w:cs="宋体" w:asciiTheme="majorEastAsia" w:hAnsiTheme="majorEastAsia" w:eastAsiaTheme="majorEastAsia"/>
                <w:color w:val="auto"/>
                <w:sz w:val="22"/>
                <w:highlight w:val="none"/>
              </w:rPr>
            </w:pPr>
          </w:p>
        </w:tc>
      </w:tr>
      <w:tr w14:paraId="3B6366A1">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A19AF7">
            <w:pPr>
              <w:jc w:val="center"/>
              <w:rPr>
                <w:rFonts w:hint="eastAsia"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F786E4">
            <w:pPr>
              <w:jc w:val="center"/>
              <w:rPr>
                <w:rFonts w:hint="eastAsia"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5C5B64">
            <w:pPr>
              <w:jc w:val="center"/>
              <w:rPr>
                <w:rFonts w:hint="eastAsia"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C8D1BB">
            <w:pPr>
              <w:jc w:val="center"/>
              <w:rPr>
                <w:rFonts w:hint="eastAsia" w:cs="宋体" w:asciiTheme="majorEastAsia" w:hAnsiTheme="majorEastAsia" w:eastAsiaTheme="majorEastAsia"/>
                <w:color w:val="auto"/>
                <w:sz w:val="22"/>
                <w:highlight w:val="none"/>
              </w:rPr>
            </w:pPr>
          </w:p>
        </w:tc>
      </w:tr>
      <w:tr w14:paraId="38AD717D">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1593AD">
            <w:pPr>
              <w:jc w:val="center"/>
              <w:rPr>
                <w:rFonts w:hint="eastAsia"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270FFE">
            <w:pPr>
              <w:jc w:val="center"/>
              <w:rPr>
                <w:rFonts w:hint="eastAsia"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92E3E1">
            <w:pPr>
              <w:jc w:val="center"/>
              <w:rPr>
                <w:rFonts w:hint="eastAsia"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D1BBD9">
            <w:pPr>
              <w:jc w:val="center"/>
              <w:rPr>
                <w:rFonts w:hint="eastAsia" w:cs="宋体" w:asciiTheme="majorEastAsia" w:hAnsiTheme="majorEastAsia" w:eastAsiaTheme="majorEastAsia"/>
                <w:color w:val="auto"/>
                <w:sz w:val="22"/>
                <w:highlight w:val="none"/>
              </w:rPr>
            </w:pPr>
          </w:p>
        </w:tc>
      </w:tr>
      <w:tr w14:paraId="0F939F35">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007552">
            <w:pPr>
              <w:jc w:val="center"/>
              <w:rPr>
                <w:rFonts w:hint="eastAsia"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CF7AD4">
            <w:pPr>
              <w:jc w:val="center"/>
              <w:rPr>
                <w:rFonts w:hint="eastAsia"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6F5F07">
            <w:pPr>
              <w:jc w:val="center"/>
              <w:rPr>
                <w:rFonts w:hint="eastAsia"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C8BB5C">
            <w:pPr>
              <w:jc w:val="center"/>
              <w:rPr>
                <w:rFonts w:hint="eastAsia" w:cs="宋体" w:asciiTheme="majorEastAsia" w:hAnsiTheme="majorEastAsia" w:eastAsiaTheme="majorEastAsia"/>
                <w:color w:val="auto"/>
                <w:sz w:val="22"/>
                <w:highlight w:val="none"/>
              </w:rPr>
            </w:pPr>
          </w:p>
        </w:tc>
      </w:tr>
      <w:tr w14:paraId="5F6CFD38">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DD227D">
            <w:pPr>
              <w:jc w:val="center"/>
              <w:rPr>
                <w:rFonts w:hint="eastAsia"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E4CA68">
            <w:pPr>
              <w:jc w:val="center"/>
              <w:rPr>
                <w:rFonts w:hint="eastAsia"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DEDDE6">
            <w:pPr>
              <w:jc w:val="center"/>
              <w:rPr>
                <w:rFonts w:hint="eastAsia"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E214A2">
            <w:pPr>
              <w:jc w:val="center"/>
              <w:rPr>
                <w:rFonts w:hint="eastAsia" w:cs="宋体" w:asciiTheme="majorEastAsia" w:hAnsiTheme="majorEastAsia" w:eastAsiaTheme="majorEastAsia"/>
                <w:color w:val="auto"/>
                <w:sz w:val="22"/>
                <w:highlight w:val="none"/>
              </w:rPr>
            </w:pPr>
          </w:p>
        </w:tc>
      </w:tr>
      <w:tr w14:paraId="0657CC09">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EB0DFA">
            <w:pPr>
              <w:jc w:val="center"/>
              <w:rPr>
                <w:rFonts w:hint="eastAsia"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EF7500">
            <w:pPr>
              <w:jc w:val="center"/>
              <w:rPr>
                <w:rFonts w:hint="eastAsia"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49C5CF">
            <w:pPr>
              <w:jc w:val="center"/>
              <w:rPr>
                <w:rFonts w:hint="eastAsia"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C4E56D">
            <w:pPr>
              <w:jc w:val="center"/>
              <w:rPr>
                <w:rFonts w:hint="eastAsia" w:cs="宋体" w:asciiTheme="majorEastAsia" w:hAnsiTheme="majorEastAsia" w:eastAsiaTheme="majorEastAsia"/>
                <w:color w:val="auto"/>
                <w:sz w:val="22"/>
                <w:highlight w:val="none"/>
              </w:rPr>
            </w:pPr>
          </w:p>
        </w:tc>
      </w:tr>
      <w:tr w14:paraId="66C38A2D">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442AB">
            <w:pPr>
              <w:jc w:val="center"/>
              <w:rPr>
                <w:rFonts w:hint="eastAsia"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547AF0">
            <w:pPr>
              <w:jc w:val="center"/>
              <w:rPr>
                <w:rFonts w:hint="eastAsia"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2F2916">
            <w:pPr>
              <w:jc w:val="center"/>
              <w:rPr>
                <w:rFonts w:hint="eastAsia"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2D9590">
            <w:pPr>
              <w:jc w:val="center"/>
              <w:rPr>
                <w:rFonts w:hint="eastAsia" w:cs="宋体" w:asciiTheme="majorEastAsia" w:hAnsiTheme="majorEastAsia" w:eastAsiaTheme="majorEastAsia"/>
                <w:color w:val="auto"/>
                <w:sz w:val="22"/>
                <w:highlight w:val="none"/>
              </w:rPr>
            </w:pPr>
          </w:p>
        </w:tc>
      </w:tr>
      <w:tr w14:paraId="6A8F0918">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4FE092">
            <w:pPr>
              <w:jc w:val="center"/>
              <w:rPr>
                <w:rFonts w:hint="eastAsia"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D3939D">
            <w:pPr>
              <w:jc w:val="center"/>
              <w:rPr>
                <w:rFonts w:hint="eastAsia"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BF95A0">
            <w:pPr>
              <w:jc w:val="center"/>
              <w:rPr>
                <w:rFonts w:hint="eastAsia"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055AA5">
            <w:pPr>
              <w:jc w:val="center"/>
              <w:rPr>
                <w:rFonts w:hint="eastAsia" w:cs="宋体" w:asciiTheme="majorEastAsia" w:hAnsiTheme="majorEastAsia" w:eastAsiaTheme="majorEastAsia"/>
                <w:color w:val="auto"/>
                <w:sz w:val="22"/>
                <w:highlight w:val="none"/>
              </w:rPr>
            </w:pPr>
          </w:p>
        </w:tc>
      </w:tr>
      <w:tr w14:paraId="45613FC6">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CD4454">
            <w:pPr>
              <w:jc w:val="center"/>
              <w:rPr>
                <w:rFonts w:hint="eastAsia"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C034D3">
            <w:pPr>
              <w:jc w:val="center"/>
              <w:rPr>
                <w:rFonts w:hint="eastAsia"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FA2290">
            <w:pPr>
              <w:jc w:val="center"/>
              <w:rPr>
                <w:rFonts w:hint="eastAsia"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E92D33">
            <w:pPr>
              <w:jc w:val="center"/>
              <w:rPr>
                <w:rFonts w:hint="eastAsia" w:cs="宋体" w:asciiTheme="majorEastAsia" w:hAnsiTheme="majorEastAsia" w:eastAsiaTheme="majorEastAsia"/>
                <w:color w:val="auto"/>
                <w:sz w:val="22"/>
                <w:highlight w:val="none"/>
              </w:rPr>
            </w:pPr>
          </w:p>
        </w:tc>
      </w:tr>
    </w:tbl>
    <w:p w14:paraId="4F31039B">
      <w:pPr>
        <w:spacing w:line="480" w:lineRule="auto"/>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注：主要人员指项目经理、项目技术负责人、安全管理人员（专职安全生产管理人员）等。</w:t>
      </w:r>
    </w:p>
    <w:p w14:paraId="3173C06C">
      <w:pPr>
        <w:spacing w:line="480" w:lineRule="auto"/>
        <w:jc w:val="center"/>
        <w:rPr>
          <w:rFonts w:hint="eastAsia" w:cs="宋体" w:asciiTheme="majorEastAsia" w:hAnsiTheme="majorEastAsia" w:eastAsiaTheme="majorEastAsia"/>
          <w:b/>
          <w:color w:val="auto"/>
          <w:sz w:val="32"/>
          <w:highlight w:val="none"/>
        </w:rPr>
      </w:pPr>
    </w:p>
    <w:p w14:paraId="4E3A27AC">
      <w:pP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br w:type="page"/>
      </w:r>
    </w:p>
    <w:p w14:paraId="7B0CB628">
      <w:pPr>
        <w:spacing w:line="480" w:lineRule="auto"/>
        <w:jc w:val="cente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六、资格审查资料</w:t>
      </w:r>
    </w:p>
    <w:p w14:paraId="73925E88">
      <w:pPr>
        <w:spacing w:line="480" w:lineRule="auto"/>
        <w:rPr>
          <w:rFonts w:hint="eastAsia" w:cs="宋体" w:asciiTheme="majorEastAsia" w:hAnsiTheme="majorEastAsia" w:eastAsiaTheme="majorEastAsia"/>
          <w:color w:val="auto"/>
          <w:highlight w:val="none"/>
        </w:rPr>
      </w:pPr>
    </w:p>
    <w:p w14:paraId="2FF155B6">
      <w:pPr>
        <w:spacing w:line="480" w:lineRule="auto"/>
        <w:rPr>
          <w:rFonts w:hint="eastAsia"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（一）投标人基本情况表</w:t>
      </w:r>
    </w:p>
    <w:tbl>
      <w:tblPr>
        <w:tblStyle w:val="20"/>
        <w:tblW w:w="0" w:type="auto"/>
        <w:tblInd w:w="-8" w:type="dxa"/>
        <w:tblLayout w:type="autofit"/>
        <w:tblCellMar>
          <w:top w:w="0" w:type="dxa"/>
          <w:left w:w="10" w:type="dxa"/>
          <w:bottom w:w="0" w:type="dxa"/>
          <w:right w:w="10" w:type="dxa"/>
        </w:tblCellMar>
      </w:tblPr>
      <w:tblGrid>
        <w:gridCol w:w="1840"/>
        <w:gridCol w:w="1035"/>
        <w:gridCol w:w="1340"/>
        <w:gridCol w:w="1289"/>
        <w:gridCol w:w="1725"/>
        <w:gridCol w:w="979"/>
        <w:gridCol w:w="1257"/>
      </w:tblGrid>
      <w:tr w14:paraId="2CE9AB24">
        <w:tblPrEx>
          <w:tblCellMar>
            <w:top w:w="0" w:type="dxa"/>
            <w:left w:w="10" w:type="dxa"/>
            <w:bottom w:w="0" w:type="dxa"/>
            <w:right w:w="10" w:type="dxa"/>
          </w:tblCellMar>
        </w:tblPrEx>
        <w:trPr>
          <w:trHeight w:val="492"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8A12C2">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投标人名称</w:t>
            </w:r>
          </w:p>
        </w:tc>
        <w:tc>
          <w:tcPr>
            <w:tcW w:w="7625"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9AFBC1">
            <w:pPr>
              <w:jc w:val="center"/>
              <w:rPr>
                <w:rFonts w:hint="eastAsia" w:cs="宋体" w:asciiTheme="majorEastAsia" w:hAnsiTheme="majorEastAsia" w:eastAsiaTheme="majorEastAsia"/>
                <w:color w:val="auto"/>
                <w:sz w:val="22"/>
                <w:highlight w:val="none"/>
              </w:rPr>
            </w:pPr>
          </w:p>
        </w:tc>
      </w:tr>
      <w:tr w14:paraId="5A8159DE">
        <w:tblPrEx>
          <w:tblCellMar>
            <w:top w:w="0" w:type="dxa"/>
            <w:left w:w="10" w:type="dxa"/>
            <w:bottom w:w="0" w:type="dxa"/>
            <w:right w:w="10" w:type="dxa"/>
          </w:tblCellMar>
        </w:tblPrEx>
        <w:trPr>
          <w:trHeight w:val="469"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8C3FCD">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注册地址</w:t>
            </w:r>
          </w:p>
        </w:tc>
        <w:tc>
          <w:tcPr>
            <w:tcW w:w="366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5152A6">
            <w:pPr>
              <w:jc w:val="center"/>
              <w:rPr>
                <w:rFonts w:hint="eastAsia" w:cs="宋体" w:asciiTheme="majorEastAsia" w:hAnsiTheme="majorEastAsia" w:eastAsiaTheme="majorEastAsia"/>
                <w:color w:val="auto"/>
                <w:sz w:val="22"/>
                <w:highlight w:val="none"/>
              </w:rPr>
            </w:pP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4B8595">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邮政编码</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5FDB7C">
            <w:pPr>
              <w:jc w:val="center"/>
              <w:rPr>
                <w:rFonts w:hint="eastAsia" w:cs="宋体" w:asciiTheme="majorEastAsia" w:hAnsiTheme="majorEastAsia" w:eastAsiaTheme="majorEastAsia"/>
                <w:color w:val="auto"/>
                <w:sz w:val="22"/>
                <w:highlight w:val="none"/>
              </w:rPr>
            </w:pPr>
          </w:p>
        </w:tc>
      </w:tr>
      <w:tr w14:paraId="4F689D2C">
        <w:tblPrEx>
          <w:tblCellMar>
            <w:top w:w="0" w:type="dxa"/>
            <w:left w:w="10" w:type="dxa"/>
            <w:bottom w:w="0" w:type="dxa"/>
            <w:right w:w="10" w:type="dxa"/>
          </w:tblCellMar>
        </w:tblPrEx>
        <w:trPr>
          <w:cantSplit/>
          <w:trHeight w:val="492" w:hRule="atLeast"/>
        </w:trPr>
        <w:tc>
          <w:tcPr>
            <w:tcW w:w="184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F8A94D">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联系方式</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F75EE0">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联系人</w:t>
            </w:r>
          </w:p>
        </w:tc>
        <w:tc>
          <w:tcPr>
            <w:tcW w:w="262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E78A28">
            <w:pPr>
              <w:jc w:val="center"/>
              <w:rPr>
                <w:rFonts w:hint="eastAsia" w:cs="宋体" w:asciiTheme="majorEastAsia" w:hAnsiTheme="majorEastAsia" w:eastAsiaTheme="majorEastAsia"/>
                <w:color w:val="auto"/>
                <w:sz w:val="22"/>
                <w:highlight w:val="none"/>
              </w:rPr>
            </w:pP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8E2B44">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电话</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A32158">
            <w:pPr>
              <w:jc w:val="center"/>
              <w:rPr>
                <w:rFonts w:hint="eastAsia" w:cs="宋体" w:asciiTheme="majorEastAsia" w:hAnsiTheme="majorEastAsia" w:eastAsiaTheme="majorEastAsia"/>
                <w:color w:val="auto"/>
                <w:sz w:val="22"/>
                <w:highlight w:val="none"/>
              </w:rPr>
            </w:pPr>
          </w:p>
        </w:tc>
      </w:tr>
      <w:tr w14:paraId="36BDA941">
        <w:tblPrEx>
          <w:tblCellMar>
            <w:top w:w="0" w:type="dxa"/>
            <w:left w:w="10" w:type="dxa"/>
            <w:bottom w:w="0" w:type="dxa"/>
            <w:right w:w="10" w:type="dxa"/>
          </w:tblCellMar>
        </w:tblPrEx>
        <w:trPr>
          <w:cantSplit/>
          <w:trHeight w:val="469" w:hRule="atLeast"/>
        </w:trPr>
        <w:tc>
          <w:tcPr>
            <w:tcW w:w="1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A428A1">
            <w:pPr>
              <w:jc w:val="center"/>
              <w:rPr>
                <w:rFonts w:hint="eastAsia" w:cs="宋体" w:asciiTheme="majorEastAsia" w:hAnsiTheme="majorEastAsia" w:eastAsiaTheme="majorEastAsia"/>
                <w:color w:val="auto"/>
                <w:sz w:val="22"/>
                <w:highlight w:val="none"/>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EA1483">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传真</w:t>
            </w:r>
          </w:p>
        </w:tc>
        <w:tc>
          <w:tcPr>
            <w:tcW w:w="262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43CA7B">
            <w:pPr>
              <w:jc w:val="center"/>
              <w:rPr>
                <w:rFonts w:hint="eastAsia" w:cs="宋体" w:asciiTheme="majorEastAsia" w:hAnsiTheme="majorEastAsia" w:eastAsiaTheme="majorEastAsia"/>
                <w:color w:val="auto"/>
                <w:sz w:val="22"/>
                <w:highlight w:val="none"/>
              </w:rPr>
            </w:pP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8E9D3E">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网址</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EAE9BC">
            <w:pPr>
              <w:jc w:val="center"/>
              <w:rPr>
                <w:rFonts w:hint="eastAsia" w:cs="宋体" w:asciiTheme="majorEastAsia" w:hAnsiTheme="majorEastAsia" w:eastAsiaTheme="majorEastAsia"/>
                <w:color w:val="auto"/>
                <w:sz w:val="22"/>
                <w:highlight w:val="none"/>
              </w:rPr>
            </w:pPr>
          </w:p>
        </w:tc>
      </w:tr>
      <w:tr w14:paraId="3EE61808">
        <w:tblPrEx>
          <w:tblCellMar>
            <w:top w:w="0" w:type="dxa"/>
            <w:left w:w="10" w:type="dxa"/>
            <w:bottom w:w="0" w:type="dxa"/>
            <w:right w:w="10" w:type="dxa"/>
          </w:tblCellMar>
        </w:tblPrEx>
        <w:trPr>
          <w:trHeight w:val="492"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EE1B84">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组织结构</w:t>
            </w:r>
          </w:p>
        </w:tc>
        <w:tc>
          <w:tcPr>
            <w:tcW w:w="7625"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9D4A2C">
            <w:pPr>
              <w:jc w:val="center"/>
              <w:rPr>
                <w:rFonts w:hint="eastAsia" w:cs="宋体" w:asciiTheme="majorEastAsia" w:hAnsiTheme="majorEastAsia" w:eastAsiaTheme="majorEastAsia"/>
                <w:color w:val="auto"/>
                <w:sz w:val="22"/>
                <w:highlight w:val="none"/>
              </w:rPr>
            </w:pPr>
          </w:p>
        </w:tc>
      </w:tr>
      <w:tr w14:paraId="0DC45CFE">
        <w:tblPrEx>
          <w:tblCellMar>
            <w:top w:w="0" w:type="dxa"/>
            <w:left w:w="10" w:type="dxa"/>
            <w:bottom w:w="0" w:type="dxa"/>
            <w:right w:w="10" w:type="dxa"/>
          </w:tblCellMar>
        </w:tblPrEx>
        <w:trPr>
          <w:trHeight w:val="469"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F79AEF">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法定代表人</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10EF0A">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姓名</w:t>
            </w:r>
          </w:p>
        </w:tc>
        <w:tc>
          <w:tcPr>
            <w:tcW w:w="1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B13DFF">
            <w:pPr>
              <w:jc w:val="center"/>
              <w:rPr>
                <w:rFonts w:hint="eastAsia" w:cs="宋体" w:asciiTheme="majorEastAsia" w:hAnsiTheme="majorEastAsia" w:eastAsiaTheme="majorEastAsia"/>
                <w:color w:val="auto"/>
                <w:sz w:val="22"/>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768026">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技术职称</w:t>
            </w: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0C492D">
            <w:pPr>
              <w:jc w:val="center"/>
              <w:rPr>
                <w:rFonts w:hint="eastAsia" w:cs="宋体" w:asciiTheme="majorEastAsia" w:hAnsiTheme="majorEastAsia" w:eastAsiaTheme="majorEastAsia"/>
                <w:color w:val="auto"/>
                <w:sz w:val="22"/>
                <w:highlight w:val="none"/>
              </w:rPr>
            </w:pPr>
          </w:p>
        </w:tc>
        <w:tc>
          <w:tcPr>
            <w:tcW w:w="9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8EC361">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电话</w:t>
            </w:r>
          </w:p>
        </w:tc>
        <w:tc>
          <w:tcPr>
            <w:tcW w:w="12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2B9651">
            <w:pPr>
              <w:jc w:val="center"/>
              <w:rPr>
                <w:rFonts w:hint="eastAsia" w:cs="宋体" w:asciiTheme="majorEastAsia" w:hAnsiTheme="majorEastAsia" w:eastAsiaTheme="majorEastAsia"/>
                <w:color w:val="auto"/>
                <w:sz w:val="22"/>
                <w:highlight w:val="none"/>
              </w:rPr>
            </w:pPr>
          </w:p>
        </w:tc>
      </w:tr>
      <w:tr w14:paraId="3B911837">
        <w:tblPrEx>
          <w:tblCellMar>
            <w:top w:w="0" w:type="dxa"/>
            <w:left w:w="10" w:type="dxa"/>
            <w:bottom w:w="0" w:type="dxa"/>
            <w:right w:w="10" w:type="dxa"/>
          </w:tblCellMar>
        </w:tblPrEx>
        <w:trPr>
          <w:trHeight w:val="492"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0B2E33">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技术负责人</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B26B61">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姓名</w:t>
            </w:r>
          </w:p>
        </w:tc>
        <w:tc>
          <w:tcPr>
            <w:tcW w:w="1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94210F">
            <w:pPr>
              <w:jc w:val="center"/>
              <w:rPr>
                <w:rFonts w:hint="eastAsia" w:cs="宋体" w:asciiTheme="majorEastAsia" w:hAnsiTheme="majorEastAsia" w:eastAsiaTheme="majorEastAsia"/>
                <w:color w:val="auto"/>
                <w:sz w:val="22"/>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3E5192">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技术职称</w:t>
            </w: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9C19B5">
            <w:pPr>
              <w:jc w:val="center"/>
              <w:rPr>
                <w:rFonts w:hint="eastAsia" w:cs="宋体" w:asciiTheme="majorEastAsia" w:hAnsiTheme="majorEastAsia" w:eastAsiaTheme="majorEastAsia"/>
                <w:color w:val="auto"/>
                <w:sz w:val="22"/>
                <w:highlight w:val="none"/>
              </w:rPr>
            </w:pPr>
          </w:p>
        </w:tc>
        <w:tc>
          <w:tcPr>
            <w:tcW w:w="9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55BD29">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电话</w:t>
            </w:r>
          </w:p>
        </w:tc>
        <w:tc>
          <w:tcPr>
            <w:tcW w:w="12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4F2D83">
            <w:pPr>
              <w:jc w:val="center"/>
              <w:rPr>
                <w:rFonts w:hint="eastAsia" w:cs="宋体" w:asciiTheme="majorEastAsia" w:hAnsiTheme="majorEastAsia" w:eastAsiaTheme="majorEastAsia"/>
                <w:color w:val="auto"/>
                <w:sz w:val="22"/>
                <w:highlight w:val="none"/>
              </w:rPr>
            </w:pPr>
          </w:p>
        </w:tc>
      </w:tr>
      <w:tr w14:paraId="501913ED">
        <w:tblPrEx>
          <w:tblCellMar>
            <w:top w:w="0" w:type="dxa"/>
            <w:left w:w="10" w:type="dxa"/>
            <w:bottom w:w="0" w:type="dxa"/>
            <w:right w:w="10" w:type="dxa"/>
          </w:tblCellMar>
        </w:tblPrEx>
        <w:trPr>
          <w:trHeight w:val="469"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2375DE">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成立时间</w:t>
            </w:r>
          </w:p>
        </w:tc>
        <w:tc>
          <w:tcPr>
            <w:tcW w:w="23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AFDC36">
            <w:pPr>
              <w:jc w:val="center"/>
              <w:rPr>
                <w:rFonts w:hint="eastAsia" w:cs="宋体" w:asciiTheme="majorEastAsia" w:hAnsiTheme="majorEastAsia" w:eastAsiaTheme="majorEastAsia"/>
                <w:color w:val="auto"/>
                <w:sz w:val="22"/>
                <w:highlight w:val="none"/>
              </w:rPr>
            </w:pPr>
          </w:p>
        </w:tc>
        <w:tc>
          <w:tcPr>
            <w:tcW w:w="30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70E056">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员工总人数</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572A0B">
            <w:pPr>
              <w:jc w:val="center"/>
              <w:rPr>
                <w:rFonts w:hint="eastAsia" w:cs="宋体" w:asciiTheme="majorEastAsia" w:hAnsiTheme="majorEastAsia" w:eastAsiaTheme="majorEastAsia"/>
                <w:color w:val="auto"/>
                <w:sz w:val="22"/>
                <w:highlight w:val="none"/>
              </w:rPr>
            </w:pPr>
          </w:p>
        </w:tc>
      </w:tr>
      <w:tr w14:paraId="2C628AE4">
        <w:tblPrEx>
          <w:tblCellMar>
            <w:top w:w="0" w:type="dxa"/>
            <w:left w:w="10" w:type="dxa"/>
            <w:bottom w:w="0" w:type="dxa"/>
            <w:right w:w="10" w:type="dxa"/>
          </w:tblCellMar>
        </w:tblPrEx>
        <w:trPr>
          <w:cantSplit/>
          <w:trHeight w:val="492"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55C163">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企业资质等级</w:t>
            </w:r>
          </w:p>
        </w:tc>
        <w:tc>
          <w:tcPr>
            <w:tcW w:w="23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22CBDB">
            <w:pPr>
              <w:jc w:val="center"/>
              <w:rPr>
                <w:rFonts w:hint="eastAsia" w:cs="宋体" w:asciiTheme="majorEastAsia" w:hAnsiTheme="majorEastAsia" w:eastAsiaTheme="majorEastAsia"/>
                <w:color w:val="auto"/>
                <w:sz w:val="22"/>
                <w:highlight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D887B1">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其中</w:t>
            </w: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297D6A">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项目经理</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FE91A1">
            <w:pPr>
              <w:jc w:val="center"/>
              <w:rPr>
                <w:rFonts w:hint="eastAsia" w:cs="宋体" w:asciiTheme="majorEastAsia" w:hAnsiTheme="majorEastAsia" w:eastAsiaTheme="majorEastAsia"/>
                <w:color w:val="auto"/>
                <w:sz w:val="22"/>
                <w:highlight w:val="none"/>
              </w:rPr>
            </w:pPr>
          </w:p>
        </w:tc>
      </w:tr>
      <w:tr w14:paraId="4D77CB21">
        <w:tblPrEx>
          <w:tblCellMar>
            <w:top w:w="0" w:type="dxa"/>
            <w:left w:w="10" w:type="dxa"/>
            <w:bottom w:w="0" w:type="dxa"/>
            <w:right w:w="10" w:type="dxa"/>
          </w:tblCellMar>
        </w:tblPrEx>
        <w:trPr>
          <w:cantSplit/>
          <w:trHeight w:val="469"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5B096D">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营业执照号</w:t>
            </w:r>
          </w:p>
        </w:tc>
        <w:tc>
          <w:tcPr>
            <w:tcW w:w="23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746260">
            <w:pPr>
              <w:jc w:val="center"/>
              <w:rPr>
                <w:rFonts w:hint="eastAsia" w:cs="宋体" w:asciiTheme="majorEastAsia" w:hAnsiTheme="majorEastAsia" w:eastAsiaTheme="majorEastAsia"/>
                <w:color w:val="auto"/>
                <w:sz w:val="22"/>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8E863D">
            <w:pPr>
              <w:jc w:val="center"/>
              <w:rPr>
                <w:rFonts w:hint="eastAsia" w:cs="宋体" w:asciiTheme="majorEastAsia" w:hAnsiTheme="majorEastAsia" w:eastAsiaTheme="majorEastAsia"/>
                <w:color w:val="auto"/>
                <w:sz w:val="22"/>
                <w:highlight w:val="none"/>
              </w:rPr>
            </w:pP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B35B4F">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高级职称人员</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3F791A">
            <w:pPr>
              <w:jc w:val="center"/>
              <w:rPr>
                <w:rFonts w:hint="eastAsia" w:cs="宋体" w:asciiTheme="majorEastAsia" w:hAnsiTheme="majorEastAsia" w:eastAsiaTheme="majorEastAsia"/>
                <w:color w:val="auto"/>
                <w:sz w:val="22"/>
                <w:highlight w:val="none"/>
              </w:rPr>
            </w:pPr>
          </w:p>
        </w:tc>
      </w:tr>
      <w:tr w14:paraId="7C75D4D5">
        <w:tblPrEx>
          <w:tblCellMar>
            <w:top w:w="0" w:type="dxa"/>
            <w:left w:w="10" w:type="dxa"/>
            <w:bottom w:w="0" w:type="dxa"/>
            <w:right w:w="10" w:type="dxa"/>
          </w:tblCellMar>
        </w:tblPrEx>
        <w:trPr>
          <w:cantSplit/>
          <w:trHeight w:val="492"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39A95F">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注册资金</w:t>
            </w:r>
          </w:p>
        </w:tc>
        <w:tc>
          <w:tcPr>
            <w:tcW w:w="23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BBA719">
            <w:pPr>
              <w:jc w:val="center"/>
              <w:rPr>
                <w:rFonts w:hint="eastAsia" w:cs="宋体" w:asciiTheme="majorEastAsia" w:hAnsiTheme="majorEastAsia" w:eastAsiaTheme="majorEastAsia"/>
                <w:color w:val="auto"/>
                <w:sz w:val="22"/>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3B6246">
            <w:pPr>
              <w:jc w:val="center"/>
              <w:rPr>
                <w:rFonts w:hint="eastAsia" w:cs="宋体" w:asciiTheme="majorEastAsia" w:hAnsiTheme="majorEastAsia" w:eastAsiaTheme="majorEastAsia"/>
                <w:color w:val="auto"/>
                <w:sz w:val="22"/>
                <w:highlight w:val="none"/>
              </w:rPr>
            </w:pP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B13DBB">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中级职称人员</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8E39A6">
            <w:pPr>
              <w:jc w:val="center"/>
              <w:rPr>
                <w:rFonts w:hint="eastAsia" w:cs="宋体" w:asciiTheme="majorEastAsia" w:hAnsiTheme="majorEastAsia" w:eastAsiaTheme="majorEastAsia"/>
                <w:color w:val="auto"/>
                <w:sz w:val="22"/>
                <w:highlight w:val="none"/>
              </w:rPr>
            </w:pPr>
          </w:p>
        </w:tc>
      </w:tr>
      <w:tr w14:paraId="68E94047">
        <w:tblPrEx>
          <w:tblCellMar>
            <w:top w:w="0" w:type="dxa"/>
            <w:left w:w="10" w:type="dxa"/>
            <w:bottom w:w="0" w:type="dxa"/>
            <w:right w:w="10" w:type="dxa"/>
          </w:tblCellMar>
        </w:tblPrEx>
        <w:trPr>
          <w:cantSplit/>
          <w:trHeight w:val="469"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D3E97A">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开户银行</w:t>
            </w:r>
          </w:p>
        </w:tc>
        <w:tc>
          <w:tcPr>
            <w:tcW w:w="23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4AD0C8">
            <w:pPr>
              <w:jc w:val="center"/>
              <w:rPr>
                <w:rFonts w:hint="eastAsia" w:cs="宋体" w:asciiTheme="majorEastAsia" w:hAnsiTheme="majorEastAsia" w:eastAsiaTheme="majorEastAsia"/>
                <w:color w:val="auto"/>
                <w:sz w:val="22"/>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7A74B5">
            <w:pPr>
              <w:jc w:val="center"/>
              <w:rPr>
                <w:rFonts w:hint="eastAsia" w:cs="宋体" w:asciiTheme="majorEastAsia" w:hAnsiTheme="majorEastAsia" w:eastAsiaTheme="majorEastAsia"/>
                <w:color w:val="auto"/>
                <w:sz w:val="22"/>
                <w:highlight w:val="none"/>
              </w:rPr>
            </w:pP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4A2764">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初级职称人员</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6D04E8">
            <w:pPr>
              <w:jc w:val="center"/>
              <w:rPr>
                <w:rFonts w:hint="eastAsia" w:cs="宋体" w:asciiTheme="majorEastAsia" w:hAnsiTheme="majorEastAsia" w:eastAsiaTheme="majorEastAsia"/>
                <w:color w:val="auto"/>
                <w:sz w:val="22"/>
                <w:highlight w:val="none"/>
              </w:rPr>
            </w:pPr>
          </w:p>
        </w:tc>
      </w:tr>
      <w:tr w14:paraId="6FFB4B58">
        <w:tblPrEx>
          <w:tblCellMar>
            <w:top w:w="0" w:type="dxa"/>
            <w:left w:w="10" w:type="dxa"/>
            <w:bottom w:w="0" w:type="dxa"/>
            <w:right w:w="10" w:type="dxa"/>
          </w:tblCellMar>
        </w:tblPrEx>
        <w:trPr>
          <w:cantSplit/>
          <w:trHeight w:val="469"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87696F">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账号</w:t>
            </w:r>
          </w:p>
        </w:tc>
        <w:tc>
          <w:tcPr>
            <w:tcW w:w="23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79BBAC">
            <w:pPr>
              <w:jc w:val="center"/>
              <w:rPr>
                <w:rFonts w:hint="eastAsia" w:cs="宋体" w:asciiTheme="majorEastAsia" w:hAnsiTheme="majorEastAsia" w:eastAsiaTheme="majorEastAsia"/>
                <w:color w:val="auto"/>
                <w:sz w:val="22"/>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1D2691">
            <w:pPr>
              <w:jc w:val="center"/>
              <w:rPr>
                <w:rFonts w:hint="eastAsia" w:cs="宋体" w:asciiTheme="majorEastAsia" w:hAnsiTheme="majorEastAsia" w:eastAsiaTheme="majorEastAsia"/>
                <w:color w:val="auto"/>
                <w:sz w:val="22"/>
                <w:highlight w:val="none"/>
              </w:rPr>
            </w:pP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726814">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技工</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270A11">
            <w:pPr>
              <w:jc w:val="center"/>
              <w:rPr>
                <w:rFonts w:hint="eastAsia" w:cs="宋体" w:asciiTheme="majorEastAsia" w:hAnsiTheme="majorEastAsia" w:eastAsiaTheme="majorEastAsia"/>
                <w:color w:val="auto"/>
                <w:sz w:val="22"/>
                <w:highlight w:val="none"/>
              </w:rPr>
            </w:pPr>
          </w:p>
        </w:tc>
      </w:tr>
      <w:tr w14:paraId="186F2C91">
        <w:tblPrEx>
          <w:tblCellMar>
            <w:top w:w="0" w:type="dxa"/>
            <w:left w:w="10" w:type="dxa"/>
            <w:bottom w:w="0" w:type="dxa"/>
            <w:right w:w="10" w:type="dxa"/>
          </w:tblCellMar>
        </w:tblPrEx>
        <w:trPr>
          <w:trHeight w:val="1662"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AAA8F2">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经营范围</w:t>
            </w:r>
          </w:p>
        </w:tc>
        <w:tc>
          <w:tcPr>
            <w:tcW w:w="7625"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3D625E">
            <w:pPr>
              <w:jc w:val="center"/>
              <w:rPr>
                <w:rFonts w:hint="eastAsia" w:cs="宋体" w:asciiTheme="majorEastAsia" w:hAnsiTheme="majorEastAsia" w:eastAsiaTheme="majorEastAsia"/>
                <w:color w:val="auto"/>
                <w:sz w:val="24"/>
                <w:highlight w:val="none"/>
              </w:rPr>
            </w:pPr>
          </w:p>
          <w:p w14:paraId="012F71C7">
            <w:pPr>
              <w:rPr>
                <w:rFonts w:hint="eastAsia" w:cs="宋体" w:asciiTheme="majorEastAsia" w:hAnsiTheme="majorEastAsia" w:eastAsiaTheme="majorEastAsia"/>
                <w:color w:val="auto"/>
                <w:highlight w:val="none"/>
              </w:rPr>
            </w:pPr>
          </w:p>
        </w:tc>
      </w:tr>
      <w:tr w14:paraId="60AA8E88">
        <w:tblPrEx>
          <w:tblCellMar>
            <w:top w:w="0" w:type="dxa"/>
            <w:left w:w="10" w:type="dxa"/>
            <w:bottom w:w="0" w:type="dxa"/>
            <w:right w:w="10" w:type="dxa"/>
          </w:tblCellMar>
        </w:tblPrEx>
        <w:trPr>
          <w:trHeight w:val="1330"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A4D899">
            <w:pPr>
              <w:jc w:val="center"/>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备注</w:t>
            </w:r>
          </w:p>
        </w:tc>
        <w:tc>
          <w:tcPr>
            <w:tcW w:w="7625"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550174">
            <w:pPr>
              <w:jc w:val="center"/>
              <w:rPr>
                <w:rFonts w:hint="eastAsia" w:cs="宋体" w:asciiTheme="majorEastAsia" w:hAnsiTheme="majorEastAsia" w:eastAsiaTheme="majorEastAsia"/>
                <w:color w:val="auto"/>
                <w:sz w:val="24"/>
                <w:highlight w:val="none"/>
              </w:rPr>
            </w:pPr>
          </w:p>
          <w:p w14:paraId="17183F2B">
            <w:pPr>
              <w:rPr>
                <w:rFonts w:hint="eastAsia" w:cs="宋体" w:asciiTheme="majorEastAsia" w:hAnsiTheme="majorEastAsia" w:eastAsiaTheme="majorEastAsia"/>
                <w:color w:val="auto"/>
                <w:highlight w:val="none"/>
              </w:rPr>
            </w:pPr>
          </w:p>
        </w:tc>
      </w:tr>
    </w:tbl>
    <w:p w14:paraId="44C49732">
      <w:pPr>
        <w:spacing w:line="480" w:lineRule="auto"/>
        <w:rPr>
          <w:rFonts w:hint="eastAsia" w:cs="宋体" w:asciiTheme="majorEastAsia" w:hAnsiTheme="majorEastAsia" w:eastAsiaTheme="majorEastAsia"/>
          <w:color w:val="auto"/>
          <w:sz w:val="24"/>
          <w:highlight w:val="none"/>
        </w:rPr>
      </w:pPr>
    </w:p>
    <w:p w14:paraId="39E24058">
      <w:pPr>
        <w:spacing w:line="480" w:lineRule="auto"/>
        <w:rPr>
          <w:rFonts w:hint="eastAsia" w:cs="宋体" w:asciiTheme="majorEastAsia" w:hAnsiTheme="majorEastAsia" w:eastAsiaTheme="majorEastAsia"/>
          <w:b/>
          <w:color w:val="auto"/>
          <w:sz w:val="24"/>
          <w:highlight w:val="none"/>
        </w:rPr>
      </w:pPr>
    </w:p>
    <w:p w14:paraId="15DCA869">
      <w:pPr>
        <w:rPr>
          <w:rFonts w:hint="eastAsia"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br w:type="page"/>
      </w:r>
    </w:p>
    <w:p w14:paraId="27EBCAE7">
      <w:pPr>
        <w:spacing w:line="480" w:lineRule="auto"/>
        <w:rPr>
          <w:rFonts w:hint="eastAsia"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（二）、相关材料</w:t>
      </w:r>
    </w:p>
    <w:tbl>
      <w:tblPr>
        <w:tblStyle w:val="20"/>
        <w:tblW w:w="0" w:type="auto"/>
        <w:tblInd w:w="-8" w:type="dxa"/>
        <w:tblLayout w:type="autofit"/>
        <w:tblCellMar>
          <w:top w:w="0" w:type="dxa"/>
          <w:left w:w="10" w:type="dxa"/>
          <w:bottom w:w="0" w:type="dxa"/>
          <w:right w:w="10" w:type="dxa"/>
        </w:tblCellMar>
      </w:tblPr>
      <w:tblGrid>
        <w:gridCol w:w="842"/>
        <w:gridCol w:w="6929"/>
        <w:gridCol w:w="1694"/>
      </w:tblGrid>
      <w:tr w14:paraId="44BA6CE9">
        <w:tblPrEx>
          <w:tblCellMar>
            <w:top w:w="0" w:type="dxa"/>
            <w:left w:w="10" w:type="dxa"/>
            <w:bottom w:w="0" w:type="dxa"/>
            <w:right w:w="10" w:type="dxa"/>
          </w:tblCellMar>
        </w:tblPrEx>
        <w:trPr>
          <w:trHeight w:val="495"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90BA85">
            <w:pPr>
              <w:spacing w:line="360" w:lineRule="auto"/>
              <w:jc w:val="center"/>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序号</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977B1F">
            <w:pPr>
              <w:spacing w:line="360" w:lineRule="auto"/>
              <w:jc w:val="center"/>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名称</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1F0759">
            <w:pPr>
              <w:jc w:val="center"/>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备注</w:t>
            </w:r>
          </w:p>
        </w:tc>
      </w:tr>
      <w:tr w14:paraId="09B5595C">
        <w:tblPrEx>
          <w:tblCellMar>
            <w:top w:w="0" w:type="dxa"/>
            <w:left w:w="10" w:type="dxa"/>
            <w:bottom w:w="0" w:type="dxa"/>
            <w:right w:w="10" w:type="dxa"/>
          </w:tblCellMar>
        </w:tblPrEx>
        <w:trPr>
          <w:trHeight w:val="516"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8716B8">
            <w:pPr>
              <w:spacing w:line="360" w:lineRule="auto"/>
              <w:jc w:val="center"/>
              <w:rPr>
                <w:rFonts w:hint="eastAsia"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874597">
            <w:pPr>
              <w:spacing w:line="360" w:lineRule="auto"/>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营业执照</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2ABDAC">
            <w:pPr>
              <w:rPr>
                <w:rFonts w:hint="eastAsia" w:cs="宋体" w:asciiTheme="majorEastAsia" w:hAnsiTheme="majorEastAsia" w:eastAsiaTheme="majorEastAsia"/>
                <w:color w:val="auto"/>
                <w:sz w:val="24"/>
                <w:szCs w:val="24"/>
                <w:highlight w:val="none"/>
              </w:rPr>
            </w:pPr>
          </w:p>
        </w:tc>
      </w:tr>
      <w:tr w14:paraId="6C130D1D">
        <w:tblPrEx>
          <w:tblCellMar>
            <w:top w:w="0" w:type="dxa"/>
            <w:left w:w="10" w:type="dxa"/>
            <w:bottom w:w="0" w:type="dxa"/>
            <w:right w:w="10" w:type="dxa"/>
          </w:tblCellMar>
        </w:tblPrEx>
        <w:trPr>
          <w:trHeight w:val="495"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5FBDD">
            <w:pPr>
              <w:spacing w:line="360" w:lineRule="auto"/>
              <w:jc w:val="center"/>
              <w:rPr>
                <w:rFonts w:hint="eastAsia"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706706">
            <w:pPr>
              <w:spacing w:line="360" w:lineRule="auto"/>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安全生产许可证</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CF2771">
            <w:pPr>
              <w:rPr>
                <w:rFonts w:hint="eastAsia" w:cs="宋体" w:asciiTheme="majorEastAsia" w:hAnsiTheme="majorEastAsia" w:eastAsiaTheme="majorEastAsia"/>
                <w:color w:val="auto"/>
                <w:sz w:val="24"/>
                <w:szCs w:val="24"/>
                <w:highlight w:val="none"/>
              </w:rPr>
            </w:pPr>
          </w:p>
        </w:tc>
      </w:tr>
      <w:tr w14:paraId="61B8FFD6">
        <w:tblPrEx>
          <w:tblCellMar>
            <w:top w:w="0" w:type="dxa"/>
            <w:left w:w="10" w:type="dxa"/>
            <w:bottom w:w="0" w:type="dxa"/>
            <w:right w:w="10" w:type="dxa"/>
          </w:tblCellMar>
        </w:tblPrEx>
        <w:trPr>
          <w:trHeight w:val="450"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C9A753">
            <w:pPr>
              <w:spacing w:line="360" w:lineRule="auto"/>
              <w:jc w:val="center"/>
              <w:rPr>
                <w:rFonts w:hint="eastAsia"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3</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9CF126">
            <w:pPr>
              <w:spacing w:line="360" w:lineRule="auto"/>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资质证书</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00400E">
            <w:pPr>
              <w:rPr>
                <w:rFonts w:hint="eastAsia" w:cs="宋体" w:asciiTheme="majorEastAsia" w:hAnsiTheme="majorEastAsia" w:eastAsiaTheme="majorEastAsia"/>
                <w:color w:val="auto"/>
                <w:sz w:val="24"/>
                <w:szCs w:val="24"/>
                <w:highlight w:val="none"/>
              </w:rPr>
            </w:pPr>
          </w:p>
        </w:tc>
      </w:tr>
      <w:tr w14:paraId="52FB76BE">
        <w:tblPrEx>
          <w:tblCellMar>
            <w:top w:w="0" w:type="dxa"/>
            <w:left w:w="10" w:type="dxa"/>
            <w:bottom w:w="0" w:type="dxa"/>
            <w:right w:w="10" w:type="dxa"/>
          </w:tblCellMar>
        </w:tblPrEx>
        <w:trPr>
          <w:trHeight w:val="495"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19A2A0">
            <w:pPr>
              <w:spacing w:line="360" w:lineRule="auto"/>
              <w:jc w:val="center"/>
              <w:rPr>
                <w:rFonts w:hint="eastAsia"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4</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C29FA6">
            <w:pPr>
              <w:spacing w:line="360" w:lineRule="auto"/>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项目经理注册建造师证、身份证、社会保险证明、安全生产考核合格证书</w:t>
            </w:r>
            <w:r>
              <w:rPr>
                <w:rFonts w:cs="宋体" w:asciiTheme="majorEastAsia" w:hAnsiTheme="majorEastAsia" w:eastAsiaTheme="majorEastAsia"/>
                <w:color w:val="auto"/>
                <w:sz w:val="24"/>
                <w:szCs w:val="24"/>
                <w:highlight w:val="none"/>
              </w:rPr>
              <w:t>B</w:t>
            </w:r>
            <w:r>
              <w:rPr>
                <w:rFonts w:hint="eastAsia" w:cs="宋体" w:asciiTheme="majorEastAsia" w:hAnsiTheme="majorEastAsia" w:eastAsiaTheme="majorEastAsia"/>
                <w:color w:val="auto"/>
                <w:sz w:val="24"/>
                <w:szCs w:val="24"/>
                <w:highlight w:val="none"/>
              </w:rPr>
              <w:t>证、未担任其他在建（包括已列为其他项目第一中标候选人、已中标未开工或已建成未竣工）建设工程项目的承诺函</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0C7FD3">
            <w:pPr>
              <w:rPr>
                <w:rFonts w:hint="eastAsia" w:cs="宋体" w:asciiTheme="majorEastAsia" w:hAnsiTheme="majorEastAsia" w:eastAsiaTheme="majorEastAsia"/>
                <w:color w:val="auto"/>
                <w:sz w:val="24"/>
                <w:szCs w:val="24"/>
                <w:highlight w:val="none"/>
              </w:rPr>
            </w:pPr>
          </w:p>
        </w:tc>
      </w:tr>
      <w:tr w14:paraId="1490A4A1">
        <w:tblPrEx>
          <w:tblCellMar>
            <w:top w:w="0" w:type="dxa"/>
            <w:left w:w="10" w:type="dxa"/>
            <w:bottom w:w="0" w:type="dxa"/>
            <w:right w:w="10" w:type="dxa"/>
          </w:tblCellMar>
        </w:tblPrEx>
        <w:trPr>
          <w:trHeight w:val="580"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F1A6A8">
            <w:pPr>
              <w:spacing w:line="360" w:lineRule="auto"/>
              <w:jc w:val="center"/>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5</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1A74EA">
            <w:pPr>
              <w:spacing w:line="360" w:lineRule="auto"/>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授权委托人身份证及社会保险证明</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AB1AE">
            <w:pPr>
              <w:rPr>
                <w:rFonts w:hint="eastAsia" w:cs="宋体" w:asciiTheme="majorEastAsia" w:hAnsiTheme="majorEastAsia" w:eastAsiaTheme="majorEastAsia"/>
                <w:color w:val="auto"/>
                <w:sz w:val="24"/>
                <w:szCs w:val="24"/>
                <w:highlight w:val="none"/>
              </w:rPr>
            </w:pPr>
          </w:p>
        </w:tc>
      </w:tr>
      <w:tr w14:paraId="3B2CF6DB">
        <w:tblPrEx>
          <w:tblCellMar>
            <w:top w:w="0" w:type="dxa"/>
            <w:left w:w="10" w:type="dxa"/>
            <w:bottom w:w="0" w:type="dxa"/>
            <w:right w:w="10" w:type="dxa"/>
          </w:tblCellMar>
        </w:tblPrEx>
        <w:trPr>
          <w:trHeight w:val="495"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93E489">
            <w:pPr>
              <w:spacing w:line="360" w:lineRule="auto"/>
              <w:jc w:val="center"/>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6</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41A9C3">
            <w:pPr>
              <w:spacing w:line="360" w:lineRule="auto"/>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项目技术负责人有效的身份证、职称证、社会保险证明</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2455CE">
            <w:pPr>
              <w:rPr>
                <w:rFonts w:hint="eastAsia" w:cs="宋体" w:asciiTheme="majorEastAsia" w:hAnsiTheme="majorEastAsia" w:eastAsiaTheme="majorEastAsia"/>
                <w:color w:val="auto"/>
                <w:sz w:val="24"/>
                <w:szCs w:val="24"/>
                <w:highlight w:val="none"/>
              </w:rPr>
            </w:pPr>
          </w:p>
        </w:tc>
      </w:tr>
      <w:tr w14:paraId="6F29960C">
        <w:tblPrEx>
          <w:tblCellMar>
            <w:top w:w="0" w:type="dxa"/>
            <w:left w:w="10" w:type="dxa"/>
            <w:bottom w:w="0" w:type="dxa"/>
            <w:right w:w="10" w:type="dxa"/>
          </w:tblCellMar>
        </w:tblPrEx>
        <w:trPr>
          <w:trHeight w:val="470"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51D8AC">
            <w:pPr>
              <w:spacing w:line="360" w:lineRule="auto"/>
              <w:jc w:val="center"/>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7</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C9F23A">
            <w:pPr>
              <w:spacing w:line="360" w:lineRule="auto"/>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安全管理人员（专职安全生产管理人员）身份证、社会保险证明、安全生产考核合格证书</w:t>
            </w:r>
            <w:r>
              <w:rPr>
                <w:rFonts w:cs="宋体" w:asciiTheme="majorEastAsia" w:hAnsiTheme="majorEastAsia" w:eastAsiaTheme="majorEastAsia"/>
                <w:color w:val="auto"/>
                <w:sz w:val="24"/>
                <w:szCs w:val="24"/>
                <w:highlight w:val="none"/>
              </w:rPr>
              <w:t>C</w:t>
            </w:r>
            <w:r>
              <w:rPr>
                <w:rFonts w:hint="eastAsia" w:cs="宋体" w:asciiTheme="majorEastAsia" w:hAnsiTheme="majorEastAsia" w:eastAsiaTheme="majorEastAsia"/>
                <w:color w:val="auto"/>
                <w:sz w:val="24"/>
                <w:szCs w:val="24"/>
                <w:highlight w:val="none"/>
              </w:rPr>
              <w:t>证</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9CAFBF">
            <w:pPr>
              <w:rPr>
                <w:rFonts w:hint="eastAsia" w:cs="宋体" w:asciiTheme="majorEastAsia" w:hAnsiTheme="majorEastAsia" w:eastAsiaTheme="majorEastAsia"/>
                <w:color w:val="auto"/>
                <w:sz w:val="24"/>
                <w:szCs w:val="24"/>
                <w:highlight w:val="none"/>
              </w:rPr>
            </w:pPr>
          </w:p>
        </w:tc>
      </w:tr>
      <w:tr w14:paraId="26B01F11">
        <w:tblPrEx>
          <w:tblCellMar>
            <w:top w:w="0" w:type="dxa"/>
            <w:left w:w="10" w:type="dxa"/>
            <w:bottom w:w="0" w:type="dxa"/>
            <w:right w:w="10" w:type="dxa"/>
          </w:tblCellMar>
        </w:tblPrEx>
        <w:trPr>
          <w:trHeight w:val="605"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31CDA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9FCEE1">
            <w:pPr>
              <w:spacing w:line="360" w:lineRule="auto"/>
              <w:rPr>
                <w:rFonts w:hint="eastAsia" w:ascii="宋体" w:hAnsi="宋体"/>
                <w:color w:val="auto"/>
                <w:sz w:val="24"/>
                <w:highlight w:val="none"/>
              </w:rPr>
            </w:pPr>
            <w:r>
              <w:rPr>
                <w:rFonts w:hint="eastAsia" w:ascii="宋体" w:hAnsi="宋体"/>
                <w:color w:val="auto"/>
                <w:sz w:val="24"/>
                <w:highlight w:val="none"/>
              </w:rPr>
              <w:t>……</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474D5A">
            <w:pPr>
              <w:rPr>
                <w:rFonts w:hint="eastAsia" w:cs="宋体" w:asciiTheme="majorEastAsia" w:hAnsiTheme="majorEastAsia" w:eastAsiaTheme="majorEastAsia"/>
                <w:color w:val="auto"/>
                <w:sz w:val="24"/>
                <w:szCs w:val="24"/>
                <w:highlight w:val="none"/>
              </w:rPr>
            </w:pPr>
          </w:p>
        </w:tc>
      </w:tr>
    </w:tbl>
    <w:p w14:paraId="30C1A94B">
      <w:pPr>
        <w:spacing w:line="360" w:lineRule="auto"/>
        <w:ind w:firstLine="48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注：</w:t>
      </w:r>
    </w:p>
    <w:p w14:paraId="1B0CF962">
      <w:pPr>
        <w:pStyle w:val="46"/>
        <w:numPr>
          <w:ilvl w:val="0"/>
          <w:numId w:val="3"/>
        </w:numPr>
        <w:spacing w:line="360" w:lineRule="auto"/>
        <w:ind w:firstLineChars="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上表内容仅供参考，投标人应根据招标文件要求自行填写，表格可扩展。</w:t>
      </w:r>
    </w:p>
    <w:p w14:paraId="4554C5B6">
      <w:pPr>
        <w:pStyle w:val="46"/>
        <w:widowControl/>
        <w:numPr>
          <w:ilvl w:val="255"/>
          <w:numId w:val="0"/>
        </w:numPr>
        <w:spacing w:line="360" w:lineRule="auto"/>
        <w:ind w:left="480"/>
        <w:jc w:val="left"/>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2.投标人参与此项目的所有人员（包括授权委托人）应提供在本单位缴纳的社会保险证明（近3个月，必须包含2026年1月社保证明扫描件），</w:t>
      </w:r>
      <w:r>
        <w:rPr>
          <w:rFonts w:hint="eastAsia" w:ascii="宋体" w:hAnsi="宋体" w:cs="宋体"/>
          <w:color w:val="auto"/>
          <w:sz w:val="24"/>
          <w:highlight w:val="none"/>
        </w:rPr>
        <w:t>如为退休人员无社会保险关系证明的，则需提供其退休证及返聘证明。</w:t>
      </w:r>
    </w:p>
    <w:p w14:paraId="22F6AF19">
      <w:pPr>
        <w:pStyle w:val="46"/>
        <w:spacing w:line="480" w:lineRule="auto"/>
        <w:ind w:left="840" w:firstLine="0" w:firstLineChars="0"/>
        <w:rPr>
          <w:rFonts w:hint="eastAsia" w:cs="宋体" w:asciiTheme="majorEastAsia" w:hAnsiTheme="majorEastAsia" w:eastAsiaTheme="majorEastAsia"/>
          <w:b/>
          <w:color w:val="auto"/>
          <w:sz w:val="24"/>
          <w:highlight w:val="none"/>
        </w:rPr>
      </w:pPr>
    </w:p>
    <w:p w14:paraId="704CA3D7">
      <w:pPr>
        <w:pStyle w:val="46"/>
        <w:spacing w:line="480" w:lineRule="auto"/>
        <w:ind w:left="840" w:firstLine="0" w:firstLineChars="0"/>
        <w:rPr>
          <w:rFonts w:hint="eastAsia" w:cs="宋体" w:asciiTheme="majorEastAsia" w:hAnsiTheme="majorEastAsia" w:eastAsiaTheme="majorEastAsia"/>
          <w:b/>
          <w:color w:val="auto"/>
          <w:sz w:val="24"/>
          <w:highlight w:val="none"/>
        </w:rPr>
      </w:pPr>
    </w:p>
    <w:p w14:paraId="1E517979">
      <w:pPr>
        <w:pStyle w:val="46"/>
        <w:spacing w:line="480" w:lineRule="auto"/>
        <w:ind w:left="840" w:firstLine="0" w:firstLineChars="0"/>
        <w:rPr>
          <w:rFonts w:hint="eastAsia" w:cs="宋体" w:asciiTheme="majorEastAsia" w:hAnsiTheme="majorEastAsia" w:eastAsiaTheme="majorEastAsia"/>
          <w:b/>
          <w:color w:val="auto"/>
          <w:sz w:val="24"/>
          <w:highlight w:val="none"/>
        </w:rPr>
      </w:pPr>
    </w:p>
    <w:p w14:paraId="1AA869D5">
      <w:pPr>
        <w:spacing w:line="480" w:lineRule="auto"/>
        <w:ind w:firstLine="480"/>
        <w:rPr>
          <w:rFonts w:hint="eastAsia"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br w:type="page"/>
      </w:r>
    </w:p>
    <w:p w14:paraId="4A51D36B">
      <w:pPr>
        <w:spacing w:line="360" w:lineRule="auto"/>
        <w:jc w:val="center"/>
        <w:rPr>
          <w:rFonts w:hint="eastAsia" w:asciiTheme="majorEastAsia" w:hAnsiTheme="majorEastAsia" w:eastAsiaTheme="majorEastAsia"/>
          <w:b/>
          <w:color w:val="auto"/>
          <w:sz w:val="28"/>
          <w:highlight w:val="none"/>
        </w:rPr>
      </w:pPr>
      <w:r>
        <w:rPr>
          <w:rFonts w:hint="eastAsia" w:cs="宋体" w:asciiTheme="majorEastAsia" w:hAnsiTheme="majorEastAsia" w:eastAsiaTheme="majorEastAsia"/>
          <w:b/>
          <w:color w:val="auto"/>
          <w:sz w:val="32"/>
          <w:highlight w:val="none"/>
        </w:rPr>
        <w:t>七、</w:t>
      </w:r>
      <w:r>
        <w:rPr>
          <w:rFonts w:hint="eastAsia" w:cs="宋体" w:asciiTheme="majorEastAsia" w:hAnsiTheme="majorEastAsia" w:eastAsiaTheme="majorEastAsia"/>
          <w:b/>
          <w:color w:val="auto"/>
          <w:sz w:val="28"/>
          <w:highlight w:val="none"/>
        </w:rPr>
        <w:t>投标承诺书</w:t>
      </w:r>
    </w:p>
    <w:p w14:paraId="0D8BDB5A">
      <w:pPr>
        <w:spacing w:line="360" w:lineRule="auto"/>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致：</w:t>
      </w:r>
      <w:r>
        <w:rPr>
          <w:rFonts w:hint="eastAsia" w:cs="宋体" w:asciiTheme="majorEastAsia" w:hAnsiTheme="majorEastAsia" w:eastAsiaTheme="majorEastAsia"/>
          <w:color w:val="auto"/>
          <w:sz w:val="24"/>
          <w:highlight w:val="none"/>
          <w:u w:val="single"/>
        </w:rPr>
        <w:t xml:space="preserve">       （招标人）</w:t>
      </w:r>
    </w:p>
    <w:p w14:paraId="1305A873">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我方现参加 </w:t>
      </w:r>
      <w:r>
        <w:rPr>
          <w:rFonts w:hint="eastAsia" w:cs="宋体" w:asciiTheme="majorEastAsia" w:hAnsiTheme="majorEastAsia" w:eastAsiaTheme="majorEastAsia"/>
          <w:color w:val="auto"/>
          <w:sz w:val="24"/>
          <w:highlight w:val="none"/>
          <w:u w:val="single"/>
        </w:rPr>
        <w:t xml:space="preserve">      (项目名称)</w:t>
      </w:r>
      <w:r>
        <w:rPr>
          <w:rFonts w:hint="eastAsia" w:cs="宋体" w:asciiTheme="majorEastAsia" w:hAnsiTheme="majorEastAsia" w:eastAsiaTheme="majorEastAsia"/>
          <w:color w:val="auto"/>
          <w:sz w:val="24"/>
          <w:highlight w:val="none"/>
        </w:rPr>
        <w:t xml:space="preserve"> 招标及合同文件项目投标，如我方中标，为确保按时、保质、保量完成项目任务，特此作出如下承诺：</w:t>
      </w:r>
    </w:p>
    <w:p w14:paraId="09157AD2">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kern w:val="0"/>
          <w:sz w:val="24"/>
          <w:highlight w:val="none"/>
        </w:rPr>
        <w:t>1.我方保证</w:t>
      </w:r>
      <w:r>
        <w:rPr>
          <w:rFonts w:hint="eastAsia" w:cs="宋体" w:asciiTheme="majorEastAsia" w:hAnsiTheme="majorEastAsia" w:eastAsiaTheme="majorEastAsia"/>
          <w:color w:val="auto"/>
          <w:sz w:val="24"/>
          <w:highlight w:val="none"/>
        </w:rPr>
        <w:t>在工期</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日历天内，按合同约定实施和完成工程任务，修补工程中任何缺陷。</w:t>
      </w:r>
    </w:p>
    <w:p w14:paraId="55AA014F">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2.我方保证工程质量达到合格。</w:t>
      </w:r>
    </w:p>
    <w:p w14:paraId="78D021C8">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3.我方保证在中标候选人公示期满后3个工作日内按韶关市公共资源交易中心的规定办理相关手续后领取中标通知书。</w:t>
      </w:r>
    </w:p>
    <w:p w14:paraId="53F87CF2">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4.我方保证自收到中标通知书后30天内与招标人签订书面合同。</w:t>
      </w:r>
    </w:p>
    <w:p w14:paraId="23AE9720">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5.我方保证在签订合同之日起一个月内按《韶关市工程建设领域农民工工资保证金管理实施细则》（韶法审〔2023〕19号）规定办理工资保证金登记手续。</w:t>
      </w:r>
    </w:p>
    <w:p w14:paraId="2079C29C">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6.项目人员管理承诺：</w:t>
      </w:r>
    </w:p>
    <w:p w14:paraId="735585C1">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(1)投标文件中拟派的项目经理、技术负责人及拟投和本项目的其他管理人员全部进驻本项目管理部且所有人员保证依时参加由招标人组织的现场踏勘协调、安全生产、等会议。</w:t>
      </w:r>
    </w:p>
    <w:p w14:paraId="044DEF69">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(2)我方保证派项目经理及技术负责人长驻施工现场进行施工现场指导并参加监理例会以便配合与解决与工程有关的一切业务问题。</w:t>
      </w:r>
    </w:p>
    <w:p w14:paraId="2D63B9B5">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(3)我方保证：未经招标人批准不得更换投标文件中所到本项目的专业技术人员。</w:t>
      </w:r>
    </w:p>
    <w:p w14:paraId="5D4D24F4">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若我方违反上述任何条款均视为违约，如经过三次整改或警告仍未彻底解决问题，招标人有权解除合同并上报行业主管部门作不良记录处理，我方承担由此造成的所有责任及经济损失。</w:t>
      </w:r>
    </w:p>
    <w:p w14:paraId="780CF037">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(4)我方保证所有参与本项目的专用技术人员均为我方员工，绝不转包或临时聘用临时闲散参与其中。若我方违反该条款将视为违约，招标人有权解除合同且可将我方列入企业不良行为记录，并承担所有由此引起的责任及经济损失。</w:t>
      </w:r>
    </w:p>
    <w:p w14:paraId="15C91291">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7.工人工资支付分账管理内容</w:t>
      </w:r>
    </w:p>
    <w:p w14:paraId="7B8E0393">
      <w:pPr>
        <w:spacing w:line="360" w:lineRule="auto"/>
        <w:ind w:firstLine="48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依据人力资源社会保障部等十部门关于印发《工程建设领域农民工工资专用账户管理暂行办法》的通知（人社部发〔2021〕53号），总包单位应当在工程施工合同签订之日起 30 日内开立专用账户，并与建设单位、开户银行签订资金管理三方协议。专用账户名称为总包单位名称加工程建设项目名称后加“农民工工资专用账户”。总包单位应当在专用账户开立后的 30 日内报项目所在地专用账户监管部门备案。若未按该办法执行，将上报省市水利行政主管部门将此行为列入不良信用记录。</w:t>
      </w:r>
    </w:p>
    <w:p w14:paraId="356643C7">
      <w:pPr>
        <w:spacing w:line="360" w:lineRule="auto"/>
        <w:ind w:firstLine="48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若我方未遵守上述承诺，招标人有权取消我方中标资格并上报上级行业主管部门（韶关市水务局）作不良信用记录处理，将我方列入企业不良行为记录，并承担所有由此引起的责任及经济损失。</w:t>
      </w:r>
    </w:p>
    <w:p w14:paraId="44B76800">
      <w:pPr>
        <w:spacing w:line="360" w:lineRule="auto"/>
        <w:ind w:firstLine="420"/>
        <w:rPr>
          <w:rFonts w:hint="eastAsia" w:cs="宋体" w:asciiTheme="majorEastAsia" w:hAnsiTheme="majorEastAsia" w:eastAsiaTheme="majorEastAsia"/>
          <w:color w:val="auto"/>
          <w:highlight w:val="none"/>
        </w:rPr>
      </w:pPr>
    </w:p>
    <w:p w14:paraId="5D8ABE7B">
      <w:pPr>
        <w:spacing w:line="360" w:lineRule="auto"/>
        <w:ind w:firstLine="420"/>
        <w:rPr>
          <w:rFonts w:hint="eastAsia" w:cs="宋体" w:asciiTheme="majorEastAsia" w:hAnsiTheme="majorEastAsia" w:eastAsiaTheme="majorEastAsia"/>
          <w:color w:val="auto"/>
          <w:highlight w:val="none"/>
        </w:rPr>
      </w:pPr>
    </w:p>
    <w:p w14:paraId="054A5912">
      <w:pPr>
        <w:widowControl/>
        <w:spacing w:line="48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5307E640">
      <w:pPr>
        <w:widowControl/>
        <w:spacing w:line="48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法定代表人（或授权委托人）：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18885434">
      <w:pPr>
        <w:widowControl/>
        <w:spacing w:line="480" w:lineRule="auto"/>
        <w:ind w:right="480" w:firstLine="5400" w:firstLineChars="2250"/>
        <w:rPr>
          <w:rFonts w:hint="eastAsia" w:ascii="宋体" w:hAnsi="宋体" w:cs="宋体"/>
          <w:b/>
          <w:color w:val="auto"/>
          <w:sz w:val="32"/>
          <w:szCs w:val="32"/>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78B7E9F">
      <w:pPr>
        <w:pStyle w:val="41"/>
        <w:rPr>
          <w:rFonts w:hint="eastAsia" w:cs="宋体" w:asciiTheme="majorEastAsia" w:hAnsiTheme="majorEastAsia" w:eastAsiaTheme="majorEastAsia"/>
          <w:color w:val="auto"/>
          <w:sz w:val="24"/>
          <w:szCs w:val="24"/>
          <w:highlight w:val="none"/>
        </w:rPr>
      </w:pPr>
    </w:p>
    <w:p w14:paraId="0D0194B7">
      <w:pPr>
        <w:pStyle w:val="41"/>
        <w:rPr>
          <w:rFonts w:hint="eastAsia" w:cs="宋体" w:asciiTheme="majorEastAsia" w:hAnsiTheme="majorEastAsia" w:eastAsiaTheme="majorEastAsia"/>
          <w:color w:val="auto"/>
          <w:sz w:val="24"/>
          <w:szCs w:val="24"/>
          <w:highlight w:val="none"/>
        </w:rPr>
      </w:pPr>
    </w:p>
    <w:p w14:paraId="7FC66AF2">
      <w:pPr>
        <w:rPr>
          <w:rFonts w:hint="eastAsia"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br w:type="page"/>
      </w:r>
    </w:p>
    <w:p w14:paraId="48802AE5">
      <w:pPr>
        <w:spacing w:line="480" w:lineRule="auto"/>
        <w:jc w:val="cente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八、其他材料（若有）</w:t>
      </w:r>
    </w:p>
    <w:p w14:paraId="68FC4E45">
      <w:pPr>
        <w:ind w:firstLine="420"/>
        <w:rPr>
          <w:rFonts w:hint="eastAsia" w:cs="宋体" w:asciiTheme="majorEastAsia" w:hAnsiTheme="majorEastAsia" w:eastAsiaTheme="majorEastAsia"/>
          <w:color w:val="auto"/>
          <w:highlight w:val="none"/>
        </w:rPr>
      </w:pPr>
    </w:p>
    <w:p w14:paraId="025CEC92">
      <w:pPr>
        <w:ind w:firstLine="48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招标文件规定的其他资料及投标人根据招标文件认为需要提交的其他资料</w:t>
      </w:r>
    </w:p>
    <w:p w14:paraId="7474BF3B">
      <w:pPr>
        <w:ind w:firstLine="420"/>
        <w:rPr>
          <w:rFonts w:hint="eastAsia" w:cs="宋体" w:asciiTheme="majorEastAsia" w:hAnsiTheme="majorEastAsia" w:eastAsiaTheme="majorEastAsia"/>
          <w:color w:val="auto"/>
          <w:highlight w:val="none"/>
        </w:rPr>
      </w:pPr>
    </w:p>
    <w:p w14:paraId="332A2AB2">
      <w:pPr>
        <w:spacing w:line="480" w:lineRule="auto"/>
        <w:rPr>
          <w:rFonts w:hint="eastAsia" w:cs="宋体" w:asciiTheme="majorEastAsia" w:hAnsiTheme="majorEastAsia" w:eastAsiaTheme="majorEastAsia"/>
          <w:color w:val="auto"/>
          <w:sz w:val="24"/>
          <w:highlight w:val="none"/>
        </w:rPr>
      </w:pPr>
    </w:p>
    <w:p w14:paraId="68ACF5AE">
      <w:pPr>
        <w:spacing w:line="480" w:lineRule="auto"/>
        <w:rPr>
          <w:rFonts w:hint="eastAsia" w:cs="宋体" w:asciiTheme="majorEastAsia" w:hAnsiTheme="majorEastAsia" w:eastAsiaTheme="majorEastAsia"/>
          <w:color w:val="auto"/>
          <w:sz w:val="24"/>
          <w:highlight w:val="none"/>
        </w:rPr>
      </w:pPr>
    </w:p>
    <w:p w14:paraId="1253EE2C">
      <w:pPr>
        <w:spacing w:line="480" w:lineRule="auto"/>
        <w:rPr>
          <w:rFonts w:hint="eastAsia" w:cs="宋体" w:asciiTheme="majorEastAsia" w:hAnsiTheme="majorEastAsia" w:eastAsiaTheme="majorEastAsia"/>
          <w:color w:val="auto"/>
          <w:sz w:val="24"/>
          <w:highlight w:val="none"/>
        </w:rPr>
      </w:pPr>
    </w:p>
    <w:p w14:paraId="7B45E20B">
      <w:pPr>
        <w:spacing w:line="480" w:lineRule="auto"/>
        <w:rPr>
          <w:rFonts w:hint="eastAsia" w:cs="宋体" w:asciiTheme="majorEastAsia" w:hAnsiTheme="majorEastAsia" w:eastAsiaTheme="majorEastAsia"/>
          <w:b/>
          <w:color w:val="auto"/>
          <w:sz w:val="32"/>
          <w:highlight w:val="none"/>
        </w:rPr>
      </w:pPr>
    </w:p>
    <w:p w14:paraId="31033F84">
      <w:pPr>
        <w:spacing w:line="360" w:lineRule="auto"/>
        <w:jc w:val="left"/>
        <w:rPr>
          <w:rFonts w:hint="eastAsia" w:cs="宋体" w:asciiTheme="majorEastAsia" w:hAnsiTheme="majorEastAsia" w:eastAsiaTheme="majorEastAsia"/>
          <w:color w:val="auto"/>
          <w:sz w:val="24"/>
          <w:highlight w:val="none"/>
        </w:rPr>
      </w:pPr>
    </w:p>
    <w:p w14:paraId="4A12884D">
      <w:pPr>
        <w:spacing w:line="360" w:lineRule="auto"/>
        <w:jc w:val="left"/>
        <w:rPr>
          <w:rFonts w:hint="eastAsia" w:cs="宋体" w:asciiTheme="majorEastAsia" w:hAnsiTheme="majorEastAsia" w:eastAsiaTheme="majorEastAsia"/>
          <w:color w:val="auto"/>
          <w:sz w:val="24"/>
          <w:highlight w:val="none"/>
        </w:rPr>
      </w:pPr>
    </w:p>
    <w:p w14:paraId="3EB8D9D1">
      <w:pPr>
        <w:spacing w:line="360" w:lineRule="auto"/>
        <w:jc w:val="left"/>
        <w:rPr>
          <w:rFonts w:hint="eastAsia" w:cs="宋体" w:asciiTheme="majorEastAsia" w:hAnsiTheme="majorEastAsia" w:eastAsiaTheme="majorEastAsia"/>
          <w:color w:val="auto"/>
          <w:sz w:val="24"/>
          <w:highlight w:val="none"/>
        </w:rPr>
      </w:pPr>
    </w:p>
    <w:p w14:paraId="5EB2D7C3">
      <w:pPr>
        <w:spacing w:line="360" w:lineRule="auto"/>
        <w:jc w:val="left"/>
        <w:rPr>
          <w:rFonts w:hint="eastAsia" w:cs="宋体" w:asciiTheme="majorEastAsia" w:hAnsiTheme="majorEastAsia" w:eastAsiaTheme="majorEastAsia"/>
          <w:color w:val="auto"/>
          <w:sz w:val="24"/>
          <w:highlight w:val="none"/>
        </w:rPr>
      </w:pPr>
    </w:p>
    <w:p w14:paraId="707C5595">
      <w:pPr>
        <w:spacing w:line="360" w:lineRule="auto"/>
        <w:jc w:val="left"/>
        <w:rPr>
          <w:rFonts w:hint="eastAsia" w:cs="宋体" w:asciiTheme="majorEastAsia" w:hAnsiTheme="majorEastAsia" w:eastAsiaTheme="majorEastAsia"/>
          <w:color w:val="auto"/>
          <w:sz w:val="24"/>
          <w:highlight w:val="none"/>
        </w:rPr>
      </w:pPr>
    </w:p>
    <w:p w14:paraId="3AFA9736">
      <w:pPr>
        <w:spacing w:line="360" w:lineRule="auto"/>
        <w:jc w:val="left"/>
        <w:rPr>
          <w:rFonts w:hint="eastAsia" w:cs="宋体" w:asciiTheme="majorEastAsia" w:hAnsiTheme="majorEastAsia" w:eastAsiaTheme="majorEastAsia"/>
          <w:color w:val="auto"/>
          <w:sz w:val="24"/>
          <w:highlight w:val="none"/>
        </w:rPr>
      </w:pPr>
    </w:p>
    <w:p w14:paraId="076C6EBB">
      <w:pPr>
        <w:spacing w:line="360" w:lineRule="auto"/>
        <w:jc w:val="left"/>
        <w:rPr>
          <w:rFonts w:hint="eastAsia" w:cs="宋体" w:asciiTheme="majorEastAsia" w:hAnsiTheme="majorEastAsia" w:eastAsiaTheme="majorEastAsia"/>
          <w:color w:val="auto"/>
          <w:sz w:val="24"/>
          <w:highlight w:val="none"/>
        </w:rPr>
      </w:pPr>
    </w:p>
    <w:p w14:paraId="34808A59">
      <w:pPr>
        <w:spacing w:line="360" w:lineRule="auto"/>
        <w:jc w:val="left"/>
        <w:rPr>
          <w:rFonts w:hint="eastAsia" w:cs="宋体" w:asciiTheme="majorEastAsia" w:hAnsiTheme="majorEastAsia" w:eastAsiaTheme="majorEastAsia"/>
          <w:color w:val="auto"/>
          <w:sz w:val="24"/>
          <w:highlight w:val="none"/>
        </w:rPr>
      </w:pPr>
    </w:p>
    <w:p w14:paraId="6A774ECF">
      <w:pPr>
        <w:spacing w:line="360" w:lineRule="auto"/>
        <w:jc w:val="left"/>
        <w:rPr>
          <w:rFonts w:hint="eastAsia" w:cs="宋体" w:asciiTheme="majorEastAsia" w:hAnsiTheme="majorEastAsia" w:eastAsiaTheme="majorEastAsia"/>
          <w:color w:val="auto"/>
          <w:sz w:val="24"/>
          <w:highlight w:val="none"/>
        </w:rPr>
      </w:pPr>
    </w:p>
    <w:p w14:paraId="4B2C111F">
      <w:pPr>
        <w:spacing w:line="360" w:lineRule="auto"/>
        <w:jc w:val="left"/>
        <w:rPr>
          <w:rFonts w:hint="eastAsia" w:cs="宋体" w:asciiTheme="majorEastAsia" w:hAnsiTheme="majorEastAsia" w:eastAsiaTheme="majorEastAsia"/>
          <w:color w:val="auto"/>
          <w:sz w:val="24"/>
          <w:highlight w:val="none"/>
        </w:rPr>
      </w:pPr>
    </w:p>
    <w:p w14:paraId="0E1F107F">
      <w:pPr>
        <w:spacing w:line="360" w:lineRule="auto"/>
        <w:jc w:val="left"/>
        <w:rPr>
          <w:rFonts w:hint="eastAsia" w:cs="宋体" w:asciiTheme="majorEastAsia" w:hAnsiTheme="majorEastAsia" w:eastAsiaTheme="majorEastAsia"/>
          <w:color w:val="auto"/>
          <w:sz w:val="24"/>
          <w:highlight w:val="none"/>
        </w:rPr>
      </w:pPr>
    </w:p>
    <w:p w14:paraId="7B99CF82">
      <w:pPr>
        <w:spacing w:line="360" w:lineRule="auto"/>
        <w:jc w:val="left"/>
        <w:rPr>
          <w:rFonts w:hint="eastAsia" w:cs="宋体" w:asciiTheme="majorEastAsia" w:hAnsiTheme="majorEastAsia" w:eastAsiaTheme="majorEastAsia"/>
          <w:color w:val="auto"/>
          <w:sz w:val="24"/>
          <w:highlight w:val="none"/>
        </w:rPr>
      </w:pPr>
    </w:p>
    <w:p w14:paraId="6809C922">
      <w:pPr>
        <w:spacing w:line="360" w:lineRule="auto"/>
        <w:jc w:val="left"/>
        <w:rPr>
          <w:rFonts w:hint="eastAsia" w:cs="宋体" w:asciiTheme="majorEastAsia" w:hAnsiTheme="majorEastAsia" w:eastAsiaTheme="majorEastAsia"/>
          <w:color w:val="auto"/>
          <w:sz w:val="24"/>
          <w:highlight w:val="none"/>
        </w:rPr>
      </w:pPr>
    </w:p>
    <w:p w14:paraId="1F3D792F">
      <w:pPr>
        <w:spacing w:line="360" w:lineRule="auto"/>
        <w:jc w:val="left"/>
        <w:rPr>
          <w:rFonts w:hint="eastAsia" w:cs="宋体" w:asciiTheme="majorEastAsia" w:hAnsiTheme="majorEastAsia" w:eastAsiaTheme="majorEastAsia"/>
          <w:color w:val="auto"/>
          <w:sz w:val="24"/>
          <w:highlight w:val="none"/>
        </w:rPr>
      </w:pPr>
    </w:p>
    <w:p w14:paraId="0F72493F">
      <w:pPr>
        <w:spacing w:line="360" w:lineRule="auto"/>
        <w:jc w:val="left"/>
        <w:rPr>
          <w:rFonts w:hint="eastAsia" w:cs="宋体" w:asciiTheme="majorEastAsia" w:hAnsiTheme="majorEastAsia" w:eastAsiaTheme="majorEastAsia"/>
          <w:color w:val="auto"/>
          <w:sz w:val="24"/>
          <w:highlight w:val="none"/>
        </w:rPr>
      </w:pPr>
    </w:p>
    <w:p w14:paraId="5ADA8F34">
      <w:pPr>
        <w:spacing w:line="360" w:lineRule="auto"/>
        <w:jc w:val="left"/>
        <w:rPr>
          <w:rFonts w:hint="eastAsia" w:cs="宋体" w:asciiTheme="majorEastAsia" w:hAnsiTheme="majorEastAsia" w:eastAsiaTheme="majorEastAsia"/>
          <w:color w:val="auto"/>
          <w:sz w:val="24"/>
          <w:highlight w:val="none"/>
        </w:rPr>
      </w:pPr>
    </w:p>
    <w:p w14:paraId="0BEEBA9A">
      <w:pPr>
        <w:spacing w:line="360" w:lineRule="auto"/>
        <w:jc w:val="left"/>
        <w:rPr>
          <w:rFonts w:hint="eastAsia" w:cs="宋体" w:asciiTheme="majorEastAsia" w:hAnsiTheme="majorEastAsia" w:eastAsiaTheme="majorEastAsia"/>
          <w:color w:val="auto"/>
          <w:sz w:val="24"/>
          <w:highlight w:val="none"/>
        </w:rPr>
      </w:pPr>
    </w:p>
    <w:p w14:paraId="45B71DF8">
      <w:pPr>
        <w:spacing w:line="360" w:lineRule="auto"/>
        <w:jc w:val="left"/>
        <w:rPr>
          <w:rFonts w:hint="eastAsia" w:cs="宋体" w:asciiTheme="majorEastAsia" w:hAnsiTheme="majorEastAsia" w:eastAsiaTheme="majorEastAsia"/>
          <w:color w:val="auto"/>
          <w:sz w:val="24"/>
          <w:highlight w:val="none"/>
        </w:rPr>
      </w:pPr>
    </w:p>
    <w:p w14:paraId="75F53D82">
      <w:pPr>
        <w:spacing w:line="360" w:lineRule="auto"/>
        <w:jc w:val="left"/>
        <w:rPr>
          <w:rFonts w:hint="eastAsia" w:cs="宋体" w:asciiTheme="majorEastAsia" w:hAnsiTheme="majorEastAsia" w:eastAsiaTheme="majorEastAsia"/>
          <w:color w:val="auto"/>
          <w:sz w:val="24"/>
          <w:highlight w:val="none"/>
        </w:rPr>
      </w:pPr>
    </w:p>
    <w:p w14:paraId="6BEA3DED">
      <w:pPr>
        <w:spacing w:line="360" w:lineRule="auto"/>
        <w:jc w:val="left"/>
        <w:rPr>
          <w:rFonts w:hint="eastAsia" w:cs="宋体" w:asciiTheme="majorEastAsia" w:hAnsiTheme="majorEastAsia" w:eastAsiaTheme="majorEastAsia"/>
          <w:color w:val="auto"/>
          <w:sz w:val="24"/>
          <w:highlight w:val="none"/>
        </w:rPr>
      </w:pPr>
    </w:p>
    <w:p w14:paraId="72708B44">
      <w:pPr>
        <w:spacing w:line="360" w:lineRule="auto"/>
        <w:jc w:val="left"/>
        <w:rPr>
          <w:rFonts w:hint="eastAsia" w:cs="宋体" w:asciiTheme="majorEastAsia" w:hAnsiTheme="majorEastAsia" w:eastAsiaTheme="majorEastAsia"/>
          <w:color w:val="auto"/>
          <w:sz w:val="24"/>
          <w:highlight w:val="none"/>
        </w:rPr>
      </w:pPr>
    </w:p>
    <w:p w14:paraId="0640775F">
      <w:pPr>
        <w:spacing w:line="360" w:lineRule="auto"/>
        <w:jc w:val="left"/>
        <w:rPr>
          <w:rFonts w:hint="eastAsia" w:cs="宋体" w:asciiTheme="majorEastAsia" w:hAnsiTheme="majorEastAsia" w:eastAsiaTheme="majorEastAsia"/>
          <w:color w:val="auto"/>
          <w:sz w:val="24"/>
          <w:highlight w:val="none"/>
        </w:rPr>
      </w:pPr>
    </w:p>
    <w:p w14:paraId="0D3E8FC6">
      <w:pPr>
        <w:spacing w:line="360" w:lineRule="auto"/>
        <w:jc w:val="left"/>
        <w:rPr>
          <w:rFonts w:hint="eastAsia" w:cs="宋体" w:asciiTheme="majorEastAsia" w:hAnsiTheme="majorEastAsia" w:eastAsiaTheme="majorEastAsia"/>
          <w:color w:val="auto"/>
          <w:sz w:val="36"/>
          <w:highlight w:val="none"/>
        </w:rPr>
      </w:pPr>
      <w:r>
        <w:rPr>
          <w:rFonts w:hint="eastAsia" w:cs="宋体" w:asciiTheme="majorEastAsia" w:hAnsiTheme="majorEastAsia" w:eastAsiaTheme="majorEastAsia"/>
          <w:color w:val="auto"/>
          <w:sz w:val="36"/>
          <w:highlight w:val="none"/>
        </w:rPr>
        <w:t>格式2：</w:t>
      </w:r>
    </w:p>
    <w:p w14:paraId="6A66C238">
      <w:pPr>
        <w:pStyle w:val="2"/>
        <w:rPr>
          <w:rFonts w:hint="eastAsia" w:cs="宋体" w:asciiTheme="majorEastAsia" w:hAnsiTheme="majorEastAsia" w:eastAsiaTheme="majorEastAsia"/>
          <w:color w:val="auto"/>
          <w:sz w:val="36"/>
          <w:highlight w:val="none"/>
        </w:rPr>
      </w:pPr>
    </w:p>
    <w:p w14:paraId="78745E14">
      <w:pPr>
        <w:rPr>
          <w:color w:val="auto"/>
          <w:highlight w:val="none"/>
        </w:rPr>
      </w:pPr>
    </w:p>
    <w:p w14:paraId="5886EB03">
      <w:pPr>
        <w:spacing w:line="360" w:lineRule="auto"/>
        <w:jc w:val="center"/>
        <w:rPr>
          <w:rFonts w:hint="eastAsia" w:cs="宋体" w:asciiTheme="majorEastAsia" w:hAnsiTheme="majorEastAsia" w:eastAsiaTheme="majorEastAsia"/>
          <w:b/>
          <w:color w:val="auto"/>
          <w:sz w:val="48"/>
          <w:highlight w:val="none"/>
        </w:rPr>
      </w:pPr>
    </w:p>
    <w:p w14:paraId="4C1B7053">
      <w:pPr>
        <w:spacing w:line="360" w:lineRule="auto"/>
        <w:jc w:val="center"/>
        <w:rPr>
          <w:rFonts w:hint="eastAsia" w:cs="宋体" w:asciiTheme="majorEastAsia" w:hAnsiTheme="majorEastAsia" w:eastAsiaTheme="majorEastAsia"/>
          <w:color w:val="auto"/>
          <w:highlight w:val="none"/>
          <w:u w:val="single"/>
        </w:rPr>
      </w:pPr>
      <w:r>
        <w:rPr>
          <w:rFonts w:hint="eastAsia" w:cs="宋体" w:asciiTheme="majorEastAsia" w:hAnsiTheme="majorEastAsia" w:eastAsiaTheme="majorEastAsia"/>
          <w:b/>
          <w:color w:val="auto"/>
          <w:sz w:val="48"/>
          <w:highlight w:val="none"/>
          <w:u w:val="single"/>
        </w:rPr>
        <w:t>（项目名称）</w:t>
      </w:r>
      <w:r>
        <w:rPr>
          <w:rFonts w:hint="eastAsia" w:cs="宋体" w:asciiTheme="majorEastAsia" w:hAnsiTheme="majorEastAsia" w:eastAsiaTheme="majorEastAsia"/>
          <w:b/>
          <w:color w:val="auto"/>
          <w:sz w:val="48"/>
          <w:highlight w:val="none"/>
        </w:rPr>
        <w:t>招标</w:t>
      </w:r>
    </w:p>
    <w:p w14:paraId="010BBB06">
      <w:pPr>
        <w:spacing w:line="360" w:lineRule="auto"/>
        <w:rPr>
          <w:rFonts w:hint="eastAsia" w:cs="宋体" w:asciiTheme="majorEastAsia" w:hAnsiTheme="majorEastAsia" w:eastAsiaTheme="majorEastAsia"/>
          <w:b/>
          <w:color w:val="auto"/>
          <w:sz w:val="32"/>
          <w:highlight w:val="none"/>
        </w:rPr>
      </w:pPr>
    </w:p>
    <w:p w14:paraId="4CB40E72">
      <w:pPr>
        <w:spacing w:line="360" w:lineRule="auto"/>
        <w:rPr>
          <w:rFonts w:hint="eastAsia" w:cs="宋体" w:asciiTheme="majorEastAsia" w:hAnsiTheme="majorEastAsia" w:eastAsiaTheme="majorEastAsia"/>
          <w:color w:val="auto"/>
          <w:highlight w:val="none"/>
        </w:rPr>
      </w:pPr>
    </w:p>
    <w:p w14:paraId="0C516AA3">
      <w:pPr>
        <w:jc w:val="center"/>
        <w:rPr>
          <w:rFonts w:hint="eastAsia" w:asciiTheme="majorEastAsia" w:hAnsiTheme="majorEastAsia" w:eastAsiaTheme="majorEastAsia"/>
          <w:b/>
          <w:color w:val="auto"/>
          <w:highlight w:val="none"/>
        </w:rPr>
      </w:pPr>
    </w:p>
    <w:p w14:paraId="7CC8B098">
      <w:pPr>
        <w:rPr>
          <w:rFonts w:hint="eastAsia" w:cs="宋体" w:asciiTheme="majorEastAsia" w:hAnsiTheme="majorEastAsia" w:eastAsiaTheme="majorEastAsia"/>
          <w:b/>
          <w:color w:val="auto"/>
          <w:highlight w:val="none"/>
        </w:rPr>
      </w:pPr>
    </w:p>
    <w:p w14:paraId="5BAB3D7A">
      <w:pPr>
        <w:spacing w:line="360" w:lineRule="auto"/>
        <w:jc w:val="center"/>
        <w:rPr>
          <w:rFonts w:hint="eastAsia" w:cs="宋体" w:asciiTheme="majorEastAsia" w:hAnsiTheme="majorEastAsia" w:eastAsiaTheme="majorEastAsia"/>
          <w:color w:val="auto"/>
          <w:sz w:val="72"/>
          <w:highlight w:val="none"/>
        </w:rPr>
      </w:pPr>
    </w:p>
    <w:p w14:paraId="6AC75A27">
      <w:pPr>
        <w:spacing w:line="360" w:lineRule="auto"/>
        <w:jc w:val="center"/>
        <w:rPr>
          <w:rFonts w:hint="eastAsia" w:cs="宋体" w:asciiTheme="majorEastAsia" w:hAnsiTheme="majorEastAsia" w:eastAsiaTheme="majorEastAsia"/>
          <w:color w:val="auto"/>
          <w:sz w:val="72"/>
          <w:highlight w:val="none"/>
        </w:rPr>
      </w:pPr>
      <w:r>
        <w:rPr>
          <w:rFonts w:hint="eastAsia" w:cs="宋体" w:asciiTheme="majorEastAsia" w:hAnsiTheme="majorEastAsia" w:eastAsiaTheme="majorEastAsia"/>
          <w:color w:val="auto"/>
          <w:sz w:val="72"/>
          <w:highlight w:val="none"/>
        </w:rPr>
        <w:t>投标文件</w:t>
      </w:r>
    </w:p>
    <w:p w14:paraId="419556D3">
      <w:pPr>
        <w:spacing w:line="360" w:lineRule="auto"/>
        <w:jc w:val="center"/>
        <w:rPr>
          <w:rFonts w:hint="eastAsia" w:cs="宋体" w:asciiTheme="majorEastAsia" w:hAnsiTheme="majorEastAsia" w:eastAsiaTheme="majorEastAsia"/>
          <w:color w:val="auto"/>
          <w:sz w:val="52"/>
          <w:highlight w:val="none"/>
        </w:rPr>
      </w:pPr>
    </w:p>
    <w:p w14:paraId="3019C9DA">
      <w:pPr>
        <w:spacing w:line="360" w:lineRule="auto"/>
        <w:jc w:val="center"/>
        <w:rPr>
          <w:rFonts w:hint="eastAsia" w:ascii="宋体" w:hAnsi="宋体"/>
          <w:b/>
          <w:bCs/>
          <w:color w:val="auto"/>
          <w:sz w:val="44"/>
          <w:szCs w:val="44"/>
          <w:highlight w:val="none"/>
        </w:rPr>
      </w:pPr>
      <w:r>
        <w:rPr>
          <w:rFonts w:hint="eastAsia" w:ascii="宋体" w:hAnsi="宋体"/>
          <w:b/>
          <w:bCs/>
          <w:color w:val="auto"/>
          <w:sz w:val="44"/>
          <w:szCs w:val="44"/>
          <w:highlight w:val="none"/>
        </w:rPr>
        <w:t>（第二册：技术标书）</w:t>
      </w:r>
    </w:p>
    <w:p w14:paraId="5C957125">
      <w:pPr>
        <w:spacing w:line="360" w:lineRule="auto"/>
        <w:rPr>
          <w:rFonts w:hint="eastAsia" w:cs="宋体" w:asciiTheme="majorEastAsia" w:hAnsiTheme="majorEastAsia" w:eastAsiaTheme="majorEastAsia"/>
          <w:color w:val="auto"/>
          <w:highlight w:val="none"/>
        </w:rPr>
      </w:pPr>
    </w:p>
    <w:p w14:paraId="7183821F">
      <w:pPr>
        <w:spacing w:line="360" w:lineRule="auto"/>
        <w:ind w:firstLine="420"/>
        <w:rPr>
          <w:rFonts w:hint="eastAsia" w:cs="宋体" w:asciiTheme="majorEastAsia" w:hAnsiTheme="majorEastAsia" w:eastAsiaTheme="majorEastAsia"/>
          <w:color w:val="auto"/>
          <w:highlight w:val="none"/>
        </w:rPr>
      </w:pPr>
    </w:p>
    <w:p w14:paraId="1FFC465F">
      <w:pPr>
        <w:spacing w:line="360" w:lineRule="auto"/>
        <w:rPr>
          <w:rFonts w:hint="eastAsia" w:cs="宋体" w:asciiTheme="majorEastAsia" w:hAnsiTheme="majorEastAsia" w:eastAsiaTheme="majorEastAsia"/>
          <w:color w:val="auto"/>
          <w:highlight w:val="none"/>
        </w:rPr>
      </w:pPr>
    </w:p>
    <w:p w14:paraId="779B2A99">
      <w:pPr>
        <w:spacing w:line="360" w:lineRule="auto"/>
        <w:ind w:firstLine="1120" w:firstLineChars="400"/>
        <w:rPr>
          <w:rFonts w:hint="eastAsia" w:cs="宋体" w:asciiTheme="majorEastAsia" w:hAnsiTheme="majorEastAsia" w:eastAsiaTheme="majorEastAsia"/>
          <w:color w:val="auto"/>
          <w:sz w:val="28"/>
          <w:highlight w:val="none"/>
        </w:rPr>
      </w:pPr>
      <w:r>
        <w:rPr>
          <w:rFonts w:hint="eastAsia" w:cs="宋体" w:asciiTheme="majorEastAsia" w:hAnsiTheme="majorEastAsia" w:eastAsiaTheme="majorEastAsia"/>
          <w:color w:val="auto"/>
          <w:sz w:val="28"/>
          <w:highlight w:val="none"/>
        </w:rPr>
        <w:t>投标人：</w:t>
      </w:r>
      <w:r>
        <w:rPr>
          <w:rFonts w:hint="eastAsia" w:ascii="宋体" w:hAnsi="宋体" w:cs="宋体"/>
          <w:color w:val="auto"/>
          <w:sz w:val="28"/>
          <w:szCs w:val="28"/>
          <w:highlight w:val="none"/>
          <w:u w:val="single"/>
        </w:rPr>
        <w:t xml:space="preserve">      （投标人名称）     </w:t>
      </w:r>
      <w:r>
        <w:rPr>
          <w:rFonts w:hint="eastAsia" w:cs="宋体" w:asciiTheme="majorEastAsia" w:hAnsiTheme="majorEastAsia" w:eastAsiaTheme="majorEastAsia"/>
          <w:color w:val="auto"/>
          <w:sz w:val="28"/>
          <w:highlight w:val="none"/>
        </w:rPr>
        <w:t>（盖单位章）</w:t>
      </w:r>
    </w:p>
    <w:p w14:paraId="5027FCFB">
      <w:pPr>
        <w:spacing w:line="360" w:lineRule="auto"/>
        <w:ind w:firstLine="1024" w:firstLineChars="366"/>
        <w:rPr>
          <w:rFonts w:hint="eastAsia" w:cs="宋体" w:asciiTheme="majorEastAsia" w:hAnsiTheme="majorEastAsia" w:eastAsiaTheme="majorEastAsia"/>
          <w:color w:val="auto"/>
          <w:sz w:val="28"/>
          <w:highlight w:val="none"/>
        </w:rPr>
      </w:pPr>
      <w:r>
        <w:rPr>
          <w:rFonts w:hint="eastAsia" w:cs="宋体" w:asciiTheme="majorEastAsia" w:hAnsiTheme="majorEastAsia" w:eastAsiaTheme="majorEastAsia"/>
          <w:color w:val="auto"/>
          <w:sz w:val="28"/>
          <w:highlight w:val="none"/>
        </w:rPr>
        <w:t>法定代表人或其授权委托人：</w:t>
      </w:r>
      <w:r>
        <w:rPr>
          <w:rFonts w:hint="eastAsia" w:cs="宋体" w:asciiTheme="majorEastAsia" w:hAnsiTheme="majorEastAsia" w:eastAsiaTheme="majorEastAsia"/>
          <w:color w:val="auto"/>
          <w:sz w:val="28"/>
          <w:highlight w:val="none"/>
          <w:u w:val="single"/>
        </w:rPr>
        <w:t xml:space="preserve">             </w:t>
      </w:r>
      <w:r>
        <w:rPr>
          <w:rFonts w:hint="eastAsia" w:cs="宋体" w:asciiTheme="majorEastAsia" w:hAnsiTheme="majorEastAsia" w:eastAsiaTheme="majorEastAsia"/>
          <w:color w:val="auto"/>
          <w:sz w:val="28"/>
          <w:highlight w:val="none"/>
        </w:rPr>
        <w:t>（签字）</w:t>
      </w:r>
    </w:p>
    <w:p w14:paraId="6B2D2DF7">
      <w:pPr>
        <w:pStyle w:val="40"/>
        <w:rPr>
          <w:rFonts w:eastAsiaTheme="majorEastAsia"/>
          <w:color w:val="auto"/>
          <w:highlight w:val="none"/>
        </w:rPr>
      </w:pPr>
    </w:p>
    <w:p w14:paraId="7F90DC9D">
      <w:pPr>
        <w:spacing w:line="360" w:lineRule="auto"/>
        <w:ind w:firstLine="420"/>
        <w:jc w:val="center"/>
        <w:rPr>
          <w:rFonts w:hint="eastAsia" w:cs="宋体" w:asciiTheme="majorEastAsia" w:hAnsiTheme="majorEastAsia" w:eastAsiaTheme="majorEastAsia"/>
          <w:color w:val="auto"/>
          <w:highlight w:val="none"/>
          <w:u w:val="single"/>
        </w:rPr>
      </w:pPr>
    </w:p>
    <w:p w14:paraId="0ECA8FEE">
      <w:pPr>
        <w:spacing w:line="360" w:lineRule="auto"/>
        <w:ind w:firstLine="560"/>
        <w:jc w:val="center"/>
        <w:rPr>
          <w:rFonts w:hint="eastAsia" w:cs="宋体" w:asciiTheme="majorEastAsia" w:hAnsiTheme="majorEastAsia" w:eastAsiaTheme="majorEastAsia"/>
          <w:color w:val="auto"/>
          <w:sz w:val="28"/>
          <w:highlight w:val="none"/>
        </w:rPr>
      </w:pPr>
      <w:r>
        <w:rPr>
          <w:rFonts w:hint="eastAsia" w:cs="宋体" w:asciiTheme="majorEastAsia" w:hAnsiTheme="majorEastAsia" w:eastAsiaTheme="majorEastAsia"/>
          <w:color w:val="auto"/>
          <w:sz w:val="28"/>
          <w:highlight w:val="none"/>
        </w:rPr>
        <w:t>年  月  日</w:t>
      </w:r>
    </w:p>
    <w:p w14:paraId="7B4BEC3A">
      <w:pPr>
        <w:tabs>
          <w:tab w:val="left" w:pos="7425"/>
        </w:tabs>
        <w:ind w:firstLine="420"/>
        <w:rPr>
          <w:rFonts w:hint="eastAsia"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ab/>
      </w:r>
    </w:p>
    <w:p w14:paraId="190F3CBC">
      <w:pP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br w:type="page"/>
      </w:r>
    </w:p>
    <w:p w14:paraId="1EB5FE66">
      <w:pPr>
        <w:spacing w:line="480" w:lineRule="auto"/>
        <w:jc w:val="cente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目录</w:t>
      </w:r>
    </w:p>
    <w:p w14:paraId="182A7C18">
      <w:pPr>
        <w:rPr>
          <w:rFonts w:hint="eastAsia" w:cs="宋体" w:asciiTheme="majorEastAsia" w:hAnsiTheme="majorEastAsia" w:eastAsiaTheme="majorEastAsia"/>
          <w:color w:val="auto"/>
          <w:highlight w:val="none"/>
        </w:rPr>
      </w:pPr>
    </w:p>
    <w:p w14:paraId="0D2C57E7">
      <w:pPr>
        <w:spacing w:line="480" w:lineRule="auto"/>
        <w:ind w:left="726"/>
        <w:rPr>
          <w:rFonts w:hint="eastAsia" w:cs="宋体" w:asciiTheme="majorEastAsia" w:hAnsiTheme="majorEastAsia" w:eastAsiaTheme="majorEastAsia"/>
          <w:color w:val="auto"/>
          <w:sz w:val="24"/>
          <w:highlight w:val="none"/>
        </w:rPr>
      </w:pPr>
      <w:r>
        <w:rPr>
          <w:rFonts w:hint="eastAsia"/>
          <w:color w:val="auto"/>
          <w:sz w:val="24"/>
          <w:highlight w:val="none"/>
        </w:rPr>
        <w:t>一、施工组织设计内容完整性和编制水平</w:t>
      </w:r>
    </w:p>
    <w:p w14:paraId="02B0E916">
      <w:pPr>
        <w:spacing w:line="480" w:lineRule="auto"/>
        <w:ind w:left="726"/>
        <w:rPr>
          <w:color w:val="auto"/>
          <w:sz w:val="24"/>
          <w:highlight w:val="none"/>
        </w:rPr>
      </w:pPr>
      <w:r>
        <w:rPr>
          <w:rFonts w:hint="eastAsia"/>
          <w:color w:val="auto"/>
          <w:sz w:val="24"/>
          <w:highlight w:val="none"/>
        </w:rPr>
        <w:t>二、施工方案与技术措施的合理性、科学性与可行性</w:t>
      </w:r>
    </w:p>
    <w:p w14:paraId="794FB16A">
      <w:pPr>
        <w:spacing w:line="480" w:lineRule="auto"/>
        <w:ind w:left="726"/>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三、质量管理体系与措施</w:t>
      </w:r>
    </w:p>
    <w:p w14:paraId="41A37C4D">
      <w:pPr>
        <w:spacing w:line="480" w:lineRule="auto"/>
        <w:ind w:left="726"/>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四、安全管理体系与措施</w:t>
      </w:r>
    </w:p>
    <w:p w14:paraId="2BBA9DFE">
      <w:pPr>
        <w:spacing w:line="480" w:lineRule="auto"/>
        <w:ind w:left="726"/>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五、环境保护管理体系与措施</w:t>
      </w:r>
    </w:p>
    <w:p w14:paraId="08E0C1FD">
      <w:pPr>
        <w:spacing w:line="480" w:lineRule="auto"/>
        <w:ind w:left="726"/>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六、工程建设进度计划与措施</w:t>
      </w:r>
    </w:p>
    <w:p w14:paraId="178C9FE5">
      <w:pPr>
        <w:spacing w:line="480" w:lineRule="auto"/>
        <w:ind w:left="726"/>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七、资源配备计划</w:t>
      </w:r>
    </w:p>
    <w:p w14:paraId="1006D6AC">
      <w:pPr>
        <w:spacing w:line="360" w:lineRule="auto"/>
        <w:jc w:val="left"/>
        <w:rPr>
          <w:rFonts w:hint="eastAsia" w:ascii="宋体" w:hAnsi="宋体" w:cs="宋体"/>
          <w:b/>
          <w:bCs/>
          <w:color w:val="auto"/>
          <w:sz w:val="24"/>
          <w:highlight w:val="none"/>
          <w:u w:val="single"/>
        </w:rPr>
      </w:pPr>
    </w:p>
    <w:p w14:paraId="71EED89F">
      <w:pPr>
        <w:spacing w:line="360" w:lineRule="auto"/>
        <w:jc w:val="left"/>
        <w:rPr>
          <w:rFonts w:hint="eastAsia" w:ascii="宋体" w:hAnsi="宋体" w:cs="宋体"/>
          <w:b/>
          <w:color w:val="auto"/>
          <w:sz w:val="32"/>
          <w:szCs w:val="32"/>
          <w:highlight w:val="none"/>
        </w:rPr>
      </w:pPr>
      <w:r>
        <w:rPr>
          <w:rFonts w:hint="eastAsia" w:ascii="宋体" w:hAnsi="宋体" w:cs="宋体"/>
          <w:b/>
          <w:bCs/>
          <w:color w:val="auto"/>
          <w:sz w:val="24"/>
          <w:highlight w:val="none"/>
          <w:u w:val="single"/>
        </w:rPr>
        <w:t>注：本目录不作为格式目录，投标人可相应修改或补充，为便于评标委员会评审，投标人可自行编制目录并编制页码。</w:t>
      </w:r>
    </w:p>
    <w:p w14:paraId="3F443044">
      <w:pPr>
        <w:pStyle w:val="41"/>
        <w:rPr>
          <w:color w:val="auto"/>
          <w:highlight w:val="none"/>
        </w:rPr>
      </w:pPr>
    </w:p>
    <w:p w14:paraId="7D26BFAD">
      <w:pPr>
        <w:rPr>
          <w:color w:val="auto"/>
          <w:highlight w:val="none"/>
        </w:rPr>
      </w:pPr>
    </w:p>
    <w:sectPr>
      <w:pgSz w:w="11906" w:h="16838"/>
      <w:pgMar w:top="1134" w:right="1134" w:bottom="1134" w:left="1134" w:header="567"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roid Sans Fallback">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公文小标宋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09C4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ABC5F">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48AA4DC9">
                          <w:pPr>
                            <w:pStyle w:val="13"/>
                            <w:rPr>
                              <w:sz w:val="20"/>
                              <w:szCs w:val="24"/>
                            </w:rPr>
                          </w:pPr>
                          <w:r>
                            <w:rPr>
                              <w:sz w:val="21"/>
                              <w:szCs w:val="28"/>
                            </w:rPr>
                            <w:fldChar w:fldCharType="begin"/>
                          </w:r>
                          <w:r>
                            <w:rPr>
                              <w:sz w:val="21"/>
                              <w:szCs w:val="28"/>
                            </w:rPr>
                            <w:instrText xml:space="preserve"> PAGE  \* MERGEFORMAT </w:instrText>
                          </w:r>
                          <w:r>
                            <w:rPr>
                              <w:sz w:val="21"/>
                              <w:szCs w:val="28"/>
                            </w:rPr>
                            <w:fldChar w:fldCharType="separate"/>
                          </w:r>
                          <w:r>
                            <w:rPr>
                              <w:sz w:val="21"/>
                              <w:szCs w:val="28"/>
                            </w:rPr>
                            <w:t>49</w:t>
                          </w:r>
                          <w:r>
                            <w:rPr>
                              <w:sz w:val="21"/>
                              <w:szCs w:val="2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1u5d9AAAAACAQAADwAAAAAAAAABACAAAAAiAAAAZHJzL2Rvd25yZXYueG1s&#10;UEsBAhQAFAAAAAgAh07iQM+/FT8AAgAAEQQAAA4AAAAAAAAAAQAgAAAAHwEAAGRycy9lMm9Eb2Mu&#10;eG1sUEsFBgAAAAAGAAYAWQEAAJEFAAAAAA==&#10;">
              <v:fill on="f" focussize="0,0"/>
              <v:stroke on="f"/>
              <v:imagedata o:title=""/>
              <o:lock v:ext="edit" aspectratio="f"/>
              <v:textbox inset="0mm,0mm,0mm,0mm" style="mso-fit-shape-to-text:t;">
                <w:txbxContent>
                  <w:p w14:paraId="48AA4DC9">
                    <w:pPr>
                      <w:pStyle w:val="13"/>
                      <w:rPr>
                        <w:sz w:val="20"/>
                        <w:szCs w:val="24"/>
                      </w:rPr>
                    </w:pPr>
                    <w:r>
                      <w:rPr>
                        <w:sz w:val="21"/>
                        <w:szCs w:val="28"/>
                      </w:rPr>
                      <w:fldChar w:fldCharType="begin"/>
                    </w:r>
                    <w:r>
                      <w:rPr>
                        <w:sz w:val="21"/>
                        <w:szCs w:val="28"/>
                      </w:rPr>
                      <w:instrText xml:space="preserve"> PAGE  \* MERGEFORMAT </w:instrText>
                    </w:r>
                    <w:r>
                      <w:rPr>
                        <w:sz w:val="21"/>
                        <w:szCs w:val="28"/>
                      </w:rPr>
                      <w:fldChar w:fldCharType="separate"/>
                    </w:r>
                    <w:r>
                      <w:rPr>
                        <w:sz w:val="21"/>
                        <w:szCs w:val="28"/>
                      </w:rPr>
                      <w:t>49</w:t>
                    </w:r>
                    <w:r>
                      <w:rPr>
                        <w:sz w:val="21"/>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D6846"/>
    <w:multiLevelType w:val="multilevel"/>
    <w:tmpl w:val="0C6D6846"/>
    <w:lvl w:ilvl="0" w:tentative="0">
      <w:start w:val="1"/>
      <w:numFmt w:val="decimal"/>
      <w:lvlText w:val="%1."/>
      <w:lvlJc w:val="left"/>
      <w:pPr>
        <w:ind w:left="840" w:hanging="360"/>
      </w:pPr>
      <w:rPr>
        <w:rFonts w:hint="default" w:ascii="宋体" w:hAnsi="宋体" w:eastAsia="宋体" w:cs="宋体"/>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2E8E267"/>
    <w:multiLevelType w:val="singleLevel"/>
    <w:tmpl w:val="62E8E267"/>
    <w:lvl w:ilvl="0" w:tentative="0">
      <w:start w:val="1"/>
      <w:numFmt w:val="decimal"/>
      <w:suff w:val="nothing"/>
      <w:lvlText w:val="（%1）"/>
      <w:lvlJc w:val="left"/>
    </w:lvl>
  </w:abstractNum>
  <w:abstractNum w:abstractNumId="2">
    <w:nsid w:val="798F3909"/>
    <w:multiLevelType w:val="multilevel"/>
    <w:tmpl w:val="798F3909"/>
    <w:lvl w:ilvl="0" w:tentative="0">
      <w:start w:val="1"/>
      <w:numFmt w:val="bullet"/>
      <w:lvlText w:val="•"/>
      <w:lvlJc w:val="left"/>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MDE5YWMzZmFlNjhjZjFkZDBmN2UxMjU0YjQyMjIifQ=="/>
  </w:docVars>
  <w:rsids>
    <w:rsidRoot w:val="00EF0BC9"/>
    <w:rsid w:val="00016DA1"/>
    <w:rsid w:val="0006689F"/>
    <w:rsid w:val="0009706A"/>
    <w:rsid w:val="000C2AC1"/>
    <w:rsid w:val="000D6305"/>
    <w:rsid w:val="00127B9C"/>
    <w:rsid w:val="00140B63"/>
    <w:rsid w:val="00165EB9"/>
    <w:rsid w:val="00176184"/>
    <w:rsid w:val="001B04B8"/>
    <w:rsid w:val="001C351E"/>
    <w:rsid w:val="002737AC"/>
    <w:rsid w:val="00297DE0"/>
    <w:rsid w:val="002B197B"/>
    <w:rsid w:val="002D09A6"/>
    <w:rsid w:val="003A2119"/>
    <w:rsid w:val="003B25FD"/>
    <w:rsid w:val="003D1D5B"/>
    <w:rsid w:val="005018CD"/>
    <w:rsid w:val="00501DB6"/>
    <w:rsid w:val="0055512A"/>
    <w:rsid w:val="005968A8"/>
    <w:rsid w:val="00624808"/>
    <w:rsid w:val="006D2918"/>
    <w:rsid w:val="006E7EDC"/>
    <w:rsid w:val="006F70FA"/>
    <w:rsid w:val="007200AE"/>
    <w:rsid w:val="007313CB"/>
    <w:rsid w:val="007B5BEB"/>
    <w:rsid w:val="007F09CB"/>
    <w:rsid w:val="008349FE"/>
    <w:rsid w:val="0084636B"/>
    <w:rsid w:val="0087602D"/>
    <w:rsid w:val="008D3139"/>
    <w:rsid w:val="008E4F9E"/>
    <w:rsid w:val="0097183C"/>
    <w:rsid w:val="009936DC"/>
    <w:rsid w:val="00AD33D1"/>
    <w:rsid w:val="00B137F5"/>
    <w:rsid w:val="00B53219"/>
    <w:rsid w:val="00B6626D"/>
    <w:rsid w:val="00BB4A07"/>
    <w:rsid w:val="00BC558C"/>
    <w:rsid w:val="00C0458E"/>
    <w:rsid w:val="00C462F2"/>
    <w:rsid w:val="00C73509"/>
    <w:rsid w:val="00D16FA7"/>
    <w:rsid w:val="00D21377"/>
    <w:rsid w:val="00D50131"/>
    <w:rsid w:val="00D540D5"/>
    <w:rsid w:val="00D77B2A"/>
    <w:rsid w:val="00DA7A67"/>
    <w:rsid w:val="00DB35B2"/>
    <w:rsid w:val="00DC35A4"/>
    <w:rsid w:val="00DF36AB"/>
    <w:rsid w:val="00E0023C"/>
    <w:rsid w:val="00EF0BC9"/>
    <w:rsid w:val="00F91181"/>
    <w:rsid w:val="00FF2319"/>
    <w:rsid w:val="00FF6D85"/>
    <w:rsid w:val="014D1D6F"/>
    <w:rsid w:val="01B2532D"/>
    <w:rsid w:val="01C04E49"/>
    <w:rsid w:val="01C653BF"/>
    <w:rsid w:val="023D3A40"/>
    <w:rsid w:val="025816D0"/>
    <w:rsid w:val="026277C6"/>
    <w:rsid w:val="0295277A"/>
    <w:rsid w:val="03334053"/>
    <w:rsid w:val="036A1907"/>
    <w:rsid w:val="044A592F"/>
    <w:rsid w:val="04E8759B"/>
    <w:rsid w:val="04F512AE"/>
    <w:rsid w:val="05BD0809"/>
    <w:rsid w:val="064B2B85"/>
    <w:rsid w:val="06A967F3"/>
    <w:rsid w:val="07A45B5F"/>
    <w:rsid w:val="08457973"/>
    <w:rsid w:val="08A40A20"/>
    <w:rsid w:val="08FD2E27"/>
    <w:rsid w:val="09017895"/>
    <w:rsid w:val="09410F65"/>
    <w:rsid w:val="09613832"/>
    <w:rsid w:val="09B90184"/>
    <w:rsid w:val="0A1044A4"/>
    <w:rsid w:val="0A122902"/>
    <w:rsid w:val="0A981059"/>
    <w:rsid w:val="0ADD2F10"/>
    <w:rsid w:val="0AE459F3"/>
    <w:rsid w:val="0B1C2641"/>
    <w:rsid w:val="0B4433FF"/>
    <w:rsid w:val="0B46179F"/>
    <w:rsid w:val="0C427E66"/>
    <w:rsid w:val="0C4F3999"/>
    <w:rsid w:val="0C8A4947"/>
    <w:rsid w:val="0C8A4F4F"/>
    <w:rsid w:val="0C983626"/>
    <w:rsid w:val="0D6214AA"/>
    <w:rsid w:val="0D9F26FE"/>
    <w:rsid w:val="0E364E11"/>
    <w:rsid w:val="0E696FBF"/>
    <w:rsid w:val="0EF97BEC"/>
    <w:rsid w:val="0F0E18EA"/>
    <w:rsid w:val="0F5F3EF3"/>
    <w:rsid w:val="0FE32D76"/>
    <w:rsid w:val="10BA75EF"/>
    <w:rsid w:val="11401B02"/>
    <w:rsid w:val="11585A86"/>
    <w:rsid w:val="115C4947"/>
    <w:rsid w:val="11F710A1"/>
    <w:rsid w:val="11FF2F15"/>
    <w:rsid w:val="120726C5"/>
    <w:rsid w:val="125A5FFA"/>
    <w:rsid w:val="1272218F"/>
    <w:rsid w:val="129C43A6"/>
    <w:rsid w:val="130C2CBD"/>
    <w:rsid w:val="138C3990"/>
    <w:rsid w:val="13ED41C3"/>
    <w:rsid w:val="14072DAB"/>
    <w:rsid w:val="140F1583"/>
    <w:rsid w:val="14BC2210"/>
    <w:rsid w:val="14DE7FCA"/>
    <w:rsid w:val="14DF2683"/>
    <w:rsid w:val="14F145CB"/>
    <w:rsid w:val="156F6E5A"/>
    <w:rsid w:val="15E84324"/>
    <w:rsid w:val="1602382A"/>
    <w:rsid w:val="1638724C"/>
    <w:rsid w:val="16F13FCB"/>
    <w:rsid w:val="171C7E43"/>
    <w:rsid w:val="176B3F7D"/>
    <w:rsid w:val="17F65611"/>
    <w:rsid w:val="182C061D"/>
    <w:rsid w:val="194A035E"/>
    <w:rsid w:val="19A21B2A"/>
    <w:rsid w:val="19C76C42"/>
    <w:rsid w:val="1A20654F"/>
    <w:rsid w:val="1AC14671"/>
    <w:rsid w:val="1AFC4CEC"/>
    <w:rsid w:val="1B85284F"/>
    <w:rsid w:val="1CD14095"/>
    <w:rsid w:val="1CE60291"/>
    <w:rsid w:val="1D397821"/>
    <w:rsid w:val="1D8013C5"/>
    <w:rsid w:val="1E2E2879"/>
    <w:rsid w:val="1F29122A"/>
    <w:rsid w:val="1F760FD4"/>
    <w:rsid w:val="1FBB566F"/>
    <w:rsid w:val="21BA320B"/>
    <w:rsid w:val="21EF55AB"/>
    <w:rsid w:val="21F7620D"/>
    <w:rsid w:val="220D3C83"/>
    <w:rsid w:val="22342FBD"/>
    <w:rsid w:val="224F478B"/>
    <w:rsid w:val="225E003A"/>
    <w:rsid w:val="22943A5C"/>
    <w:rsid w:val="22B977E4"/>
    <w:rsid w:val="22F329C0"/>
    <w:rsid w:val="22FB3CCD"/>
    <w:rsid w:val="231A7F15"/>
    <w:rsid w:val="236C6787"/>
    <w:rsid w:val="23C91E2B"/>
    <w:rsid w:val="23ED5B1A"/>
    <w:rsid w:val="243573B5"/>
    <w:rsid w:val="25693DDC"/>
    <w:rsid w:val="25755DC7"/>
    <w:rsid w:val="260E3B25"/>
    <w:rsid w:val="26810036"/>
    <w:rsid w:val="26896EB3"/>
    <w:rsid w:val="26EA27E4"/>
    <w:rsid w:val="270218DC"/>
    <w:rsid w:val="27514612"/>
    <w:rsid w:val="275807AF"/>
    <w:rsid w:val="27B506FD"/>
    <w:rsid w:val="27BF2928"/>
    <w:rsid w:val="28A349F9"/>
    <w:rsid w:val="28D63020"/>
    <w:rsid w:val="29B17CD8"/>
    <w:rsid w:val="2A5F64A5"/>
    <w:rsid w:val="2A6632BA"/>
    <w:rsid w:val="2B1A10CF"/>
    <w:rsid w:val="2B536BAA"/>
    <w:rsid w:val="2BD15D21"/>
    <w:rsid w:val="2C4C6934"/>
    <w:rsid w:val="2CC82C80"/>
    <w:rsid w:val="2CDE06F5"/>
    <w:rsid w:val="2D05427F"/>
    <w:rsid w:val="2D1442BC"/>
    <w:rsid w:val="2D2F5C1C"/>
    <w:rsid w:val="2D6B57EC"/>
    <w:rsid w:val="2E162111"/>
    <w:rsid w:val="2E6046B6"/>
    <w:rsid w:val="2E7E6315"/>
    <w:rsid w:val="2EA22EAE"/>
    <w:rsid w:val="2F091041"/>
    <w:rsid w:val="2F933C3C"/>
    <w:rsid w:val="2FC97E7C"/>
    <w:rsid w:val="300D5784"/>
    <w:rsid w:val="303845C1"/>
    <w:rsid w:val="303845D3"/>
    <w:rsid w:val="30A457B2"/>
    <w:rsid w:val="31AD2FE7"/>
    <w:rsid w:val="32FB3683"/>
    <w:rsid w:val="335F1E64"/>
    <w:rsid w:val="33E32A95"/>
    <w:rsid w:val="340D7964"/>
    <w:rsid w:val="34B14942"/>
    <w:rsid w:val="34E268A9"/>
    <w:rsid w:val="35BB6245"/>
    <w:rsid w:val="35C5483A"/>
    <w:rsid w:val="35F265C4"/>
    <w:rsid w:val="35FF7074"/>
    <w:rsid w:val="36AA1648"/>
    <w:rsid w:val="36CC5A63"/>
    <w:rsid w:val="370451FC"/>
    <w:rsid w:val="37182A56"/>
    <w:rsid w:val="371D62BE"/>
    <w:rsid w:val="373158C6"/>
    <w:rsid w:val="37384AB4"/>
    <w:rsid w:val="375D2B5F"/>
    <w:rsid w:val="3817332C"/>
    <w:rsid w:val="39452589"/>
    <w:rsid w:val="39494C49"/>
    <w:rsid w:val="395104A1"/>
    <w:rsid w:val="395B4B69"/>
    <w:rsid w:val="395C58AA"/>
    <w:rsid w:val="3A7C4045"/>
    <w:rsid w:val="3A993EAE"/>
    <w:rsid w:val="3A9F7E02"/>
    <w:rsid w:val="3AE74C19"/>
    <w:rsid w:val="3AF31810"/>
    <w:rsid w:val="3B285307"/>
    <w:rsid w:val="3B5F6EA5"/>
    <w:rsid w:val="3B714E2B"/>
    <w:rsid w:val="3BE84FF1"/>
    <w:rsid w:val="3C0F7C94"/>
    <w:rsid w:val="3C5B0AE2"/>
    <w:rsid w:val="3C635B7C"/>
    <w:rsid w:val="3D3D6073"/>
    <w:rsid w:val="3D4E0F7F"/>
    <w:rsid w:val="3DC94AAA"/>
    <w:rsid w:val="3DDA1327"/>
    <w:rsid w:val="3E153B5D"/>
    <w:rsid w:val="3E365143"/>
    <w:rsid w:val="3EF0788A"/>
    <w:rsid w:val="3F713FA0"/>
    <w:rsid w:val="3FA113C4"/>
    <w:rsid w:val="403565DF"/>
    <w:rsid w:val="404B3E9C"/>
    <w:rsid w:val="40FF6019"/>
    <w:rsid w:val="410A30C4"/>
    <w:rsid w:val="417C089F"/>
    <w:rsid w:val="419453CF"/>
    <w:rsid w:val="419F231C"/>
    <w:rsid w:val="41FA16D6"/>
    <w:rsid w:val="42172C5D"/>
    <w:rsid w:val="429C278D"/>
    <w:rsid w:val="42E023B9"/>
    <w:rsid w:val="43346FD1"/>
    <w:rsid w:val="43421586"/>
    <w:rsid w:val="43B10FDE"/>
    <w:rsid w:val="43B65AD0"/>
    <w:rsid w:val="43C33D49"/>
    <w:rsid w:val="447D6B32"/>
    <w:rsid w:val="448175E1"/>
    <w:rsid w:val="44D206E8"/>
    <w:rsid w:val="45F60406"/>
    <w:rsid w:val="462F1B6A"/>
    <w:rsid w:val="46A71700"/>
    <w:rsid w:val="46AE6F33"/>
    <w:rsid w:val="46B10E7A"/>
    <w:rsid w:val="46D22C08"/>
    <w:rsid w:val="46DA3884"/>
    <w:rsid w:val="46DC2BC3"/>
    <w:rsid w:val="471C20EE"/>
    <w:rsid w:val="47AD2D46"/>
    <w:rsid w:val="490C7F41"/>
    <w:rsid w:val="492B486B"/>
    <w:rsid w:val="49AB6763"/>
    <w:rsid w:val="49EE386C"/>
    <w:rsid w:val="4B9C6077"/>
    <w:rsid w:val="4B9D30D2"/>
    <w:rsid w:val="4CE840CA"/>
    <w:rsid w:val="4D467EC5"/>
    <w:rsid w:val="4E282C79"/>
    <w:rsid w:val="4E30647F"/>
    <w:rsid w:val="4E5B34FC"/>
    <w:rsid w:val="4E79234E"/>
    <w:rsid w:val="4E9C44E3"/>
    <w:rsid w:val="4EEF633A"/>
    <w:rsid w:val="4F4D0870"/>
    <w:rsid w:val="4FB235F0"/>
    <w:rsid w:val="4FCD667C"/>
    <w:rsid w:val="50DA5832"/>
    <w:rsid w:val="50EB4351"/>
    <w:rsid w:val="51FF64FD"/>
    <w:rsid w:val="521F4DB1"/>
    <w:rsid w:val="523411BB"/>
    <w:rsid w:val="53676C63"/>
    <w:rsid w:val="53A96AB8"/>
    <w:rsid w:val="53E866B4"/>
    <w:rsid w:val="54105E9A"/>
    <w:rsid w:val="548873CF"/>
    <w:rsid w:val="54B90C5A"/>
    <w:rsid w:val="54D527CC"/>
    <w:rsid w:val="54E87AB4"/>
    <w:rsid w:val="557401FE"/>
    <w:rsid w:val="558F6119"/>
    <w:rsid w:val="559B1E10"/>
    <w:rsid w:val="565959E7"/>
    <w:rsid w:val="56F37AB8"/>
    <w:rsid w:val="57A54F22"/>
    <w:rsid w:val="57C74E56"/>
    <w:rsid w:val="58926B22"/>
    <w:rsid w:val="58A53C98"/>
    <w:rsid w:val="58C12AF6"/>
    <w:rsid w:val="58D565A1"/>
    <w:rsid w:val="58E660B8"/>
    <w:rsid w:val="5900361E"/>
    <w:rsid w:val="591F781C"/>
    <w:rsid w:val="596671F9"/>
    <w:rsid w:val="596D2336"/>
    <w:rsid w:val="5A2E5F69"/>
    <w:rsid w:val="5A37717F"/>
    <w:rsid w:val="5A3A5010"/>
    <w:rsid w:val="5ABF12B7"/>
    <w:rsid w:val="5BB26521"/>
    <w:rsid w:val="5C3C3448"/>
    <w:rsid w:val="5C4C0928"/>
    <w:rsid w:val="5D8B2FED"/>
    <w:rsid w:val="5DED1C97"/>
    <w:rsid w:val="5E0242E9"/>
    <w:rsid w:val="5EBD3D5F"/>
    <w:rsid w:val="5F50072F"/>
    <w:rsid w:val="5FE34F5E"/>
    <w:rsid w:val="60261490"/>
    <w:rsid w:val="60347715"/>
    <w:rsid w:val="60915C97"/>
    <w:rsid w:val="60960120"/>
    <w:rsid w:val="60CA62C0"/>
    <w:rsid w:val="60D26F24"/>
    <w:rsid w:val="60FF065F"/>
    <w:rsid w:val="611A2DA3"/>
    <w:rsid w:val="62107FB3"/>
    <w:rsid w:val="628506F0"/>
    <w:rsid w:val="628A3F58"/>
    <w:rsid w:val="63556314"/>
    <w:rsid w:val="63A70B3A"/>
    <w:rsid w:val="6441646B"/>
    <w:rsid w:val="64521CA8"/>
    <w:rsid w:val="645E569D"/>
    <w:rsid w:val="64992B79"/>
    <w:rsid w:val="650A1380"/>
    <w:rsid w:val="652341F0"/>
    <w:rsid w:val="65E41BD1"/>
    <w:rsid w:val="65F57DE0"/>
    <w:rsid w:val="66376D54"/>
    <w:rsid w:val="66C16538"/>
    <w:rsid w:val="6815073B"/>
    <w:rsid w:val="68394457"/>
    <w:rsid w:val="68923B67"/>
    <w:rsid w:val="68C53F3C"/>
    <w:rsid w:val="69036813"/>
    <w:rsid w:val="69C42446"/>
    <w:rsid w:val="69F34AD9"/>
    <w:rsid w:val="6A3868D2"/>
    <w:rsid w:val="6A48766D"/>
    <w:rsid w:val="6A7D43A3"/>
    <w:rsid w:val="6AA67245"/>
    <w:rsid w:val="6B04360A"/>
    <w:rsid w:val="6B054AC4"/>
    <w:rsid w:val="6B162854"/>
    <w:rsid w:val="6B4B697A"/>
    <w:rsid w:val="6BEC5C84"/>
    <w:rsid w:val="6C4404F1"/>
    <w:rsid w:val="6C4B6506"/>
    <w:rsid w:val="6CDD437B"/>
    <w:rsid w:val="6CF35578"/>
    <w:rsid w:val="6DB4457F"/>
    <w:rsid w:val="6E1B63AC"/>
    <w:rsid w:val="6E207323"/>
    <w:rsid w:val="6E6506EE"/>
    <w:rsid w:val="6F206B27"/>
    <w:rsid w:val="6FFC75E8"/>
    <w:rsid w:val="70057314"/>
    <w:rsid w:val="701A625D"/>
    <w:rsid w:val="702335BA"/>
    <w:rsid w:val="706B361B"/>
    <w:rsid w:val="70770AF8"/>
    <w:rsid w:val="707B3132"/>
    <w:rsid w:val="710D46D2"/>
    <w:rsid w:val="71121CE9"/>
    <w:rsid w:val="71196029"/>
    <w:rsid w:val="717C3606"/>
    <w:rsid w:val="723E7543"/>
    <w:rsid w:val="726C367A"/>
    <w:rsid w:val="72872262"/>
    <w:rsid w:val="73231E25"/>
    <w:rsid w:val="73422844"/>
    <w:rsid w:val="745B5755"/>
    <w:rsid w:val="7468238A"/>
    <w:rsid w:val="7544268D"/>
    <w:rsid w:val="757468A9"/>
    <w:rsid w:val="75D257FD"/>
    <w:rsid w:val="76085468"/>
    <w:rsid w:val="764B11B9"/>
    <w:rsid w:val="76577571"/>
    <w:rsid w:val="76944F4E"/>
    <w:rsid w:val="7746554F"/>
    <w:rsid w:val="77731007"/>
    <w:rsid w:val="779276DF"/>
    <w:rsid w:val="787E7C64"/>
    <w:rsid w:val="794C16EF"/>
    <w:rsid w:val="79C75740"/>
    <w:rsid w:val="79ED50A1"/>
    <w:rsid w:val="79FD2E0A"/>
    <w:rsid w:val="7A106FE1"/>
    <w:rsid w:val="7A2E7454"/>
    <w:rsid w:val="7A320D06"/>
    <w:rsid w:val="7A5F5EC1"/>
    <w:rsid w:val="7A656F1F"/>
    <w:rsid w:val="7A8157E9"/>
    <w:rsid w:val="7A843E8E"/>
    <w:rsid w:val="7AD85D51"/>
    <w:rsid w:val="7B1623D5"/>
    <w:rsid w:val="7B1D3764"/>
    <w:rsid w:val="7B4C229B"/>
    <w:rsid w:val="7B4C5F2B"/>
    <w:rsid w:val="7B762E74"/>
    <w:rsid w:val="7B93624A"/>
    <w:rsid w:val="7BBA024B"/>
    <w:rsid w:val="7C3A67CF"/>
    <w:rsid w:val="7C43405E"/>
    <w:rsid w:val="7C440ADF"/>
    <w:rsid w:val="7CE02C9B"/>
    <w:rsid w:val="7CEC1490"/>
    <w:rsid w:val="7CF229CE"/>
    <w:rsid w:val="7D4B4CAA"/>
    <w:rsid w:val="7D4C2098"/>
    <w:rsid w:val="7D851A94"/>
    <w:rsid w:val="7E0D3F64"/>
    <w:rsid w:val="7E21356B"/>
    <w:rsid w:val="7E641ED7"/>
    <w:rsid w:val="7F1B7FBA"/>
    <w:rsid w:val="7FB34C77"/>
    <w:rsid w:val="7FBD72C3"/>
    <w:rsid w:val="7FEE1B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4"/>
    <w:link w:val="2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6"/>
    <w:autoRedefine/>
    <w:semiHidden/>
    <w:unhideWhenUsed/>
    <w:qFormat/>
    <w:uiPriority w:val="0"/>
    <w:pPr>
      <w:keepNext/>
      <w:keepLines/>
      <w:spacing w:before="260" w:after="260" w:line="416" w:lineRule="auto"/>
      <w:outlineLvl w:val="2"/>
    </w:pPr>
    <w:rPr>
      <w:b/>
      <w:bCs/>
      <w:sz w:val="32"/>
      <w:szCs w:val="32"/>
    </w:rPr>
  </w:style>
  <w:style w:type="paragraph" w:styleId="2">
    <w:name w:val="heading 4"/>
    <w:basedOn w:val="1"/>
    <w:next w:val="1"/>
    <w:link w:val="27"/>
    <w:autoRedefine/>
    <w:qFormat/>
    <w:uiPriority w:val="0"/>
    <w:pPr>
      <w:keepNext/>
      <w:keepLines/>
      <w:spacing w:line="360" w:lineRule="auto"/>
      <w:outlineLvl w:val="3"/>
    </w:pPr>
    <w:rPr>
      <w:rFonts w:ascii="Arial" w:hAnsi="Arial"/>
      <w:b/>
      <w:bCs/>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autoRedefine/>
    <w:qFormat/>
    <w:uiPriority w:val="0"/>
    <w:pPr>
      <w:adjustRightInd w:val="0"/>
      <w:spacing w:line="360" w:lineRule="atLeast"/>
      <w:jc w:val="left"/>
      <w:textAlignment w:val="baseline"/>
    </w:pPr>
    <w:rPr>
      <w:rFonts w:ascii="宋体" w:hAnsi="Times New Roman"/>
      <w:kern w:val="0"/>
      <w:sz w:val="24"/>
      <w:szCs w:val="24"/>
    </w:rPr>
  </w:style>
  <w:style w:type="paragraph" w:styleId="7">
    <w:name w:val="Body Text"/>
    <w:basedOn w:val="1"/>
    <w:next w:val="8"/>
    <w:link w:val="29"/>
    <w:autoRedefine/>
    <w:qFormat/>
    <w:uiPriority w:val="99"/>
    <w:pPr>
      <w:spacing w:before="100" w:beforeAutospacing="1"/>
    </w:pPr>
    <w:rPr>
      <w:rFonts w:ascii="Times New Roman" w:hAnsi="Times New Roman"/>
      <w:szCs w:val="24"/>
    </w:rPr>
  </w:style>
  <w:style w:type="paragraph" w:styleId="8">
    <w:name w:val="Body Text 2"/>
    <w:basedOn w:val="1"/>
    <w:next w:val="7"/>
    <w:link w:val="30"/>
    <w:autoRedefine/>
    <w:qFormat/>
    <w:uiPriority w:val="0"/>
    <w:pPr>
      <w:spacing w:line="500" w:lineRule="exact"/>
    </w:pPr>
    <w:rPr>
      <w:rFonts w:ascii="宋体"/>
      <w:sz w:val="24"/>
    </w:rPr>
  </w:style>
  <w:style w:type="paragraph" w:styleId="9">
    <w:name w:val="Body Text Indent"/>
    <w:basedOn w:val="1"/>
    <w:link w:val="31"/>
    <w:autoRedefine/>
    <w:qFormat/>
    <w:uiPriority w:val="0"/>
    <w:pPr>
      <w:ind w:firstLine="560" w:firstLineChars="200"/>
    </w:pPr>
  </w:style>
  <w:style w:type="paragraph" w:styleId="10">
    <w:name w:val="toc 3"/>
    <w:basedOn w:val="1"/>
    <w:next w:val="1"/>
    <w:autoRedefine/>
    <w:unhideWhenUsed/>
    <w:qFormat/>
    <w:uiPriority w:val="39"/>
    <w:pPr>
      <w:widowControl/>
      <w:spacing w:after="100" w:line="276" w:lineRule="auto"/>
      <w:ind w:left="440"/>
      <w:jc w:val="left"/>
    </w:pPr>
    <w:rPr>
      <w:kern w:val="0"/>
      <w:sz w:val="22"/>
    </w:rPr>
  </w:style>
  <w:style w:type="paragraph" w:styleId="11">
    <w:name w:val="Plain Text"/>
    <w:basedOn w:val="1"/>
    <w:link w:val="32"/>
    <w:autoRedefine/>
    <w:qFormat/>
    <w:uiPriority w:val="0"/>
    <w:rPr>
      <w:rFonts w:ascii="宋体" w:hAnsi="Courier New"/>
      <w:sz w:val="24"/>
      <w:szCs w:val="20"/>
    </w:rPr>
  </w:style>
  <w:style w:type="paragraph" w:styleId="12">
    <w:name w:val="Balloon Text"/>
    <w:basedOn w:val="1"/>
    <w:link w:val="33"/>
    <w:autoRedefine/>
    <w:semiHidden/>
    <w:unhideWhenUsed/>
    <w:qFormat/>
    <w:uiPriority w:val="99"/>
    <w:rPr>
      <w:sz w:val="18"/>
      <w:szCs w:val="18"/>
    </w:rPr>
  </w:style>
  <w:style w:type="paragraph" w:styleId="13">
    <w:name w:val="footer"/>
    <w:basedOn w:val="1"/>
    <w:link w:val="34"/>
    <w:autoRedefine/>
    <w:unhideWhenUsed/>
    <w:qFormat/>
    <w:uiPriority w:val="99"/>
    <w:pPr>
      <w:tabs>
        <w:tab w:val="center" w:pos="4153"/>
        <w:tab w:val="right" w:pos="8306"/>
      </w:tabs>
      <w:snapToGrid w:val="0"/>
      <w:jc w:val="left"/>
    </w:pPr>
    <w:rPr>
      <w:sz w:val="18"/>
    </w:rPr>
  </w:style>
  <w:style w:type="paragraph" w:styleId="14">
    <w:name w:val="header"/>
    <w:basedOn w:val="1"/>
    <w:link w:val="35"/>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unhideWhenUsed/>
    <w:qFormat/>
    <w:uiPriority w:val="39"/>
    <w:pPr>
      <w:widowControl/>
      <w:spacing w:after="100" w:line="276" w:lineRule="auto"/>
      <w:jc w:val="left"/>
    </w:pPr>
    <w:rPr>
      <w:b/>
      <w:kern w:val="0"/>
      <w:sz w:val="24"/>
    </w:rPr>
  </w:style>
  <w:style w:type="paragraph" w:styleId="16">
    <w:name w:val="toc 2"/>
    <w:basedOn w:val="1"/>
    <w:next w:val="1"/>
    <w:autoRedefine/>
    <w:unhideWhenUsed/>
    <w:qFormat/>
    <w:uiPriority w:val="39"/>
    <w:pPr>
      <w:widowControl/>
      <w:spacing w:after="100" w:line="276" w:lineRule="auto"/>
      <w:ind w:left="220"/>
      <w:jc w:val="left"/>
    </w:pPr>
    <w:rPr>
      <w:kern w:val="0"/>
      <w:sz w:val="22"/>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link w:val="36"/>
    <w:autoRedefine/>
    <w:qFormat/>
    <w:uiPriority w:val="0"/>
    <w:pPr>
      <w:spacing w:before="240" w:after="60"/>
      <w:jc w:val="center"/>
      <w:outlineLvl w:val="0"/>
    </w:pPr>
    <w:rPr>
      <w:rFonts w:ascii="Cambria" w:hAnsi="Cambria"/>
      <w:b/>
      <w:bCs/>
      <w:sz w:val="32"/>
      <w:szCs w:val="32"/>
    </w:rPr>
  </w:style>
  <w:style w:type="paragraph" w:styleId="19">
    <w:name w:val="annotation subject"/>
    <w:basedOn w:val="6"/>
    <w:next w:val="6"/>
    <w:link w:val="53"/>
    <w:autoRedefine/>
    <w:semiHidden/>
    <w:unhideWhenUsed/>
    <w:qFormat/>
    <w:uiPriority w:val="99"/>
    <w:pPr>
      <w:adjustRightInd/>
      <w:spacing w:line="240" w:lineRule="auto"/>
      <w:textAlignment w:val="auto"/>
    </w:pPr>
    <w:rPr>
      <w:rFonts w:ascii="Calibri" w:hAnsi="Calibri"/>
      <w:b/>
      <w:bCs/>
      <w:kern w:val="2"/>
      <w:sz w:val="21"/>
      <w:szCs w:val="22"/>
    </w:rPr>
  </w:style>
  <w:style w:type="character" w:styleId="22">
    <w:name w:val="Hyperlink"/>
    <w:autoRedefine/>
    <w:qFormat/>
    <w:uiPriority w:val="99"/>
    <w:rPr>
      <w:rFonts w:ascii="微软雅黑" w:hAnsi="微软雅黑" w:eastAsia="微软雅黑" w:cs="微软雅黑"/>
      <w:color w:val="000000"/>
      <w:u w:val="none"/>
    </w:rPr>
  </w:style>
  <w:style w:type="character" w:styleId="23">
    <w:name w:val="annotation reference"/>
    <w:basedOn w:val="21"/>
    <w:autoRedefine/>
    <w:semiHidden/>
    <w:unhideWhenUsed/>
    <w:qFormat/>
    <w:uiPriority w:val="99"/>
    <w:rPr>
      <w:sz w:val="21"/>
      <w:szCs w:val="21"/>
    </w:rPr>
  </w:style>
  <w:style w:type="character" w:customStyle="1" w:styleId="24">
    <w:name w:val="标题 1 字符"/>
    <w:basedOn w:val="21"/>
    <w:link w:val="3"/>
    <w:autoRedefine/>
    <w:qFormat/>
    <w:uiPriority w:val="0"/>
    <w:rPr>
      <w:rFonts w:ascii="Calibri" w:hAnsi="Calibri" w:eastAsia="宋体" w:cs="Times New Roman"/>
      <w:b/>
      <w:bCs/>
      <w:kern w:val="44"/>
      <w:sz w:val="44"/>
      <w:szCs w:val="44"/>
    </w:rPr>
  </w:style>
  <w:style w:type="character" w:customStyle="1" w:styleId="25">
    <w:name w:val="标题 2 字符"/>
    <w:basedOn w:val="21"/>
    <w:link w:val="4"/>
    <w:autoRedefine/>
    <w:semiHidden/>
    <w:qFormat/>
    <w:uiPriority w:val="0"/>
    <w:rPr>
      <w:rFonts w:asciiTheme="majorHAnsi" w:hAnsiTheme="majorHAnsi" w:eastAsiaTheme="majorEastAsia" w:cstheme="majorBidi"/>
      <w:b/>
      <w:bCs/>
      <w:sz w:val="32"/>
      <w:szCs w:val="32"/>
    </w:rPr>
  </w:style>
  <w:style w:type="character" w:customStyle="1" w:styleId="26">
    <w:name w:val="标题 3 字符"/>
    <w:basedOn w:val="21"/>
    <w:link w:val="5"/>
    <w:autoRedefine/>
    <w:semiHidden/>
    <w:qFormat/>
    <w:uiPriority w:val="0"/>
    <w:rPr>
      <w:rFonts w:ascii="Calibri" w:hAnsi="Calibri" w:eastAsia="宋体" w:cs="Times New Roman"/>
      <w:b/>
      <w:bCs/>
      <w:sz w:val="32"/>
      <w:szCs w:val="32"/>
    </w:rPr>
  </w:style>
  <w:style w:type="character" w:customStyle="1" w:styleId="27">
    <w:name w:val="标题 4 字符"/>
    <w:basedOn w:val="21"/>
    <w:link w:val="2"/>
    <w:autoRedefine/>
    <w:qFormat/>
    <w:uiPriority w:val="0"/>
    <w:rPr>
      <w:rFonts w:ascii="Arial" w:hAnsi="Arial" w:eastAsia="宋体" w:cs="Times New Roman"/>
      <w:b/>
      <w:bCs/>
      <w:szCs w:val="28"/>
    </w:rPr>
  </w:style>
  <w:style w:type="character" w:customStyle="1" w:styleId="28">
    <w:name w:val="批注文字 字符"/>
    <w:basedOn w:val="21"/>
    <w:link w:val="6"/>
    <w:autoRedefine/>
    <w:qFormat/>
    <w:uiPriority w:val="0"/>
    <w:rPr>
      <w:rFonts w:ascii="宋体" w:hAnsi="Times New Roman" w:eastAsia="宋体" w:cs="Times New Roman"/>
      <w:kern w:val="0"/>
      <w:sz w:val="24"/>
      <w:szCs w:val="24"/>
    </w:rPr>
  </w:style>
  <w:style w:type="character" w:customStyle="1" w:styleId="29">
    <w:name w:val="正文文本 字符"/>
    <w:basedOn w:val="21"/>
    <w:link w:val="7"/>
    <w:autoRedefine/>
    <w:qFormat/>
    <w:uiPriority w:val="99"/>
    <w:rPr>
      <w:rFonts w:ascii="Times New Roman" w:hAnsi="Times New Roman" w:eastAsia="宋体" w:cs="Times New Roman"/>
      <w:szCs w:val="24"/>
    </w:rPr>
  </w:style>
  <w:style w:type="character" w:customStyle="1" w:styleId="30">
    <w:name w:val="正文文本 2 字符"/>
    <w:basedOn w:val="21"/>
    <w:link w:val="8"/>
    <w:autoRedefine/>
    <w:qFormat/>
    <w:uiPriority w:val="0"/>
    <w:rPr>
      <w:rFonts w:ascii="宋体" w:hAnsi="Calibri" w:eastAsia="宋体" w:cs="Times New Roman"/>
      <w:sz w:val="24"/>
    </w:rPr>
  </w:style>
  <w:style w:type="character" w:customStyle="1" w:styleId="31">
    <w:name w:val="正文文本缩进 字符"/>
    <w:basedOn w:val="21"/>
    <w:link w:val="9"/>
    <w:autoRedefine/>
    <w:qFormat/>
    <w:uiPriority w:val="0"/>
    <w:rPr>
      <w:rFonts w:ascii="Calibri" w:hAnsi="Calibri" w:eastAsia="宋体" w:cs="Times New Roman"/>
    </w:rPr>
  </w:style>
  <w:style w:type="character" w:customStyle="1" w:styleId="32">
    <w:name w:val="纯文本 字符"/>
    <w:basedOn w:val="21"/>
    <w:link w:val="11"/>
    <w:autoRedefine/>
    <w:qFormat/>
    <w:uiPriority w:val="0"/>
    <w:rPr>
      <w:rFonts w:ascii="宋体" w:hAnsi="Courier New" w:eastAsia="宋体" w:cs="Times New Roman"/>
      <w:sz w:val="24"/>
      <w:szCs w:val="20"/>
    </w:rPr>
  </w:style>
  <w:style w:type="character" w:customStyle="1" w:styleId="33">
    <w:name w:val="批注框文本 字符"/>
    <w:basedOn w:val="21"/>
    <w:link w:val="12"/>
    <w:autoRedefine/>
    <w:semiHidden/>
    <w:qFormat/>
    <w:uiPriority w:val="99"/>
    <w:rPr>
      <w:rFonts w:ascii="Calibri" w:hAnsi="Calibri" w:eastAsia="宋体" w:cs="Times New Roman"/>
      <w:sz w:val="18"/>
      <w:szCs w:val="18"/>
    </w:rPr>
  </w:style>
  <w:style w:type="character" w:customStyle="1" w:styleId="34">
    <w:name w:val="页脚 字符"/>
    <w:basedOn w:val="21"/>
    <w:link w:val="13"/>
    <w:autoRedefine/>
    <w:qFormat/>
    <w:uiPriority w:val="99"/>
    <w:rPr>
      <w:rFonts w:ascii="Calibri" w:hAnsi="Calibri" w:eastAsia="宋体" w:cs="Times New Roman"/>
      <w:sz w:val="18"/>
    </w:rPr>
  </w:style>
  <w:style w:type="character" w:customStyle="1" w:styleId="35">
    <w:name w:val="页眉 字符"/>
    <w:basedOn w:val="21"/>
    <w:link w:val="14"/>
    <w:autoRedefine/>
    <w:qFormat/>
    <w:uiPriority w:val="99"/>
    <w:rPr>
      <w:rFonts w:ascii="Calibri" w:hAnsi="Calibri" w:eastAsia="宋体" w:cs="Times New Roman"/>
      <w:sz w:val="18"/>
    </w:rPr>
  </w:style>
  <w:style w:type="character" w:customStyle="1" w:styleId="36">
    <w:name w:val="标题 字符"/>
    <w:basedOn w:val="21"/>
    <w:link w:val="18"/>
    <w:autoRedefine/>
    <w:qFormat/>
    <w:uiPriority w:val="0"/>
    <w:rPr>
      <w:rFonts w:ascii="Cambria" w:hAnsi="Cambria" w:eastAsia="宋体" w:cs="Times New Roman"/>
      <w:b/>
      <w:bCs/>
      <w:sz w:val="32"/>
      <w:szCs w:val="32"/>
    </w:rPr>
  </w:style>
  <w:style w:type="paragraph" w:customStyle="1" w:styleId="37">
    <w:name w:val="样式 首行缩进:  2 字符"/>
    <w:autoRedefine/>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 w:type="paragraph" w:customStyle="1" w:styleId="38">
    <w:name w:val="样式 宋体 行距: 1.5 倍行距"/>
    <w:basedOn w:val="1"/>
    <w:next w:val="1"/>
    <w:autoRedefine/>
    <w:qFormat/>
    <w:uiPriority w:val="0"/>
    <w:pPr>
      <w:jc w:val="center"/>
    </w:pPr>
    <w:rPr>
      <w:rFonts w:ascii="Times New Roman" w:hAnsi="Times New Roman"/>
      <w:b/>
    </w:rPr>
  </w:style>
  <w:style w:type="paragraph" w:customStyle="1" w:styleId="39">
    <w:name w:val="Normal Indent1"/>
    <w:basedOn w:val="1"/>
    <w:autoRedefine/>
    <w:qFormat/>
    <w:uiPriority w:val="0"/>
    <w:pPr>
      <w:widowControl/>
      <w:spacing w:line="360" w:lineRule="auto"/>
      <w:ind w:firstLine="420"/>
      <w:jc w:val="left"/>
    </w:pPr>
    <w:rPr>
      <w:rFonts w:ascii="宋体" w:hAnsi="Times New Roman"/>
      <w:kern w:val="0"/>
      <w:sz w:val="20"/>
      <w:szCs w:val="20"/>
    </w:rPr>
  </w:style>
  <w:style w:type="paragraph" w:customStyle="1" w:styleId="40">
    <w:name w:val="正文缩进1"/>
    <w:basedOn w:val="1"/>
    <w:autoRedefine/>
    <w:qFormat/>
    <w:uiPriority w:val="0"/>
    <w:pPr>
      <w:widowControl/>
      <w:spacing w:line="360" w:lineRule="auto"/>
      <w:ind w:firstLine="420"/>
      <w:jc w:val="left"/>
    </w:pPr>
    <w:rPr>
      <w:rFonts w:ascii="宋体" w:hAnsi="Times New Roman"/>
      <w:kern w:val="0"/>
      <w:sz w:val="20"/>
      <w:szCs w:val="20"/>
    </w:rPr>
  </w:style>
  <w:style w:type="paragraph" w:customStyle="1" w:styleId="41">
    <w:name w:val="正文缩进11"/>
    <w:basedOn w:val="1"/>
    <w:autoRedefine/>
    <w:qFormat/>
    <w:uiPriority w:val="0"/>
    <w:pPr>
      <w:widowControl/>
      <w:spacing w:line="360" w:lineRule="auto"/>
      <w:ind w:firstLine="420"/>
      <w:jc w:val="left"/>
    </w:pPr>
    <w:rPr>
      <w:rFonts w:ascii="宋体" w:hAnsi="Times New Roman"/>
      <w:kern w:val="0"/>
      <w:sz w:val="20"/>
      <w:szCs w:val="20"/>
    </w:rPr>
  </w:style>
  <w:style w:type="character" w:customStyle="1" w:styleId="42">
    <w:name w:val="标题 Char1"/>
    <w:autoRedefine/>
    <w:qFormat/>
    <w:uiPriority w:val="0"/>
    <w:rPr>
      <w:rFonts w:ascii="Cambria" w:hAnsi="Cambria" w:cs="Times New Roman"/>
      <w:b/>
      <w:bCs/>
      <w:kern w:val="2"/>
      <w:sz w:val="32"/>
      <w:szCs w:val="32"/>
    </w:rPr>
  </w:style>
  <w:style w:type="paragraph" w:customStyle="1" w:styleId="43">
    <w:name w:val="正文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TOC 标题1"/>
    <w:basedOn w:val="3"/>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styleId="46">
    <w:name w:val="List Paragraph"/>
    <w:basedOn w:val="1"/>
    <w:autoRedefine/>
    <w:qFormat/>
    <w:uiPriority w:val="99"/>
    <w:pPr>
      <w:ind w:firstLine="420" w:firstLineChars="200"/>
    </w:pPr>
  </w:style>
  <w:style w:type="paragraph" w:customStyle="1" w:styleId="47">
    <w:name w:val="usezw"/>
    <w:basedOn w:val="1"/>
    <w:autoRedefine/>
    <w:qFormat/>
    <w:uiPriority w:val="0"/>
    <w:pPr>
      <w:autoSpaceDE w:val="0"/>
      <w:autoSpaceDN w:val="0"/>
      <w:spacing w:line="360" w:lineRule="auto"/>
      <w:ind w:firstLine="480" w:firstLineChars="200"/>
      <w:jc w:val="left"/>
    </w:pPr>
    <w:rPr>
      <w:rFonts w:ascii="宋体" w:hAnsi="宋体" w:cs="宋体"/>
      <w:kern w:val="0"/>
      <w:sz w:val="24"/>
      <w:lang w:val="zh-CN" w:bidi="zh-CN"/>
    </w:rPr>
  </w:style>
  <w:style w:type="paragraph" w:customStyle="1" w:styleId="48">
    <w:name w:val="正文 New New New New New New New New New New New New New New New New New New New New New New New New New New New New New New New New New New New New New New New"/>
    <w:autoRedefine/>
    <w:qFormat/>
    <w:uiPriority w:val="99"/>
    <w:pPr>
      <w:widowControl w:val="0"/>
      <w:jc w:val="both"/>
    </w:pPr>
    <w:rPr>
      <w:rFonts w:ascii="Times New Roman" w:hAnsi="Times New Roman" w:eastAsia="楷体_GB2312" w:cs="Times New Roman"/>
      <w:kern w:val="2"/>
      <w:sz w:val="21"/>
      <w:lang w:val="en-US" w:eastAsia="zh-CN" w:bidi="ar-SA"/>
    </w:rPr>
  </w:style>
  <w:style w:type="paragraph" w:customStyle="1" w:styleId="49">
    <w:name w:val="正文 New New New New New New New New New New New New New New New New New New New New New New New New New New New New New New New New New New New New New New New New"/>
    <w:basedOn w:val="1"/>
    <w:autoRedefine/>
    <w:qFormat/>
    <w:uiPriority w:val="0"/>
    <w:rPr>
      <w:rFonts w:eastAsia="楷体_GB2312" w:cs="Calibri"/>
      <w:szCs w:val="21"/>
    </w:rPr>
  </w:style>
  <w:style w:type="paragraph" w:customStyle="1" w:styleId="50">
    <w:name w:val="正文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character" w:customStyle="1" w:styleId="51">
    <w:name w:val="批注文字 Char1"/>
    <w:basedOn w:val="21"/>
    <w:autoRedefine/>
    <w:semiHidden/>
    <w:qFormat/>
    <w:uiPriority w:val="99"/>
    <w:rPr>
      <w:rFonts w:ascii="Times New Roman" w:hAnsi="Times New Roman" w:eastAsia="宋体" w:cs="Times New Roman"/>
      <w:szCs w:val="24"/>
    </w:rPr>
  </w:style>
  <w:style w:type="paragraph" w:customStyle="1" w:styleId="52">
    <w:name w:val="纯文本1"/>
    <w:basedOn w:val="1"/>
    <w:autoRedefine/>
    <w:qFormat/>
    <w:uiPriority w:val="0"/>
    <w:pPr>
      <w:adjustRightInd w:val="0"/>
      <w:textAlignment w:val="baseline"/>
    </w:pPr>
    <w:rPr>
      <w:rFonts w:ascii="宋体" w:hAnsi="Times New Roman"/>
      <w:kern w:val="0"/>
      <w:sz w:val="24"/>
      <w:szCs w:val="20"/>
    </w:rPr>
  </w:style>
  <w:style w:type="character" w:customStyle="1" w:styleId="53">
    <w:name w:val="批注主题 字符"/>
    <w:basedOn w:val="28"/>
    <w:link w:val="19"/>
    <w:autoRedefine/>
    <w:semiHidden/>
    <w:qFormat/>
    <w:uiPriority w:val="99"/>
    <w:rPr>
      <w:rFonts w:ascii="Calibri" w:hAnsi="Calibri" w:eastAsia="宋体" w:cs="Times New Roman"/>
      <w:b/>
      <w:bCs/>
      <w:kern w:val="2"/>
      <w:sz w:val="21"/>
      <w:szCs w:val="22"/>
    </w:rPr>
  </w:style>
  <w:style w:type="paragraph" w:customStyle="1" w:styleId="54">
    <w:name w:val="Table Paragraph"/>
    <w:basedOn w:val="1"/>
    <w:qFormat/>
    <w:uiPriority w:val="0"/>
    <w:rPr>
      <w:rFonts w:ascii="Droid Sans Fallback" w:hAnsi="Droid Sans Fallback" w:eastAsia="Droid Sans Fallback" w:cs="Droid Sans Fallback"/>
      <w:lang w:val="zh-CN" w:bidi="zh-CN"/>
    </w:rPr>
  </w:style>
  <w:style w:type="paragraph" w:customStyle="1" w:styleId="5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118</Pages>
  <Words>7219</Words>
  <Characters>8293</Characters>
  <Lines>648</Lines>
  <Paragraphs>182</Paragraphs>
  <TotalTime>0</TotalTime>
  <ScaleCrop>false</ScaleCrop>
  <LinksUpToDate>false</LinksUpToDate>
  <CharactersWithSpaces>8473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2024-01-19T03:47:00Z</dcterms:created>
  <dc:creator>Administrator</dc:creator>
  <cp:lastModifiedBy>潘康利</cp:lastModifiedBy>
  <cp:lastPrinted>2026-03-27T07:08:00Z</cp:lastPrinted>
  <dcterms:modified xsi:type="dcterms:W3CDTF">2026-03-30T01:42:21Z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B44B6548C77942428BE73183AB587448_13</vt:lpwstr>
  </property>
  <property fmtid="{D5CDD505-2E9C-101B-9397-08002B2CF9AE}" pid="4" name="KSOTemplateDocerSaveRecord">
    <vt:lpwstr>eyJoZGlkIjoiNDRhNTMyNzdkYTQ2NjM5ODBlODQxMjljYTgzZTk1OGMiLCJ1c2VySWQiOiIyNzE3NjA0MzkifQ==</vt:lpwstr>
  </property>
</Properties>
</file>